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660C4E">
      <w:pPr>
        <w:jc w:val="center"/>
        <w:rPr>
          <w:rFonts w:ascii="宋体" w:hAnsi="宋体" w:eastAsia="黑体"/>
          <w:b/>
          <w:bCs/>
          <w:color w:val="FF0000"/>
          <w:kern w:val="44"/>
          <w:sz w:val="44"/>
          <w:szCs w:val="44"/>
        </w:rPr>
      </w:pPr>
    </w:p>
    <w:p w14:paraId="4E661AC4">
      <w:pPr>
        <w:jc w:val="center"/>
        <w:rPr>
          <w:rFonts w:ascii="宋体" w:hAnsi="宋体" w:eastAsia="黑体"/>
          <w:b/>
          <w:bCs/>
          <w:color w:val="FF0000"/>
          <w:kern w:val="44"/>
          <w:sz w:val="44"/>
          <w:szCs w:val="44"/>
        </w:rPr>
      </w:pPr>
    </w:p>
    <w:p w14:paraId="676B15F7">
      <w:pPr>
        <w:jc w:val="center"/>
        <w:rPr>
          <w:rFonts w:ascii="宋体" w:hAnsi="宋体" w:eastAsia="黑体"/>
          <w:b/>
          <w:bCs/>
          <w:color w:val="FF0000"/>
          <w:kern w:val="44"/>
          <w:sz w:val="44"/>
          <w:szCs w:val="44"/>
        </w:rPr>
      </w:pPr>
      <w:bookmarkStart w:id="0" w:name="OLE_LINK17"/>
    </w:p>
    <w:p w14:paraId="0142340A">
      <w:pPr>
        <w:jc w:val="center"/>
        <w:rPr>
          <w:rFonts w:ascii="宋体" w:hAnsi="宋体" w:eastAsia="黑体"/>
          <w:b/>
          <w:bCs/>
          <w:color w:val="FF0000"/>
          <w:kern w:val="44"/>
          <w:sz w:val="32"/>
          <w:szCs w:val="32"/>
        </w:rPr>
      </w:pPr>
      <w:r>
        <w:rPr>
          <w:rFonts w:hint="eastAsia" w:ascii="宋体" w:hAnsi="宋体" w:eastAsia="黑体"/>
          <w:b/>
          <w:bCs/>
          <w:color w:val="FF0000"/>
          <w:kern w:val="44"/>
          <w:sz w:val="32"/>
          <w:szCs w:val="32"/>
        </w:rPr>
        <w:t>特别警示条款</w:t>
      </w:r>
    </w:p>
    <w:p w14:paraId="3FC5C477">
      <w:pPr>
        <w:spacing w:after="240" w:afterLines="100" w:line="400" w:lineRule="exact"/>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t>参与本项目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504F1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vAlign w:val="center"/>
          </w:tcPr>
          <w:p w14:paraId="7904C848">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序号</w:t>
            </w:r>
          </w:p>
        </w:tc>
        <w:tc>
          <w:tcPr>
            <w:tcW w:w="7711" w:type="dxa"/>
            <w:vAlign w:val="center"/>
          </w:tcPr>
          <w:p w14:paraId="00E6C556">
            <w:pPr>
              <w:spacing w:line="400" w:lineRule="exact"/>
              <w:jc w:val="center"/>
              <w:rPr>
                <w:rFonts w:hint="eastAsia" w:ascii="宋体" w:hAnsi="宋体" w:eastAsia="宋体" w:cs="宋体"/>
                <w:color w:val="FF0000"/>
                <w:sz w:val="21"/>
                <w:szCs w:val="21"/>
              </w:rPr>
            </w:pPr>
            <w:r>
              <w:rPr>
                <w:rFonts w:hint="eastAsia" w:ascii="宋体" w:hAnsi="宋体" w:eastAsia="宋体" w:cs="宋体"/>
                <w:b/>
                <w:bCs/>
                <w:color w:val="FF0000"/>
                <w:sz w:val="21"/>
                <w:szCs w:val="21"/>
              </w:rPr>
              <w:t>供应商参与投标禁止情形</w:t>
            </w:r>
          </w:p>
        </w:tc>
      </w:tr>
      <w:tr w14:paraId="03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532E32C2">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1</w:t>
            </w:r>
          </w:p>
        </w:tc>
        <w:tc>
          <w:tcPr>
            <w:tcW w:w="7711" w:type="dxa"/>
            <w:vAlign w:val="center"/>
          </w:tcPr>
          <w:p w14:paraId="2EE9D246">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与其他投标供应商的法定代表人、主要经营负责人、投标授权代表人、项目负责人、主要技术人员为同一人、属同一单位或者在同一单位缴纳社会保险。</w:t>
            </w:r>
          </w:p>
        </w:tc>
      </w:tr>
      <w:tr w14:paraId="27771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14:paraId="2537F455">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2</w:t>
            </w:r>
          </w:p>
        </w:tc>
        <w:tc>
          <w:tcPr>
            <w:tcW w:w="7711" w:type="dxa"/>
            <w:vAlign w:val="center"/>
          </w:tcPr>
          <w:p w14:paraId="582DA95A">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参与本项目采购活动时，与其他投标供应商存在单位负责人为同一人或直接控股、管理关系。</w:t>
            </w:r>
          </w:p>
        </w:tc>
      </w:tr>
      <w:tr w14:paraId="52BFE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325CED22">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3</w:t>
            </w:r>
          </w:p>
        </w:tc>
        <w:tc>
          <w:tcPr>
            <w:tcW w:w="7711" w:type="dxa"/>
            <w:vAlign w:val="center"/>
          </w:tcPr>
          <w:p w14:paraId="5977FC22">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与其他投标供应商的投标文件或部分投标文件相互混装或存在非正常一致。</w:t>
            </w:r>
          </w:p>
        </w:tc>
      </w:tr>
      <w:tr w14:paraId="6E12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vAlign w:val="center"/>
          </w:tcPr>
          <w:p w14:paraId="55A2CC8F">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4</w:t>
            </w:r>
          </w:p>
        </w:tc>
        <w:tc>
          <w:tcPr>
            <w:tcW w:w="7711" w:type="dxa"/>
            <w:vAlign w:val="center"/>
          </w:tcPr>
          <w:p w14:paraId="73E00EB1">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与其他投标供应商的投标文件由同一单位或者同一人编制，或者使用同一设备编制（“文件制作机器码”“文件创建标识码”一致）。</w:t>
            </w:r>
          </w:p>
        </w:tc>
      </w:tr>
      <w:tr w14:paraId="7F199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vAlign w:val="center"/>
          </w:tcPr>
          <w:p w14:paraId="483C13B1">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5</w:t>
            </w:r>
          </w:p>
        </w:tc>
        <w:tc>
          <w:tcPr>
            <w:tcW w:w="7711" w:type="dxa"/>
            <w:vAlign w:val="center"/>
          </w:tcPr>
          <w:p w14:paraId="765870D2">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提供未经出具机构核实的虚假的检验检测报告、业绩材料、社保缴纳证明、学历学位证书、职称认证证书等材料。</w:t>
            </w:r>
          </w:p>
        </w:tc>
      </w:tr>
      <w:tr w14:paraId="23EFC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vAlign w:val="center"/>
          </w:tcPr>
          <w:p w14:paraId="76EBB66E">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6</w:t>
            </w:r>
          </w:p>
        </w:tc>
        <w:tc>
          <w:tcPr>
            <w:tcW w:w="7711" w:type="dxa"/>
            <w:vAlign w:val="center"/>
          </w:tcPr>
          <w:p w14:paraId="04CF5357">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擅自将投标密钥或电子营业执照出借他人使用或未妥善保管。</w:t>
            </w:r>
          </w:p>
        </w:tc>
      </w:tr>
    </w:tbl>
    <w:p w14:paraId="607B85F2">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288A58FD">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（一）在采购活动中应当回避而未回避的；</w:t>
      </w:r>
    </w:p>
    <w:p w14:paraId="4190932C">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0EF08607">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（三）隐瞒真实情况，提供虚假资料的；</w:t>
      </w:r>
    </w:p>
    <w:p w14:paraId="3FCE59B4">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（四）以非法手段排斥其他供应商参与竞争的；</w:t>
      </w:r>
    </w:p>
    <w:p w14:paraId="6EF03B4D">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（五）与其他采购参加人串通投标的；</w:t>
      </w:r>
    </w:p>
    <w:p w14:paraId="4E651A78">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（六）恶意投诉的；</w:t>
      </w:r>
    </w:p>
    <w:p w14:paraId="2AA96772">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3DF641C6">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（八）阻碍、抗拒主管部门监督检查的；</w:t>
      </w:r>
    </w:p>
    <w:p w14:paraId="16E517F8">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（九）其他违反本条例规定的行为。</w:t>
      </w:r>
    </w:p>
    <w:p w14:paraId="6FFF1EF3">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二、《深圳经济特区政府采购条例实施细则》第七十五条 </w:t>
      </w:r>
      <w:r>
        <w:rPr>
          <w:rFonts w:hint="eastAsia" w:ascii="宋体" w:hAnsi="宋体"/>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52EA3E74">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三、《深圳经济特区政府采购条例实施细则》第七十七条 </w:t>
      </w:r>
      <w:r>
        <w:rPr>
          <w:rFonts w:hint="eastAsia" w:ascii="宋体" w:hAnsi="宋体"/>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6DDFDBC1">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0BC768A2">
      <w:pPr>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b/>
          <w:color w:val="FF0000"/>
          <w:lang w:eastAsia="zh-CN"/>
        </w:rPr>
      </w:pPr>
      <w:r>
        <w:rPr>
          <w:rFonts w:hint="eastAsia"/>
          <w:bCs/>
          <w:color w:val="FF0000"/>
          <w:sz w:val="20"/>
          <w:szCs w:val="20"/>
        </w:rPr>
        <w:t>四、</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294F6E27">
      <w:pPr>
        <w:pBdr>
          <w:top w:val="none" w:color="auto" w:sz="0" w:space="1"/>
          <w:left w:val="none" w:color="auto" w:sz="0" w:space="4"/>
          <w:bottom w:val="none" w:color="auto" w:sz="0" w:space="1"/>
          <w:right w:val="none" w:color="auto" w:sz="0" w:space="4"/>
        </w:pBdr>
        <w:ind w:firstLine="400" w:firstLineChars="200"/>
        <w:rPr>
          <w:bCs/>
          <w:color w:val="FF0000"/>
          <w:sz w:val="20"/>
          <w:szCs w:val="20"/>
        </w:rPr>
      </w:pPr>
    </w:p>
    <w:p w14:paraId="322B8D4C">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五、请投标供应商阅读《政府采购违法行为风险知悉确认书》（内容详见“</w:t>
      </w:r>
      <w:r>
        <w:rPr>
          <w:rFonts w:hint="eastAsia"/>
          <w:b/>
          <w:color w:val="FF0000"/>
          <w:lang w:val="en-US" w:eastAsia="zh-CN"/>
        </w:rPr>
        <w:t>第二册第一章</w:t>
      </w:r>
      <w:r>
        <w:rPr>
          <w:rFonts w:hint="eastAsia"/>
          <w:b/>
          <w:color w:val="FF0000"/>
        </w:rPr>
        <w:t>投标文件</w:t>
      </w:r>
      <w:r>
        <w:rPr>
          <w:rFonts w:hint="eastAsia"/>
          <w:b/>
          <w:color w:val="FF0000"/>
          <w:lang w:val="en-US" w:eastAsia="zh-CN"/>
        </w:rPr>
        <w:t>格式</w:t>
      </w:r>
      <w:r>
        <w:rPr>
          <w:rFonts w:hint="eastAsia"/>
          <w:b/>
          <w:color w:val="FF0000"/>
        </w:rPr>
        <w:t>”），并经各投标供应商负责人签字并加盖单位公章后，扫描上传至投标文件一并提交。</w:t>
      </w:r>
    </w:p>
    <w:p w14:paraId="0B12E7BE">
      <w:pPr>
        <w:rPr>
          <w:rFonts w:ascii="Calibri" w:hAnsi="Calibri"/>
          <w:szCs w:val="22"/>
        </w:rPr>
      </w:pPr>
    </w:p>
    <w:p w14:paraId="412DE7F3">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注：“特别警示条款”和《政府采购违法行为风险知悉确认书》用于对供应商违法行为的提醒，不作为供应商资格性审查及符合性审查条件。</w:t>
      </w:r>
    </w:p>
    <w:p w14:paraId="5AFEB5FD">
      <w:pPr>
        <w:widowControl/>
        <w:jc w:val="left"/>
        <w:rPr>
          <w:rFonts w:ascii="黑体" w:hAnsi="黑体" w:eastAsia="黑体"/>
          <w:sz w:val="40"/>
          <w:szCs w:val="40"/>
        </w:rPr>
      </w:pPr>
      <w:r>
        <w:rPr>
          <w:rFonts w:ascii="黑体" w:hAnsi="黑体" w:eastAsia="黑体"/>
          <w:sz w:val="40"/>
          <w:szCs w:val="40"/>
        </w:rPr>
        <w:br w:type="page"/>
      </w:r>
    </w:p>
    <w:bookmarkEnd w:id="0"/>
    <w:p w14:paraId="451CD31C">
      <w:pPr>
        <w:pStyle w:val="28"/>
        <w:jc w:val="center"/>
        <w:outlineLvl w:val="1"/>
        <w:rPr>
          <w:rFonts w:ascii="黑体" w:hAnsi="黑体" w:eastAsia="黑体"/>
          <w:sz w:val="40"/>
          <w:szCs w:val="40"/>
        </w:rPr>
      </w:pPr>
      <w:r>
        <w:rPr>
          <w:rFonts w:hint="eastAsia" w:ascii="黑体" w:hAnsi="黑体" w:eastAsia="黑体"/>
          <w:sz w:val="40"/>
          <w:szCs w:val="40"/>
        </w:rPr>
        <w:t>招标文件信息</w:t>
      </w:r>
    </w:p>
    <w:tbl>
      <w:tblPr>
        <w:tblStyle w:val="32"/>
        <w:tblW w:w="7938" w:type="dxa"/>
        <w:jc w:val="center"/>
        <w:tblCellSpacing w:w="0" w:type="dxa"/>
        <w:tblLayout w:type="fixed"/>
        <w:tblCellMar>
          <w:top w:w="45" w:type="dxa"/>
          <w:left w:w="45" w:type="dxa"/>
          <w:bottom w:w="45" w:type="dxa"/>
          <w:right w:w="45" w:type="dxa"/>
        </w:tblCellMar>
      </w:tblPr>
      <w:tblGrid>
        <w:gridCol w:w="2722"/>
        <w:gridCol w:w="5216"/>
      </w:tblGrid>
      <w:tr w14:paraId="0D09CF55">
        <w:tblPrEx>
          <w:tblCellMar>
            <w:top w:w="45" w:type="dxa"/>
            <w:left w:w="45" w:type="dxa"/>
            <w:bottom w:w="45" w:type="dxa"/>
            <w:right w:w="45" w:type="dxa"/>
          </w:tblCellMar>
        </w:tblPrEx>
        <w:trPr>
          <w:trHeight w:val="856" w:hRule="atLeast"/>
          <w:tblCellSpacing w:w="0" w:type="dxa"/>
          <w:jc w:val="center"/>
        </w:trPr>
        <w:tc>
          <w:tcPr>
            <w:tcW w:w="2722" w:type="dxa"/>
            <w:vAlign w:val="center"/>
          </w:tcPr>
          <w:p w14:paraId="5BD53E1E">
            <w:pPr>
              <w:jc w:val="right"/>
              <w:rPr>
                <w:rFonts w:ascii="宋体" w:hAnsi="宋体" w:cs="宋体"/>
                <w:sz w:val="30"/>
                <w:szCs w:val="30"/>
              </w:rPr>
            </w:pPr>
            <w:r>
              <w:rPr>
                <w:sz w:val="30"/>
                <w:szCs w:val="30"/>
              </w:rPr>
              <w:t>项目编号：</w:t>
            </w:r>
          </w:p>
        </w:tc>
        <w:tc>
          <w:tcPr>
            <w:tcW w:w="5216" w:type="dxa"/>
            <w:vAlign w:val="center"/>
          </w:tcPr>
          <w:p w14:paraId="094DF0E5">
            <w:pPr>
              <w:rPr>
                <w:rFonts w:ascii="宋体" w:hAnsi="宋体" w:cs="宋体"/>
                <w:sz w:val="30"/>
                <w:szCs w:val="30"/>
              </w:rPr>
            </w:pPr>
            <w:r>
              <w:rPr>
                <w:rFonts w:hint="eastAsia" w:ascii="宋体" w:hAnsi="宋体" w:cs="宋体"/>
                <w:sz w:val="30"/>
                <w:szCs w:val="30"/>
              </w:rPr>
              <w:t>LHZC2026070326</w:t>
            </w:r>
          </w:p>
        </w:tc>
      </w:tr>
      <w:tr w14:paraId="72EF5BD6">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28B2939C">
            <w:pPr>
              <w:jc w:val="right"/>
              <w:rPr>
                <w:rFonts w:ascii="宋体" w:hAnsi="宋体" w:cs="宋体"/>
                <w:sz w:val="30"/>
                <w:szCs w:val="30"/>
              </w:rPr>
            </w:pPr>
            <w:r>
              <w:rPr>
                <w:sz w:val="30"/>
                <w:szCs w:val="30"/>
              </w:rPr>
              <w:t>项目名称：</w:t>
            </w:r>
          </w:p>
        </w:tc>
        <w:tc>
          <w:tcPr>
            <w:tcW w:w="5216" w:type="dxa"/>
            <w:vAlign w:val="center"/>
          </w:tcPr>
          <w:p w14:paraId="4E863F8B">
            <w:pPr>
              <w:rPr>
                <w:rFonts w:ascii="宋体" w:hAnsi="宋体" w:cs="宋体"/>
                <w:sz w:val="30"/>
                <w:szCs w:val="30"/>
              </w:rPr>
            </w:pPr>
            <w:r>
              <w:rPr>
                <w:rFonts w:hint="eastAsia" w:ascii="宋体" w:hAnsi="宋体" w:cs="宋体"/>
                <w:sz w:val="30"/>
                <w:szCs w:val="30"/>
              </w:rPr>
              <w:t>深圳市向西小学学生食堂人工服务项目</w:t>
            </w:r>
          </w:p>
        </w:tc>
      </w:tr>
      <w:tr w14:paraId="50053948">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1CF84610">
            <w:pPr>
              <w:jc w:val="right"/>
              <w:rPr>
                <w:rFonts w:ascii="宋体" w:hAnsi="宋体" w:cs="宋体"/>
                <w:sz w:val="30"/>
                <w:szCs w:val="30"/>
              </w:rPr>
            </w:pPr>
            <w:r>
              <w:rPr>
                <w:sz w:val="30"/>
                <w:szCs w:val="30"/>
              </w:rPr>
              <w:t>项目类型：</w:t>
            </w:r>
          </w:p>
        </w:tc>
        <w:tc>
          <w:tcPr>
            <w:tcW w:w="5216" w:type="dxa"/>
            <w:vAlign w:val="center"/>
          </w:tcPr>
          <w:p w14:paraId="173C0EF3">
            <w:pPr>
              <w:rPr>
                <w:rFonts w:ascii="宋体" w:hAnsi="宋体" w:cs="宋体"/>
                <w:sz w:val="30"/>
                <w:szCs w:val="30"/>
              </w:rPr>
            </w:pPr>
            <w:r>
              <w:rPr>
                <w:sz w:val="30"/>
                <w:szCs w:val="30"/>
              </w:rPr>
              <w:t>服务类</w:t>
            </w:r>
          </w:p>
        </w:tc>
      </w:tr>
      <w:tr w14:paraId="538BBF81">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098EB70C">
            <w:pPr>
              <w:jc w:val="right"/>
              <w:rPr>
                <w:rFonts w:ascii="宋体" w:hAnsi="宋体" w:cs="宋体"/>
                <w:sz w:val="30"/>
                <w:szCs w:val="30"/>
              </w:rPr>
            </w:pPr>
            <w:r>
              <w:rPr>
                <w:sz w:val="30"/>
                <w:szCs w:val="30"/>
              </w:rPr>
              <w:t>采购</w:t>
            </w:r>
            <w:r>
              <w:rPr>
                <w:rFonts w:hint="eastAsia"/>
                <w:sz w:val="30"/>
                <w:szCs w:val="30"/>
              </w:rPr>
              <w:t>类型</w:t>
            </w:r>
            <w:r>
              <w:rPr>
                <w:sz w:val="30"/>
                <w:szCs w:val="30"/>
              </w:rPr>
              <w:t>：</w:t>
            </w:r>
          </w:p>
        </w:tc>
        <w:tc>
          <w:tcPr>
            <w:tcW w:w="5216" w:type="dxa"/>
            <w:vAlign w:val="center"/>
          </w:tcPr>
          <w:p w14:paraId="149FB1A6">
            <w:pPr>
              <w:rPr>
                <w:rFonts w:ascii="宋体" w:hAnsi="宋体" w:cs="宋体"/>
                <w:sz w:val="30"/>
                <w:szCs w:val="30"/>
              </w:rPr>
            </w:pPr>
            <w:r>
              <w:rPr>
                <w:rFonts w:hint="eastAsia" w:ascii="宋体" w:hAnsi="宋体" w:cs="宋体"/>
                <w:sz w:val="30"/>
                <w:szCs w:val="30"/>
              </w:rPr>
              <w:t>自行采购</w:t>
            </w:r>
          </w:p>
        </w:tc>
      </w:tr>
      <w:tr w14:paraId="49B233E3">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7AD6154A">
            <w:pPr>
              <w:jc w:val="right"/>
              <w:rPr>
                <w:rFonts w:hint="default" w:ascii="宋体" w:hAnsi="宋体" w:cs="宋体"/>
                <w:sz w:val="30"/>
                <w:szCs w:val="30"/>
                <w:lang w:val="en-US" w:eastAsia="zh-CN"/>
              </w:rPr>
            </w:pPr>
            <w:bookmarkStart w:id="1" w:name="OLE_LINK32"/>
            <w:r>
              <w:rPr>
                <w:rFonts w:hint="eastAsia" w:ascii="Times New Roman" w:hAnsi="Times New Roman" w:cs="Times New Roman"/>
                <w:sz w:val="30"/>
                <w:szCs w:val="30"/>
                <w:lang w:val="en-US" w:eastAsia="zh-CN"/>
              </w:rPr>
              <w:t>采购方式：</w:t>
            </w:r>
            <w:bookmarkEnd w:id="1"/>
          </w:p>
        </w:tc>
        <w:tc>
          <w:tcPr>
            <w:tcW w:w="5216" w:type="dxa"/>
            <w:vAlign w:val="center"/>
          </w:tcPr>
          <w:p w14:paraId="3E779C99">
            <w:pPr>
              <w:rPr>
                <w:rFonts w:hint="eastAsia" w:ascii="宋体" w:hAnsi="宋体" w:cs="宋体"/>
                <w:sz w:val="30"/>
                <w:szCs w:val="30"/>
              </w:rPr>
            </w:pPr>
            <w:r>
              <w:rPr>
                <w:rFonts w:hint="eastAsia" w:ascii="宋体" w:hAnsi="宋体" w:cs="宋体"/>
                <w:sz w:val="30"/>
                <w:szCs w:val="30"/>
                <w:lang w:eastAsia="zh-CN"/>
              </w:rPr>
              <w:t>公开征集</w:t>
            </w:r>
          </w:p>
        </w:tc>
      </w:tr>
      <w:tr w14:paraId="2FD16337">
        <w:tblPrEx>
          <w:tblCellMar>
            <w:top w:w="45" w:type="dxa"/>
            <w:left w:w="45" w:type="dxa"/>
            <w:bottom w:w="45" w:type="dxa"/>
            <w:right w:w="45" w:type="dxa"/>
          </w:tblCellMar>
        </w:tblPrEx>
        <w:trPr>
          <w:trHeight w:val="971" w:hRule="atLeast"/>
          <w:tblCellSpacing w:w="0" w:type="dxa"/>
          <w:jc w:val="center"/>
        </w:trPr>
        <w:tc>
          <w:tcPr>
            <w:tcW w:w="2722" w:type="dxa"/>
            <w:vAlign w:val="center"/>
          </w:tcPr>
          <w:p w14:paraId="0C49D559">
            <w:pPr>
              <w:jc w:val="right"/>
              <w:rPr>
                <w:rFonts w:ascii="宋体" w:hAnsi="宋体" w:cs="宋体"/>
                <w:sz w:val="30"/>
                <w:szCs w:val="30"/>
              </w:rPr>
            </w:pPr>
            <w:r>
              <w:rPr>
                <w:sz w:val="30"/>
                <w:szCs w:val="30"/>
              </w:rPr>
              <w:t>货币类型：</w:t>
            </w:r>
          </w:p>
        </w:tc>
        <w:tc>
          <w:tcPr>
            <w:tcW w:w="5216" w:type="dxa"/>
            <w:vAlign w:val="center"/>
          </w:tcPr>
          <w:p w14:paraId="31E23E06">
            <w:pPr>
              <w:rPr>
                <w:rFonts w:ascii="宋体" w:hAnsi="宋体" w:cs="宋体"/>
                <w:sz w:val="30"/>
                <w:szCs w:val="30"/>
              </w:rPr>
            </w:pPr>
            <w:r>
              <w:rPr>
                <w:sz w:val="30"/>
                <w:szCs w:val="30"/>
              </w:rPr>
              <w:t>人民币</w:t>
            </w:r>
          </w:p>
        </w:tc>
      </w:tr>
      <w:tr w14:paraId="238B37A2">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7BD1D4C8">
            <w:pPr>
              <w:jc w:val="right"/>
              <w:rPr>
                <w:rFonts w:ascii="宋体" w:hAnsi="宋体" w:cs="宋体"/>
                <w:sz w:val="30"/>
                <w:szCs w:val="30"/>
              </w:rPr>
            </w:pPr>
            <w:r>
              <w:rPr>
                <w:sz w:val="30"/>
                <w:szCs w:val="30"/>
              </w:rPr>
              <w:t>评标方法：</w:t>
            </w:r>
          </w:p>
        </w:tc>
        <w:tc>
          <w:tcPr>
            <w:tcW w:w="5216" w:type="dxa"/>
            <w:vAlign w:val="center"/>
          </w:tcPr>
          <w:p w14:paraId="05B129B0">
            <w:pPr>
              <w:rPr>
                <w:rFonts w:ascii="宋体" w:hAnsi="宋体" w:cs="宋体"/>
                <w:sz w:val="30"/>
                <w:szCs w:val="30"/>
              </w:rPr>
            </w:pPr>
            <w:r>
              <w:rPr>
                <w:sz w:val="30"/>
                <w:szCs w:val="30"/>
              </w:rPr>
              <w:t>综合评分法</w:t>
            </w:r>
          </w:p>
        </w:tc>
      </w:tr>
    </w:tbl>
    <w:p w14:paraId="1045F32A">
      <w:pPr>
        <w:pStyle w:val="28"/>
        <w:jc w:val="center"/>
        <w:outlineLvl w:val="1"/>
        <w:rPr>
          <w:rFonts w:ascii="黑体" w:hAnsi="黑体" w:eastAsia="黑体"/>
          <w:sz w:val="40"/>
          <w:szCs w:val="40"/>
        </w:rPr>
      </w:pPr>
      <w:r>
        <w:rPr>
          <w:rFonts w:hint="eastAsia" w:ascii="黑体" w:hAnsi="黑体" w:eastAsia="黑体"/>
          <w:sz w:val="40"/>
          <w:szCs w:val="40"/>
        </w:rPr>
        <w:t>资格性审查表</w:t>
      </w:r>
    </w:p>
    <w:tbl>
      <w:tblPr>
        <w:tblStyle w:val="3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4A6AC7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6111A25">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EB9527E">
            <w:pPr>
              <w:jc w:val="center"/>
              <w:rPr>
                <w:rFonts w:ascii="宋体" w:hAnsi="宋体" w:cs="宋体"/>
                <w:sz w:val="28"/>
                <w:szCs w:val="28"/>
              </w:rPr>
            </w:pPr>
            <w:r>
              <w:rPr>
                <w:sz w:val="28"/>
                <w:szCs w:val="28"/>
              </w:rPr>
              <w:t>内容</w:t>
            </w:r>
          </w:p>
        </w:tc>
      </w:tr>
      <w:tr w14:paraId="785A3C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041D1CA">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3F116544">
            <w:r>
              <w:rPr>
                <w:rFonts w:hint="eastAsia"/>
              </w:rPr>
              <w:t>投标供应商不具备招标文件所列的资格要求，或未提交相应的资格证明资料（详见第一册第一章招标公告的投标供应商资格要求）。</w:t>
            </w:r>
          </w:p>
        </w:tc>
      </w:tr>
    </w:tbl>
    <w:p w14:paraId="3686FF90">
      <w:pPr>
        <w:pStyle w:val="28"/>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3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1FE22F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15BCEC4">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959AE56">
            <w:pPr>
              <w:jc w:val="center"/>
              <w:rPr>
                <w:rFonts w:ascii="宋体" w:hAnsi="宋体" w:cs="宋体"/>
                <w:sz w:val="28"/>
                <w:szCs w:val="28"/>
              </w:rPr>
            </w:pPr>
            <w:r>
              <w:rPr>
                <w:sz w:val="28"/>
                <w:szCs w:val="28"/>
              </w:rPr>
              <w:t>内容</w:t>
            </w:r>
          </w:p>
        </w:tc>
      </w:tr>
      <w:tr w14:paraId="0ADC2D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BCCD6C7">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1B06DA9C">
            <w:pPr>
              <w:rPr>
                <w:rFonts w:ascii="宋体" w:hAnsi="宋体" w:cs="宋体"/>
                <w:szCs w:val="21"/>
              </w:rPr>
            </w:pPr>
            <w:r>
              <w:rPr>
                <w:rFonts w:hint="eastAsia"/>
              </w:rPr>
              <w:t>不得将一个包的内容拆开投标；</w:t>
            </w:r>
          </w:p>
        </w:tc>
      </w:tr>
      <w:tr w14:paraId="5081E3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17C80A0">
            <w:pPr>
              <w:jc w:val="center"/>
              <w:rPr>
                <w:rFonts w:ascii="宋体" w:hAnsi="宋体" w:cs="宋体"/>
                <w:szCs w:val="21"/>
              </w:rPr>
            </w:pPr>
            <w:r>
              <w:rPr>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7259E419">
            <w:pPr>
              <w:rPr>
                <w:rFonts w:ascii="宋体" w:hAnsi="宋体" w:cs="宋体"/>
                <w:szCs w:val="21"/>
              </w:rPr>
            </w:pPr>
            <w:r>
              <w:rPr>
                <w:rFonts w:hint="eastAsia"/>
              </w:rPr>
              <w:t>对同一项目投标时，不得提供两套以上的投标方案（招标文件另有规定的除外）；</w:t>
            </w:r>
          </w:p>
        </w:tc>
      </w:tr>
      <w:tr w14:paraId="35E84F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22DED0D">
            <w:pPr>
              <w:jc w:val="center"/>
              <w:rPr>
                <w:rFonts w:ascii="宋体" w:hAnsi="宋体" w:cs="宋体"/>
                <w:szCs w:val="21"/>
              </w:rPr>
            </w:pPr>
            <w:r>
              <w:rPr>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310B24C5">
            <w:pPr>
              <w:rPr>
                <w:rFonts w:ascii="宋体" w:hAnsi="宋体" w:cs="宋体"/>
                <w:szCs w:val="21"/>
              </w:rPr>
            </w:pPr>
            <w:r>
              <w:rPr>
                <w:rFonts w:hint="eastAsia"/>
              </w:rPr>
              <w:t>分项报价或投标总价不得高于相应预算金额（或设定的预算金额下的最高限价）；</w:t>
            </w:r>
          </w:p>
        </w:tc>
      </w:tr>
      <w:tr w14:paraId="0D433C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EC23E31">
            <w:pPr>
              <w:jc w:val="center"/>
              <w:rPr>
                <w:rFonts w:ascii="宋体" w:hAnsi="宋体" w:cs="宋体"/>
                <w:szCs w:val="21"/>
              </w:rPr>
            </w:pPr>
            <w:r>
              <w:rPr>
                <w:szCs w:val="21"/>
              </w:rPr>
              <w:t>4</w:t>
            </w:r>
          </w:p>
        </w:tc>
        <w:tc>
          <w:tcPr>
            <w:tcW w:w="8278" w:type="dxa"/>
            <w:tcBorders>
              <w:top w:val="single" w:color="000000" w:sz="8" w:space="0"/>
              <w:left w:val="single" w:color="000000" w:sz="8" w:space="0"/>
              <w:bottom w:val="single" w:color="000000" w:sz="8" w:space="0"/>
              <w:right w:val="single" w:color="000000" w:sz="8" w:space="0"/>
            </w:tcBorders>
          </w:tcPr>
          <w:p w14:paraId="3B15D8DE">
            <w:pPr>
              <w:rPr>
                <w:rFonts w:ascii="宋体" w:hAnsi="宋体" w:cs="宋体"/>
                <w:szCs w:val="21"/>
              </w:rPr>
            </w:pPr>
            <w:r>
              <w:rPr>
                <w:rFonts w:hint="eastAsia"/>
              </w:rPr>
              <w:t>评审委员会认为投标人的报价明显低于其他通过符合性审查投标人的报价，有可能影响产品质量或者不能诚信履约的，应当要求其在评审现场合理的时间内提供书面说明，必要时提交相关证明材料；在此情况下，投标人仍不能证明其报价合理性的（评审委员会成员对投标人提供的说明材料判断不一致的，按照“少数服从多数”的原则确定评审委员会的意见）；</w:t>
            </w:r>
          </w:p>
        </w:tc>
      </w:tr>
      <w:tr w14:paraId="05251E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3675198">
            <w:pPr>
              <w:jc w:val="center"/>
              <w:rPr>
                <w:rFonts w:ascii="宋体" w:hAnsi="宋体" w:cs="宋体"/>
                <w:szCs w:val="21"/>
              </w:rPr>
            </w:pPr>
            <w:r>
              <w:rPr>
                <w:szCs w:val="21"/>
              </w:rPr>
              <w:t>5</w:t>
            </w:r>
          </w:p>
        </w:tc>
        <w:tc>
          <w:tcPr>
            <w:tcW w:w="8278" w:type="dxa"/>
            <w:tcBorders>
              <w:top w:val="single" w:color="000000" w:sz="8" w:space="0"/>
              <w:left w:val="single" w:color="000000" w:sz="8" w:space="0"/>
              <w:bottom w:val="single" w:color="000000" w:sz="8" w:space="0"/>
              <w:right w:val="single" w:color="000000" w:sz="8" w:space="0"/>
            </w:tcBorders>
          </w:tcPr>
          <w:p w14:paraId="6C708894">
            <w:pPr>
              <w:rPr>
                <w:rFonts w:ascii="宋体" w:hAnsi="宋体" w:cs="宋体"/>
                <w:b w:val="0"/>
                <w:bCs w:val="0"/>
                <w:szCs w:val="21"/>
              </w:rPr>
            </w:pPr>
            <w:r>
              <w:rPr>
                <w:rFonts w:hint="eastAsia"/>
                <w:b w:val="0"/>
                <w:bCs w:val="0"/>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213DD3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504A456">
            <w:pPr>
              <w:jc w:val="center"/>
              <w:rPr>
                <w:rFonts w:ascii="宋体" w:hAnsi="宋体" w:cs="宋体"/>
                <w:szCs w:val="21"/>
              </w:rPr>
            </w:pPr>
            <w:r>
              <w:rPr>
                <w:szCs w:val="21"/>
              </w:rPr>
              <w:t>6</w:t>
            </w:r>
          </w:p>
        </w:tc>
        <w:tc>
          <w:tcPr>
            <w:tcW w:w="8278" w:type="dxa"/>
            <w:tcBorders>
              <w:top w:val="single" w:color="000000" w:sz="8" w:space="0"/>
              <w:left w:val="single" w:color="000000" w:sz="8" w:space="0"/>
              <w:bottom w:val="single" w:color="000000" w:sz="8" w:space="0"/>
              <w:right w:val="single" w:color="000000" w:sz="8" w:space="0"/>
            </w:tcBorders>
          </w:tcPr>
          <w:p w14:paraId="5BA30E42">
            <w:pPr>
              <w:rPr>
                <w:rFonts w:ascii="宋体" w:hAnsi="宋体" w:cs="宋体"/>
                <w:b w:val="0"/>
                <w:bCs w:val="0"/>
                <w:szCs w:val="21"/>
              </w:rPr>
            </w:pPr>
            <w:r>
              <w:rPr>
                <w:rFonts w:hint="eastAsia"/>
                <w:b w:val="0"/>
                <w:bCs w:val="0"/>
              </w:rPr>
              <w:t>未按招标文件所提供的《</w:t>
            </w:r>
            <w:r>
              <w:rPr>
                <w:rFonts w:hint="eastAsia"/>
                <w:b w:val="0"/>
                <w:bCs w:val="0"/>
                <w:lang w:eastAsia="zh-CN"/>
              </w:rPr>
              <w:t>政府采购投标及履约承诺函</w:t>
            </w:r>
            <w:r>
              <w:rPr>
                <w:rFonts w:hint="eastAsia"/>
                <w:b w:val="0"/>
                <w:bCs w:val="0"/>
              </w:rPr>
              <w:t>》进行承诺；未按招标文件对投标文件组成的要求提供投标文件；</w:t>
            </w:r>
          </w:p>
        </w:tc>
      </w:tr>
      <w:tr w14:paraId="0F266B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049B45B">
            <w:pPr>
              <w:jc w:val="center"/>
              <w:rPr>
                <w:rFonts w:ascii="宋体" w:hAnsi="宋体" w:cs="宋体"/>
                <w:szCs w:val="21"/>
              </w:rPr>
            </w:pPr>
            <w:r>
              <w:rPr>
                <w:szCs w:val="21"/>
              </w:rPr>
              <w:t>7</w:t>
            </w:r>
          </w:p>
        </w:tc>
        <w:tc>
          <w:tcPr>
            <w:tcW w:w="8278" w:type="dxa"/>
            <w:tcBorders>
              <w:top w:val="single" w:color="000000" w:sz="8" w:space="0"/>
              <w:left w:val="single" w:color="000000" w:sz="8" w:space="0"/>
              <w:bottom w:val="single" w:color="000000" w:sz="8" w:space="0"/>
              <w:right w:val="single" w:color="000000" w:sz="8" w:space="0"/>
            </w:tcBorders>
          </w:tcPr>
          <w:p w14:paraId="17B2E736">
            <w:pPr>
              <w:rPr>
                <w:rFonts w:ascii="宋体" w:hAnsi="宋体" w:cs="宋体"/>
                <w:b w:val="0"/>
                <w:bCs w:val="0"/>
                <w:szCs w:val="21"/>
              </w:rPr>
            </w:pPr>
            <w:r>
              <w:rPr>
                <w:rFonts w:hint="eastAsia"/>
                <w:b w:val="0"/>
                <w:bCs w:val="0"/>
              </w:rPr>
              <w:t>采购标的/服务清单/报价等任意一类有缺漏项或响应不全，或者对招标文件规定的项目需求内容或者需求数量进行修改</w:t>
            </w:r>
            <w:r>
              <w:rPr>
                <w:rFonts w:hint="eastAsia"/>
                <w:b w:val="0"/>
                <w:bCs w:val="0"/>
                <w:szCs w:val="21"/>
              </w:rPr>
              <w:t>，评审委员会判定投标响应不满足采购需求</w:t>
            </w:r>
            <w:r>
              <w:rPr>
                <w:rFonts w:hint="eastAsia"/>
                <w:b w:val="0"/>
                <w:bCs w:val="0"/>
              </w:rPr>
              <w:t>；</w:t>
            </w:r>
          </w:p>
        </w:tc>
      </w:tr>
      <w:tr w14:paraId="2711C1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71BF144">
            <w:pPr>
              <w:jc w:val="center"/>
              <w:rPr>
                <w:rFonts w:ascii="宋体" w:hAnsi="宋体" w:cs="宋体"/>
                <w:szCs w:val="21"/>
              </w:rPr>
            </w:pPr>
            <w:r>
              <w:rPr>
                <w:szCs w:val="21"/>
              </w:rPr>
              <w:t>8</w:t>
            </w:r>
          </w:p>
        </w:tc>
        <w:tc>
          <w:tcPr>
            <w:tcW w:w="8278" w:type="dxa"/>
            <w:tcBorders>
              <w:top w:val="single" w:color="000000" w:sz="8" w:space="0"/>
              <w:left w:val="single" w:color="000000" w:sz="8" w:space="0"/>
              <w:bottom w:val="single" w:color="000000" w:sz="8" w:space="0"/>
              <w:right w:val="single" w:color="000000" w:sz="8" w:space="0"/>
            </w:tcBorders>
          </w:tcPr>
          <w:p w14:paraId="45D1D184">
            <w:pPr>
              <w:rPr>
                <w:rFonts w:ascii="宋体" w:hAnsi="宋体" w:cs="宋体"/>
                <w:szCs w:val="21"/>
              </w:rPr>
            </w:pPr>
            <w:r>
              <w:rPr>
                <w:rFonts w:hint="eastAsia"/>
              </w:rPr>
              <w:t>投标文件存在列放位置错误，导致属于信息公开情形的没有被公开；</w:t>
            </w:r>
          </w:p>
        </w:tc>
      </w:tr>
      <w:tr w14:paraId="191E9C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4062294">
            <w:pPr>
              <w:jc w:val="center"/>
              <w:rPr>
                <w:rFonts w:ascii="宋体" w:hAnsi="宋体" w:cs="宋体"/>
                <w:szCs w:val="21"/>
              </w:rPr>
            </w:pPr>
            <w:r>
              <w:rPr>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574551CE">
            <w:pPr>
              <w:rPr>
                <w:rFonts w:ascii="宋体" w:hAnsi="宋体" w:cs="宋体"/>
                <w:szCs w:val="21"/>
              </w:rPr>
            </w:pPr>
            <w:r>
              <w:rPr>
                <w:rFonts w:hint="eastAsia"/>
              </w:rPr>
              <w:t>投标文件电子文档不得带病毒；</w:t>
            </w:r>
          </w:p>
        </w:tc>
      </w:tr>
      <w:tr w14:paraId="60CF86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C3F8965">
            <w:pPr>
              <w:jc w:val="center"/>
              <w:rPr>
                <w:rFonts w:ascii="宋体" w:hAnsi="宋体" w:cs="宋体"/>
                <w:szCs w:val="21"/>
              </w:rPr>
            </w:pPr>
            <w:r>
              <w:rPr>
                <w:szCs w:val="21"/>
              </w:rPr>
              <w:t>10</w:t>
            </w:r>
          </w:p>
        </w:tc>
        <w:tc>
          <w:tcPr>
            <w:tcW w:w="8278" w:type="dxa"/>
            <w:tcBorders>
              <w:top w:val="single" w:color="000000" w:sz="8" w:space="0"/>
              <w:left w:val="single" w:color="000000" w:sz="8" w:space="0"/>
              <w:bottom w:val="single" w:color="000000" w:sz="8" w:space="0"/>
              <w:right w:val="single" w:color="000000" w:sz="8" w:space="0"/>
            </w:tcBorders>
          </w:tcPr>
          <w:p w14:paraId="0F00280D">
            <w:pPr>
              <w:rPr>
                <w:rFonts w:ascii="宋体" w:hAnsi="宋体" w:cs="宋体"/>
                <w:szCs w:val="21"/>
              </w:rPr>
            </w:pPr>
            <w:r>
              <w:rPr>
                <w:rFonts w:hint="eastAsia"/>
              </w:rPr>
              <w:t>投标文件</w:t>
            </w:r>
            <w:r>
              <w:rPr>
                <w:rFonts w:hint="eastAsia"/>
                <w:lang w:val="en-US" w:eastAsia="zh-CN"/>
              </w:rPr>
              <w:t>不得</w:t>
            </w:r>
            <w:r>
              <w:rPr>
                <w:rFonts w:hint="eastAsia"/>
              </w:rPr>
              <w:t>用不属于本公司的电子密钥或电子营业执照进行加密的；</w:t>
            </w:r>
          </w:p>
        </w:tc>
      </w:tr>
      <w:tr w14:paraId="5F21619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00AE28F">
            <w:pPr>
              <w:widowControl/>
              <w:jc w:val="center"/>
              <w:textAlignment w:val="top"/>
              <w:rPr>
                <w:rFonts w:ascii="宋体" w:hAnsi="宋体" w:cs="宋体"/>
                <w:szCs w:val="21"/>
              </w:rPr>
            </w:pPr>
            <w:r>
              <w:rPr>
                <w:rFonts w:hint="eastAsia"/>
              </w:rPr>
              <w:t>11</w:t>
            </w:r>
          </w:p>
        </w:tc>
        <w:tc>
          <w:tcPr>
            <w:tcW w:w="8278" w:type="dxa"/>
            <w:tcBorders>
              <w:top w:val="single" w:color="000000" w:sz="8" w:space="0"/>
              <w:left w:val="single" w:color="000000" w:sz="8" w:space="0"/>
              <w:bottom w:val="single" w:color="000000" w:sz="8" w:space="0"/>
              <w:right w:val="single" w:color="000000" w:sz="8" w:space="0"/>
            </w:tcBorders>
          </w:tcPr>
          <w:p w14:paraId="7BE03871">
            <w:pPr>
              <w:widowControl/>
              <w:jc w:val="left"/>
              <w:textAlignment w:val="top"/>
            </w:pPr>
            <w:bookmarkStart w:id="2" w:name="OLE_LINK30"/>
            <w:r>
              <w:rPr>
                <w:rFonts w:hint="eastAsia"/>
                <w:lang w:val="en-US" w:eastAsia="zh-CN"/>
              </w:rPr>
              <w:t>不得与其他</w:t>
            </w:r>
            <w:bookmarkEnd w:id="2"/>
            <w:r>
              <w:rPr>
                <w:rFonts w:hint="eastAsia"/>
              </w:rPr>
              <w:t>投标供应商投标文件“文件制作机器码”一致；</w:t>
            </w:r>
          </w:p>
        </w:tc>
      </w:tr>
      <w:tr w14:paraId="4F65AC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0ECE12D">
            <w:pPr>
              <w:widowControl/>
              <w:jc w:val="center"/>
              <w:textAlignment w:val="top"/>
              <w:rPr>
                <w:rFonts w:ascii="宋体" w:hAnsi="宋体" w:cs="宋体"/>
                <w:szCs w:val="21"/>
              </w:rPr>
            </w:pPr>
            <w:r>
              <w:rPr>
                <w:rFonts w:hint="eastAsia"/>
              </w:rPr>
              <w:t>12</w:t>
            </w:r>
          </w:p>
        </w:tc>
        <w:tc>
          <w:tcPr>
            <w:tcW w:w="8278" w:type="dxa"/>
            <w:tcBorders>
              <w:top w:val="single" w:color="000000" w:sz="8" w:space="0"/>
              <w:left w:val="single" w:color="000000" w:sz="8" w:space="0"/>
              <w:bottom w:val="single" w:color="000000" w:sz="8" w:space="0"/>
              <w:right w:val="single" w:color="000000" w:sz="8" w:space="0"/>
            </w:tcBorders>
          </w:tcPr>
          <w:p w14:paraId="2DB9799B">
            <w:pPr>
              <w:widowControl/>
              <w:jc w:val="left"/>
              <w:textAlignment w:val="top"/>
            </w:pPr>
            <w:r>
              <w:rPr>
                <w:rFonts w:hint="eastAsia"/>
                <w:lang w:val="en-US" w:eastAsia="zh-CN"/>
              </w:rPr>
              <w:t>不得与其他</w:t>
            </w:r>
            <w:r>
              <w:rPr>
                <w:rFonts w:hint="eastAsia"/>
              </w:rPr>
              <w:t>投标供应商投标文件“文件创建标识码”一致；</w:t>
            </w:r>
          </w:p>
        </w:tc>
      </w:tr>
      <w:tr w14:paraId="0CBA09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42A0D56">
            <w:pPr>
              <w:jc w:val="center"/>
              <w:rPr>
                <w:rFonts w:ascii="宋体" w:hAnsi="宋体" w:cs="宋体"/>
                <w:szCs w:val="21"/>
              </w:rPr>
            </w:pPr>
            <w:r>
              <w:rPr>
                <w:szCs w:val="21"/>
              </w:rPr>
              <w:t>1</w:t>
            </w:r>
            <w:r>
              <w:rPr>
                <w:rFonts w:hint="eastAsia"/>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7971B698">
            <w:pPr>
              <w:rPr>
                <w:rFonts w:ascii="宋体" w:hAnsi="宋体" w:cs="宋体"/>
                <w:szCs w:val="21"/>
              </w:rPr>
            </w:pPr>
            <w:r>
              <w:rPr>
                <w:rFonts w:hint="eastAsia"/>
              </w:rPr>
              <w:t>法律、法规、规章、规范性文件规定的其他情形。</w:t>
            </w:r>
          </w:p>
        </w:tc>
      </w:tr>
    </w:tbl>
    <w:p w14:paraId="4FF8E3B6">
      <w:pPr>
        <w:pStyle w:val="28"/>
        <w:jc w:val="center"/>
        <w:outlineLvl w:val="1"/>
        <w:rPr>
          <w:rFonts w:ascii="黑体" w:hAnsi="黑体" w:eastAsia="黑体"/>
          <w:sz w:val="40"/>
          <w:szCs w:val="40"/>
        </w:rPr>
      </w:pPr>
      <w:r>
        <w:rPr>
          <w:rFonts w:hint="eastAsia" w:ascii="黑体" w:hAnsi="黑体" w:eastAsia="黑体"/>
          <w:sz w:val="40"/>
          <w:szCs w:val="40"/>
        </w:rPr>
        <w:t>评标信息</w:t>
      </w:r>
    </w:p>
    <w:tbl>
      <w:tblPr>
        <w:tblStyle w:val="3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0AFCBA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After w:val="1"/>
          <w:wAfter w:w="240" w:type="dxa"/>
          <w:tblCellSpacing w:w="0" w:type="dxa"/>
          <w:jc w:val="center"/>
        </w:trPr>
        <w:tc>
          <w:tcPr>
            <w:tcW w:w="8873" w:type="dxa"/>
            <w:shd w:val="clear" w:color="auto" w:fill="auto"/>
            <w:vAlign w:val="center"/>
          </w:tcPr>
          <w:p w14:paraId="4D34F6BD">
            <w:pPr>
              <w:widowControl/>
              <w:jc w:val="left"/>
              <w:rPr>
                <w:b/>
                <w:bCs/>
                <w:sz w:val="24"/>
              </w:rPr>
            </w:pPr>
            <w:r>
              <w:rPr>
                <w:b/>
                <w:bCs/>
              </w:rPr>
              <w:t>评标方法：综合评分法</w:t>
            </w:r>
          </w:p>
        </w:tc>
      </w:tr>
      <w:tr w14:paraId="0F69D27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76B38A0B">
            <w:pPr>
              <w:spacing w:line="360" w:lineRule="auto"/>
              <w:rPr>
                <w:b/>
                <w:bCs/>
                <w:szCs w:val="21"/>
              </w:rPr>
            </w:pPr>
          </w:p>
          <w:p w14:paraId="54696D1C">
            <w:pPr>
              <w:ind w:firstLine="420"/>
              <w:rPr>
                <w:szCs w:val="21"/>
              </w:rPr>
            </w:pPr>
            <w:r>
              <w:rPr>
                <w:szCs w:val="21"/>
              </w:rPr>
              <w:t>综合评分法，是指投标文件满足招标文件全部实质性要求，且按照评审因素的量化指标评审得分最高的投标人为中标候选人的评标方法。</w:t>
            </w:r>
            <w:r>
              <w:rPr>
                <w:rFonts w:hint="eastAsia"/>
                <w:szCs w:val="21"/>
              </w:rPr>
              <w:t>（适用于中标候选人为1家的情形）</w:t>
            </w:r>
          </w:p>
          <w:p w14:paraId="122ED07A">
            <w:pPr>
              <w:ind w:firstLine="420"/>
              <w:rPr>
                <w:szCs w:val="21"/>
              </w:rPr>
            </w:pPr>
          </w:p>
          <w:p w14:paraId="64C41A4D">
            <w:pPr>
              <w:ind w:firstLine="420"/>
              <w:rPr>
                <w:szCs w:val="21"/>
              </w:rPr>
            </w:pPr>
            <w:r>
              <w:rPr>
                <w:szCs w:val="21"/>
              </w:rPr>
              <w:t>价格分计算方法：</w:t>
            </w:r>
          </w:p>
          <w:p w14:paraId="3DCE509D">
            <w:pPr>
              <w:widowControl/>
              <w:ind w:left="420"/>
              <w:jc w:val="left"/>
              <w:rPr>
                <w:szCs w:val="21"/>
              </w:rPr>
            </w:pPr>
            <w:r>
              <w:rPr>
                <w:szCs w:val="21"/>
              </w:rPr>
              <w:t xml:space="preserve">采用低价优先法计算，即满足招标文件要求且投标价格最低的投标报价为评标基准价，其价格分为满分。其他投标人的价格分统一按照下列公式计算： </w:t>
            </w:r>
          </w:p>
          <w:p w14:paraId="44F7F625">
            <w:pPr>
              <w:widowControl/>
              <w:ind w:left="420"/>
              <w:jc w:val="left"/>
              <w:rPr>
                <w:szCs w:val="21"/>
              </w:rPr>
            </w:pPr>
            <w:r>
              <w:rPr>
                <w:szCs w:val="21"/>
              </w:rPr>
              <w:t xml:space="preserve">投标报价得分=(评标基准价／投标报价)×100 </w:t>
            </w:r>
          </w:p>
          <w:p w14:paraId="3034DF2C">
            <w:pPr>
              <w:widowControl/>
              <w:ind w:left="420"/>
              <w:jc w:val="left"/>
              <w:rPr>
                <w:szCs w:val="21"/>
              </w:rPr>
            </w:pPr>
            <w:r>
              <w:rPr>
                <w:szCs w:val="21"/>
              </w:rPr>
              <w:t xml:space="preserve">评标总得分＝F1×A1＋F2×A2＋……＋Fn×An </w:t>
            </w:r>
          </w:p>
          <w:p w14:paraId="51BA5C48">
            <w:pPr>
              <w:widowControl/>
              <w:ind w:left="420"/>
              <w:jc w:val="left"/>
              <w:rPr>
                <w:szCs w:val="21"/>
              </w:rPr>
            </w:pPr>
            <w:r>
              <w:rPr>
                <w:szCs w:val="21"/>
              </w:rPr>
              <w:t xml:space="preserve">F1、F2……Fn分别为各项评审因素的得分； </w:t>
            </w:r>
          </w:p>
          <w:p w14:paraId="3AEFEB91">
            <w:pPr>
              <w:widowControl/>
              <w:ind w:left="420"/>
              <w:jc w:val="left"/>
              <w:rPr>
                <w:szCs w:val="21"/>
              </w:rPr>
            </w:pPr>
            <w:r>
              <w:rPr>
                <w:szCs w:val="21"/>
              </w:rPr>
              <w:t xml:space="preserve">A1、A2、……An 分别为各项评审因素所占的权重(A1＋A2＋……＋An＝1)。 </w:t>
            </w:r>
          </w:p>
          <w:p w14:paraId="48ECB2C9">
            <w:pPr>
              <w:widowControl/>
              <w:ind w:left="420"/>
              <w:jc w:val="left"/>
              <w:rPr>
                <w:szCs w:val="21"/>
              </w:rPr>
            </w:pPr>
            <w:r>
              <w:rPr>
                <w:szCs w:val="21"/>
              </w:rPr>
              <w:t>评标过程中，不得去掉报价中的最高报价和最低报价。</w:t>
            </w:r>
          </w:p>
          <w:p w14:paraId="465A17A2">
            <w:pPr>
              <w:widowControl/>
              <w:ind w:left="420"/>
              <w:jc w:val="left"/>
              <w:rPr>
                <w:szCs w:val="21"/>
              </w:rPr>
            </w:pPr>
            <w:r>
              <w:rPr>
                <w:rFonts w:hint="eastAsia"/>
                <w:szCs w:val="21"/>
              </w:rPr>
              <w:t>因落实政府采购政策进行价格调整的，以调整后的价格计算评标基准价和投标报价。</w:t>
            </w:r>
          </w:p>
          <w:p w14:paraId="0944D124">
            <w:pPr>
              <w:widowControl/>
              <w:ind w:left="420"/>
              <w:jc w:val="left"/>
              <w:rPr>
                <w:b/>
                <w:szCs w:val="21"/>
              </w:rPr>
            </w:pPr>
            <w:r>
              <w:rPr>
                <w:b/>
                <w:szCs w:val="21"/>
              </w:rPr>
              <w:t>评标总得分</w:t>
            </w:r>
            <w:r>
              <w:rPr>
                <w:rFonts w:hint="eastAsia"/>
                <w:b/>
                <w:szCs w:val="21"/>
              </w:rPr>
              <w:t>（100分）</w:t>
            </w:r>
            <w:r>
              <w:rPr>
                <w:b/>
                <w:szCs w:val="21"/>
              </w:rPr>
              <w:t>＝价格分＋</w:t>
            </w:r>
            <w:r>
              <w:rPr>
                <w:rFonts w:hint="eastAsia"/>
                <w:b/>
                <w:szCs w:val="21"/>
              </w:rPr>
              <w:t>技术分</w:t>
            </w:r>
            <w:r>
              <w:rPr>
                <w:b/>
                <w:szCs w:val="21"/>
              </w:rPr>
              <w:t>＋</w:t>
            </w:r>
            <w:r>
              <w:rPr>
                <w:rFonts w:hint="eastAsia"/>
                <w:b/>
                <w:szCs w:val="21"/>
              </w:rPr>
              <w:t>综合</w:t>
            </w:r>
            <w:r>
              <w:rPr>
                <w:b/>
                <w:szCs w:val="21"/>
              </w:rPr>
              <w:t>实力分</w:t>
            </w:r>
          </w:p>
        </w:tc>
      </w:tr>
    </w:tbl>
    <w:p w14:paraId="115F5312">
      <w:pPr>
        <w:pStyle w:val="31"/>
        <w:ind w:left="0" w:leftChars="0" w:firstLine="0" w:firstLineChars="0"/>
      </w:pPr>
    </w:p>
    <w:tbl>
      <w:tblPr>
        <w:tblStyle w:val="32"/>
        <w:tblW w:w="9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1"/>
        <w:gridCol w:w="680"/>
        <w:gridCol w:w="2543"/>
        <w:gridCol w:w="724"/>
        <w:gridCol w:w="4447"/>
      </w:tblGrid>
      <w:tr w14:paraId="59E83E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26E0D3CE">
            <w:pPr>
              <w:wordWrap w:val="0"/>
              <w:jc w:val="center"/>
              <w:rPr>
                <w:rFonts w:ascii="宋体" w:hAnsi="宋体" w:cs="宋体"/>
                <w:b/>
                <w:bCs/>
                <w:sz w:val="24"/>
              </w:rPr>
            </w:pPr>
            <w:r>
              <w:rPr>
                <w:rFonts w:hint="eastAsia"/>
                <w:b/>
                <w:bCs/>
              </w:rPr>
              <w:t>序号</w:t>
            </w:r>
          </w:p>
        </w:tc>
        <w:tc>
          <w:tcPr>
            <w:tcW w:w="3947" w:type="dxa"/>
            <w:gridSpan w:val="3"/>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037F7AF5">
            <w:pPr>
              <w:wordWrap w:val="0"/>
              <w:jc w:val="center"/>
              <w:rPr>
                <w:rFonts w:ascii="宋体" w:hAnsi="宋体" w:cs="宋体"/>
                <w:b/>
                <w:bCs/>
                <w:sz w:val="24"/>
              </w:rPr>
            </w:pPr>
            <w:r>
              <w:rPr>
                <w:rFonts w:hint="eastAsia"/>
                <w:b/>
                <w:bCs/>
              </w:rPr>
              <w:t>评分项</w:t>
            </w:r>
          </w:p>
        </w:tc>
        <w:tc>
          <w:tcPr>
            <w:tcW w:w="4447"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06E4FA3D">
            <w:pPr>
              <w:wordWrap w:val="0"/>
              <w:jc w:val="center"/>
              <w:rPr>
                <w:rFonts w:ascii="宋体" w:hAnsi="宋体" w:cs="宋体"/>
                <w:b/>
                <w:bCs/>
                <w:sz w:val="24"/>
              </w:rPr>
            </w:pPr>
            <w:r>
              <w:rPr>
                <w:rFonts w:hint="eastAsia"/>
                <w:b/>
                <w:bCs/>
              </w:rPr>
              <w:t>权重</w:t>
            </w:r>
          </w:p>
        </w:tc>
      </w:tr>
      <w:tr w14:paraId="0F0BA7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tcBorders>
              <w:top w:val="single" w:color="000000" w:sz="8" w:space="0"/>
              <w:left w:val="single" w:color="000000" w:sz="8" w:space="0"/>
              <w:bottom w:val="single" w:color="000000" w:sz="8" w:space="0"/>
              <w:right w:val="single" w:color="000000" w:sz="8" w:space="0"/>
            </w:tcBorders>
          </w:tcPr>
          <w:p w14:paraId="1E07A8D2">
            <w:pPr>
              <w:wordWrap w:val="0"/>
              <w:jc w:val="center"/>
              <w:rPr>
                <w:rFonts w:ascii="宋体" w:hAnsi="宋体" w:cs="宋体"/>
                <w:b/>
                <w:bCs/>
                <w:color w:val="0000FF"/>
                <w:sz w:val="24"/>
              </w:rPr>
            </w:pPr>
            <w:r>
              <w:rPr>
                <w:b/>
                <w:bCs/>
                <w:color w:val="0000FF"/>
              </w:rPr>
              <w:t>1</w:t>
            </w:r>
          </w:p>
        </w:tc>
        <w:tc>
          <w:tcPr>
            <w:tcW w:w="3947" w:type="dxa"/>
            <w:gridSpan w:val="3"/>
            <w:tcBorders>
              <w:top w:val="single" w:color="000000" w:sz="8" w:space="0"/>
              <w:left w:val="single" w:color="000000" w:sz="8" w:space="0"/>
              <w:bottom w:val="single" w:color="000000" w:sz="8" w:space="0"/>
              <w:right w:val="single" w:color="000000" w:sz="8" w:space="0"/>
            </w:tcBorders>
          </w:tcPr>
          <w:p w14:paraId="36D95B3D">
            <w:pPr>
              <w:wordWrap w:val="0"/>
              <w:jc w:val="center"/>
              <w:rPr>
                <w:rFonts w:ascii="宋体" w:hAnsi="宋体" w:cs="宋体"/>
                <w:b/>
                <w:bCs/>
                <w:color w:val="0000FF"/>
                <w:sz w:val="24"/>
              </w:rPr>
            </w:pPr>
            <w:r>
              <w:rPr>
                <w:rFonts w:hint="eastAsia"/>
                <w:b/>
                <w:bCs/>
                <w:color w:val="0000FF"/>
              </w:rPr>
              <w:t>价格</w:t>
            </w:r>
          </w:p>
        </w:tc>
        <w:tc>
          <w:tcPr>
            <w:tcW w:w="4447" w:type="dxa"/>
            <w:tcBorders>
              <w:top w:val="single" w:color="000000" w:sz="8" w:space="0"/>
              <w:left w:val="single" w:color="000000" w:sz="8" w:space="0"/>
              <w:bottom w:val="single" w:color="000000" w:sz="8" w:space="0"/>
              <w:right w:val="single" w:color="000000" w:sz="8" w:space="0"/>
            </w:tcBorders>
          </w:tcPr>
          <w:p w14:paraId="4D5A60F0">
            <w:pPr>
              <w:wordWrap w:val="0"/>
              <w:jc w:val="center"/>
              <w:rPr>
                <w:rFonts w:ascii="宋体" w:hAnsi="宋体" w:cs="宋体"/>
                <w:b/>
                <w:bCs/>
                <w:color w:val="0000FF"/>
                <w:sz w:val="24"/>
              </w:rPr>
            </w:pPr>
            <w:r>
              <w:rPr>
                <w:rFonts w:hint="eastAsia"/>
                <w:b/>
                <w:bCs/>
                <w:color w:val="0000FF"/>
              </w:rPr>
              <w:t>1</w:t>
            </w:r>
            <w:r>
              <w:rPr>
                <w:b/>
                <w:bCs/>
                <w:color w:val="0000FF"/>
              </w:rPr>
              <w:t>0</w:t>
            </w:r>
          </w:p>
        </w:tc>
      </w:tr>
      <w:tr w14:paraId="009499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restart"/>
            <w:tcBorders>
              <w:top w:val="single" w:color="000000" w:sz="8" w:space="0"/>
              <w:left w:val="single" w:color="000000" w:sz="8" w:space="0"/>
              <w:bottom w:val="single" w:color="000000" w:sz="8" w:space="0"/>
              <w:right w:val="single" w:color="000000" w:sz="8" w:space="0"/>
            </w:tcBorders>
          </w:tcPr>
          <w:p w14:paraId="23384DA1">
            <w:pPr>
              <w:wordWrap w:val="0"/>
              <w:jc w:val="center"/>
              <w:rPr>
                <w:rFonts w:ascii="宋体" w:hAnsi="宋体" w:cs="宋体"/>
                <w:b/>
                <w:bCs/>
                <w:color w:val="0000FF"/>
                <w:sz w:val="24"/>
              </w:rPr>
            </w:pPr>
            <w:r>
              <w:rPr>
                <w:b/>
                <w:bCs/>
                <w:color w:val="0000FF"/>
              </w:rPr>
              <w:t>2</w:t>
            </w:r>
          </w:p>
        </w:tc>
        <w:tc>
          <w:tcPr>
            <w:tcW w:w="3947" w:type="dxa"/>
            <w:gridSpan w:val="3"/>
            <w:tcBorders>
              <w:top w:val="single" w:color="000000" w:sz="8" w:space="0"/>
              <w:left w:val="single" w:color="000000" w:sz="8" w:space="0"/>
              <w:bottom w:val="single" w:color="000000" w:sz="8" w:space="0"/>
              <w:right w:val="single" w:color="000000" w:sz="8" w:space="0"/>
            </w:tcBorders>
          </w:tcPr>
          <w:p w14:paraId="61516E65">
            <w:pPr>
              <w:wordWrap w:val="0"/>
              <w:jc w:val="center"/>
              <w:rPr>
                <w:b/>
                <w:bCs/>
                <w:color w:val="0000FF"/>
              </w:rPr>
            </w:pPr>
            <w:r>
              <w:rPr>
                <w:rFonts w:hint="eastAsia"/>
                <w:b/>
                <w:bCs/>
                <w:color w:val="0000FF"/>
              </w:rPr>
              <w:t>技术服务部分</w:t>
            </w:r>
          </w:p>
        </w:tc>
        <w:tc>
          <w:tcPr>
            <w:tcW w:w="4447" w:type="dxa"/>
            <w:tcBorders>
              <w:top w:val="single" w:color="000000" w:sz="8" w:space="0"/>
              <w:left w:val="single" w:color="000000" w:sz="8" w:space="0"/>
              <w:bottom w:val="single" w:color="000000" w:sz="8" w:space="0"/>
              <w:right w:val="single" w:color="000000" w:sz="8" w:space="0"/>
            </w:tcBorders>
          </w:tcPr>
          <w:p w14:paraId="6EAC26D4">
            <w:pPr>
              <w:widowControl/>
              <w:jc w:val="center"/>
              <w:rPr>
                <w:rFonts w:hint="default" w:eastAsia="宋体"/>
                <w:b/>
                <w:bCs/>
                <w:color w:val="0000FF"/>
                <w:lang w:val="en-US" w:eastAsia="zh-CN"/>
              </w:rPr>
            </w:pPr>
            <w:r>
              <w:rPr>
                <w:rFonts w:hint="eastAsia"/>
                <w:b/>
                <w:bCs/>
                <w:color w:val="0000FF"/>
                <w:lang w:val="en-US" w:eastAsia="zh-CN"/>
              </w:rPr>
              <w:t>48</w:t>
            </w:r>
          </w:p>
        </w:tc>
      </w:tr>
      <w:tr w14:paraId="621EC0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28839D62">
            <w:pPr>
              <w:widowControl/>
              <w:jc w:val="left"/>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2B7DC9F5">
            <w:pPr>
              <w:wordWrap w:val="0"/>
              <w:jc w:val="center"/>
              <w:rPr>
                <w:rFonts w:ascii="宋体" w:hAnsi="宋体" w:cs="宋体"/>
                <w:szCs w:val="21"/>
              </w:rPr>
            </w:pPr>
            <w:r>
              <w:rPr>
                <w:rFonts w:hint="eastAsia"/>
                <w:szCs w:val="21"/>
              </w:rPr>
              <w:t>序号</w:t>
            </w:r>
          </w:p>
        </w:tc>
        <w:tc>
          <w:tcPr>
            <w:tcW w:w="2543"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4CE08A57">
            <w:pPr>
              <w:wordWrap w:val="0"/>
              <w:jc w:val="center"/>
              <w:rPr>
                <w:rFonts w:ascii="宋体" w:hAnsi="宋体" w:cs="宋体"/>
                <w:szCs w:val="21"/>
              </w:rPr>
            </w:pPr>
            <w:r>
              <w:rPr>
                <w:rFonts w:hint="eastAsia"/>
                <w:szCs w:val="21"/>
              </w:rPr>
              <w:t>评分因素</w:t>
            </w:r>
          </w:p>
        </w:tc>
        <w:tc>
          <w:tcPr>
            <w:tcW w:w="724"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7EB06B9A">
            <w:pPr>
              <w:wordWrap w:val="0"/>
              <w:jc w:val="center"/>
              <w:rPr>
                <w:rFonts w:ascii="宋体" w:hAnsi="宋体" w:cs="宋体"/>
                <w:szCs w:val="21"/>
              </w:rPr>
            </w:pPr>
            <w:r>
              <w:rPr>
                <w:rFonts w:hint="eastAsia"/>
                <w:szCs w:val="21"/>
              </w:rPr>
              <w:t>权重</w:t>
            </w:r>
          </w:p>
        </w:tc>
        <w:tc>
          <w:tcPr>
            <w:tcW w:w="4447"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3095D813">
            <w:pPr>
              <w:wordWrap w:val="0"/>
              <w:jc w:val="center"/>
              <w:rPr>
                <w:rFonts w:ascii="宋体" w:hAnsi="宋体" w:cs="宋体"/>
                <w:szCs w:val="21"/>
              </w:rPr>
            </w:pPr>
            <w:r>
              <w:rPr>
                <w:rFonts w:hint="eastAsia"/>
                <w:szCs w:val="21"/>
              </w:rPr>
              <w:t>评分准则</w:t>
            </w:r>
          </w:p>
        </w:tc>
      </w:tr>
      <w:tr w14:paraId="27862B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0389B017">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604E15EA">
            <w:pPr>
              <w:wordWrap w:val="0"/>
              <w:jc w:val="center"/>
              <w:rPr>
                <w:rFonts w:ascii="宋体" w:hAnsi="宋体" w:cs="宋体"/>
                <w:szCs w:val="21"/>
              </w:rPr>
            </w:pPr>
            <w:r>
              <w:rPr>
                <w:szCs w:val="21"/>
              </w:rPr>
              <w:t>1</w:t>
            </w:r>
          </w:p>
        </w:tc>
        <w:tc>
          <w:tcPr>
            <w:tcW w:w="2543" w:type="dxa"/>
            <w:tcBorders>
              <w:top w:val="single" w:color="000000" w:sz="8" w:space="0"/>
              <w:left w:val="single" w:color="000000" w:sz="8" w:space="0"/>
              <w:bottom w:val="single" w:color="000000" w:sz="8" w:space="0"/>
              <w:right w:val="single" w:color="000000" w:sz="8" w:space="0"/>
            </w:tcBorders>
            <w:vAlign w:val="top"/>
          </w:tcPr>
          <w:p w14:paraId="365464E0">
            <w:pPr>
              <w:wordWrap w:val="0"/>
              <w:rPr>
                <w:rFonts w:ascii="宋体" w:hAnsi="宋体" w:cs="宋体"/>
                <w:szCs w:val="21"/>
              </w:rPr>
            </w:pPr>
            <w:r>
              <w:rPr>
                <w:rFonts w:hint="eastAsia" w:ascii="宋体" w:hAnsi="宋体" w:eastAsia="宋体" w:cs="宋体"/>
                <w:color w:val="auto"/>
                <w:sz w:val="21"/>
                <w:szCs w:val="21"/>
              </w:rPr>
              <w:t>项目服务方案</w:t>
            </w:r>
          </w:p>
        </w:tc>
        <w:tc>
          <w:tcPr>
            <w:tcW w:w="724" w:type="dxa"/>
            <w:tcBorders>
              <w:top w:val="single" w:color="000000" w:sz="8" w:space="0"/>
              <w:left w:val="single" w:color="000000" w:sz="8" w:space="0"/>
              <w:bottom w:val="single" w:color="000000" w:sz="8" w:space="0"/>
              <w:right w:val="single" w:color="000000" w:sz="8" w:space="0"/>
            </w:tcBorders>
            <w:vAlign w:val="top"/>
          </w:tcPr>
          <w:p w14:paraId="5FA7DB8D">
            <w:pPr>
              <w:widowControl/>
              <w:jc w:val="left"/>
              <w:rPr>
                <w:rFonts w:ascii="宋体" w:hAnsi="宋体" w:cs="宋体"/>
                <w:szCs w:val="21"/>
              </w:rPr>
            </w:pPr>
            <w:r>
              <w:rPr>
                <w:rFonts w:hint="eastAsia" w:ascii="宋体" w:hAnsi="宋体" w:cs="宋体"/>
                <w:sz w:val="21"/>
                <w:szCs w:val="21"/>
                <w:lang w:val="en-US" w:eastAsia="zh-CN"/>
              </w:rPr>
              <w:t>10</w:t>
            </w:r>
          </w:p>
        </w:tc>
        <w:tc>
          <w:tcPr>
            <w:tcW w:w="4447" w:type="dxa"/>
            <w:tcBorders>
              <w:top w:val="single" w:color="000000" w:sz="8" w:space="0"/>
              <w:left w:val="single" w:color="000000" w:sz="8" w:space="0"/>
              <w:bottom w:val="single" w:color="000000" w:sz="8" w:space="0"/>
              <w:right w:val="single" w:color="000000" w:sz="8" w:space="0"/>
            </w:tcBorders>
            <w:vAlign w:val="top"/>
          </w:tcPr>
          <w:p w14:paraId="15C59879">
            <w:pPr>
              <w:jc w:val="left"/>
              <w:rPr>
                <w:rFonts w:hint="eastAsia" w:ascii="宋体" w:hAnsi="宋体" w:eastAsia="宋体" w:cs="宋体"/>
                <w:b/>
                <w:sz w:val="21"/>
                <w:szCs w:val="21"/>
              </w:rPr>
            </w:pPr>
            <w:r>
              <w:rPr>
                <w:rFonts w:hint="eastAsia" w:ascii="宋体" w:hAnsi="宋体" w:eastAsia="宋体" w:cs="宋体"/>
                <w:b/>
                <w:sz w:val="21"/>
                <w:szCs w:val="21"/>
              </w:rPr>
              <w:t>（一）评分内容：</w:t>
            </w:r>
          </w:p>
          <w:p w14:paraId="0709C049">
            <w:pPr>
              <w:jc w:val="left"/>
              <w:rPr>
                <w:rFonts w:hint="eastAsia" w:ascii="宋体" w:hAnsi="宋体" w:eastAsia="宋体" w:cs="宋体"/>
                <w:sz w:val="21"/>
                <w:szCs w:val="21"/>
              </w:rPr>
            </w:pPr>
            <w:r>
              <w:rPr>
                <w:rFonts w:hint="eastAsia" w:ascii="宋体" w:hAnsi="宋体" w:eastAsia="宋体" w:cs="宋体"/>
                <w:sz w:val="21"/>
                <w:szCs w:val="21"/>
              </w:rPr>
              <w:t>评审委员会根据投标单位的项目服务方案进行评审，包括但不限于以下方案：</w:t>
            </w:r>
          </w:p>
          <w:p w14:paraId="24E02154">
            <w:pPr>
              <w:jc w:val="left"/>
              <w:rPr>
                <w:rFonts w:hint="eastAsia" w:ascii="宋体" w:hAnsi="宋体" w:eastAsia="宋体" w:cs="宋体"/>
                <w:sz w:val="21"/>
                <w:szCs w:val="21"/>
              </w:rPr>
            </w:pPr>
            <w:r>
              <w:rPr>
                <w:rFonts w:hint="eastAsia" w:ascii="宋体" w:hAnsi="宋体" w:eastAsia="宋体" w:cs="宋体"/>
                <w:sz w:val="21"/>
                <w:szCs w:val="21"/>
              </w:rPr>
              <w:t>1.队伍架构和岗位设置。</w:t>
            </w:r>
          </w:p>
          <w:p w14:paraId="50C7D390">
            <w:pPr>
              <w:jc w:val="left"/>
              <w:rPr>
                <w:rFonts w:hint="eastAsia" w:ascii="宋体" w:hAnsi="宋体" w:eastAsia="宋体" w:cs="宋体"/>
                <w:sz w:val="21"/>
                <w:szCs w:val="21"/>
              </w:rPr>
            </w:pPr>
            <w:r>
              <w:rPr>
                <w:rFonts w:hint="eastAsia" w:ascii="宋体" w:hAnsi="宋体" w:eastAsia="宋体" w:cs="宋体"/>
                <w:sz w:val="21"/>
                <w:szCs w:val="21"/>
              </w:rPr>
              <w:t>2.现场管理与安保措施。</w:t>
            </w:r>
          </w:p>
          <w:p w14:paraId="5A58C0E2">
            <w:pPr>
              <w:jc w:val="left"/>
              <w:rPr>
                <w:rFonts w:hint="eastAsia" w:ascii="宋体" w:hAnsi="宋体" w:eastAsia="宋体" w:cs="宋体"/>
                <w:sz w:val="21"/>
                <w:szCs w:val="21"/>
              </w:rPr>
            </w:pPr>
            <w:r>
              <w:rPr>
                <w:rFonts w:hint="eastAsia" w:ascii="宋体" w:hAnsi="宋体" w:eastAsia="宋体" w:cs="宋体"/>
                <w:sz w:val="21"/>
                <w:szCs w:val="21"/>
              </w:rPr>
              <w:t>3.员工培训。</w:t>
            </w:r>
          </w:p>
          <w:p w14:paraId="773A2A0C">
            <w:pPr>
              <w:jc w:val="left"/>
              <w:rPr>
                <w:rFonts w:hint="eastAsia" w:ascii="宋体" w:hAnsi="宋体" w:eastAsia="宋体" w:cs="宋体"/>
                <w:sz w:val="21"/>
                <w:szCs w:val="21"/>
              </w:rPr>
            </w:pPr>
            <w:r>
              <w:rPr>
                <w:rFonts w:hint="eastAsia" w:ascii="宋体" w:hAnsi="宋体" w:eastAsia="宋体" w:cs="宋体"/>
                <w:sz w:val="21"/>
                <w:szCs w:val="21"/>
              </w:rPr>
              <w:t>4.日常管理规章制度。</w:t>
            </w:r>
          </w:p>
          <w:p w14:paraId="29721303">
            <w:pPr>
              <w:jc w:val="left"/>
              <w:rPr>
                <w:rFonts w:hint="eastAsia" w:ascii="宋体" w:hAnsi="宋体" w:eastAsia="宋体" w:cs="宋体"/>
                <w:b/>
                <w:sz w:val="21"/>
                <w:szCs w:val="21"/>
              </w:rPr>
            </w:pPr>
            <w:r>
              <w:rPr>
                <w:rFonts w:hint="eastAsia" w:ascii="宋体" w:hAnsi="宋体" w:eastAsia="宋体" w:cs="宋体"/>
                <w:b/>
                <w:sz w:val="21"/>
                <w:szCs w:val="21"/>
              </w:rPr>
              <w:t>（二）评分依据：</w:t>
            </w:r>
          </w:p>
          <w:p w14:paraId="2857BAA7">
            <w:pPr>
              <w:jc w:val="left"/>
              <w:rPr>
                <w:rFonts w:hint="eastAsia" w:ascii="宋体" w:hAnsi="宋体" w:eastAsia="宋体" w:cs="宋体"/>
                <w:sz w:val="21"/>
                <w:szCs w:val="21"/>
              </w:rPr>
            </w:pPr>
            <w:r>
              <w:rPr>
                <w:rFonts w:hint="eastAsia" w:ascii="宋体" w:hAnsi="宋体" w:eastAsia="宋体" w:cs="宋体"/>
                <w:sz w:val="21"/>
                <w:szCs w:val="21"/>
              </w:rPr>
              <w:t>提供以上4点内容得</w:t>
            </w:r>
            <w:r>
              <w:rPr>
                <w:rFonts w:hint="eastAsia" w:ascii="宋体" w:hAnsi="宋体" w:cs="宋体"/>
                <w:sz w:val="21"/>
                <w:szCs w:val="21"/>
                <w:lang w:val="en-US" w:eastAsia="zh-CN"/>
              </w:rPr>
              <w:t>7</w:t>
            </w:r>
            <w:r>
              <w:rPr>
                <w:rFonts w:hint="eastAsia" w:ascii="宋体" w:hAnsi="宋体" w:eastAsia="宋体" w:cs="宋体"/>
                <w:sz w:val="21"/>
                <w:szCs w:val="21"/>
              </w:rPr>
              <w:t>分，缺项不得分。 在此基础上，专家根据内容的合理性进行评分:</w:t>
            </w:r>
          </w:p>
          <w:p w14:paraId="7438D5B3">
            <w:pPr>
              <w:jc w:val="left"/>
              <w:rPr>
                <w:rFonts w:hint="eastAsia" w:ascii="宋体" w:hAnsi="宋体" w:eastAsia="宋体" w:cs="宋体"/>
                <w:sz w:val="21"/>
                <w:szCs w:val="21"/>
              </w:rPr>
            </w:pPr>
            <w:r>
              <w:rPr>
                <w:rFonts w:hint="eastAsia" w:ascii="宋体" w:hAnsi="宋体" w:eastAsia="宋体" w:cs="宋体"/>
                <w:sz w:val="21"/>
                <w:szCs w:val="21"/>
              </w:rPr>
              <w:t>优评分标准:方案符合实际、完整、规范、思路清晰，内容合理性强，得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p w14:paraId="536E18DE">
            <w:pPr>
              <w:jc w:val="left"/>
              <w:rPr>
                <w:rFonts w:hint="eastAsia" w:ascii="宋体" w:hAnsi="宋体" w:eastAsia="宋体" w:cs="宋体"/>
                <w:sz w:val="21"/>
                <w:szCs w:val="21"/>
              </w:rPr>
            </w:pPr>
            <w:r>
              <w:rPr>
                <w:rFonts w:hint="eastAsia" w:ascii="宋体" w:hAnsi="宋体" w:eastAsia="宋体" w:cs="宋体"/>
                <w:sz w:val="21"/>
                <w:szCs w:val="21"/>
              </w:rPr>
              <w:t>良评分标准:方案较符合实际、较完整规范、思路较清晰，内容合理性较强，得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125E9053">
            <w:pPr>
              <w:jc w:val="left"/>
              <w:rPr>
                <w:rFonts w:hint="eastAsia" w:ascii="宋体" w:hAnsi="宋体" w:eastAsia="宋体" w:cs="宋体"/>
                <w:sz w:val="21"/>
                <w:szCs w:val="21"/>
              </w:rPr>
            </w:pPr>
            <w:r>
              <w:rPr>
                <w:rFonts w:hint="eastAsia" w:ascii="宋体" w:hAnsi="宋体" w:eastAsia="宋体" w:cs="宋体"/>
                <w:sz w:val="21"/>
                <w:szCs w:val="21"/>
              </w:rPr>
              <w:t>中评分标准:方案较普通、完整性规范性一般，思路不够清晰，内容合理性一般，得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p>
          <w:p w14:paraId="686603C6">
            <w:pPr>
              <w:jc w:val="left"/>
              <w:rPr>
                <w:rFonts w:ascii="宋体" w:hAnsi="宋体" w:cs="宋体"/>
                <w:szCs w:val="21"/>
              </w:rPr>
            </w:pPr>
            <w:r>
              <w:rPr>
                <w:rFonts w:hint="eastAsia" w:ascii="宋体" w:hAnsi="宋体" w:eastAsia="宋体" w:cs="宋体"/>
                <w:sz w:val="21"/>
                <w:szCs w:val="21"/>
              </w:rPr>
              <w:t>差评分标准：方案不完整、不规范，思路不清晰，内容合理性较差或未提供，不得分。</w:t>
            </w:r>
          </w:p>
        </w:tc>
      </w:tr>
      <w:tr w14:paraId="44BF62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4FF829B1">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0C588E0E">
            <w:pPr>
              <w:wordWrap w:val="0"/>
              <w:jc w:val="center"/>
              <w:rPr>
                <w:rFonts w:ascii="宋体" w:hAnsi="宋体" w:cs="宋体"/>
                <w:szCs w:val="21"/>
              </w:rPr>
            </w:pPr>
            <w:r>
              <w:rPr>
                <w:szCs w:val="21"/>
              </w:rPr>
              <w:t>2</w:t>
            </w:r>
          </w:p>
        </w:tc>
        <w:tc>
          <w:tcPr>
            <w:tcW w:w="2543" w:type="dxa"/>
            <w:tcBorders>
              <w:top w:val="single" w:color="000000" w:sz="8" w:space="0"/>
              <w:left w:val="single" w:color="000000" w:sz="8" w:space="0"/>
              <w:bottom w:val="single" w:color="000000" w:sz="8" w:space="0"/>
              <w:right w:val="single" w:color="000000" w:sz="8" w:space="0"/>
            </w:tcBorders>
            <w:vAlign w:val="top"/>
          </w:tcPr>
          <w:p w14:paraId="191C7FEC">
            <w:pPr>
              <w:widowControl/>
              <w:jc w:val="left"/>
              <w:rPr>
                <w:rFonts w:cs="宋体" w:asciiTheme="minorHAnsi" w:hAnsiTheme="minorHAnsi"/>
                <w:szCs w:val="22"/>
              </w:rPr>
            </w:pPr>
            <w:r>
              <w:rPr>
                <w:rFonts w:hint="eastAsia" w:ascii="宋体" w:hAnsi="宋体" w:eastAsia="宋体" w:cs="宋体"/>
                <w:color w:val="auto"/>
                <w:sz w:val="21"/>
                <w:szCs w:val="21"/>
              </w:rPr>
              <w:t>质量保障措施及方案</w:t>
            </w:r>
          </w:p>
        </w:tc>
        <w:tc>
          <w:tcPr>
            <w:tcW w:w="724" w:type="dxa"/>
            <w:tcBorders>
              <w:top w:val="single" w:color="000000" w:sz="8" w:space="0"/>
              <w:left w:val="single" w:color="000000" w:sz="8" w:space="0"/>
              <w:bottom w:val="single" w:color="000000" w:sz="8" w:space="0"/>
              <w:right w:val="single" w:color="000000" w:sz="8" w:space="0"/>
            </w:tcBorders>
            <w:vAlign w:val="top"/>
          </w:tcPr>
          <w:p w14:paraId="0D9C774A">
            <w:pPr>
              <w:widowControl/>
              <w:jc w:val="left"/>
              <w:rPr>
                <w:rFonts w:cs="宋体" w:asciiTheme="minorHAnsi" w:hAnsiTheme="minorHAnsi"/>
                <w:szCs w:val="22"/>
              </w:rPr>
            </w:pPr>
            <w:r>
              <w:rPr>
                <w:rFonts w:hint="eastAsia" w:ascii="宋体" w:hAnsi="宋体" w:cs="宋体"/>
                <w:sz w:val="21"/>
                <w:szCs w:val="21"/>
                <w:lang w:val="en-US" w:eastAsia="zh-CN"/>
              </w:rPr>
              <w:t>10</w:t>
            </w:r>
          </w:p>
        </w:tc>
        <w:tc>
          <w:tcPr>
            <w:tcW w:w="4447" w:type="dxa"/>
            <w:tcBorders>
              <w:top w:val="single" w:color="000000" w:sz="8" w:space="0"/>
              <w:left w:val="single" w:color="000000" w:sz="8" w:space="0"/>
              <w:bottom w:val="single" w:color="000000" w:sz="8" w:space="0"/>
              <w:right w:val="single" w:color="000000" w:sz="8" w:space="0"/>
            </w:tcBorders>
            <w:vAlign w:val="top"/>
          </w:tcPr>
          <w:p w14:paraId="07F59471">
            <w:pPr>
              <w:widowControl/>
              <w:jc w:val="left"/>
              <w:rPr>
                <w:rFonts w:hint="eastAsia" w:ascii="宋体" w:hAnsi="宋体" w:eastAsia="宋体" w:cs="宋体"/>
                <w:b/>
                <w:sz w:val="21"/>
                <w:szCs w:val="21"/>
              </w:rPr>
            </w:pPr>
            <w:r>
              <w:rPr>
                <w:rFonts w:hint="eastAsia" w:ascii="宋体" w:hAnsi="宋体" w:eastAsia="宋体" w:cs="宋体"/>
                <w:b/>
                <w:sz w:val="21"/>
                <w:szCs w:val="21"/>
              </w:rPr>
              <w:t>（一）评分内容：</w:t>
            </w:r>
          </w:p>
          <w:p w14:paraId="7C05BE65">
            <w:pPr>
              <w:widowControl/>
              <w:wordWrap/>
              <w:jc w:val="left"/>
              <w:rPr>
                <w:rFonts w:hint="eastAsia" w:ascii="宋体" w:hAnsi="宋体" w:eastAsia="宋体" w:cs="宋体"/>
                <w:sz w:val="21"/>
                <w:szCs w:val="21"/>
              </w:rPr>
            </w:pPr>
            <w:r>
              <w:rPr>
                <w:rFonts w:hint="eastAsia" w:ascii="宋体" w:hAnsi="宋体" w:eastAsia="宋体" w:cs="宋体"/>
                <w:sz w:val="21"/>
                <w:szCs w:val="21"/>
              </w:rPr>
              <w:t>考察针对本项目的质量保障措施及方案，方案内容包括以下内容:</w:t>
            </w:r>
          </w:p>
          <w:p w14:paraId="0DFB60A3">
            <w:pPr>
              <w:widowControl/>
              <w:wordWrap/>
              <w:jc w:val="left"/>
              <w:rPr>
                <w:rFonts w:hint="eastAsia" w:ascii="宋体" w:hAnsi="宋体" w:eastAsia="宋体" w:cs="宋体"/>
                <w:sz w:val="21"/>
                <w:szCs w:val="21"/>
              </w:rPr>
            </w:pPr>
            <w:r>
              <w:rPr>
                <w:rFonts w:hint="eastAsia" w:ascii="宋体" w:hAnsi="宋体" w:eastAsia="宋体" w:cs="宋体"/>
                <w:sz w:val="21"/>
                <w:szCs w:val="21"/>
              </w:rPr>
              <w:t>1.档案管理。</w:t>
            </w:r>
          </w:p>
          <w:p w14:paraId="666D5E82">
            <w:pPr>
              <w:widowControl/>
              <w:wordWrap/>
              <w:jc w:val="left"/>
              <w:rPr>
                <w:rFonts w:hint="eastAsia" w:ascii="宋体" w:hAnsi="宋体" w:eastAsia="宋体" w:cs="宋体"/>
                <w:sz w:val="21"/>
                <w:szCs w:val="21"/>
              </w:rPr>
            </w:pPr>
            <w:r>
              <w:rPr>
                <w:rFonts w:hint="eastAsia" w:ascii="宋体" w:hAnsi="宋体" w:eastAsia="宋体" w:cs="宋体"/>
                <w:sz w:val="21"/>
                <w:szCs w:val="21"/>
              </w:rPr>
              <w:t>2.服务、人员保障措施。</w:t>
            </w:r>
          </w:p>
          <w:p w14:paraId="1D5B25D7">
            <w:pPr>
              <w:widowControl/>
              <w:wordWrap/>
              <w:jc w:val="left"/>
              <w:rPr>
                <w:rFonts w:hint="eastAsia" w:ascii="宋体" w:hAnsi="宋体" w:eastAsia="宋体" w:cs="宋体"/>
                <w:sz w:val="21"/>
                <w:szCs w:val="21"/>
              </w:rPr>
            </w:pPr>
            <w:r>
              <w:rPr>
                <w:rFonts w:hint="eastAsia" w:ascii="宋体" w:hAnsi="宋体" w:eastAsia="宋体" w:cs="宋体"/>
                <w:sz w:val="21"/>
                <w:szCs w:val="21"/>
              </w:rPr>
              <w:t>3.应急突发事件预案。</w:t>
            </w:r>
          </w:p>
          <w:p w14:paraId="3FF94D9A">
            <w:pPr>
              <w:widowControl/>
              <w:jc w:val="left"/>
              <w:rPr>
                <w:rFonts w:hint="eastAsia" w:ascii="宋体" w:hAnsi="宋体" w:eastAsia="宋体" w:cs="宋体"/>
                <w:b/>
                <w:sz w:val="21"/>
                <w:szCs w:val="21"/>
              </w:rPr>
            </w:pPr>
            <w:r>
              <w:rPr>
                <w:rFonts w:hint="eastAsia" w:ascii="宋体" w:hAnsi="宋体" w:eastAsia="宋体" w:cs="宋体"/>
                <w:b/>
                <w:sz w:val="21"/>
                <w:szCs w:val="21"/>
              </w:rPr>
              <w:t>（二）评分依据：</w:t>
            </w:r>
          </w:p>
          <w:p w14:paraId="346F516B">
            <w:pPr>
              <w:widowControl/>
              <w:jc w:val="left"/>
              <w:rPr>
                <w:rFonts w:hint="eastAsia" w:ascii="宋体" w:hAnsi="宋体" w:eastAsia="宋体" w:cs="宋体"/>
                <w:sz w:val="21"/>
                <w:szCs w:val="21"/>
              </w:rPr>
            </w:pPr>
            <w:r>
              <w:rPr>
                <w:rFonts w:hint="eastAsia" w:ascii="宋体" w:hAnsi="宋体" w:eastAsia="宋体" w:cs="宋体"/>
                <w:sz w:val="21"/>
                <w:szCs w:val="21"/>
              </w:rPr>
              <w:t>提供以上 3点内容得</w:t>
            </w:r>
            <w:r>
              <w:rPr>
                <w:rFonts w:hint="eastAsia" w:ascii="宋体" w:hAnsi="宋体" w:cs="宋体"/>
                <w:sz w:val="21"/>
                <w:szCs w:val="21"/>
                <w:lang w:val="en-US" w:eastAsia="zh-CN"/>
              </w:rPr>
              <w:t>7</w:t>
            </w:r>
            <w:r>
              <w:rPr>
                <w:rFonts w:hint="eastAsia" w:ascii="宋体" w:hAnsi="宋体" w:eastAsia="宋体" w:cs="宋体"/>
                <w:sz w:val="21"/>
                <w:szCs w:val="21"/>
              </w:rPr>
              <w:t>分，缺项不得分。在此基础上，专家根据内容的合理性进行评分:</w:t>
            </w:r>
          </w:p>
          <w:p w14:paraId="7E3910C2">
            <w:pPr>
              <w:widowControl/>
              <w:jc w:val="left"/>
              <w:rPr>
                <w:rFonts w:hint="eastAsia" w:ascii="宋体" w:hAnsi="宋体" w:eastAsia="宋体" w:cs="宋体"/>
                <w:sz w:val="21"/>
                <w:szCs w:val="21"/>
              </w:rPr>
            </w:pPr>
            <w:r>
              <w:rPr>
                <w:rFonts w:hint="eastAsia" w:ascii="宋体" w:hAnsi="宋体" w:eastAsia="宋体" w:cs="宋体"/>
                <w:sz w:val="21"/>
                <w:szCs w:val="21"/>
              </w:rPr>
              <w:t>优评分标准:方案符合实际、完整、规范、思路清晰，内容合理性强，得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p w14:paraId="4CCF6D41">
            <w:pPr>
              <w:widowControl/>
              <w:jc w:val="left"/>
              <w:rPr>
                <w:rFonts w:hint="eastAsia" w:ascii="宋体" w:hAnsi="宋体" w:eastAsia="宋体" w:cs="宋体"/>
                <w:sz w:val="21"/>
                <w:szCs w:val="21"/>
              </w:rPr>
            </w:pPr>
            <w:r>
              <w:rPr>
                <w:rFonts w:hint="eastAsia" w:ascii="宋体" w:hAnsi="宋体" w:eastAsia="宋体" w:cs="宋体"/>
                <w:sz w:val="21"/>
                <w:szCs w:val="21"/>
              </w:rPr>
              <w:t>良评分标准:方案较符合实际、较完整规范、思路较清晰，内容合理性较强，得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4797DA8F">
            <w:pPr>
              <w:widowControl/>
              <w:jc w:val="left"/>
              <w:rPr>
                <w:rFonts w:hint="eastAsia" w:ascii="宋体" w:hAnsi="宋体" w:eastAsia="宋体" w:cs="宋体"/>
                <w:sz w:val="21"/>
                <w:szCs w:val="21"/>
              </w:rPr>
            </w:pPr>
            <w:r>
              <w:rPr>
                <w:rFonts w:hint="eastAsia" w:ascii="宋体" w:hAnsi="宋体" w:eastAsia="宋体" w:cs="宋体"/>
                <w:sz w:val="21"/>
                <w:szCs w:val="21"/>
              </w:rPr>
              <w:t>中评分标准方案较普通、完整性、规范性-般，思路不够清晰，内容合理性般，得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p>
          <w:p w14:paraId="47C23040">
            <w:pPr>
              <w:widowControl/>
              <w:ind w:left="0" w:leftChars="0" w:firstLine="0" w:firstLineChars="0"/>
              <w:jc w:val="left"/>
            </w:pPr>
            <w:r>
              <w:rPr>
                <w:rFonts w:hint="eastAsia" w:ascii="宋体" w:hAnsi="宋体" w:eastAsia="宋体" w:cs="宋体"/>
                <w:sz w:val="21"/>
                <w:szCs w:val="21"/>
              </w:rPr>
              <w:t>差评分标准:方案不完整、不规范，思路不清晰，内容合理性较差或未提供，不得分。</w:t>
            </w:r>
          </w:p>
        </w:tc>
      </w:tr>
      <w:tr w14:paraId="2ECA8F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00F09C55">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46E73B50">
            <w:pPr>
              <w:wordWrap w:val="0"/>
              <w:jc w:val="center"/>
              <w:rPr>
                <w:szCs w:val="21"/>
              </w:rPr>
            </w:pPr>
            <w:r>
              <w:rPr>
                <w:rFonts w:hint="eastAsia"/>
                <w:szCs w:val="21"/>
              </w:rPr>
              <w:t>3</w:t>
            </w:r>
          </w:p>
        </w:tc>
        <w:tc>
          <w:tcPr>
            <w:tcW w:w="2543" w:type="dxa"/>
            <w:tcBorders>
              <w:top w:val="single" w:color="000000" w:sz="8" w:space="0"/>
              <w:left w:val="single" w:color="000000" w:sz="8" w:space="0"/>
              <w:bottom w:val="single" w:color="000000" w:sz="8" w:space="0"/>
              <w:right w:val="single" w:color="000000" w:sz="8" w:space="0"/>
            </w:tcBorders>
            <w:vAlign w:val="top"/>
          </w:tcPr>
          <w:p w14:paraId="66B3A399">
            <w:pPr>
              <w:wordWrap w:val="0"/>
              <w:rPr>
                <w:rFonts w:ascii="宋体" w:hAnsi="宋体" w:cs="宋体"/>
                <w:szCs w:val="21"/>
              </w:rPr>
            </w:pPr>
            <w:r>
              <w:rPr>
                <w:rFonts w:hint="eastAsia" w:ascii="宋体" w:hAnsi="宋体" w:eastAsia="宋体" w:cs="宋体"/>
                <w:sz w:val="21"/>
                <w:szCs w:val="21"/>
              </w:rPr>
              <w:t>项目重点难点分析、应对措施及相关的合理化建议</w:t>
            </w:r>
          </w:p>
        </w:tc>
        <w:tc>
          <w:tcPr>
            <w:tcW w:w="724" w:type="dxa"/>
            <w:tcBorders>
              <w:top w:val="single" w:color="000000" w:sz="8" w:space="0"/>
              <w:left w:val="single" w:color="000000" w:sz="8" w:space="0"/>
              <w:bottom w:val="single" w:color="000000" w:sz="8" w:space="0"/>
              <w:right w:val="single" w:color="000000" w:sz="8" w:space="0"/>
            </w:tcBorders>
            <w:vAlign w:val="top"/>
          </w:tcPr>
          <w:p w14:paraId="1F7B0D11">
            <w:pPr>
              <w:widowControl/>
              <w:jc w:val="left"/>
              <w:rPr>
                <w:rFonts w:cs="宋体" w:asciiTheme="minorHAnsi" w:hAnsiTheme="minorHAnsi"/>
                <w:szCs w:val="22"/>
              </w:rPr>
            </w:pPr>
            <w:r>
              <w:rPr>
                <w:rFonts w:hint="eastAsia" w:ascii="宋体" w:hAnsi="宋体" w:eastAsia="宋体" w:cs="宋体"/>
                <w:sz w:val="21"/>
                <w:szCs w:val="21"/>
                <w:lang w:val="en-US" w:eastAsia="zh-CN"/>
              </w:rPr>
              <w:t>8</w:t>
            </w:r>
          </w:p>
        </w:tc>
        <w:tc>
          <w:tcPr>
            <w:tcW w:w="4447" w:type="dxa"/>
            <w:tcBorders>
              <w:top w:val="single" w:color="000000" w:sz="8" w:space="0"/>
              <w:left w:val="single" w:color="000000" w:sz="8" w:space="0"/>
              <w:bottom w:val="single" w:color="000000" w:sz="8" w:space="0"/>
              <w:right w:val="single" w:color="000000" w:sz="8" w:space="0"/>
            </w:tcBorders>
            <w:vAlign w:val="top"/>
          </w:tcPr>
          <w:p w14:paraId="50762004">
            <w:pPr>
              <w:rPr>
                <w:rFonts w:hint="eastAsia" w:ascii="宋体" w:hAnsi="宋体" w:eastAsia="宋体" w:cs="宋体"/>
                <w:b/>
                <w:sz w:val="21"/>
                <w:szCs w:val="21"/>
              </w:rPr>
            </w:pPr>
            <w:r>
              <w:rPr>
                <w:rFonts w:hint="eastAsia" w:ascii="宋体" w:hAnsi="宋体" w:eastAsia="宋体" w:cs="宋体"/>
                <w:b/>
                <w:sz w:val="21"/>
                <w:szCs w:val="21"/>
              </w:rPr>
              <w:t>（一）评分内容：</w:t>
            </w:r>
          </w:p>
          <w:p w14:paraId="1284C4E9">
            <w:pPr>
              <w:wordWrap w:val="0"/>
              <w:rPr>
                <w:rFonts w:hint="eastAsia" w:ascii="宋体" w:hAnsi="宋体" w:eastAsia="宋体" w:cs="宋体"/>
                <w:sz w:val="21"/>
                <w:szCs w:val="21"/>
              </w:rPr>
            </w:pPr>
            <w:r>
              <w:rPr>
                <w:rFonts w:hint="eastAsia" w:ascii="宋体" w:hAnsi="宋体" w:eastAsia="宋体" w:cs="宋体"/>
                <w:sz w:val="21"/>
                <w:szCs w:val="21"/>
              </w:rPr>
              <w:t>考察针对本项目的项目重点难点分析、应对措施及相关的合理化建议，方案内容包括以下内容:</w:t>
            </w:r>
          </w:p>
          <w:p w14:paraId="6A89861C">
            <w:pPr>
              <w:wordWrap w:val="0"/>
              <w:rPr>
                <w:rFonts w:hint="eastAsia" w:ascii="宋体" w:hAnsi="宋体" w:eastAsia="宋体" w:cs="宋体"/>
                <w:sz w:val="21"/>
                <w:szCs w:val="21"/>
              </w:rPr>
            </w:pPr>
            <w:r>
              <w:rPr>
                <w:rFonts w:hint="eastAsia" w:ascii="宋体" w:hAnsi="宋体" w:eastAsia="宋体" w:cs="宋体"/>
                <w:sz w:val="21"/>
                <w:szCs w:val="21"/>
              </w:rPr>
              <w:t>1.项目重点难点分析。</w:t>
            </w:r>
          </w:p>
          <w:p w14:paraId="76EA3485">
            <w:pPr>
              <w:wordWrap w:val="0"/>
              <w:rPr>
                <w:rFonts w:hint="eastAsia" w:ascii="宋体" w:hAnsi="宋体" w:eastAsia="宋体" w:cs="宋体"/>
                <w:sz w:val="21"/>
                <w:szCs w:val="21"/>
              </w:rPr>
            </w:pPr>
            <w:r>
              <w:rPr>
                <w:rFonts w:hint="eastAsia" w:ascii="宋体" w:hAnsi="宋体" w:eastAsia="宋体" w:cs="宋体"/>
                <w:sz w:val="21"/>
                <w:szCs w:val="21"/>
              </w:rPr>
              <w:t>2.针对重、难点的相关应对措施。</w:t>
            </w:r>
          </w:p>
          <w:p w14:paraId="4EA364AA">
            <w:pPr>
              <w:wordWrap w:val="0"/>
              <w:rPr>
                <w:rFonts w:hint="eastAsia" w:ascii="宋体" w:hAnsi="宋体" w:eastAsia="宋体" w:cs="宋体"/>
                <w:sz w:val="21"/>
                <w:szCs w:val="21"/>
              </w:rPr>
            </w:pPr>
            <w:r>
              <w:rPr>
                <w:rFonts w:hint="eastAsia" w:ascii="宋体" w:hAnsi="宋体" w:eastAsia="宋体" w:cs="宋体"/>
                <w:sz w:val="21"/>
                <w:szCs w:val="21"/>
              </w:rPr>
              <w:t>3.日常服务的合理化建议。</w:t>
            </w:r>
          </w:p>
          <w:p w14:paraId="4D27C4D7">
            <w:pPr>
              <w:rPr>
                <w:rFonts w:hint="eastAsia" w:ascii="宋体" w:hAnsi="宋体" w:eastAsia="宋体" w:cs="宋体"/>
                <w:b/>
                <w:sz w:val="21"/>
                <w:szCs w:val="21"/>
              </w:rPr>
            </w:pPr>
            <w:r>
              <w:rPr>
                <w:rFonts w:hint="eastAsia" w:ascii="宋体" w:hAnsi="宋体" w:eastAsia="宋体" w:cs="宋体"/>
                <w:b/>
                <w:sz w:val="21"/>
                <w:szCs w:val="21"/>
              </w:rPr>
              <w:t>（二）评分依据：</w:t>
            </w:r>
          </w:p>
          <w:p w14:paraId="1E7CAE51">
            <w:pPr>
              <w:jc w:val="left"/>
              <w:rPr>
                <w:rFonts w:hint="eastAsia" w:ascii="宋体" w:hAnsi="宋体" w:eastAsia="宋体" w:cs="宋体"/>
                <w:sz w:val="21"/>
                <w:szCs w:val="21"/>
              </w:rPr>
            </w:pPr>
            <w:r>
              <w:rPr>
                <w:rFonts w:hint="eastAsia" w:ascii="宋体" w:hAnsi="宋体" w:eastAsia="宋体" w:cs="宋体"/>
                <w:sz w:val="21"/>
                <w:szCs w:val="21"/>
              </w:rPr>
              <w:t>提供以上3点内容得</w:t>
            </w:r>
            <w:r>
              <w:rPr>
                <w:rFonts w:hint="eastAsia" w:ascii="宋体" w:hAnsi="宋体" w:eastAsia="宋体" w:cs="宋体"/>
                <w:sz w:val="21"/>
                <w:szCs w:val="21"/>
                <w:lang w:val="en-US" w:eastAsia="zh-CN"/>
              </w:rPr>
              <w:t>5</w:t>
            </w:r>
            <w:r>
              <w:rPr>
                <w:rFonts w:hint="eastAsia" w:ascii="宋体" w:hAnsi="宋体" w:eastAsia="宋体" w:cs="宋体"/>
                <w:sz w:val="21"/>
                <w:szCs w:val="21"/>
              </w:rPr>
              <w:t>分，缺项不得分。在此基础上，专家根据内容的合理性进行评分:</w:t>
            </w:r>
          </w:p>
          <w:p w14:paraId="24108D63">
            <w:pPr>
              <w:jc w:val="left"/>
              <w:rPr>
                <w:rFonts w:hint="eastAsia" w:ascii="宋体" w:hAnsi="宋体" w:eastAsia="宋体" w:cs="宋体"/>
                <w:sz w:val="21"/>
                <w:szCs w:val="21"/>
              </w:rPr>
            </w:pPr>
            <w:r>
              <w:rPr>
                <w:rFonts w:hint="eastAsia" w:ascii="宋体" w:hAnsi="宋体" w:eastAsia="宋体" w:cs="宋体"/>
                <w:sz w:val="21"/>
                <w:szCs w:val="21"/>
              </w:rPr>
              <w:t>优评分标准:方案符合实际、完整、规范、思路清晰，内容合理性强，得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p w14:paraId="201C7A90">
            <w:pPr>
              <w:jc w:val="left"/>
              <w:rPr>
                <w:rFonts w:hint="eastAsia" w:ascii="宋体" w:hAnsi="宋体" w:eastAsia="宋体" w:cs="宋体"/>
                <w:sz w:val="21"/>
                <w:szCs w:val="21"/>
              </w:rPr>
            </w:pPr>
            <w:r>
              <w:rPr>
                <w:rFonts w:hint="eastAsia" w:ascii="宋体" w:hAnsi="宋体" w:eastAsia="宋体" w:cs="宋体"/>
                <w:sz w:val="21"/>
                <w:szCs w:val="21"/>
              </w:rPr>
              <w:t>良评分标准:方案较符合实际、较完整规范、思路较清晰，内容合理性较强，得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5016256C">
            <w:pPr>
              <w:jc w:val="left"/>
              <w:rPr>
                <w:rFonts w:hint="eastAsia" w:ascii="宋体" w:hAnsi="宋体" w:eastAsia="宋体" w:cs="宋体"/>
                <w:sz w:val="21"/>
                <w:szCs w:val="21"/>
              </w:rPr>
            </w:pPr>
            <w:r>
              <w:rPr>
                <w:rFonts w:hint="eastAsia" w:ascii="宋体" w:hAnsi="宋体" w:eastAsia="宋体" w:cs="宋体"/>
                <w:sz w:val="21"/>
                <w:szCs w:val="21"/>
              </w:rPr>
              <w:t>中评分标准方案较普通、完整性、规范性-般，思路不够清晰，内容合理性般，得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p>
          <w:p w14:paraId="34EE29D9">
            <w:pPr>
              <w:widowControl/>
              <w:jc w:val="left"/>
              <w:rPr>
                <w:rFonts w:hint="eastAsia" w:ascii="宋体" w:hAnsi="宋体"/>
                <w:szCs w:val="21"/>
              </w:rPr>
            </w:pPr>
            <w:r>
              <w:rPr>
                <w:rFonts w:hint="eastAsia" w:ascii="宋体" w:hAnsi="宋体" w:eastAsia="宋体" w:cs="宋体"/>
                <w:sz w:val="21"/>
                <w:szCs w:val="21"/>
              </w:rPr>
              <w:t>差评分标准:方案不完整、不规范，思路不清晰，内容合理性较差或未提供，不得分。</w:t>
            </w:r>
          </w:p>
        </w:tc>
      </w:tr>
      <w:tr w14:paraId="4FF66A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4791433A">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7D44BEC4">
            <w:pPr>
              <w:wordWrap w:val="0"/>
              <w:jc w:val="center"/>
              <w:rPr>
                <w:rFonts w:hint="eastAsia"/>
                <w:szCs w:val="21"/>
              </w:rPr>
            </w:pPr>
            <w:r>
              <w:rPr>
                <w:rFonts w:hint="eastAsia"/>
                <w:szCs w:val="21"/>
              </w:rPr>
              <w:t>4</w:t>
            </w:r>
          </w:p>
        </w:tc>
        <w:tc>
          <w:tcPr>
            <w:tcW w:w="2543" w:type="dxa"/>
            <w:tcBorders>
              <w:top w:val="single" w:color="000000" w:sz="8" w:space="0"/>
              <w:left w:val="single" w:color="000000" w:sz="8" w:space="0"/>
              <w:bottom w:val="single" w:color="000000" w:sz="8" w:space="0"/>
              <w:right w:val="single" w:color="000000" w:sz="8" w:space="0"/>
            </w:tcBorders>
            <w:vAlign w:val="top"/>
          </w:tcPr>
          <w:p w14:paraId="2D259888">
            <w:pPr>
              <w:wordWrap w:val="0"/>
              <w:rPr>
                <w:rFonts w:hint="eastAsia" w:ascii="宋体" w:hAnsi="宋体" w:eastAsia="宋体" w:cs="宋体"/>
                <w:color w:val="FF0000"/>
                <w:sz w:val="21"/>
                <w:szCs w:val="21"/>
              </w:rPr>
            </w:pPr>
            <w:r>
              <w:rPr>
                <w:rFonts w:hint="eastAsia" w:ascii="宋体" w:hAnsi="宋体" w:eastAsia="宋体" w:cs="宋体"/>
                <w:sz w:val="21"/>
                <w:szCs w:val="21"/>
              </w:rPr>
              <w:t>拟安排的项目负责人情况（仅限一人）</w:t>
            </w:r>
          </w:p>
          <w:p w14:paraId="4EEA0016">
            <w:pPr>
              <w:widowControl/>
              <w:jc w:val="left"/>
              <w:rPr>
                <w:rFonts w:hint="eastAsia" w:ascii="宋体" w:hAnsi="宋体"/>
                <w:color w:val="FF0000"/>
              </w:rPr>
            </w:pPr>
          </w:p>
        </w:tc>
        <w:tc>
          <w:tcPr>
            <w:tcW w:w="724" w:type="dxa"/>
            <w:tcBorders>
              <w:top w:val="single" w:color="000000" w:sz="8" w:space="0"/>
              <w:left w:val="single" w:color="000000" w:sz="8" w:space="0"/>
              <w:bottom w:val="single" w:color="000000" w:sz="8" w:space="0"/>
              <w:right w:val="single" w:color="000000" w:sz="8" w:space="0"/>
            </w:tcBorders>
            <w:vAlign w:val="top"/>
          </w:tcPr>
          <w:p w14:paraId="214D8AD7">
            <w:pPr>
              <w:widowControl/>
              <w:jc w:val="left"/>
              <w:rPr>
                <w:rFonts w:hint="eastAsia" w:eastAsia="宋体" w:cs="宋体" w:asciiTheme="minorHAnsi" w:hAnsiTheme="minorHAnsi"/>
                <w:szCs w:val="22"/>
                <w:lang w:val="en-US" w:eastAsia="zh-CN"/>
              </w:rPr>
            </w:pPr>
            <w:r>
              <w:rPr>
                <w:rFonts w:hint="eastAsia" w:cs="宋体" w:asciiTheme="minorHAnsi" w:hAnsiTheme="minorHAnsi"/>
                <w:szCs w:val="22"/>
                <w:lang w:val="en-US" w:eastAsia="zh-CN"/>
              </w:rPr>
              <w:t>6</w:t>
            </w:r>
          </w:p>
        </w:tc>
        <w:tc>
          <w:tcPr>
            <w:tcW w:w="4447" w:type="dxa"/>
            <w:tcBorders>
              <w:top w:val="single" w:color="000000" w:sz="8" w:space="0"/>
              <w:left w:val="single" w:color="000000" w:sz="8" w:space="0"/>
              <w:bottom w:val="single" w:color="000000" w:sz="8" w:space="0"/>
              <w:right w:val="single" w:color="000000" w:sz="8" w:space="0"/>
            </w:tcBorders>
            <w:vAlign w:val="top"/>
          </w:tcPr>
          <w:p w14:paraId="7C6E87EB">
            <w:pPr>
              <w:rPr>
                <w:b/>
              </w:rPr>
            </w:pPr>
            <w:r>
              <w:rPr>
                <w:rFonts w:hint="eastAsia"/>
                <w:b/>
              </w:rPr>
              <w:t>（一）评分内容：</w:t>
            </w:r>
          </w:p>
          <w:p w14:paraId="72BBF817">
            <w:r>
              <w:rPr>
                <w:rFonts w:hint="eastAsia" w:ascii="宋体" w:hAnsi="宋体"/>
                <w:szCs w:val="21"/>
              </w:rPr>
              <w:t>拟安排的</w:t>
            </w:r>
            <w:r>
              <w:rPr>
                <w:rFonts w:hint="eastAsia" w:ascii="宋体" w:hAnsi="宋体" w:eastAsia="宋体" w:cs="宋体"/>
                <w:sz w:val="21"/>
                <w:szCs w:val="21"/>
              </w:rPr>
              <w:t>拟安排的项目团队成员（项目负责人除外）</w:t>
            </w:r>
            <w:r>
              <w:rPr>
                <w:rFonts w:hint="eastAsia" w:ascii="宋体" w:hAnsi="宋体"/>
                <w:szCs w:val="21"/>
              </w:rPr>
              <w:t>须为投标人自有员工（以社保为准），否则本项不得分。</w:t>
            </w:r>
          </w:p>
          <w:p w14:paraId="08FAAA4A">
            <w:pPr>
              <w:jc w:val="left"/>
              <w:rPr>
                <w:rFonts w:hint="eastAsia" w:ascii="宋体" w:hAnsi="宋体" w:eastAsia="宋体" w:cs="宋体"/>
                <w:sz w:val="21"/>
                <w:szCs w:val="21"/>
              </w:rPr>
            </w:pPr>
            <w:r>
              <w:rPr>
                <w:rFonts w:hint="eastAsia" w:ascii="宋体" w:hAnsi="宋体" w:eastAsia="宋体" w:cs="宋体"/>
                <w:sz w:val="21"/>
                <w:szCs w:val="21"/>
              </w:rPr>
              <w:t>1、项目负责人具有食品类或农业（学）类或农产品类或检验检测类（含生物或化学类）专业大专学历，得</w:t>
            </w:r>
            <w:r>
              <w:rPr>
                <w:rFonts w:hint="eastAsia" w:ascii="宋体" w:hAnsi="宋体" w:cs="宋体"/>
                <w:sz w:val="21"/>
                <w:szCs w:val="21"/>
                <w:lang w:val="en-US" w:eastAsia="zh-CN"/>
              </w:rPr>
              <w:t>0.</w:t>
            </w:r>
            <w:r>
              <w:rPr>
                <w:rFonts w:hint="eastAsia" w:ascii="宋体" w:hAnsi="宋体" w:eastAsia="宋体" w:cs="宋体"/>
                <w:sz w:val="21"/>
                <w:szCs w:val="21"/>
              </w:rPr>
              <w:t>5分；本科学历，得</w:t>
            </w:r>
            <w:r>
              <w:rPr>
                <w:rFonts w:hint="eastAsia" w:ascii="宋体" w:hAnsi="宋体" w:eastAsia="宋体" w:cs="宋体"/>
                <w:sz w:val="21"/>
                <w:szCs w:val="21"/>
                <w:lang w:val="en-US" w:eastAsia="zh-CN"/>
              </w:rPr>
              <w:t>1</w:t>
            </w:r>
            <w:r>
              <w:rPr>
                <w:rFonts w:hint="eastAsia" w:ascii="宋体" w:hAnsi="宋体" w:eastAsia="宋体" w:cs="宋体"/>
                <w:sz w:val="21"/>
                <w:szCs w:val="21"/>
              </w:rPr>
              <w:t>分；研究生学历，得</w:t>
            </w:r>
            <w:r>
              <w:rPr>
                <w:rFonts w:hint="eastAsia" w:ascii="宋体" w:hAnsi="宋体" w:eastAsia="宋体" w:cs="宋体"/>
                <w:sz w:val="21"/>
                <w:szCs w:val="21"/>
                <w:lang w:val="en-US" w:eastAsia="zh-CN"/>
              </w:rPr>
              <w:t>2</w:t>
            </w:r>
            <w:r>
              <w:rPr>
                <w:rFonts w:hint="eastAsia" w:ascii="宋体" w:hAnsi="宋体" w:eastAsia="宋体" w:cs="宋体"/>
                <w:sz w:val="21"/>
                <w:szCs w:val="21"/>
              </w:rPr>
              <w:t>分；博士研究生或以上学历的，得</w:t>
            </w:r>
            <w:r>
              <w:rPr>
                <w:rFonts w:hint="eastAsia" w:ascii="宋体" w:hAnsi="宋体" w:cs="宋体"/>
                <w:sz w:val="21"/>
                <w:szCs w:val="21"/>
                <w:lang w:val="en-US" w:eastAsia="zh-CN"/>
              </w:rPr>
              <w:t>2.5</w:t>
            </w:r>
            <w:r>
              <w:rPr>
                <w:rFonts w:hint="eastAsia" w:ascii="宋体" w:hAnsi="宋体" w:eastAsia="宋体" w:cs="宋体"/>
                <w:sz w:val="21"/>
                <w:szCs w:val="21"/>
              </w:rPr>
              <w:t>分</w:t>
            </w:r>
            <w:r>
              <w:rPr>
                <w:rFonts w:hint="eastAsia" w:ascii="宋体" w:hAnsi="宋体" w:cs="宋体"/>
                <w:sz w:val="21"/>
                <w:szCs w:val="21"/>
                <w:lang w:eastAsia="zh-CN"/>
              </w:rPr>
              <w:t>，</w:t>
            </w:r>
            <w:r>
              <w:rPr>
                <w:rFonts w:hint="eastAsia" w:ascii="宋体" w:hAnsi="宋体" w:cs="宋体"/>
                <w:sz w:val="21"/>
                <w:szCs w:val="21"/>
                <w:lang w:val="en-US" w:eastAsia="zh-CN"/>
              </w:rPr>
              <w:t>本小项最高得2.5分</w:t>
            </w:r>
            <w:r>
              <w:rPr>
                <w:rFonts w:hint="eastAsia" w:ascii="宋体" w:hAnsi="宋体" w:eastAsia="宋体" w:cs="宋体"/>
                <w:sz w:val="21"/>
                <w:szCs w:val="21"/>
              </w:rPr>
              <w:t>。</w:t>
            </w:r>
          </w:p>
          <w:p w14:paraId="73D50139">
            <w:pPr>
              <w:wordWrap w:val="0"/>
              <w:rPr>
                <w:rFonts w:hint="eastAsia" w:ascii="宋体" w:hAnsi="宋体" w:eastAsia="宋体" w:cs="宋体"/>
                <w:sz w:val="21"/>
                <w:szCs w:val="21"/>
              </w:rPr>
            </w:pPr>
            <w:r>
              <w:rPr>
                <w:rFonts w:hint="eastAsia" w:ascii="宋体" w:hAnsi="宋体" w:eastAsia="宋体" w:cs="宋体"/>
                <w:sz w:val="21"/>
                <w:szCs w:val="21"/>
              </w:rPr>
              <w:t>2、项目负责人具有食品类或农（学）业类或农产品类或检验检测类（含生物或化学类）</w:t>
            </w:r>
            <w:r>
              <w:rPr>
                <w:rFonts w:hint="eastAsia" w:ascii="宋体" w:hAnsi="宋体" w:eastAsia="宋体" w:cs="宋体"/>
                <w:sz w:val="21"/>
                <w:szCs w:val="21"/>
                <w:highlight w:val="none"/>
                <w:lang w:val="en-US" w:eastAsia="zh-CN"/>
              </w:rPr>
              <w:t>初级职称证书，得</w:t>
            </w:r>
            <w:r>
              <w:rPr>
                <w:rFonts w:hint="eastAsia" w:ascii="宋体" w:hAnsi="宋体" w:cs="宋体"/>
                <w:sz w:val="21"/>
                <w:szCs w:val="21"/>
                <w:highlight w:val="none"/>
                <w:lang w:val="en-US" w:eastAsia="zh-CN"/>
              </w:rPr>
              <w:t>0.</w:t>
            </w:r>
            <w:r>
              <w:rPr>
                <w:rFonts w:hint="eastAsia" w:ascii="宋体" w:hAnsi="宋体" w:eastAsia="宋体" w:cs="宋体"/>
                <w:sz w:val="21"/>
                <w:szCs w:val="21"/>
                <w:highlight w:val="none"/>
                <w:lang w:val="en-US" w:eastAsia="zh-CN"/>
              </w:rPr>
              <w:t>5分</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中级职称证书，得1分，</w:t>
            </w:r>
            <w:r>
              <w:rPr>
                <w:rFonts w:hint="eastAsia" w:ascii="宋体" w:hAnsi="宋体" w:eastAsia="宋体" w:cs="宋体"/>
                <w:sz w:val="21"/>
                <w:szCs w:val="21"/>
                <w:highlight w:val="none"/>
              </w:rPr>
              <w:t>副高</w:t>
            </w:r>
            <w:r>
              <w:rPr>
                <w:rFonts w:hint="eastAsia" w:ascii="宋体" w:hAnsi="宋体" w:eastAsia="宋体" w:cs="宋体"/>
                <w:sz w:val="21"/>
                <w:szCs w:val="21"/>
              </w:rPr>
              <w:t>级</w:t>
            </w:r>
            <w:r>
              <w:rPr>
                <w:rFonts w:hint="eastAsia" w:ascii="宋体" w:hAnsi="宋体" w:eastAsia="宋体" w:cs="宋体"/>
                <w:sz w:val="21"/>
                <w:szCs w:val="21"/>
                <w:highlight w:val="none"/>
              </w:rPr>
              <w:t>职称证书，得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r>
              <w:rPr>
                <w:rFonts w:hint="eastAsia" w:ascii="宋体" w:hAnsi="宋体" w:eastAsia="宋体" w:cs="宋体"/>
                <w:sz w:val="21"/>
                <w:szCs w:val="21"/>
              </w:rPr>
              <w:t>正高级职称证书的，得</w:t>
            </w:r>
            <w:r>
              <w:rPr>
                <w:rFonts w:hint="eastAsia" w:ascii="宋体" w:hAnsi="宋体" w:cs="宋体"/>
                <w:sz w:val="21"/>
                <w:szCs w:val="21"/>
                <w:lang w:val="en-US" w:eastAsia="zh-CN"/>
              </w:rPr>
              <w:t>2.5</w:t>
            </w:r>
            <w:r>
              <w:rPr>
                <w:rFonts w:hint="eastAsia" w:ascii="宋体" w:hAnsi="宋体" w:eastAsia="宋体" w:cs="宋体"/>
                <w:sz w:val="21"/>
                <w:szCs w:val="21"/>
              </w:rPr>
              <w:t>分</w:t>
            </w:r>
            <w:r>
              <w:rPr>
                <w:rFonts w:hint="eastAsia" w:ascii="宋体" w:hAnsi="宋体" w:cs="宋体"/>
                <w:sz w:val="21"/>
                <w:szCs w:val="21"/>
                <w:lang w:eastAsia="zh-CN"/>
              </w:rPr>
              <w:t>，</w:t>
            </w:r>
            <w:r>
              <w:rPr>
                <w:rFonts w:hint="eastAsia" w:ascii="宋体" w:hAnsi="宋体" w:cs="宋体"/>
                <w:sz w:val="21"/>
                <w:szCs w:val="21"/>
                <w:lang w:val="en-US" w:eastAsia="zh-CN"/>
              </w:rPr>
              <w:t>本小项最高得2.5分</w:t>
            </w:r>
            <w:r>
              <w:rPr>
                <w:rFonts w:hint="eastAsia" w:ascii="宋体" w:hAnsi="宋体" w:eastAsia="宋体" w:cs="宋体"/>
                <w:sz w:val="21"/>
                <w:szCs w:val="21"/>
              </w:rPr>
              <w:t>。</w:t>
            </w:r>
          </w:p>
          <w:p w14:paraId="24160716">
            <w:pPr>
              <w:jc w:val="left"/>
              <w:rPr>
                <w:rFonts w:hint="eastAsia" w:ascii="宋体" w:hAnsi="宋体" w:eastAsia="宋体" w:cs="宋体"/>
                <w:sz w:val="21"/>
                <w:szCs w:val="21"/>
                <w:lang w:eastAsia="zh-CN"/>
              </w:rPr>
            </w:pPr>
            <w:r>
              <w:rPr>
                <w:rFonts w:hint="eastAsia" w:ascii="宋体" w:hAnsi="宋体" w:eastAsia="宋体" w:cs="宋体"/>
                <w:sz w:val="21"/>
                <w:szCs w:val="21"/>
              </w:rPr>
              <w:t>3、项目负责人具有高级食品安全管理员（师）证书或食品安全管理人员考试合格证明或食品安全总监或食品安全管理人员网络考核记录；得</w:t>
            </w:r>
            <w:r>
              <w:rPr>
                <w:rFonts w:hint="eastAsia" w:ascii="宋体" w:hAnsi="宋体" w:cs="宋体"/>
                <w:sz w:val="21"/>
                <w:szCs w:val="21"/>
                <w:lang w:val="en-US" w:eastAsia="zh-CN"/>
              </w:rPr>
              <w:t>1</w:t>
            </w:r>
            <w:r>
              <w:rPr>
                <w:rFonts w:hint="eastAsia" w:ascii="宋体" w:hAnsi="宋体" w:eastAsia="宋体" w:cs="宋体"/>
                <w:sz w:val="21"/>
                <w:szCs w:val="21"/>
              </w:rPr>
              <w:t>分</w:t>
            </w:r>
            <w:r>
              <w:rPr>
                <w:rFonts w:hint="eastAsia" w:ascii="宋体" w:hAnsi="宋体" w:cs="宋体"/>
                <w:sz w:val="21"/>
                <w:szCs w:val="21"/>
                <w:lang w:eastAsia="zh-CN"/>
              </w:rPr>
              <w:t>，</w:t>
            </w:r>
            <w:r>
              <w:rPr>
                <w:rFonts w:hint="eastAsia" w:ascii="宋体" w:hAnsi="宋体" w:cs="宋体"/>
                <w:sz w:val="21"/>
                <w:szCs w:val="21"/>
                <w:lang w:val="en-US" w:eastAsia="zh-CN"/>
              </w:rPr>
              <w:t>本小项最高得1分。</w:t>
            </w:r>
          </w:p>
          <w:p w14:paraId="144B2E78">
            <w:pPr>
              <w:jc w:val="left"/>
              <w:rPr>
                <w:rFonts w:hint="eastAsia" w:ascii="宋体" w:hAnsi="宋体" w:eastAsia="宋体" w:cs="宋体"/>
                <w:sz w:val="21"/>
                <w:szCs w:val="21"/>
              </w:rPr>
            </w:pPr>
            <w:r>
              <w:rPr>
                <w:rFonts w:hint="eastAsia" w:ascii="宋体" w:hAnsi="宋体" w:eastAsia="宋体" w:cs="宋体"/>
                <w:sz w:val="21"/>
                <w:szCs w:val="21"/>
              </w:rPr>
              <w:t>以上累计得分，最高得</w:t>
            </w:r>
            <w:r>
              <w:rPr>
                <w:rFonts w:hint="eastAsia" w:ascii="宋体" w:hAnsi="宋体" w:cs="宋体"/>
                <w:sz w:val="21"/>
                <w:szCs w:val="21"/>
                <w:lang w:val="en-US" w:eastAsia="zh-CN"/>
              </w:rPr>
              <w:t>6</w:t>
            </w:r>
            <w:r>
              <w:rPr>
                <w:rFonts w:hint="eastAsia" w:ascii="宋体" w:hAnsi="宋体" w:eastAsia="宋体" w:cs="宋体"/>
                <w:sz w:val="21"/>
                <w:szCs w:val="21"/>
              </w:rPr>
              <w:t>分。</w:t>
            </w:r>
          </w:p>
          <w:p w14:paraId="6381B618">
            <w:pPr>
              <w:rPr>
                <w:b/>
              </w:rPr>
            </w:pPr>
            <w:r>
              <w:rPr>
                <w:rFonts w:hint="eastAsia"/>
                <w:b/>
              </w:rPr>
              <w:t>（二）评分依据：</w:t>
            </w:r>
          </w:p>
          <w:p w14:paraId="677423C0">
            <w:r>
              <w:rPr>
                <w:rFonts w:hint="eastAsia"/>
              </w:rPr>
              <w:t>1.</w:t>
            </w:r>
            <w:r>
              <w:t xml:space="preserve"> </w:t>
            </w:r>
            <w:r>
              <w:rPr>
                <w:rFonts w:hint="eastAsia"/>
              </w:rPr>
              <w:t>涉及学历要求的，须提供学历证书扫描件以及学信网查询记录。对于较早颁发的学历证书，学信网无法查询的，要求提供学历证书扫描件和其他佐证材料（如毕业院校、人社部门等颁发机构或监管机构等单位出具的证明）作为得分的依据。</w:t>
            </w:r>
          </w:p>
          <w:p w14:paraId="1DEB5BEE">
            <w:r>
              <w:rPr>
                <w:rFonts w:hint="eastAsia"/>
              </w:rPr>
              <w:t>海外留学（含港澳台）人员学历无法通过学信网站查询的，应当提供教育部留学服务中心出具的国外学历学位认证证书以及教育部留学服务中心官网查询截图。若证明文件为其它语言，必须附中文译文，以中文译文为准。</w:t>
            </w:r>
          </w:p>
          <w:p w14:paraId="1669DCF2">
            <w:pPr>
              <w:wordWrap w:val="0"/>
              <w:rPr>
                <w:rFonts w:hint="eastAsia" w:ascii="宋体" w:hAnsi="宋体"/>
                <w:bCs/>
                <w:szCs w:val="21"/>
              </w:rPr>
            </w:pPr>
            <w:r>
              <w:rPr>
                <w:rFonts w:hint="eastAsia"/>
              </w:rPr>
              <w:t>2.涉及人员社保的，</w:t>
            </w:r>
            <w:r>
              <w:rPr>
                <w:rFonts w:hint="eastAsia" w:ascii="宋体" w:hAnsi="宋体"/>
                <w:bCs/>
                <w:szCs w:val="21"/>
              </w:rPr>
              <w:t>要求提供通过投标人缴纳的近三个月的任意一个月的社保证明作为本单位员工的证明依据。若供应商成立不足三个月的，需提供成立情况说明函（格式自拟），无需提供相关人员社保，亦可得分；若为退休返聘人员，需提供说明函（格式自拟），无需提供相关人员社保，亦可得分。</w:t>
            </w:r>
          </w:p>
          <w:p w14:paraId="28E28342">
            <w:pPr>
              <w:wordWrap w:val="0"/>
              <w:rPr>
                <w:rStyle w:val="45"/>
              </w:rPr>
            </w:pPr>
            <w:r>
              <w:rPr>
                <w:rFonts w:hint="eastAsia" w:ascii="宋体" w:hAnsi="宋体"/>
                <w:bCs/>
                <w:szCs w:val="21"/>
                <w:lang w:val="en-US" w:eastAsia="zh-CN"/>
              </w:rPr>
              <w:t>3</w:t>
            </w:r>
            <w:r>
              <w:rPr>
                <w:rFonts w:hint="eastAsia" w:ascii="宋体" w:hAnsi="宋体"/>
                <w:bCs/>
                <w:szCs w:val="21"/>
              </w:rPr>
              <w:t>.</w:t>
            </w:r>
            <w:r>
              <w:rPr>
                <w:rFonts w:hint="eastAsia" w:ascii="宋体" w:hAnsi="宋体"/>
                <w:bCs/>
                <w:szCs w:val="21"/>
                <w:lang w:val="en-US" w:eastAsia="zh-CN"/>
              </w:rPr>
              <w:t>提供相关证书扫描件，</w:t>
            </w:r>
            <w:r>
              <w:rPr>
                <w:rFonts w:hint="eastAsia"/>
              </w:rPr>
              <w:t>若由行业协会</w:t>
            </w:r>
            <w:r>
              <w:rPr>
                <w:rFonts w:hint="eastAsia"/>
                <w:bCs/>
              </w:rPr>
              <w:t>/社会组织</w:t>
            </w:r>
            <w:r>
              <w:rPr>
                <w:rFonts w:hint="eastAsia"/>
              </w:rPr>
              <w:t>发证的，还需提供该行业协会</w:t>
            </w:r>
            <w:r>
              <w:rPr>
                <w:rFonts w:hint="eastAsia"/>
                <w:bCs/>
              </w:rPr>
              <w:t>/社会组织</w:t>
            </w:r>
            <w:r>
              <w:rPr>
                <w:rFonts w:hint="eastAsia"/>
              </w:rPr>
              <w:t>在中国社会组织政务服务平台查询正常截图（</w:t>
            </w:r>
            <w:r>
              <w:t>https://chinanpo.mca.gov.cn</w:t>
            </w:r>
            <w:r>
              <w:rPr>
                <w:rFonts w:hint="eastAsia"/>
              </w:rPr>
              <w:t>）。相关证书在公开渠道无法查询的，需提供颁发部门或者监管机构的证明材料，证明证书真实有效且为合法机构颁发。</w:t>
            </w:r>
          </w:p>
          <w:p w14:paraId="593A0004">
            <w:pPr>
              <w:rPr>
                <w:rFonts w:hint="eastAsia"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166389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3A281BB6">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4B67D9D1">
            <w:pPr>
              <w:wordWrap w:val="0"/>
              <w:jc w:val="center"/>
              <w:rPr>
                <w:rFonts w:hint="eastAsia" w:eastAsia="宋体"/>
                <w:szCs w:val="21"/>
                <w:lang w:val="en-US" w:eastAsia="zh-CN"/>
              </w:rPr>
            </w:pPr>
            <w:r>
              <w:rPr>
                <w:rFonts w:hint="eastAsia"/>
                <w:szCs w:val="21"/>
                <w:lang w:val="en-US" w:eastAsia="zh-CN"/>
              </w:rPr>
              <w:t>5</w:t>
            </w:r>
          </w:p>
        </w:tc>
        <w:tc>
          <w:tcPr>
            <w:tcW w:w="2543" w:type="dxa"/>
            <w:tcBorders>
              <w:top w:val="single" w:color="000000" w:sz="8" w:space="0"/>
              <w:left w:val="single" w:color="000000" w:sz="8" w:space="0"/>
              <w:bottom w:val="single" w:color="000000" w:sz="8" w:space="0"/>
              <w:right w:val="single" w:color="000000" w:sz="8" w:space="0"/>
            </w:tcBorders>
            <w:vAlign w:val="top"/>
          </w:tcPr>
          <w:p w14:paraId="0F59A6D9">
            <w:pPr>
              <w:widowControl/>
              <w:jc w:val="left"/>
              <w:rPr>
                <w:rFonts w:hint="eastAsia"/>
                <w:szCs w:val="21"/>
                <w:lang w:val="en-US" w:eastAsia="zh-CN"/>
              </w:rPr>
            </w:pPr>
            <w:r>
              <w:rPr>
                <w:rFonts w:hint="eastAsia" w:ascii="宋体" w:hAnsi="宋体" w:eastAsia="宋体" w:cs="宋体"/>
                <w:sz w:val="21"/>
                <w:szCs w:val="21"/>
              </w:rPr>
              <w:t>拟安排的项目团队成员（项目负责人除外）</w:t>
            </w:r>
          </w:p>
        </w:tc>
        <w:tc>
          <w:tcPr>
            <w:tcW w:w="724" w:type="dxa"/>
            <w:tcBorders>
              <w:top w:val="single" w:color="000000" w:sz="8" w:space="0"/>
              <w:left w:val="single" w:color="000000" w:sz="8" w:space="0"/>
              <w:bottom w:val="single" w:color="000000" w:sz="8" w:space="0"/>
              <w:right w:val="single" w:color="000000" w:sz="8" w:space="0"/>
            </w:tcBorders>
            <w:vAlign w:val="top"/>
          </w:tcPr>
          <w:p w14:paraId="3D9F7981">
            <w:pPr>
              <w:widowControl/>
              <w:jc w:val="left"/>
              <w:rPr>
                <w:rFonts w:hint="eastAsia" w:eastAsia="宋体" w:cs="宋体" w:asciiTheme="minorHAnsi" w:hAnsiTheme="minorHAnsi"/>
                <w:szCs w:val="22"/>
                <w:lang w:val="en-US" w:eastAsia="zh-CN"/>
              </w:rPr>
            </w:pPr>
            <w:r>
              <w:rPr>
                <w:rFonts w:hint="eastAsia" w:cs="宋体" w:asciiTheme="minorHAnsi" w:hAnsiTheme="minorHAnsi"/>
                <w:szCs w:val="22"/>
                <w:lang w:val="en-US" w:eastAsia="zh-CN"/>
              </w:rPr>
              <w:t>4</w:t>
            </w:r>
          </w:p>
        </w:tc>
        <w:tc>
          <w:tcPr>
            <w:tcW w:w="4447" w:type="dxa"/>
            <w:tcBorders>
              <w:top w:val="single" w:color="000000" w:sz="8" w:space="0"/>
              <w:left w:val="single" w:color="000000" w:sz="8" w:space="0"/>
              <w:bottom w:val="single" w:color="000000" w:sz="8" w:space="0"/>
              <w:right w:val="single" w:color="000000" w:sz="8" w:space="0"/>
            </w:tcBorders>
            <w:vAlign w:val="top"/>
          </w:tcPr>
          <w:p w14:paraId="7B6CE96D">
            <w:pPr>
              <w:rPr>
                <w:b/>
              </w:rPr>
            </w:pPr>
            <w:r>
              <w:rPr>
                <w:rFonts w:hint="eastAsia"/>
                <w:b/>
              </w:rPr>
              <w:t>（一）评分内容：</w:t>
            </w:r>
          </w:p>
          <w:p w14:paraId="72054460">
            <w:r>
              <w:rPr>
                <w:rFonts w:hint="eastAsia" w:ascii="宋体" w:hAnsi="宋体" w:eastAsia="宋体" w:cs="宋体"/>
                <w:sz w:val="21"/>
                <w:szCs w:val="21"/>
              </w:rPr>
              <w:t>拟安排的项目团队成员（项目负责人除外）</w:t>
            </w:r>
            <w:r>
              <w:rPr>
                <w:rFonts w:hint="eastAsia" w:ascii="宋体" w:hAnsi="宋体"/>
                <w:szCs w:val="21"/>
              </w:rPr>
              <w:t>须为投标人自有员工（以社保为准），否则本项不得分。</w:t>
            </w:r>
          </w:p>
          <w:p w14:paraId="1D9CEC34">
            <w:pPr>
              <w:jc w:val="left"/>
              <w:rPr>
                <w:rFonts w:hint="eastAsia" w:ascii="宋体" w:hAnsi="宋体" w:eastAsia="宋体" w:cs="宋体"/>
                <w:sz w:val="21"/>
                <w:szCs w:val="21"/>
              </w:rPr>
            </w:pPr>
            <w:r>
              <w:rPr>
                <w:rFonts w:hint="eastAsia" w:ascii="宋体" w:hAnsi="宋体" w:eastAsia="宋体" w:cs="宋体"/>
                <w:sz w:val="21"/>
                <w:szCs w:val="21"/>
              </w:rPr>
              <w:t>1.具有三级（高级）及以上中式烹调师证书的，每提供1人得</w:t>
            </w:r>
            <w:r>
              <w:rPr>
                <w:rFonts w:hint="eastAsia" w:ascii="宋体" w:hAnsi="宋体" w:cs="宋体"/>
                <w:sz w:val="21"/>
                <w:szCs w:val="21"/>
                <w:lang w:val="en-US" w:eastAsia="zh-CN"/>
              </w:rPr>
              <w:t>1.5</w:t>
            </w:r>
            <w:r>
              <w:rPr>
                <w:rFonts w:hint="eastAsia" w:ascii="宋体" w:hAnsi="宋体" w:eastAsia="宋体" w:cs="宋体"/>
                <w:sz w:val="21"/>
                <w:szCs w:val="21"/>
              </w:rPr>
              <w:t>分，本项最高得</w:t>
            </w:r>
            <w:r>
              <w:rPr>
                <w:rFonts w:hint="eastAsia" w:ascii="宋体" w:hAnsi="宋体" w:cs="宋体"/>
                <w:sz w:val="21"/>
                <w:szCs w:val="21"/>
                <w:lang w:val="en-US" w:eastAsia="zh-CN"/>
              </w:rPr>
              <w:t>3</w:t>
            </w:r>
            <w:r>
              <w:rPr>
                <w:rFonts w:hint="eastAsia" w:ascii="宋体" w:hAnsi="宋体" w:eastAsia="宋体" w:cs="宋体"/>
                <w:sz w:val="21"/>
                <w:szCs w:val="21"/>
              </w:rPr>
              <w:t xml:space="preserve">分； </w:t>
            </w:r>
          </w:p>
          <w:p w14:paraId="6FDB1CAA">
            <w:pPr>
              <w:jc w:val="left"/>
              <w:rPr>
                <w:rFonts w:hint="eastAsia" w:ascii="宋体" w:hAnsi="宋体" w:eastAsia="宋体" w:cs="宋体"/>
                <w:sz w:val="21"/>
                <w:szCs w:val="21"/>
              </w:rPr>
            </w:pPr>
            <w:r>
              <w:rPr>
                <w:rFonts w:hint="eastAsia" w:ascii="宋体" w:hAnsi="宋体" w:eastAsia="宋体" w:cs="宋体"/>
                <w:sz w:val="21"/>
                <w:szCs w:val="21"/>
              </w:rPr>
              <w:t>2.具有三级（高级）及以上中式面点师证书，每提供1人得</w:t>
            </w:r>
            <w:r>
              <w:rPr>
                <w:rFonts w:hint="eastAsia" w:ascii="宋体" w:hAnsi="宋体" w:cs="宋体"/>
                <w:sz w:val="21"/>
                <w:szCs w:val="21"/>
                <w:lang w:val="en-US" w:eastAsia="zh-CN"/>
              </w:rPr>
              <w:t>1</w:t>
            </w:r>
            <w:r>
              <w:rPr>
                <w:rFonts w:hint="eastAsia" w:ascii="宋体" w:hAnsi="宋体" w:eastAsia="宋体" w:cs="宋体"/>
                <w:sz w:val="21"/>
                <w:szCs w:val="21"/>
              </w:rPr>
              <w:t>分，本项最高得</w:t>
            </w:r>
            <w:r>
              <w:rPr>
                <w:rFonts w:hint="eastAsia" w:ascii="宋体" w:hAnsi="宋体" w:cs="宋体"/>
                <w:sz w:val="21"/>
                <w:szCs w:val="21"/>
                <w:lang w:val="en-US" w:eastAsia="zh-CN"/>
              </w:rPr>
              <w:t>1</w:t>
            </w:r>
            <w:r>
              <w:rPr>
                <w:rFonts w:hint="eastAsia" w:ascii="宋体" w:hAnsi="宋体" w:eastAsia="宋体" w:cs="宋体"/>
                <w:sz w:val="21"/>
                <w:szCs w:val="21"/>
              </w:rPr>
              <w:t>分；</w:t>
            </w:r>
          </w:p>
          <w:p w14:paraId="65FA03C9">
            <w:pPr>
              <w:jc w:val="left"/>
              <w:rPr>
                <w:rFonts w:hint="eastAsia" w:ascii="宋体" w:hAnsi="宋体" w:eastAsia="宋体" w:cs="宋体"/>
                <w:sz w:val="21"/>
                <w:szCs w:val="21"/>
              </w:rPr>
            </w:pPr>
            <w:r>
              <w:rPr>
                <w:rFonts w:hint="eastAsia" w:ascii="宋体" w:hAnsi="宋体" w:eastAsia="宋体" w:cs="宋体"/>
                <w:sz w:val="21"/>
                <w:szCs w:val="21"/>
              </w:rPr>
              <w:t>同一人获得多个证书不重复计分，以上二项累计得分，最高得</w:t>
            </w:r>
            <w:r>
              <w:rPr>
                <w:rFonts w:hint="eastAsia" w:ascii="宋体" w:hAnsi="宋体" w:cs="宋体"/>
                <w:sz w:val="21"/>
                <w:szCs w:val="21"/>
                <w:lang w:val="en-US" w:eastAsia="zh-CN"/>
              </w:rPr>
              <w:t>4</w:t>
            </w:r>
            <w:r>
              <w:rPr>
                <w:rFonts w:hint="eastAsia" w:ascii="宋体" w:hAnsi="宋体" w:eastAsia="宋体" w:cs="宋体"/>
                <w:sz w:val="21"/>
                <w:szCs w:val="21"/>
              </w:rPr>
              <w:t>分。</w:t>
            </w:r>
          </w:p>
          <w:p w14:paraId="3E552AAA">
            <w:pPr>
              <w:rPr>
                <w:b/>
              </w:rPr>
            </w:pPr>
            <w:r>
              <w:rPr>
                <w:rFonts w:hint="eastAsia"/>
                <w:b/>
              </w:rPr>
              <w:t>（二）评分依据：</w:t>
            </w:r>
          </w:p>
          <w:p w14:paraId="6BF9762D">
            <w:pPr>
              <w:wordWrap w:val="0"/>
              <w:rPr>
                <w:rFonts w:hint="eastAsia" w:ascii="宋体" w:hAnsi="宋体"/>
                <w:bCs/>
                <w:szCs w:val="21"/>
              </w:rPr>
            </w:pPr>
            <w:r>
              <w:rPr>
                <w:rFonts w:hint="eastAsia"/>
              </w:rPr>
              <w:t>1.</w:t>
            </w:r>
            <w:r>
              <w:t xml:space="preserve"> </w:t>
            </w:r>
            <w:r>
              <w:rPr>
                <w:rFonts w:hint="eastAsia"/>
              </w:rPr>
              <w:t>涉及人员社保的，</w:t>
            </w:r>
            <w:r>
              <w:rPr>
                <w:rFonts w:hint="eastAsia" w:ascii="宋体" w:hAnsi="宋体"/>
                <w:bCs/>
                <w:szCs w:val="21"/>
              </w:rPr>
              <w:t>要求提供通过投标人缴纳的近三个月的任意一个月的社保证明作为本单位员工的证明依据。若供应商成立不足三个月的，需提供成立情况说明函（格式自拟），无需提供相关人员社保，亦可得分；若为退休返聘人员，需提供说明函（格式自拟），无需提供相关人员社保，亦可得分。</w:t>
            </w:r>
          </w:p>
          <w:p w14:paraId="00CB53F5">
            <w:pPr>
              <w:wordWrap w:val="0"/>
              <w:rPr>
                <w:rStyle w:val="45"/>
              </w:rPr>
            </w:pPr>
            <w:r>
              <w:rPr>
                <w:rFonts w:hint="eastAsia" w:ascii="宋体" w:hAnsi="宋体"/>
                <w:bCs/>
                <w:szCs w:val="21"/>
              </w:rPr>
              <w:t>4.</w:t>
            </w:r>
            <w:r>
              <w:rPr>
                <w:rFonts w:hint="eastAsia" w:ascii="宋体" w:hAnsi="宋体"/>
                <w:bCs/>
                <w:szCs w:val="21"/>
                <w:lang w:val="en-US" w:eastAsia="zh-CN"/>
              </w:rPr>
              <w:t>提供相关证书扫描件，</w:t>
            </w:r>
            <w:r>
              <w:rPr>
                <w:rFonts w:hint="eastAsia"/>
              </w:rPr>
              <w:t>若由行业协会</w:t>
            </w:r>
            <w:r>
              <w:rPr>
                <w:rFonts w:hint="eastAsia"/>
                <w:bCs/>
              </w:rPr>
              <w:t>/社会组织</w:t>
            </w:r>
            <w:r>
              <w:rPr>
                <w:rFonts w:hint="eastAsia"/>
              </w:rPr>
              <w:t>发证的，还需提供该行业协会</w:t>
            </w:r>
            <w:r>
              <w:rPr>
                <w:rFonts w:hint="eastAsia"/>
                <w:bCs/>
              </w:rPr>
              <w:t>/社会组织</w:t>
            </w:r>
            <w:r>
              <w:rPr>
                <w:rFonts w:hint="eastAsia"/>
              </w:rPr>
              <w:t>在中国社会组织政务服务平台查询正常截图（</w:t>
            </w:r>
            <w:r>
              <w:t>https://chinanpo.mca.gov.cn</w:t>
            </w:r>
            <w:r>
              <w:rPr>
                <w:rFonts w:hint="eastAsia"/>
              </w:rPr>
              <w:t>）。相关证书在公开渠道无法查询的，需提供颁发部门或者监管机构的证明材料，证明证书真实有效且为合法机构颁发。</w:t>
            </w:r>
          </w:p>
          <w:p w14:paraId="410C1C14">
            <w:pPr>
              <w:rPr>
                <w:rFonts w:hint="eastAsia"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4E193D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1C7C2515">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7D5B61AC">
            <w:pPr>
              <w:wordWrap w:val="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6</w:t>
            </w:r>
          </w:p>
        </w:tc>
        <w:tc>
          <w:tcPr>
            <w:tcW w:w="2543" w:type="dxa"/>
            <w:tcBorders>
              <w:top w:val="single" w:color="000000" w:sz="8" w:space="0"/>
              <w:left w:val="single" w:color="000000" w:sz="8" w:space="0"/>
              <w:bottom w:val="single" w:color="000000" w:sz="8" w:space="0"/>
              <w:right w:val="single" w:color="000000" w:sz="8" w:space="0"/>
            </w:tcBorders>
            <w:vAlign w:val="top"/>
          </w:tcPr>
          <w:p w14:paraId="095BC638">
            <w:pPr>
              <w:widowControl/>
              <w:jc w:val="left"/>
              <w:rPr>
                <w:rFonts w:eastAsia="宋体" w:cs="宋体" w:asciiTheme="minorHAnsi" w:hAnsiTheme="minorHAnsi"/>
                <w:kern w:val="2"/>
                <w:sz w:val="21"/>
                <w:szCs w:val="22"/>
                <w:lang w:val="en-US" w:eastAsia="zh-CN" w:bidi="ar-SA"/>
              </w:rPr>
            </w:pPr>
            <w:r>
              <w:rPr>
                <w:rFonts w:hint="eastAsia" w:ascii="宋体" w:hAnsi="宋体" w:eastAsia="宋体" w:cs="宋体"/>
                <w:sz w:val="21"/>
                <w:szCs w:val="21"/>
              </w:rPr>
              <w:t>项目完成（服务期满）后的服务承诺</w:t>
            </w:r>
          </w:p>
        </w:tc>
        <w:tc>
          <w:tcPr>
            <w:tcW w:w="724" w:type="dxa"/>
            <w:tcBorders>
              <w:top w:val="single" w:color="000000" w:sz="8" w:space="0"/>
              <w:left w:val="single" w:color="000000" w:sz="8" w:space="0"/>
              <w:bottom w:val="single" w:color="000000" w:sz="8" w:space="0"/>
              <w:right w:val="single" w:color="000000" w:sz="8" w:space="0"/>
            </w:tcBorders>
            <w:vAlign w:val="top"/>
          </w:tcPr>
          <w:p w14:paraId="663C02EA">
            <w:pPr>
              <w:widowControl/>
              <w:jc w:val="left"/>
              <w:rPr>
                <w:rFonts w:eastAsia="宋体" w:cs="宋体" w:asciiTheme="minorHAnsi" w:hAnsiTheme="minorHAnsi"/>
                <w:kern w:val="2"/>
                <w:sz w:val="21"/>
                <w:szCs w:val="22"/>
                <w:lang w:val="en-US" w:eastAsia="zh-CN" w:bidi="ar-SA"/>
              </w:rPr>
            </w:pPr>
            <w:r>
              <w:rPr>
                <w:rFonts w:hint="eastAsia" w:ascii="宋体" w:hAnsi="宋体" w:eastAsia="宋体" w:cs="宋体"/>
                <w:kern w:val="2"/>
                <w:sz w:val="21"/>
                <w:szCs w:val="21"/>
                <w:lang w:val="en-US" w:eastAsia="zh-CN" w:bidi="ar-SA"/>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26FDC63C">
            <w:pPr>
              <w:rPr>
                <w:rFonts w:hint="eastAsia" w:ascii="宋体" w:hAnsi="宋体" w:eastAsia="宋体" w:cs="宋体"/>
                <w:b/>
                <w:sz w:val="21"/>
                <w:szCs w:val="21"/>
              </w:rPr>
            </w:pPr>
            <w:r>
              <w:rPr>
                <w:rFonts w:hint="eastAsia" w:ascii="宋体" w:hAnsi="宋体" w:eastAsia="宋体" w:cs="宋体"/>
                <w:b/>
                <w:sz w:val="21"/>
                <w:szCs w:val="21"/>
              </w:rPr>
              <w:t>（一）评分内容：</w:t>
            </w:r>
          </w:p>
          <w:p w14:paraId="7B3FB056">
            <w:pPr>
              <w:wordWrap w:val="0"/>
              <w:rPr>
                <w:rFonts w:hint="eastAsia" w:ascii="宋体" w:hAnsi="宋体" w:eastAsia="宋体" w:cs="宋体"/>
                <w:sz w:val="21"/>
                <w:szCs w:val="21"/>
              </w:rPr>
            </w:pPr>
            <w:r>
              <w:rPr>
                <w:rFonts w:hint="eastAsia" w:ascii="宋体" w:hAnsi="宋体" w:eastAsia="宋体" w:cs="宋体"/>
                <w:sz w:val="21"/>
                <w:szCs w:val="21"/>
              </w:rPr>
              <w:t>1.服务期满后主动离岗。</w:t>
            </w:r>
          </w:p>
          <w:p w14:paraId="20BD198D">
            <w:pPr>
              <w:wordWrap w:val="0"/>
              <w:rPr>
                <w:rFonts w:hint="eastAsia" w:ascii="宋体" w:hAnsi="宋体" w:eastAsia="宋体" w:cs="宋体"/>
                <w:sz w:val="21"/>
                <w:szCs w:val="21"/>
              </w:rPr>
            </w:pPr>
            <w:r>
              <w:rPr>
                <w:rFonts w:hint="eastAsia" w:ascii="宋体" w:hAnsi="宋体" w:eastAsia="宋体" w:cs="宋体"/>
                <w:sz w:val="21"/>
                <w:szCs w:val="21"/>
              </w:rPr>
              <w:t>2.与后续服务公司进行交接。</w:t>
            </w:r>
          </w:p>
          <w:p w14:paraId="1B84E12B">
            <w:pPr>
              <w:wordWrap w:val="0"/>
              <w:rPr>
                <w:rFonts w:hint="eastAsia" w:ascii="宋体" w:hAnsi="宋体" w:eastAsia="宋体" w:cs="宋体"/>
                <w:sz w:val="21"/>
                <w:szCs w:val="21"/>
              </w:rPr>
            </w:pPr>
            <w:r>
              <w:rPr>
                <w:rFonts w:hint="eastAsia" w:ascii="宋体" w:hAnsi="宋体" w:eastAsia="宋体" w:cs="宋体"/>
                <w:sz w:val="21"/>
                <w:szCs w:val="21"/>
              </w:rPr>
              <w:t>3.服务期满，后续服务公司未到位前仍按原合同服务承诺提供服务。</w:t>
            </w:r>
          </w:p>
          <w:p w14:paraId="1F7A7B78">
            <w:pPr>
              <w:rPr>
                <w:rFonts w:hint="eastAsia" w:ascii="宋体" w:hAnsi="宋体" w:eastAsia="宋体" w:cs="宋体"/>
                <w:b/>
                <w:sz w:val="21"/>
                <w:szCs w:val="21"/>
              </w:rPr>
            </w:pPr>
            <w:r>
              <w:rPr>
                <w:rFonts w:hint="eastAsia" w:ascii="宋体" w:hAnsi="宋体" w:eastAsia="宋体" w:cs="宋体"/>
                <w:b/>
                <w:sz w:val="21"/>
                <w:szCs w:val="21"/>
              </w:rPr>
              <w:t>（二）评分依据：</w:t>
            </w:r>
          </w:p>
          <w:p w14:paraId="68AB0C7D">
            <w:pPr>
              <w:wordWrap w:val="0"/>
              <w:rPr>
                <w:rFonts w:eastAsia="宋体" w:cs="宋体" w:asciiTheme="minorHAnsi" w:hAnsiTheme="minorHAnsi"/>
                <w:kern w:val="2"/>
                <w:sz w:val="21"/>
                <w:szCs w:val="22"/>
                <w:lang w:val="en-US" w:eastAsia="zh-CN" w:bidi="ar-SA"/>
              </w:rPr>
            </w:pPr>
            <w:r>
              <w:rPr>
                <w:rFonts w:hint="eastAsia" w:ascii="宋体" w:hAnsi="宋体" w:eastAsia="宋体" w:cs="宋体"/>
                <w:sz w:val="21"/>
                <w:szCs w:val="21"/>
              </w:rPr>
              <w:t>投标人承诺以上全部三项的得5分，要求提供承诺（格式自定）作为得分依据，未提供承诺或承诺内容不满足要求不得分。</w:t>
            </w:r>
          </w:p>
        </w:tc>
      </w:tr>
      <w:tr w14:paraId="392EBE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40E9BA79">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25F069AE">
            <w:pPr>
              <w:wordWrap w:val="0"/>
              <w:jc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7</w:t>
            </w:r>
          </w:p>
        </w:tc>
        <w:tc>
          <w:tcPr>
            <w:tcW w:w="2543" w:type="dxa"/>
            <w:tcBorders>
              <w:top w:val="single" w:color="000000" w:sz="8" w:space="0"/>
              <w:left w:val="single" w:color="000000" w:sz="8" w:space="0"/>
              <w:bottom w:val="single" w:color="000000" w:sz="8" w:space="0"/>
              <w:right w:val="single" w:color="000000" w:sz="8" w:space="0"/>
            </w:tcBorders>
            <w:shd w:val="clear" w:color="auto" w:fill="auto"/>
            <w:vAlign w:val="top"/>
          </w:tcPr>
          <w:p w14:paraId="7F002FDE">
            <w:pPr>
              <w:wordWrap w:val="0"/>
              <w:rPr>
                <w:rFonts w:hint="eastAsia" w:ascii="宋体" w:hAnsi="宋体" w:eastAsia="宋体" w:cs="宋体"/>
                <w:color w:val="FF0000"/>
                <w:sz w:val="21"/>
                <w:szCs w:val="21"/>
              </w:rPr>
            </w:pPr>
            <w:r>
              <w:rPr>
                <w:rFonts w:hint="eastAsia" w:ascii="宋体" w:hAnsi="宋体" w:eastAsia="宋体" w:cs="宋体"/>
                <w:sz w:val="21"/>
                <w:szCs w:val="21"/>
              </w:rPr>
              <w:t>投标人同类项目业绩情况</w:t>
            </w:r>
          </w:p>
          <w:p w14:paraId="0BF1487E">
            <w:pPr>
              <w:wordWrap w:val="0"/>
              <w:rPr>
                <w:rFonts w:hint="eastAsia" w:ascii="宋体" w:hAnsi="宋体" w:eastAsia="宋体" w:cs="宋体"/>
                <w:sz w:val="21"/>
                <w:szCs w:val="21"/>
              </w:rPr>
            </w:pPr>
          </w:p>
          <w:p w14:paraId="361D7EDB">
            <w:pPr>
              <w:widowControl/>
              <w:jc w:val="left"/>
              <w:rPr>
                <w:rFonts w:hint="default" w:ascii="Times New Roman" w:hAnsi="Times New Roman" w:eastAsia="宋体" w:cs="Times New Roman"/>
                <w:kern w:val="2"/>
                <w:sz w:val="21"/>
                <w:szCs w:val="24"/>
                <w:lang w:val="en-US" w:eastAsia="zh-CN" w:bidi="ar-SA"/>
              </w:rPr>
            </w:pPr>
          </w:p>
        </w:tc>
        <w:tc>
          <w:tcPr>
            <w:tcW w:w="724" w:type="dxa"/>
            <w:tcBorders>
              <w:top w:val="single" w:color="000000" w:sz="8" w:space="0"/>
              <w:left w:val="single" w:color="000000" w:sz="8" w:space="0"/>
              <w:bottom w:val="single" w:color="000000" w:sz="8" w:space="0"/>
              <w:right w:val="single" w:color="000000" w:sz="8" w:space="0"/>
            </w:tcBorders>
            <w:shd w:val="clear" w:color="auto" w:fill="auto"/>
            <w:vAlign w:val="top"/>
          </w:tcPr>
          <w:p w14:paraId="73F0FAD7">
            <w:pPr>
              <w:widowControl/>
              <w:jc w:val="left"/>
              <w:rPr>
                <w:rFonts w:eastAsia="宋体" w:cs="宋体" w:asciiTheme="minorHAnsi" w:hAnsiTheme="minorHAnsi"/>
                <w:color w:val="FF0000"/>
                <w:kern w:val="2"/>
                <w:sz w:val="21"/>
                <w:szCs w:val="22"/>
                <w:lang w:val="en-US" w:eastAsia="zh-CN" w:bidi="ar-SA"/>
              </w:rPr>
            </w:pPr>
            <w:r>
              <w:rPr>
                <w:rFonts w:hint="eastAsia" w:ascii="宋体" w:hAnsi="宋体" w:eastAsia="宋体" w:cs="宋体"/>
                <w:sz w:val="21"/>
                <w:szCs w:val="21"/>
                <w:lang w:val="en-US" w:eastAsia="zh-CN"/>
              </w:rPr>
              <w:t>5</w:t>
            </w:r>
          </w:p>
        </w:tc>
        <w:tc>
          <w:tcPr>
            <w:tcW w:w="4447" w:type="dxa"/>
            <w:tcBorders>
              <w:top w:val="single" w:color="000000" w:sz="8" w:space="0"/>
              <w:left w:val="single" w:color="000000" w:sz="8" w:space="0"/>
              <w:bottom w:val="single" w:color="000000" w:sz="8" w:space="0"/>
              <w:right w:val="single" w:color="000000" w:sz="8" w:space="0"/>
            </w:tcBorders>
            <w:shd w:val="clear" w:color="auto" w:fill="auto"/>
            <w:vAlign w:val="top"/>
          </w:tcPr>
          <w:p w14:paraId="38CBF600">
            <w:pPr>
              <w:rPr>
                <w:rFonts w:hint="eastAsia" w:ascii="宋体" w:hAnsi="宋体" w:eastAsia="宋体" w:cs="宋体"/>
                <w:b w:val="0"/>
                <w:bCs/>
                <w:sz w:val="21"/>
                <w:szCs w:val="21"/>
              </w:rPr>
            </w:pPr>
            <w:r>
              <w:rPr>
                <w:rFonts w:hint="eastAsia" w:ascii="宋体" w:hAnsi="宋体" w:eastAsia="宋体" w:cs="宋体"/>
                <w:b w:val="0"/>
                <w:bCs/>
                <w:sz w:val="21"/>
                <w:szCs w:val="21"/>
              </w:rPr>
              <w:t>（一）评分内容：</w:t>
            </w:r>
          </w:p>
          <w:p w14:paraId="37111C3E">
            <w:pPr>
              <w:rPr>
                <w:rFonts w:hint="eastAsia" w:ascii="宋体" w:hAnsi="宋体" w:eastAsia="宋体" w:cs="宋体"/>
                <w:b w:val="0"/>
                <w:bCs/>
                <w:sz w:val="21"/>
                <w:szCs w:val="21"/>
              </w:rPr>
            </w:pPr>
            <w:r>
              <w:rPr>
                <w:rFonts w:hint="eastAsia" w:ascii="宋体" w:hAnsi="宋体" w:eastAsia="宋体" w:cs="宋体"/>
                <w:b w:val="0"/>
                <w:bCs/>
                <w:sz w:val="21"/>
                <w:szCs w:val="21"/>
              </w:rPr>
              <w:t>投标人自202</w:t>
            </w:r>
            <w:r>
              <w:rPr>
                <w:rFonts w:hint="eastAsia" w:ascii="宋体" w:hAnsi="宋体" w:eastAsia="宋体" w:cs="宋体"/>
                <w:b w:val="0"/>
                <w:bCs/>
                <w:sz w:val="21"/>
                <w:szCs w:val="21"/>
                <w:lang w:val="en-US" w:eastAsia="zh-CN"/>
              </w:rPr>
              <w:t>3</w:t>
            </w:r>
            <w:r>
              <w:rPr>
                <w:rFonts w:hint="eastAsia" w:ascii="宋体" w:hAnsi="宋体" w:eastAsia="宋体" w:cs="宋体"/>
                <w:b w:val="0"/>
                <w:bCs/>
                <w:sz w:val="21"/>
                <w:szCs w:val="21"/>
              </w:rPr>
              <w:t>年1月1日至投标截止之日（以合同签订日期为准）正在执行或已完成的政府部门或事业单位</w:t>
            </w:r>
            <w:r>
              <w:rPr>
                <w:rFonts w:hint="eastAsia" w:ascii="宋体" w:hAnsi="宋体" w:cs="宋体"/>
                <w:b w:val="0"/>
                <w:bCs/>
                <w:sz w:val="21"/>
                <w:szCs w:val="21"/>
                <w:lang w:val="en-US" w:eastAsia="zh-CN"/>
              </w:rPr>
              <w:t>或公办中小学</w:t>
            </w:r>
            <w:r>
              <w:rPr>
                <w:rFonts w:hint="eastAsia" w:ascii="宋体" w:hAnsi="宋体" w:eastAsia="宋体" w:cs="宋体"/>
                <w:b w:val="0"/>
                <w:bCs/>
                <w:sz w:val="21"/>
                <w:szCs w:val="21"/>
              </w:rPr>
              <w:t>的食堂运营或食堂人工服务项目，且经采购单位或被服务单位总体（终期）履约评价结果为“优”或“优秀”或评价表中其他最高等级评价的，每提供一份合同业绩得</w:t>
            </w:r>
            <w:r>
              <w:rPr>
                <w:rFonts w:hint="eastAsia" w:ascii="宋体" w:hAnsi="宋体" w:eastAsia="宋体" w:cs="宋体"/>
                <w:b w:val="0"/>
                <w:bCs/>
                <w:sz w:val="21"/>
                <w:szCs w:val="21"/>
                <w:lang w:val="en-US" w:eastAsia="zh-CN"/>
              </w:rPr>
              <w:t>1</w:t>
            </w:r>
            <w:r>
              <w:rPr>
                <w:rFonts w:hint="eastAsia" w:ascii="宋体" w:hAnsi="宋体" w:eastAsia="宋体" w:cs="宋体"/>
                <w:b w:val="0"/>
                <w:bCs/>
                <w:sz w:val="21"/>
                <w:szCs w:val="21"/>
              </w:rPr>
              <w:t>分，最高得</w:t>
            </w:r>
            <w:r>
              <w:rPr>
                <w:rFonts w:hint="eastAsia" w:ascii="宋体" w:hAnsi="宋体" w:eastAsia="宋体" w:cs="宋体"/>
                <w:b w:val="0"/>
                <w:bCs/>
                <w:sz w:val="21"/>
                <w:szCs w:val="21"/>
                <w:lang w:val="en-US" w:eastAsia="zh-CN"/>
              </w:rPr>
              <w:t>5</w:t>
            </w:r>
            <w:r>
              <w:rPr>
                <w:rFonts w:hint="eastAsia" w:ascii="宋体" w:hAnsi="宋体" w:eastAsia="宋体" w:cs="宋体"/>
                <w:b w:val="0"/>
                <w:bCs/>
                <w:sz w:val="21"/>
                <w:szCs w:val="21"/>
              </w:rPr>
              <w:t>分。</w:t>
            </w:r>
          </w:p>
          <w:p w14:paraId="1D45AE5B">
            <w:pPr>
              <w:rPr>
                <w:rFonts w:hint="eastAsia" w:ascii="宋体" w:hAnsi="宋体" w:eastAsia="宋体" w:cs="宋体"/>
                <w:b w:val="0"/>
                <w:bCs/>
                <w:sz w:val="21"/>
                <w:szCs w:val="21"/>
              </w:rPr>
            </w:pPr>
            <w:r>
              <w:rPr>
                <w:rFonts w:hint="eastAsia" w:ascii="宋体" w:hAnsi="宋体" w:eastAsia="宋体" w:cs="宋体"/>
                <w:b w:val="0"/>
                <w:bCs/>
                <w:sz w:val="21"/>
                <w:szCs w:val="21"/>
              </w:rPr>
              <w:t>（二）评分依据：</w:t>
            </w:r>
          </w:p>
          <w:p w14:paraId="64A467D0">
            <w:pPr>
              <w:rPr>
                <w:rFonts w:hint="eastAsia" w:ascii="宋体" w:hAnsi="宋体" w:eastAsia="宋体" w:cs="宋体"/>
                <w:b w:val="0"/>
                <w:bCs/>
                <w:sz w:val="21"/>
                <w:szCs w:val="21"/>
              </w:rPr>
            </w:pPr>
            <w:r>
              <w:rPr>
                <w:rFonts w:hint="eastAsia" w:ascii="宋体" w:hAnsi="宋体" w:eastAsia="宋体" w:cs="宋体"/>
                <w:b w:val="0"/>
                <w:bCs/>
                <w:sz w:val="21"/>
                <w:szCs w:val="21"/>
              </w:rPr>
              <w:t>1.要求提供合同关键信息（包括但不限于合同标的、签订时间、双方签章页）作为得分依据，通过合同关键信息无法判断是否得分的，还须同时提供能证明得分的其它证明资料，如合同甲方出具的证明文件或项目报告。</w:t>
            </w:r>
          </w:p>
          <w:p w14:paraId="23CB2D73">
            <w:pPr>
              <w:wordWrap w:val="0"/>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w:t>
            </w:r>
            <w:r>
              <w:rPr>
                <w:rFonts w:hint="eastAsia" w:ascii="宋体" w:hAnsi="宋体" w:eastAsia="宋体" w:cs="宋体"/>
                <w:sz w:val="21"/>
                <w:szCs w:val="21"/>
              </w:rPr>
              <w:t>提供加盖合同甲方公章（或甲方业务章）项目</w:t>
            </w:r>
            <w:r>
              <w:rPr>
                <w:rFonts w:hint="eastAsia" w:ascii="宋体" w:hAnsi="宋体" w:eastAsia="宋体" w:cs="宋体"/>
                <w:kern w:val="0"/>
                <w:sz w:val="21"/>
                <w:szCs w:val="21"/>
              </w:rPr>
              <w:t>履约评价或验收合格证明文件</w:t>
            </w:r>
            <w:r>
              <w:rPr>
                <w:rFonts w:hint="eastAsia" w:ascii="宋体" w:hAnsi="宋体" w:eastAsia="宋体" w:cs="宋体"/>
                <w:sz w:val="21"/>
                <w:szCs w:val="21"/>
              </w:rPr>
              <w:t>清晰扫描件。</w:t>
            </w:r>
          </w:p>
          <w:p w14:paraId="4128F92C">
            <w:pPr>
              <w:rPr>
                <w:rFonts w:ascii="Times New Roman" w:hAnsi="Times New Roman" w:eastAsia="宋体" w:cs="Times New Roman"/>
                <w:b/>
                <w:kern w:val="2"/>
                <w:sz w:val="21"/>
                <w:szCs w:val="24"/>
                <w:lang w:val="en-US" w:eastAsia="zh-CN" w:bidi="ar-SA"/>
              </w:rPr>
            </w:pPr>
            <w:r>
              <w:rPr>
                <w:rFonts w:hint="eastAsia" w:ascii="宋体" w:hAnsi="宋体" w:eastAsia="宋体" w:cs="宋体"/>
                <w:b w:val="0"/>
                <w:bCs/>
                <w:sz w:val="21"/>
                <w:szCs w:val="21"/>
              </w:rPr>
              <w:t>备注：以上资料均要求提供扫描件，评分中出现无证明资料或证书过期或专家无法凭所提供资料判断是否得分的情况，一律作不得分处理。</w:t>
            </w:r>
          </w:p>
        </w:tc>
      </w:tr>
      <w:tr w14:paraId="6BCC14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restart"/>
            <w:tcBorders>
              <w:top w:val="single" w:color="000000" w:sz="8" w:space="0"/>
              <w:left w:val="single" w:color="000000" w:sz="8" w:space="0"/>
              <w:right w:val="single" w:color="000000" w:sz="8" w:space="0"/>
            </w:tcBorders>
          </w:tcPr>
          <w:p w14:paraId="37D706BB">
            <w:pPr>
              <w:wordWrap w:val="0"/>
              <w:jc w:val="center"/>
              <w:rPr>
                <w:rFonts w:ascii="宋体" w:hAnsi="宋体" w:cs="宋体"/>
                <w:b/>
                <w:bCs/>
                <w:color w:val="0000FF"/>
                <w:sz w:val="24"/>
              </w:rPr>
            </w:pPr>
            <w:bookmarkStart w:id="3" w:name="OLE_LINK6" w:colFirst="1" w:colLast="2"/>
            <w:r>
              <w:rPr>
                <w:b/>
                <w:bCs/>
                <w:color w:val="0000FF"/>
              </w:rPr>
              <w:t>3</w:t>
            </w:r>
          </w:p>
        </w:tc>
        <w:tc>
          <w:tcPr>
            <w:tcW w:w="3947" w:type="dxa"/>
            <w:gridSpan w:val="3"/>
            <w:tcBorders>
              <w:top w:val="single" w:color="000000" w:sz="8" w:space="0"/>
              <w:left w:val="single" w:color="000000" w:sz="8" w:space="0"/>
              <w:bottom w:val="single" w:color="000000" w:sz="8" w:space="0"/>
              <w:right w:val="single" w:color="000000" w:sz="8" w:space="0"/>
            </w:tcBorders>
          </w:tcPr>
          <w:p w14:paraId="1C490F9C">
            <w:pPr>
              <w:wordWrap w:val="0"/>
              <w:jc w:val="center"/>
              <w:rPr>
                <w:rFonts w:ascii="宋体" w:hAnsi="宋体" w:cs="宋体"/>
                <w:b/>
                <w:bCs/>
                <w:color w:val="0000FF"/>
                <w:sz w:val="24"/>
              </w:rPr>
            </w:pPr>
            <w:r>
              <w:rPr>
                <w:rFonts w:hint="eastAsia"/>
                <w:b/>
                <w:bCs/>
                <w:color w:val="0000FF"/>
              </w:rPr>
              <w:t>综合实力部分</w:t>
            </w:r>
          </w:p>
        </w:tc>
        <w:tc>
          <w:tcPr>
            <w:tcW w:w="4447" w:type="dxa"/>
            <w:tcBorders>
              <w:top w:val="single" w:color="000000" w:sz="8" w:space="0"/>
              <w:left w:val="single" w:color="000000" w:sz="8" w:space="0"/>
              <w:bottom w:val="single" w:color="000000" w:sz="8" w:space="0"/>
              <w:right w:val="single" w:color="000000" w:sz="8" w:space="0"/>
            </w:tcBorders>
          </w:tcPr>
          <w:p w14:paraId="0463FC0A">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37</w:t>
            </w:r>
          </w:p>
        </w:tc>
      </w:tr>
      <w:bookmarkEnd w:id="3"/>
      <w:tr w14:paraId="1A8B13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05BA9ADC">
            <w:pPr>
              <w:widowControl/>
              <w:jc w:val="left"/>
              <w:rPr>
                <w:rFonts w:ascii="宋体" w:hAnsi="宋体" w:cs="宋体"/>
                <w:b/>
                <w:bCs/>
                <w:color w:val="0000FF"/>
                <w:sz w:val="24"/>
              </w:rPr>
            </w:pPr>
            <w:bookmarkStart w:id="4" w:name="OLE_LINK13" w:colFirst="1" w:colLast="4"/>
          </w:p>
        </w:tc>
        <w:tc>
          <w:tcPr>
            <w:tcW w:w="680"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4EAF6168">
            <w:pPr>
              <w:wordWrap w:val="0"/>
              <w:jc w:val="center"/>
              <w:rPr>
                <w:rFonts w:ascii="宋体" w:hAnsi="宋体" w:cs="宋体"/>
                <w:szCs w:val="21"/>
              </w:rPr>
            </w:pPr>
            <w:r>
              <w:rPr>
                <w:rFonts w:hint="eastAsia"/>
                <w:szCs w:val="21"/>
              </w:rPr>
              <w:t>序号</w:t>
            </w:r>
          </w:p>
        </w:tc>
        <w:tc>
          <w:tcPr>
            <w:tcW w:w="2543"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4AE35F5E">
            <w:pPr>
              <w:wordWrap w:val="0"/>
              <w:jc w:val="center"/>
              <w:rPr>
                <w:rFonts w:ascii="宋体" w:hAnsi="宋体" w:cs="宋体"/>
                <w:szCs w:val="21"/>
              </w:rPr>
            </w:pPr>
            <w:r>
              <w:rPr>
                <w:rFonts w:hint="eastAsia"/>
                <w:szCs w:val="21"/>
              </w:rPr>
              <w:t>评分因素</w:t>
            </w:r>
          </w:p>
        </w:tc>
        <w:tc>
          <w:tcPr>
            <w:tcW w:w="724"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4C29EC26">
            <w:pPr>
              <w:wordWrap w:val="0"/>
              <w:jc w:val="center"/>
              <w:rPr>
                <w:rFonts w:ascii="宋体" w:hAnsi="宋体" w:cs="宋体"/>
                <w:szCs w:val="21"/>
              </w:rPr>
            </w:pPr>
            <w:r>
              <w:rPr>
                <w:rFonts w:hint="eastAsia"/>
                <w:szCs w:val="21"/>
              </w:rPr>
              <w:t>权重</w:t>
            </w:r>
          </w:p>
        </w:tc>
        <w:tc>
          <w:tcPr>
            <w:tcW w:w="4447"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32012053">
            <w:pPr>
              <w:jc w:val="center"/>
              <w:rPr>
                <w:rFonts w:ascii="宋体" w:hAnsi="宋体"/>
                <w:color w:val="FF0000"/>
              </w:rPr>
            </w:pPr>
            <w:r>
              <w:rPr>
                <w:rFonts w:hint="eastAsia"/>
                <w:szCs w:val="21"/>
              </w:rPr>
              <w:t>评分准则</w:t>
            </w:r>
          </w:p>
        </w:tc>
      </w:tr>
      <w:bookmarkEnd w:id="4"/>
      <w:tr w14:paraId="12A769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0E22BFF8">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7AB6AB8F">
            <w:pPr>
              <w:wordWrap w:val="0"/>
              <w:jc w:val="center"/>
              <w:rPr>
                <w:rFonts w:ascii="宋体" w:hAnsi="宋体" w:cs="宋体"/>
                <w:szCs w:val="21"/>
              </w:rPr>
            </w:pPr>
            <w:r>
              <w:rPr>
                <w:szCs w:val="21"/>
              </w:rPr>
              <w:t>1</w:t>
            </w:r>
          </w:p>
        </w:tc>
        <w:tc>
          <w:tcPr>
            <w:tcW w:w="2543" w:type="dxa"/>
            <w:tcBorders>
              <w:top w:val="single" w:color="000000" w:sz="8" w:space="0"/>
              <w:left w:val="single" w:color="000000" w:sz="8" w:space="0"/>
              <w:bottom w:val="single" w:color="000000" w:sz="8" w:space="0"/>
              <w:right w:val="single" w:color="000000" w:sz="8" w:space="0"/>
            </w:tcBorders>
            <w:vAlign w:val="top"/>
          </w:tcPr>
          <w:p w14:paraId="2550FD17">
            <w:pPr>
              <w:wordWrap w:val="0"/>
              <w:rPr>
                <w:rFonts w:ascii="宋体" w:hAnsi="宋体" w:cs="宋体"/>
                <w:szCs w:val="21"/>
              </w:rPr>
            </w:pPr>
            <w:r>
              <w:rPr>
                <w:rFonts w:hint="eastAsia" w:ascii="宋体" w:hAnsi="宋体"/>
                <w:szCs w:val="21"/>
              </w:rPr>
              <w:t>体系认证</w:t>
            </w:r>
          </w:p>
        </w:tc>
        <w:tc>
          <w:tcPr>
            <w:tcW w:w="724" w:type="dxa"/>
            <w:tcBorders>
              <w:top w:val="single" w:color="000000" w:sz="8" w:space="0"/>
              <w:left w:val="single" w:color="000000" w:sz="8" w:space="0"/>
              <w:bottom w:val="single" w:color="000000" w:sz="8" w:space="0"/>
              <w:right w:val="single" w:color="000000" w:sz="8" w:space="0"/>
            </w:tcBorders>
            <w:vAlign w:val="top"/>
          </w:tcPr>
          <w:p w14:paraId="13ADAAE8">
            <w:pPr>
              <w:widowControl/>
              <w:jc w:val="left"/>
              <w:rPr>
                <w:rFonts w:hint="eastAsia" w:ascii="宋体" w:hAnsi="宋体" w:eastAsia="宋体" w:cs="宋体"/>
                <w:szCs w:val="21"/>
                <w:lang w:val="en-US" w:eastAsia="zh-CN"/>
              </w:rPr>
            </w:pPr>
            <w:r>
              <w:rPr>
                <w:rFonts w:hint="eastAsia" w:ascii="宋体" w:hAnsi="宋体" w:cs="宋体"/>
                <w:szCs w:val="21"/>
                <w:lang w:val="en-US" w:eastAsia="zh-CN"/>
              </w:rPr>
              <w:t>9</w:t>
            </w:r>
          </w:p>
        </w:tc>
        <w:tc>
          <w:tcPr>
            <w:tcW w:w="4447" w:type="dxa"/>
            <w:tcBorders>
              <w:top w:val="single" w:color="000000" w:sz="8" w:space="0"/>
              <w:left w:val="single" w:color="000000" w:sz="8" w:space="0"/>
              <w:bottom w:val="single" w:color="000000" w:sz="8" w:space="0"/>
              <w:right w:val="single" w:color="000000" w:sz="8" w:space="0"/>
            </w:tcBorders>
            <w:vAlign w:val="top"/>
          </w:tcPr>
          <w:p w14:paraId="74706A2E">
            <w:pPr>
              <w:rPr>
                <w:b/>
              </w:rPr>
            </w:pPr>
            <w:r>
              <w:rPr>
                <w:rFonts w:hint="eastAsia"/>
                <w:b/>
              </w:rPr>
              <w:t>（一） 评分内容：</w:t>
            </w:r>
          </w:p>
          <w:p w14:paraId="4586942F">
            <w:pPr>
              <w:rPr>
                <w:rFonts w:hint="eastAsia" w:ascii="宋体" w:hAnsi="宋体" w:eastAsia="宋体" w:cs="宋体"/>
                <w:b w:val="0"/>
                <w:bCs/>
                <w:sz w:val="21"/>
                <w:szCs w:val="21"/>
              </w:rPr>
            </w:pPr>
            <w:r>
              <w:rPr>
                <w:rFonts w:hint="eastAsia" w:ascii="宋体" w:hAnsi="宋体" w:eastAsia="宋体" w:cs="宋体"/>
                <w:b w:val="0"/>
                <w:bCs/>
                <w:sz w:val="21"/>
                <w:szCs w:val="21"/>
              </w:rPr>
              <w:t>1.投标人通过质量管理体系认证证书的得</w:t>
            </w:r>
            <w:r>
              <w:rPr>
                <w:rFonts w:hint="eastAsia" w:ascii="宋体" w:hAnsi="宋体" w:eastAsia="宋体" w:cs="宋体"/>
                <w:b w:val="0"/>
                <w:bCs/>
                <w:sz w:val="21"/>
                <w:szCs w:val="21"/>
                <w:lang w:val="en-US" w:eastAsia="zh-CN"/>
              </w:rPr>
              <w:t>3</w:t>
            </w:r>
            <w:r>
              <w:rPr>
                <w:rFonts w:hint="eastAsia" w:ascii="宋体" w:hAnsi="宋体" w:eastAsia="宋体" w:cs="宋体"/>
                <w:b w:val="0"/>
                <w:bCs/>
                <w:sz w:val="21"/>
                <w:szCs w:val="21"/>
              </w:rPr>
              <w:t>分。</w:t>
            </w:r>
          </w:p>
          <w:p w14:paraId="79330633">
            <w:pPr>
              <w:rPr>
                <w:rFonts w:hint="eastAsia" w:ascii="宋体" w:hAnsi="宋体" w:eastAsia="宋体" w:cs="宋体"/>
                <w:b w:val="0"/>
                <w:bCs/>
                <w:sz w:val="21"/>
                <w:szCs w:val="21"/>
              </w:rPr>
            </w:pPr>
            <w:r>
              <w:rPr>
                <w:rFonts w:hint="eastAsia" w:ascii="宋体" w:hAnsi="宋体" w:eastAsia="宋体" w:cs="宋体"/>
                <w:b w:val="0"/>
                <w:bCs/>
                <w:sz w:val="21"/>
                <w:szCs w:val="21"/>
              </w:rPr>
              <w:t>2.投标人通过环境管理体系认证证书的得3分。</w:t>
            </w:r>
          </w:p>
          <w:p w14:paraId="7C5D2C9B">
            <w:pPr>
              <w:rPr>
                <w:rFonts w:hint="eastAsia" w:ascii="宋体" w:hAnsi="宋体" w:eastAsia="宋体" w:cs="宋体"/>
                <w:b w:val="0"/>
                <w:bCs/>
                <w:sz w:val="21"/>
                <w:szCs w:val="21"/>
              </w:rPr>
            </w:pPr>
            <w:r>
              <w:rPr>
                <w:rFonts w:hint="eastAsia" w:ascii="宋体" w:hAnsi="宋体" w:eastAsia="宋体" w:cs="宋体"/>
                <w:b w:val="0"/>
                <w:bCs/>
                <w:sz w:val="21"/>
                <w:szCs w:val="21"/>
              </w:rPr>
              <w:t>3.投标人通过职业健康安全管理体系认证证书的得3分。</w:t>
            </w:r>
          </w:p>
          <w:p w14:paraId="61A3E62C">
            <w:r>
              <w:rPr>
                <w:rFonts w:hint="eastAsia"/>
              </w:rPr>
              <w:t>以上</w:t>
            </w:r>
            <w:r>
              <w:rPr>
                <w:rFonts w:hint="eastAsia"/>
                <w:u w:val="single"/>
              </w:rPr>
              <w:t xml:space="preserve"> </w:t>
            </w:r>
            <w:r>
              <w:rPr>
                <w:rFonts w:hint="eastAsia"/>
                <w:u w:val="single"/>
                <w:lang w:val="en-US" w:eastAsia="zh-CN"/>
              </w:rPr>
              <w:t>3</w:t>
            </w:r>
            <w:r>
              <w:rPr>
                <w:rFonts w:hint="eastAsia"/>
                <w:u w:val="single"/>
              </w:rPr>
              <w:t>项</w:t>
            </w:r>
            <w:r>
              <w:rPr>
                <w:rFonts w:hint="eastAsia"/>
              </w:rPr>
              <w:t>累加计分，最高得</w:t>
            </w:r>
            <w:r>
              <w:rPr>
                <w:rFonts w:hint="eastAsia" w:ascii="Times New Roman" w:hAnsi="Times New Roman" w:cs="Times New Roman"/>
                <w:lang w:val="en-US" w:eastAsia="zh-CN"/>
              </w:rPr>
              <w:t>9</w:t>
            </w:r>
            <w:r>
              <w:rPr>
                <w:rFonts w:hint="eastAsia"/>
              </w:rPr>
              <w:t>分。</w:t>
            </w:r>
          </w:p>
          <w:p w14:paraId="19B7FD15">
            <w:pPr>
              <w:rPr>
                <w:b/>
              </w:rPr>
            </w:pPr>
            <w:r>
              <w:rPr>
                <w:rFonts w:hint="eastAsia"/>
                <w:b/>
              </w:rPr>
              <w:t>（二）评分依据：</w:t>
            </w:r>
          </w:p>
          <w:p w14:paraId="29A3C1CA">
            <w:r>
              <w:rPr>
                <w:rFonts w:hint="eastAsia"/>
              </w:rPr>
              <w:t>须同时提供有效的认证证书扫描件，及认证证书在全国认证认可信息公共服务平台（认e云）查询有效的截图（http://cx.cnca.cn）。</w:t>
            </w:r>
          </w:p>
          <w:p w14:paraId="0888EDF5">
            <w:pPr>
              <w:rPr>
                <w:rFonts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2267D03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6F3283E5">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5ECE9B46">
            <w:pPr>
              <w:wordWrap w:val="0"/>
              <w:jc w:val="center"/>
              <w:rPr>
                <w:szCs w:val="21"/>
              </w:rPr>
            </w:pPr>
            <w:r>
              <w:rPr>
                <w:rFonts w:hint="eastAsia"/>
                <w:szCs w:val="21"/>
              </w:rPr>
              <w:t>2</w:t>
            </w:r>
          </w:p>
        </w:tc>
        <w:tc>
          <w:tcPr>
            <w:tcW w:w="2543" w:type="dxa"/>
            <w:tcBorders>
              <w:top w:val="single" w:color="000000" w:sz="8" w:space="0"/>
              <w:left w:val="single" w:color="000000" w:sz="8" w:space="0"/>
              <w:bottom w:val="single" w:color="000000" w:sz="8" w:space="0"/>
              <w:right w:val="single" w:color="000000" w:sz="8" w:space="0"/>
            </w:tcBorders>
            <w:vAlign w:val="top"/>
          </w:tcPr>
          <w:p w14:paraId="101CA3B3">
            <w:pPr>
              <w:wordWrap w:val="0"/>
              <w:rPr>
                <w:rFonts w:hint="default" w:ascii="宋体" w:hAnsi="宋体" w:eastAsia="宋体"/>
                <w:lang w:val="en-US" w:eastAsia="zh-CN"/>
              </w:rPr>
            </w:pPr>
            <w:r>
              <w:rPr>
                <w:rFonts w:hint="eastAsia" w:cs="宋体" w:asciiTheme="minorHAnsi" w:hAnsiTheme="minorHAnsi"/>
                <w:szCs w:val="22"/>
                <w:lang w:val="en-US" w:eastAsia="zh-CN"/>
              </w:rPr>
              <w:t>便利化服务</w:t>
            </w:r>
          </w:p>
          <w:p w14:paraId="254DF34A">
            <w:pPr>
              <w:widowControl/>
              <w:jc w:val="left"/>
              <w:rPr>
                <w:rFonts w:ascii="宋体" w:hAnsi="宋体" w:cs="宋体"/>
                <w:szCs w:val="21"/>
              </w:rPr>
            </w:pPr>
          </w:p>
        </w:tc>
        <w:tc>
          <w:tcPr>
            <w:tcW w:w="724" w:type="dxa"/>
            <w:tcBorders>
              <w:top w:val="single" w:color="000000" w:sz="8" w:space="0"/>
              <w:left w:val="single" w:color="000000" w:sz="8" w:space="0"/>
              <w:bottom w:val="single" w:color="000000" w:sz="8" w:space="0"/>
              <w:right w:val="single" w:color="000000" w:sz="8" w:space="0"/>
            </w:tcBorders>
            <w:vAlign w:val="top"/>
          </w:tcPr>
          <w:p w14:paraId="3B16576A">
            <w:pPr>
              <w:widowControl/>
              <w:jc w:val="left"/>
              <w:rPr>
                <w:rFonts w:hint="eastAsia" w:ascii="宋体" w:hAnsi="宋体" w:eastAsia="宋体" w:cs="宋体"/>
                <w:szCs w:val="21"/>
                <w:lang w:val="en-US" w:eastAsia="zh-CN"/>
              </w:rPr>
            </w:pPr>
            <w:r>
              <w:rPr>
                <w:rFonts w:hint="eastAsia" w:ascii="宋体" w:hAnsi="宋体" w:cs="宋体"/>
                <w:szCs w:val="21"/>
                <w:lang w:val="en-US" w:eastAsia="zh-CN"/>
              </w:rPr>
              <w:t>2</w:t>
            </w:r>
          </w:p>
        </w:tc>
        <w:tc>
          <w:tcPr>
            <w:tcW w:w="4447" w:type="dxa"/>
            <w:tcBorders>
              <w:top w:val="single" w:color="000000" w:sz="8" w:space="0"/>
              <w:left w:val="single" w:color="000000" w:sz="8" w:space="0"/>
              <w:bottom w:val="single" w:color="000000" w:sz="8" w:space="0"/>
              <w:right w:val="single" w:color="000000" w:sz="8" w:space="0"/>
            </w:tcBorders>
            <w:vAlign w:val="top"/>
          </w:tcPr>
          <w:p w14:paraId="72A1AF4E">
            <w:pPr>
              <w:rPr>
                <w:b/>
              </w:rPr>
            </w:pPr>
            <w:r>
              <w:rPr>
                <w:rFonts w:hint="eastAsia"/>
                <w:b/>
              </w:rPr>
              <w:t>（一） 评分内容：</w:t>
            </w:r>
          </w:p>
          <w:p w14:paraId="23E617FC">
            <w:r>
              <w:rPr>
                <w:rFonts w:hint="eastAsia"/>
              </w:rPr>
              <w:t>1投标人在本地设立分公司或售后机构、服务网点、项目部、办公室、办事处等情形，得</w:t>
            </w:r>
            <w:r>
              <w:rPr>
                <w:rFonts w:hint="eastAsia"/>
                <w:lang w:val="en-US" w:eastAsia="zh-CN"/>
              </w:rPr>
              <w:t>2</w:t>
            </w:r>
            <w:r>
              <w:rPr>
                <w:rFonts w:hint="eastAsia"/>
              </w:rPr>
              <w:t>分；</w:t>
            </w:r>
          </w:p>
          <w:p w14:paraId="15F5C69D">
            <w:pPr>
              <w:rPr>
                <w:rFonts w:hint="eastAsia"/>
              </w:rPr>
            </w:pPr>
            <w:r>
              <w:rPr>
                <w:rFonts w:hint="eastAsia"/>
              </w:rPr>
              <w:t>2.投标人承诺中标后提供本地化服务，得</w:t>
            </w:r>
            <w:r>
              <w:rPr>
                <w:rFonts w:hint="eastAsia"/>
                <w:lang w:val="en-US" w:eastAsia="zh-CN"/>
              </w:rPr>
              <w:t>2</w:t>
            </w:r>
            <w:r>
              <w:rPr>
                <w:rFonts w:hint="eastAsia"/>
              </w:rPr>
              <w:t>分。</w:t>
            </w:r>
          </w:p>
          <w:p w14:paraId="2F367E34">
            <w:pPr>
              <w:rPr>
                <w:rFonts w:hint="eastAsia"/>
                <w:b w:val="0"/>
                <w:bCs/>
                <w:lang w:val="en-US" w:eastAsia="zh-CN"/>
              </w:rPr>
            </w:pPr>
            <w:r>
              <w:rPr>
                <w:rFonts w:hint="eastAsia"/>
                <w:b w:val="0"/>
                <w:bCs/>
                <w:lang w:val="en-US" w:eastAsia="zh-CN"/>
              </w:rPr>
              <w:t>本项最高可得2分。</w:t>
            </w:r>
          </w:p>
          <w:p w14:paraId="1E20990D">
            <w:pPr>
              <w:rPr>
                <w:b/>
              </w:rPr>
            </w:pPr>
            <w:r>
              <w:rPr>
                <w:rFonts w:hint="eastAsia"/>
                <w:b/>
              </w:rPr>
              <w:t>（二）评分依据：</w:t>
            </w:r>
          </w:p>
          <w:p w14:paraId="5020B910">
            <w:r>
              <w:rPr>
                <w:rFonts w:hint="eastAsia"/>
              </w:rPr>
              <w:t>1.第一项投标人需提供合作单位或者自身机构的营业执照，或者投标人在本地设立的项目部、办公室、办事处等证明文件；</w:t>
            </w:r>
          </w:p>
          <w:p w14:paraId="5E35C93D">
            <w:r>
              <w:rPr>
                <w:rFonts w:hint="eastAsia"/>
              </w:rPr>
              <w:t>2.第二项投标人需提供承诺函（格式自拟）。</w:t>
            </w:r>
          </w:p>
          <w:p w14:paraId="18C95298">
            <w:pPr>
              <w:widowControl/>
              <w:jc w:val="left"/>
              <w:rPr>
                <w:rFonts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227DE4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32DFA7D2">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5F6858F9">
            <w:pPr>
              <w:wordWrap w:val="0"/>
              <w:jc w:val="center"/>
              <w:rPr>
                <w:szCs w:val="21"/>
              </w:rPr>
            </w:pPr>
            <w:r>
              <w:rPr>
                <w:rFonts w:hint="eastAsia"/>
                <w:szCs w:val="21"/>
              </w:rPr>
              <w:t>3</w:t>
            </w:r>
          </w:p>
        </w:tc>
        <w:tc>
          <w:tcPr>
            <w:tcW w:w="2543" w:type="dxa"/>
            <w:tcBorders>
              <w:top w:val="single" w:color="000000" w:sz="8" w:space="0"/>
              <w:left w:val="single" w:color="000000" w:sz="8" w:space="0"/>
              <w:bottom w:val="single" w:color="000000" w:sz="8" w:space="0"/>
              <w:right w:val="single" w:color="000000" w:sz="8" w:space="0"/>
            </w:tcBorders>
            <w:vAlign w:val="top"/>
          </w:tcPr>
          <w:p w14:paraId="39C856C0">
            <w:pPr>
              <w:wordWrap w:val="0"/>
              <w:rPr>
                <w:rFonts w:ascii="宋体" w:hAnsi="宋体"/>
                <w:szCs w:val="21"/>
              </w:rPr>
            </w:pPr>
            <w:r>
              <w:rPr>
                <w:rFonts w:hint="eastAsia" w:ascii="宋体" w:hAnsi="宋体" w:eastAsia="宋体" w:cs="宋体"/>
                <w:b w:val="0"/>
                <w:bCs/>
                <w:sz w:val="21"/>
                <w:szCs w:val="21"/>
                <w:lang w:val="en-US" w:eastAsia="zh-CN"/>
              </w:rPr>
              <w:t>公共（众）责任险</w:t>
            </w:r>
          </w:p>
        </w:tc>
        <w:tc>
          <w:tcPr>
            <w:tcW w:w="724" w:type="dxa"/>
            <w:tcBorders>
              <w:top w:val="single" w:color="000000" w:sz="8" w:space="0"/>
              <w:left w:val="single" w:color="000000" w:sz="8" w:space="0"/>
              <w:bottom w:val="single" w:color="000000" w:sz="8" w:space="0"/>
              <w:right w:val="single" w:color="000000" w:sz="8" w:space="0"/>
            </w:tcBorders>
            <w:vAlign w:val="top"/>
          </w:tcPr>
          <w:p w14:paraId="3EC1EAD7">
            <w:pPr>
              <w:widowControl/>
              <w:jc w:val="left"/>
              <w:rPr>
                <w:rFonts w:cs="宋体" w:asciiTheme="minorHAnsi" w:hAnsiTheme="minorHAnsi"/>
                <w:szCs w:val="22"/>
              </w:rPr>
            </w:pPr>
            <w:r>
              <w:rPr>
                <w:rFonts w:hint="eastAsia" w:ascii="宋体" w:hAnsi="宋体" w:eastAsia="宋体" w:cs="宋体"/>
                <w:sz w:val="21"/>
                <w:szCs w:val="21"/>
                <w:lang w:val="en-US" w:eastAsia="zh-CN"/>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16C823A7">
            <w:pPr>
              <w:rPr>
                <w:rFonts w:hint="eastAsia" w:ascii="宋体" w:hAnsi="宋体" w:eastAsia="宋体" w:cs="宋体"/>
                <w:b w:val="0"/>
                <w:bCs/>
                <w:sz w:val="21"/>
                <w:szCs w:val="21"/>
              </w:rPr>
            </w:pPr>
            <w:r>
              <w:rPr>
                <w:rFonts w:hint="eastAsia" w:ascii="宋体" w:hAnsi="宋体" w:cs="宋体"/>
                <w:b w:val="0"/>
                <w:bCs/>
                <w:sz w:val="21"/>
                <w:szCs w:val="21"/>
                <w:lang w:val="en-US" w:eastAsia="zh-CN"/>
              </w:rPr>
              <w:t>投标人</w:t>
            </w:r>
            <w:r>
              <w:rPr>
                <w:rFonts w:hint="eastAsia" w:ascii="宋体" w:hAnsi="宋体" w:eastAsia="宋体" w:cs="宋体"/>
                <w:b w:val="0"/>
                <w:bCs/>
                <w:sz w:val="21"/>
                <w:szCs w:val="21"/>
                <w:lang w:val="en-US" w:eastAsia="zh-CN"/>
              </w:rPr>
              <w:t>提供</w:t>
            </w:r>
            <w:r>
              <w:rPr>
                <w:rFonts w:hint="eastAsia" w:ascii="宋体" w:hAnsi="宋体" w:cs="宋体"/>
                <w:b w:val="0"/>
                <w:bCs/>
                <w:sz w:val="21"/>
                <w:szCs w:val="21"/>
                <w:lang w:val="en-US" w:eastAsia="zh-CN"/>
              </w:rPr>
              <w:t>中标后将</w:t>
            </w:r>
            <w:r>
              <w:rPr>
                <w:rFonts w:hint="eastAsia"/>
              </w:rPr>
              <w:t>公众保险</w:t>
            </w:r>
            <w:r>
              <w:rPr>
                <w:rFonts w:hint="eastAsia"/>
                <w:lang w:val="en-US" w:eastAsia="zh-CN"/>
              </w:rPr>
              <w:t>购</w:t>
            </w:r>
            <w:r>
              <w:rPr>
                <w:rFonts w:hint="eastAsia"/>
              </w:rPr>
              <w:t>至</w:t>
            </w:r>
            <w:r>
              <w:rPr>
                <w:rFonts w:hint="eastAsia"/>
                <w:lang w:val="en-US" w:eastAsia="zh-CN"/>
              </w:rPr>
              <w:t>覆盖本项目</w:t>
            </w:r>
            <w:r>
              <w:rPr>
                <w:rFonts w:hint="eastAsia"/>
              </w:rPr>
              <w:t>服务期</w:t>
            </w:r>
            <w:r>
              <w:rPr>
                <w:rFonts w:hint="eastAsia"/>
                <w:lang w:val="en-US" w:eastAsia="zh-CN"/>
              </w:rPr>
              <w:t>的</w:t>
            </w:r>
            <w:r>
              <w:rPr>
                <w:rFonts w:hint="eastAsia" w:ascii="宋体" w:hAnsi="宋体" w:eastAsia="宋体" w:cs="宋体"/>
                <w:b w:val="0"/>
                <w:bCs/>
                <w:sz w:val="21"/>
                <w:szCs w:val="21"/>
                <w:lang w:val="en-US" w:eastAsia="zh-CN"/>
              </w:rPr>
              <w:t>承诺函（格式自定）</w:t>
            </w:r>
            <w:r>
              <w:rPr>
                <w:rFonts w:hint="eastAsia" w:ascii="宋体" w:hAnsi="宋体" w:eastAsia="宋体" w:cs="宋体"/>
                <w:b w:val="0"/>
                <w:bCs/>
                <w:sz w:val="21"/>
                <w:szCs w:val="21"/>
              </w:rPr>
              <w:t>，否则本项不得分。</w:t>
            </w:r>
          </w:p>
          <w:p w14:paraId="5157423D">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（一）评审内容：</w:t>
            </w:r>
          </w:p>
          <w:p w14:paraId="0BDAC32A">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1.根据投标人购买的公共（众）责任保险额进行评审：</w:t>
            </w:r>
          </w:p>
          <w:p w14:paraId="5EF10292">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（1）投保金额在3亿元（含）以上，同时每次事故责任险限额不低于3000万元（含）得5分；</w:t>
            </w:r>
          </w:p>
          <w:p w14:paraId="255445DF">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（2）2亿元≤投保金额＜3亿元的，且每次事故责任险限额不低于2000万元（含）得4分；</w:t>
            </w:r>
          </w:p>
          <w:p w14:paraId="0F6A27F3">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（3）1亿元≤投保金额＜2亿元的，且每次事故责任险限额不低于1000万元（含）得3分。</w:t>
            </w:r>
          </w:p>
          <w:p w14:paraId="30B01E1A">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（4）其他情况或未提供不得分；</w:t>
            </w:r>
          </w:p>
          <w:p w14:paraId="68F04738">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最高得5分。</w:t>
            </w:r>
          </w:p>
          <w:p w14:paraId="6C1F956B">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（二）评审依据：</w:t>
            </w:r>
          </w:p>
          <w:p w14:paraId="34416560">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1.提供有效期内的公共（众）责任险保险单（保单须体现保额</w:t>
            </w:r>
            <w:r>
              <w:rPr>
                <w:rFonts w:hint="eastAsia"/>
              </w:rPr>
              <w:t>和</w:t>
            </w:r>
            <w:r>
              <w:rPr>
                <w:rFonts w:hint="eastAsia" w:ascii="宋体" w:hAnsi="宋体" w:eastAsia="宋体" w:cs="宋体"/>
                <w:b w:val="0"/>
                <w:bCs/>
                <w:sz w:val="21"/>
                <w:szCs w:val="21"/>
                <w:lang w:val="en-US" w:eastAsia="zh-CN"/>
              </w:rPr>
              <w:t>累计赔偿限额）和相关购买保险发票，投保人必须和投标人名称一致。</w:t>
            </w:r>
          </w:p>
          <w:p w14:paraId="19E7CA42">
            <w:pPr>
              <w:pStyle w:val="14"/>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2.提供承诺函（格式自定）</w:t>
            </w:r>
            <w:r>
              <w:rPr>
                <w:rFonts w:hint="eastAsia" w:ascii="宋体" w:hAnsi="宋体" w:cs="宋体"/>
                <w:b w:val="0"/>
                <w:bCs/>
                <w:sz w:val="21"/>
                <w:szCs w:val="21"/>
                <w:lang w:val="en-US" w:eastAsia="zh-CN"/>
              </w:rPr>
              <w:t>，未提供的不得分</w:t>
            </w:r>
            <w:r>
              <w:rPr>
                <w:rFonts w:hint="eastAsia" w:ascii="宋体" w:hAnsi="宋体" w:eastAsia="宋体" w:cs="宋体"/>
                <w:b w:val="0"/>
                <w:bCs/>
                <w:sz w:val="21"/>
                <w:szCs w:val="21"/>
                <w:lang w:val="en-US" w:eastAsia="zh-CN"/>
              </w:rPr>
              <w:t>。</w:t>
            </w:r>
          </w:p>
          <w:p w14:paraId="5E60A203">
            <w:pPr>
              <w:wordWrap w:val="0"/>
              <w:rPr>
                <w:rFonts w:ascii="宋体" w:hAnsi="宋体" w:cs="宋体"/>
                <w:szCs w:val="21"/>
              </w:rPr>
            </w:pPr>
            <w:r>
              <w:rPr>
                <w:rFonts w:hint="eastAsia" w:ascii="宋体" w:hAnsi="宋体" w:eastAsia="宋体" w:cs="宋体"/>
                <w:b w:val="0"/>
                <w:bCs/>
                <w:sz w:val="21"/>
                <w:szCs w:val="21"/>
              </w:rPr>
              <w:t>备注：以上资料均要求提供扫描件，评分中出现无证明资料或证书过期或专家无法凭所提供资料判断是否得分的情况，一律作不得分处理</w:t>
            </w:r>
          </w:p>
        </w:tc>
      </w:tr>
      <w:tr w14:paraId="21BB61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45D3390E">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406B7AC9">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2543" w:type="dxa"/>
            <w:tcBorders>
              <w:top w:val="single" w:color="000000" w:sz="8" w:space="0"/>
              <w:left w:val="single" w:color="000000" w:sz="8" w:space="0"/>
              <w:bottom w:val="single" w:color="000000" w:sz="8" w:space="0"/>
              <w:right w:val="single" w:color="000000" w:sz="8" w:space="0"/>
            </w:tcBorders>
            <w:vAlign w:val="top"/>
          </w:tcPr>
          <w:p w14:paraId="51D461A4">
            <w:pPr>
              <w:widowControl/>
              <w:jc w:val="left"/>
              <w:rPr>
                <w:rFonts w:hint="default" w:ascii="宋体" w:hAnsi="宋体" w:eastAsia="宋体" w:cs="宋体"/>
                <w:szCs w:val="21"/>
                <w:lang w:val="en-US" w:eastAsia="zh-CN"/>
              </w:rPr>
            </w:pPr>
            <w:r>
              <w:rPr>
                <w:rFonts w:hint="eastAsia" w:ascii="宋体" w:hAnsi="宋体" w:eastAsia="宋体" w:cs="宋体"/>
                <w:b w:val="0"/>
                <w:bCs/>
                <w:sz w:val="21"/>
                <w:szCs w:val="21"/>
                <w:lang w:val="en-US" w:eastAsia="zh-CN"/>
              </w:rPr>
              <w:t>信息化管理</w:t>
            </w:r>
          </w:p>
        </w:tc>
        <w:tc>
          <w:tcPr>
            <w:tcW w:w="724" w:type="dxa"/>
            <w:tcBorders>
              <w:top w:val="single" w:color="000000" w:sz="8" w:space="0"/>
              <w:left w:val="single" w:color="000000" w:sz="8" w:space="0"/>
              <w:bottom w:val="single" w:color="000000" w:sz="8" w:space="0"/>
              <w:right w:val="single" w:color="000000" w:sz="8" w:space="0"/>
            </w:tcBorders>
            <w:vAlign w:val="top"/>
          </w:tcPr>
          <w:p w14:paraId="5A089C04">
            <w:pPr>
              <w:widowControl/>
              <w:jc w:val="left"/>
              <w:rPr>
                <w:rFonts w:ascii="宋体" w:hAnsi="宋体" w:cs="宋体"/>
                <w:szCs w:val="21"/>
              </w:rPr>
            </w:pPr>
            <w:r>
              <w:rPr>
                <w:rFonts w:hint="eastAsia" w:ascii="宋体" w:hAnsi="宋体" w:eastAsia="宋体" w:cs="宋体"/>
                <w:sz w:val="21"/>
                <w:szCs w:val="21"/>
                <w:lang w:val="en-US" w:eastAsia="zh-CN"/>
              </w:rPr>
              <w:t>12</w:t>
            </w:r>
          </w:p>
        </w:tc>
        <w:tc>
          <w:tcPr>
            <w:tcW w:w="4447" w:type="dxa"/>
            <w:tcBorders>
              <w:top w:val="single" w:color="000000" w:sz="8" w:space="0"/>
              <w:left w:val="single" w:color="000000" w:sz="8" w:space="0"/>
              <w:bottom w:val="single" w:color="000000" w:sz="8" w:space="0"/>
              <w:right w:val="single" w:color="000000" w:sz="8" w:space="0"/>
            </w:tcBorders>
            <w:vAlign w:val="top"/>
          </w:tcPr>
          <w:p w14:paraId="284C379F">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（一）评审内容：</w:t>
            </w:r>
          </w:p>
          <w:p w14:paraId="69B2FF3B">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投标人需提供自有或购买或租赁的系统且具有以下相关的计算机软件著作权登记证书：</w:t>
            </w:r>
          </w:p>
          <w:p w14:paraId="30B54302">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1.具有清洁服务管理类系统的，得2分；</w:t>
            </w:r>
          </w:p>
          <w:p w14:paraId="35084B9C">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2.具有餐饮管理(或运营)类系统的，得2分；</w:t>
            </w:r>
          </w:p>
          <w:p w14:paraId="23763B21">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3.具有明厨亮灶管理类系统的，得2分；</w:t>
            </w:r>
          </w:p>
          <w:p w14:paraId="68B6C26F">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4.具有餐厨垃圾分类减量管理类系统的，得2分；</w:t>
            </w:r>
          </w:p>
          <w:p w14:paraId="6885A33B">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5.具有客户关系管理类系统的，得2分；</w:t>
            </w:r>
          </w:p>
          <w:p w14:paraId="696DAC59">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6.具有食品安全管理类系统的，得2分；</w:t>
            </w:r>
          </w:p>
          <w:p w14:paraId="38553BCC">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以上六项累计得分12分。</w:t>
            </w:r>
          </w:p>
          <w:p w14:paraId="4FF9FF69">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（二）评审依据：</w:t>
            </w:r>
          </w:p>
          <w:p w14:paraId="752B199D">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1.自有的提供国家版权局颁发的计算机软件著作权登记证书扫描件和中国版权保护中心官方网站截图(网址:http://www.ccopyright.com.cn/)，计算机软件著作权人名称需与投标人名称保持一致；</w:t>
            </w:r>
          </w:p>
          <w:p w14:paraId="7176F00F">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2.购买或租赁的提供</w:t>
            </w:r>
          </w:p>
          <w:p w14:paraId="5CE19D83">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①国家版权局颁发的计算机软件著作权登记证书扫描件；②中国版权保护中心官方网站截图(网址:http://www.ccopyright.com.cn/)，著作权人须为出售/出租方；</w:t>
            </w:r>
          </w:p>
          <w:p w14:paraId="04238683">
            <w:pP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③购买合同（或租赁合同）且需附购买或租赁费发票。</w:t>
            </w:r>
          </w:p>
          <w:p w14:paraId="741FE17E">
            <w:pPr>
              <w:widowControl/>
              <w:jc w:val="left"/>
              <w:rPr>
                <w:rFonts w:ascii="宋体" w:hAnsi="宋体" w:cs="宋体"/>
                <w:color w:val="FF0000"/>
                <w:szCs w:val="21"/>
              </w:rPr>
            </w:pPr>
            <w:r>
              <w:rPr>
                <w:rFonts w:hint="eastAsia" w:ascii="宋体" w:hAnsi="宋体" w:eastAsia="宋体" w:cs="宋体"/>
                <w:b w:val="0"/>
                <w:bCs/>
                <w:sz w:val="21"/>
                <w:szCs w:val="21"/>
              </w:rPr>
              <w:t>备注：以上资料均要求提供扫描件，评分中出现无证明资料或证书过期或专家无法凭所提供资料判断是否得分的情况，一律作不得分处理</w:t>
            </w:r>
          </w:p>
        </w:tc>
      </w:tr>
      <w:tr w14:paraId="2F4EB6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3B52583B">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076410BF">
            <w:pPr>
              <w:wordWrap w:val="0"/>
              <w:jc w:val="center"/>
              <w:rPr>
                <w:rFonts w:hint="default" w:ascii="宋体" w:hAnsi="宋体" w:eastAsia="宋体" w:cs="宋体"/>
                <w:b/>
                <w:bCs/>
                <w:color w:val="0000FF"/>
                <w:kern w:val="2"/>
                <w:sz w:val="24"/>
                <w:szCs w:val="24"/>
                <w:lang w:val="en-US" w:eastAsia="zh-CN" w:bidi="ar-SA"/>
              </w:rPr>
            </w:pPr>
            <w:r>
              <w:rPr>
                <w:rFonts w:hint="eastAsia" w:ascii="宋体" w:hAnsi="宋体" w:cs="宋体"/>
                <w:szCs w:val="21"/>
                <w:lang w:val="en-US" w:eastAsia="zh-CN"/>
              </w:rPr>
              <w:t>5</w:t>
            </w:r>
          </w:p>
        </w:tc>
        <w:tc>
          <w:tcPr>
            <w:tcW w:w="2543" w:type="dxa"/>
            <w:tcBorders>
              <w:top w:val="single" w:color="000000" w:sz="8" w:space="0"/>
              <w:left w:val="single" w:color="000000" w:sz="8" w:space="0"/>
              <w:bottom w:val="single" w:color="000000" w:sz="8" w:space="0"/>
              <w:right w:val="single" w:color="000000" w:sz="8" w:space="0"/>
            </w:tcBorders>
            <w:vAlign w:val="top"/>
          </w:tcPr>
          <w:p w14:paraId="5A4DB64F">
            <w:pPr>
              <w:jc w:val="both"/>
              <w:rPr>
                <w:rFonts w:ascii="宋体" w:hAnsi="宋体" w:eastAsia="宋体" w:cs="宋体"/>
                <w:b/>
                <w:bCs/>
                <w:color w:val="0000FF"/>
                <w:kern w:val="2"/>
                <w:sz w:val="24"/>
                <w:szCs w:val="24"/>
                <w:lang w:val="en-US" w:eastAsia="zh-CN" w:bidi="ar-SA"/>
              </w:rPr>
            </w:pPr>
            <w:r>
              <w:rPr>
                <w:rFonts w:hint="eastAsia" w:ascii="宋体" w:hAnsi="宋体" w:eastAsia="宋体" w:cs="宋体"/>
                <w:b w:val="0"/>
                <w:bCs/>
                <w:sz w:val="21"/>
                <w:szCs w:val="21"/>
                <w:highlight w:val="none"/>
              </w:rPr>
              <w:t>安全</w:t>
            </w:r>
            <w:r>
              <w:rPr>
                <w:rFonts w:hint="eastAsia" w:ascii="宋体" w:hAnsi="宋体" w:eastAsia="宋体" w:cs="宋体"/>
                <w:b w:val="0"/>
                <w:bCs/>
                <w:sz w:val="21"/>
                <w:szCs w:val="21"/>
                <w:highlight w:val="none"/>
                <w:lang w:val="en-US" w:eastAsia="zh-CN"/>
              </w:rPr>
              <w:t>检测</w:t>
            </w:r>
          </w:p>
        </w:tc>
        <w:tc>
          <w:tcPr>
            <w:tcW w:w="724" w:type="dxa"/>
            <w:tcBorders>
              <w:top w:val="single" w:color="000000" w:sz="8" w:space="0"/>
              <w:left w:val="single" w:color="000000" w:sz="8" w:space="0"/>
              <w:bottom w:val="single" w:color="000000" w:sz="8" w:space="0"/>
              <w:right w:val="single" w:color="000000" w:sz="8" w:space="0"/>
            </w:tcBorders>
            <w:vAlign w:val="top"/>
          </w:tcPr>
          <w:p w14:paraId="09CDC7EF">
            <w:pPr>
              <w:widowControl/>
              <w:jc w:val="both"/>
              <w:rPr>
                <w:rFonts w:hint="default" w:cs="宋体" w:asciiTheme="minorEastAsia" w:hAnsiTheme="minorEastAsia" w:eastAsiaTheme="minorEastAsia"/>
                <w:szCs w:val="21"/>
                <w:lang w:val="en-US" w:eastAsia="zh-CN"/>
              </w:rPr>
            </w:pPr>
            <w:r>
              <w:rPr>
                <w:rFonts w:hint="eastAsia" w:ascii="宋体" w:hAnsi="宋体" w:eastAsia="宋体" w:cs="宋体"/>
                <w:color w:val="auto"/>
                <w:sz w:val="21"/>
                <w:szCs w:val="21"/>
                <w:highlight w:val="none"/>
                <w:lang w:val="en-US" w:eastAsia="zh-CN"/>
              </w:rPr>
              <w:t>9</w:t>
            </w:r>
          </w:p>
        </w:tc>
        <w:tc>
          <w:tcPr>
            <w:tcW w:w="4447" w:type="dxa"/>
            <w:tcBorders>
              <w:top w:val="single" w:color="000000" w:sz="8" w:space="0"/>
              <w:left w:val="single" w:color="000000" w:sz="8" w:space="0"/>
              <w:bottom w:val="single" w:color="000000" w:sz="8" w:space="0"/>
              <w:right w:val="single" w:color="000000" w:sz="8" w:space="0"/>
            </w:tcBorders>
            <w:vAlign w:val="top"/>
          </w:tcPr>
          <w:p w14:paraId="74A9B6DD">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（一）评审内容：</w:t>
            </w:r>
          </w:p>
          <w:p w14:paraId="471133F7">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提供202</w:t>
            </w:r>
            <w:r>
              <w:rPr>
                <w:rFonts w:hint="eastAsia" w:ascii="宋体" w:hAnsi="宋体" w:cs="宋体"/>
                <w:b w:val="0"/>
                <w:bCs/>
                <w:sz w:val="21"/>
                <w:szCs w:val="21"/>
                <w:highlight w:val="none"/>
                <w:lang w:val="en-US" w:eastAsia="zh-CN"/>
              </w:rPr>
              <w:t>6</w:t>
            </w:r>
            <w:r>
              <w:rPr>
                <w:rFonts w:hint="eastAsia" w:ascii="宋体" w:hAnsi="宋体" w:eastAsia="宋体" w:cs="宋体"/>
                <w:b w:val="0"/>
                <w:bCs/>
                <w:sz w:val="21"/>
                <w:szCs w:val="21"/>
                <w:highlight w:val="none"/>
              </w:rPr>
              <w:t>年1月1日至本项目投标截止之日前，由具备CMA资质的第三方检测机构出具的以下品类的检测报告（检测报告的检测项目均须包含但不限于以下的检测内容），且检测结果为合格（或符合或达标或满意或未检出或其他同等结论，如检测项目出现“-”“/”类结论的不计分）：</w:t>
            </w:r>
          </w:p>
          <w:p w14:paraId="425F81B9">
            <w:pP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①</w:t>
            </w:r>
            <w:r>
              <w:rPr>
                <w:rFonts w:hint="eastAsia" w:ascii="宋体" w:hAnsi="宋体" w:eastAsia="宋体" w:cs="宋体"/>
                <w:b w:val="0"/>
                <w:bCs/>
                <w:sz w:val="21"/>
                <w:szCs w:val="21"/>
                <w:highlight w:val="none"/>
                <w:lang w:val="en-US" w:eastAsia="zh-CN"/>
              </w:rPr>
              <w:t>餐具类</w:t>
            </w:r>
          </w:p>
          <w:p w14:paraId="4E55B109">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检测项目包含但不限于</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lang w:val="en-US" w:eastAsia="zh-CN"/>
              </w:rPr>
              <w:t>大肠菌群、沙门氏菌、阴离子合成洗涤剂、游离性余氯、铅、砷、感官</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rPr>
              <w:t>，检测报告委托单位或送检单位为投标人；</w:t>
            </w:r>
          </w:p>
          <w:p w14:paraId="75FC0392">
            <w:pP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②</w:t>
            </w:r>
            <w:r>
              <w:rPr>
                <w:rFonts w:hint="eastAsia" w:ascii="宋体" w:hAnsi="宋体" w:eastAsia="宋体" w:cs="宋体"/>
                <w:b w:val="0"/>
                <w:bCs/>
                <w:sz w:val="21"/>
                <w:szCs w:val="21"/>
                <w:highlight w:val="none"/>
                <w:lang w:val="en-US" w:eastAsia="zh-CN"/>
              </w:rPr>
              <w:t>成品菜类</w:t>
            </w:r>
          </w:p>
          <w:p w14:paraId="7F9104D7">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检测项目包含但不限于</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lang w:val="en-US" w:eastAsia="zh-CN"/>
              </w:rPr>
              <w:t>沙门氏菌、菌落总数、大肠埃希氏菌、金黄色葡萄球菌、单核细胞增生李斯特氏菌、副溶血性弧菌、大肠埃希氏菌O157、蜡样芽孢杆菌、甜蜜素、阿斯巴甜</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rPr>
              <w:t>，检测报告委托单位或送检单位为投标人；成品菜数量≥3份；</w:t>
            </w:r>
          </w:p>
          <w:p w14:paraId="33106621">
            <w:pP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1.投标人每提供上述</w:t>
            </w:r>
            <w:r>
              <w:rPr>
                <w:rFonts w:hint="eastAsia" w:ascii="宋体" w:hAnsi="宋体" w:cs="宋体"/>
                <w:b w:val="0"/>
                <w:bCs/>
                <w:sz w:val="21"/>
                <w:szCs w:val="21"/>
                <w:highlight w:val="none"/>
                <w:lang w:val="en-US" w:eastAsia="zh-CN"/>
              </w:rPr>
              <w:t>2</w:t>
            </w:r>
            <w:r>
              <w:rPr>
                <w:rFonts w:hint="eastAsia" w:ascii="宋体" w:hAnsi="宋体" w:eastAsia="宋体" w:cs="宋体"/>
                <w:b w:val="0"/>
                <w:bCs/>
                <w:sz w:val="21"/>
                <w:szCs w:val="21"/>
                <w:highlight w:val="none"/>
                <w:lang w:val="en-US" w:eastAsia="zh-CN"/>
              </w:rPr>
              <w:t>个品类</w:t>
            </w:r>
            <w:r>
              <w:rPr>
                <w:rFonts w:hint="eastAsia" w:ascii="宋体" w:hAnsi="宋体" w:eastAsia="宋体" w:cs="宋体"/>
                <w:b w:val="0"/>
                <w:bCs/>
                <w:sz w:val="21"/>
                <w:szCs w:val="21"/>
                <w:highlight w:val="none"/>
              </w:rPr>
              <w:t>任意一个月的检验检测报告得</w:t>
            </w:r>
            <w:r>
              <w:rPr>
                <w:rFonts w:hint="eastAsia" w:ascii="宋体" w:hAnsi="宋体" w:eastAsia="宋体" w:cs="宋体"/>
                <w:b w:val="0"/>
                <w:bCs/>
                <w:sz w:val="21"/>
                <w:szCs w:val="21"/>
                <w:highlight w:val="none"/>
                <w:lang w:val="en-US" w:eastAsia="zh-CN"/>
              </w:rPr>
              <w:t>3</w:t>
            </w:r>
            <w:r>
              <w:rPr>
                <w:rFonts w:hint="eastAsia" w:ascii="宋体" w:hAnsi="宋体" w:eastAsia="宋体" w:cs="宋体"/>
                <w:b w:val="0"/>
                <w:bCs/>
                <w:sz w:val="21"/>
                <w:szCs w:val="21"/>
                <w:highlight w:val="none"/>
              </w:rPr>
              <w:t>分；</w:t>
            </w:r>
          </w:p>
          <w:p w14:paraId="6BEED22A">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2</w:t>
            </w:r>
            <w:r>
              <w:rPr>
                <w:rFonts w:hint="eastAsia" w:ascii="宋体" w:hAnsi="宋体" w:eastAsia="宋体" w:cs="宋体"/>
                <w:b w:val="0"/>
                <w:bCs/>
                <w:sz w:val="21"/>
                <w:szCs w:val="21"/>
                <w:highlight w:val="none"/>
              </w:rPr>
              <w:t>.投标人每提供上述</w:t>
            </w:r>
            <w:r>
              <w:rPr>
                <w:rFonts w:hint="eastAsia" w:ascii="宋体" w:hAnsi="宋体" w:cs="宋体"/>
                <w:b w:val="0"/>
                <w:bCs/>
                <w:sz w:val="21"/>
                <w:szCs w:val="21"/>
                <w:highlight w:val="none"/>
                <w:lang w:val="en-US" w:eastAsia="zh-CN"/>
              </w:rPr>
              <w:t>2</w:t>
            </w:r>
            <w:r>
              <w:rPr>
                <w:rFonts w:hint="eastAsia" w:ascii="宋体" w:hAnsi="宋体" w:eastAsia="宋体" w:cs="宋体"/>
                <w:b w:val="0"/>
                <w:bCs/>
                <w:sz w:val="21"/>
                <w:szCs w:val="21"/>
                <w:highlight w:val="none"/>
                <w:lang w:val="en-US" w:eastAsia="zh-CN"/>
              </w:rPr>
              <w:t>个品类</w:t>
            </w:r>
            <w:r>
              <w:rPr>
                <w:rFonts w:hint="eastAsia" w:ascii="宋体" w:hAnsi="宋体" w:eastAsia="宋体" w:cs="宋体"/>
                <w:b w:val="0"/>
                <w:bCs/>
                <w:sz w:val="21"/>
                <w:szCs w:val="21"/>
                <w:highlight w:val="none"/>
              </w:rPr>
              <w:t>任意二个月（每个月提供一份）的检验检测报告得</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分；</w:t>
            </w:r>
          </w:p>
          <w:p w14:paraId="622901CA">
            <w:pP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3</w:t>
            </w:r>
            <w:r>
              <w:rPr>
                <w:rFonts w:hint="eastAsia" w:ascii="宋体" w:hAnsi="宋体" w:eastAsia="宋体" w:cs="宋体"/>
                <w:b w:val="0"/>
                <w:bCs/>
                <w:sz w:val="21"/>
                <w:szCs w:val="21"/>
                <w:highlight w:val="none"/>
              </w:rPr>
              <w:t>.投标人每提供上述</w:t>
            </w:r>
            <w:r>
              <w:rPr>
                <w:rFonts w:hint="eastAsia" w:ascii="宋体" w:hAnsi="宋体" w:cs="宋体"/>
                <w:b w:val="0"/>
                <w:bCs/>
                <w:sz w:val="21"/>
                <w:szCs w:val="21"/>
                <w:highlight w:val="none"/>
                <w:lang w:val="en-US" w:eastAsia="zh-CN"/>
              </w:rPr>
              <w:t>2</w:t>
            </w:r>
            <w:r>
              <w:rPr>
                <w:rFonts w:hint="eastAsia" w:ascii="宋体" w:hAnsi="宋体" w:eastAsia="宋体" w:cs="宋体"/>
                <w:b w:val="0"/>
                <w:bCs/>
                <w:sz w:val="21"/>
                <w:szCs w:val="21"/>
                <w:highlight w:val="none"/>
                <w:lang w:val="en-US" w:eastAsia="zh-CN"/>
              </w:rPr>
              <w:t>个品类</w:t>
            </w:r>
            <w:r>
              <w:rPr>
                <w:rFonts w:hint="eastAsia" w:ascii="宋体" w:hAnsi="宋体" w:eastAsia="宋体" w:cs="宋体"/>
                <w:b w:val="0"/>
                <w:bCs/>
                <w:sz w:val="21"/>
                <w:szCs w:val="21"/>
                <w:highlight w:val="none"/>
              </w:rPr>
              <w:t>任意三个月（每个月提供一份）的检验检测报告得</w:t>
            </w:r>
            <w:r>
              <w:rPr>
                <w:rFonts w:hint="eastAsia" w:ascii="宋体" w:hAnsi="宋体" w:eastAsia="宋体" w:cs="宋体"/>
                <w:b w:val="0"/>
                <w:bCs/>
                <w:sz w:val="21"/>
                <w:szCs w:val="21"/>
                <w:highlight w:val="none"/>
                <w:lang w:val="en-US" w:eastAsia="zh-CN"/>
              </w:rPr>
              <w:t>9</w:t>
            </w:r>
            <w:r>
              <w:rPr>
                <w:rFonts w:hint="eastAsia" w:ascii="宋体" w:hAnsi="宋体" w:eastAsia="宋体" w:cs="宋体"/>
                <w:b w:val="0"/>
                <w:bCs/>
                <w:sz w:val="21"/>
                <w:szCs w:val="21"/>
                <w:highlight w:val="none"/>
              </w:rPr>
              <w:t>分；</w:t>
            </w:r>
          </w:p>
          <w:p w14:paraId="6F332DBE">
            <w:pP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最高得9分；</w:t>
            </w:r>
          </w:p>
          <w:p w14:paraId="0016CE9B">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（二）评审依据：</w:t>
            </w:r>
          </w:p>
          <w:p w14:paraId="3023D713">
            <w:pP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1、</w:t>
            </w:r>
            <w:r>
              <w:rPr>
                <w:rFonts w:hint="eastAsia" w:ascii="宋体" w:hAnsi="宋体" w:eastAsia="宋体" w:cs="宋体"/>
                <w:b w:val="0"/>
                <w:bCs/>
                <w:sz w:val="21"/>
                <w:szCs w:val="21"/>
                <w:highlight w:val="none"/>
                <w:lang w:val="en-US" w:eastAsia="zh-CN"/>
              </w:rPr>
              <w:t>投标时同时提供：①由第三方检验检测机构出具并加盖（或带有）CMA标志的检验检测报告扫描件，原件备查；②上述检验检测报告在全国认证认可信息公共服务平台（认e云）（http://cx.cnca.cn/）的信息查询记录截图。</w:t>
            </w:r>
            <w:r>
              <w:rPr>
                <w:rFonts w:hint="eastAsia"/>
                <w:lang w:val="en-US" w:eastAsia="zh-CN"/>
              </w:rPr>
              <w:t>因该平台升级等原因导致无法查询的，则需提供通过检测机构官网、邮箱等可靠途径查询所提交检测报告具体内容的真实性的证明材料或者检测机构盖章的证明材料，证明该报告真实有效。</w:t>
            </w:r>
            <w:r>
              <w:rPr>
                <w:rFonts w:hint="eastAsia" w:ascii="宋体" w:hAnsi="宋体" w:eastAsia="宋体" w:cs="宋体"/>
                <w:b w:val="0"/>
                <w:bCs/>
                <w:sz w:val="21"/>
                <w:szCs w:val="21"/>
                <w:highlight w:val="none"/>
                <w:lang w:val="en-US" w:eastAsia="zh-CN"/>
              </w:rPr>
              <w:t>注：对应参数（检验检测项）在检验检测报告中进行标注。如检验检测报告中明确备注说明相关检验检测项不在检验检测机构CMA资质许可（认定）范围内的，不符合招标文件要求。</w:t>
            </w:r>
          </w:p>
          <w:p w14:paraId="2AA613A5">
            <w:pPr>
              <w:pStyle w:val="31"/>
              <w:ind w:left="0" w:leftChars="0" w:firstLine="0" w:firstLineChars="0"/>
              <w:rPr>
                <w:rFonts w:hint="default" w:eastAsia="宋体"/>
                <w:lang w:val="en-US" w:eastAsia="zh-CN"/>
              </w:rPr>
            </w:pPr>
            <w:r>
              <w:rPr>
                <w:rFonts w:hint="eastAsia" w:ascii="宋体" w:hAnsi="宋体" w:cs="宋体"/>
                <w:b w:val="0"/>
                <w:bCs/>
                <w:sz w:val="21"/>
                <w:szCs w:val="21"/>
                <w:highlight w:val="none"/>
                <w:lang w:val="en-US" w:eastAsia="zh-CN"/>
              </w:rPr>
              <w:t>2.若供应商成立不足三个月，</w:t>
            </w:r>
            <w:r>
              <w:rPr>
                <w:rFonts w:hint="eastAsia" w:ascii="宋体" w:hAnsi="宋体" w:eastAsia="宋体" w:cs="宋体"/>
                <w:b w:val="0"/>
                <w:bCs/>
                <w:sz w:val="21"/>
                <w:szCs w:val="21"/>
                <w:highlight w:val="none"/>
              </w:rPr>
              <w:t>提供上述</w:t>
            </w:r>
            <w:r>
              <w:rPr>
                <w:rFonts w:hint="eastAsia" w:ascii="宋体" w:hAnsi="宋体" w:cs="宋体"/>
                <w:b w:val="0"/>
                <w:bCs/>
                <w:sz w:val="21"/>
                <w:szCs w:val="21"/>
                <w:highlight w:val="none"/>
                <w:lang w:val="en-US" w:eastAsia="zh-CN"/>
              </w:rPr>
              <w:t>2</w:t>
            </w:r>
            <w:r>
              <w:rPr>
                <w:rFonts w:hint="eastAsia" w:ascii="宋体" w:hAnsi="宋体" w:eastAsia="宋体" w:cs="宋体"/>
                <w:b w:val="0"/>
                <w:bCs/>
                <w:sz w:val="21"/>
                <w:szCs w:val="21"/>
                <w:highlight w:val="none"/>
                <w:lang w:val="en-US" w:eastAsia="zh-CN"/>
              </w:rPr>
              <w:t>个品类</w:t>
            </w:r>
            <w:r>
              <w:rPr>
                <w:rFonts w:hint="eastAsia" w:ascii="宋体" w:hAnsi="宋体" w:cs="宋体"/>
                <w:b w:val="0"/>
                <w:bCs/>
                <w:sz w:val="21"/>
                <w:szCs w:val="21"/>
                <w:highlight w:val="none"/>
                <w:lang w:val="en-US" w:eastAsia="zh-CN"/>
              </w:rPr>
              <w:t>的供应商成立月数</w:t>
            </w:r>
            <w:r>
              <w:rPr>
                <w:rFonts w:hint="eastAsia" w:ascii="宋体" w:hAnsi="宋体" w:eastAsia="宋体" w:cs="宋体"/>
                <w:b w:val="0"/>
                <w:bCs/>
                <w:sz w:val="21"/>
                <w:szCs w:val="21"/>
                <w:highlight w:val="none"/>
              </w:rPr>
              <w:t>（每个月提供一份</w:t>
            </w:r>
            <w:r>
              <w:rPr>
                <w:rFonts w:hint="eastAsia" w:ascii="宋体" w:hAnsi="宋体" w:cs="宋体"/>
                <w:b w:val="0"/>
                <w:bCs/>
                <w:sz w:val="21"/>
                <w:szCs w:val="21"/>
                <w:highlight w:val="none"/>
                <w:lang w:eastAsia="zh-CN"/>
              </w:rPr>
              <w:t>）</w:t>
            </w:r>
            <w:r>
              <w:rPr>
                <w:rFonts w:hint="eastAsia" w:ascii="宋体" w:hAnsi="宋体" w:eastAsia="宋体" w:cs="宋体"/>
                <w:b w:val="0"/>
                <w:bCs/>
                <w:sz w:val="21"/>
                <w:szCs w:val="21"/>
                <w:highlight w:val="none"/>
              </w:rPr>
              <w:t>的检验检测报告</w:t>
            </w:r>
            <w:r>
              <w:rPr>
                <w:rFonts w:hint="eastAsia" w:ascii="宋体" w:hAnsi="宋体" w:cs="宋体"/>
                <w:b w:val="0"/>
                <w:bCs/>
                <w:sz w:val="21"/>
                <w:szCs w:val="21"/>
                <w:highlight w:val="none"/>
                <w:lang w:val="en-US" w:eastAsia="zh-CN"/>
              </w:rPr>
              <w:t>得9分。</w:t>
            </w:r>
          </w:p>
          <w:p w14:paraId="664CF61B">
            <w:pPr>
              <w:keepNext w:val="0"/>
              <w:keepLines w:val="0"/>
              <w:suppressLineNumbers w:val="0"/>
              <w:spacing w:before="0" w:beforeAutospacing="0" w:after="0" w:afterAutospacing="0"/>
              <w:ind w:left="0" w:leftChars="0" w:right="0" w:rightChars="0"/>
              <w:rPr>
                <w:rFonts w:ascii="宋体" w:hAnsi="宋体"/>
                <w:color w:val="FF0000"/>
              </w:rPr>
            </w:pPr>
            <w:r>
              <w:rPr>
                <w:rFonts w:hint="eastAsia" w:ascii="宋体" w:hAnsi="宋体" w:eastAsia="宋体" w:cs="宋体"/>
                <w:b w:val="0"/>
                <w:bCs/>
                <w:sz w:val="21"/>
                <w:szCs w:val="21"/>
                <w:highlight w:val="none"/>
              </w:rPr>
              <w:t>备注：以上资料均要求提供扫描件，评分中出现无证明资料或证书过期或专家无法凭所提供资料判断是否得分的情况，一律作不得分处理。</w:t>
            </w:r>
          </w:p>
        </w:tc>
      </w:tr>
      <w:tr w14:paraId="6454C1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79" w:hRule="atLeast"/>
          <w:jc w:val="center"/>
        </w:trPr>
        <w:tc>
          <w:tcPr>
            <w:tcW w:w="681" w:type="dxa"/>
            <w:vMerge w:val="restart"/>
            <w:tcBorders>
              <w:left w:val="single" w:color="000000" w:sz="8" w:space="0"/>
              <w:right w:val="single" w:color="000000" w:sz="8" w:space="0"/>
            </w:tcBorders>
            <w:vAlign w:val="top"/>
          </w:tcPr>
          <w:p w14:paraId="32641F0C">
            <w:pPr>
              <w:widowControl/>
              <w:jc w:val="both"/>
              <w:rPr>
                <w:rFonts w:hint="eastAsia" w:ascii="宋体" w:hAnsi="宋体" w:eastAsia="宋体" w:cs="宋体"/>
                <w:b/>
                <w:bCs/>
                <w:color w:val="0000FF"/>
                <w:sz w:val="24"/>
                <w:lang w:val="en-US" w:eastAsia="zh-CN"/>
              </w:rPr>
            </w:pPr>
            <w:r>
              <w:rPr>
                <w:rFonts w:hint="eastAsia" w:ascii="宋体" w:hAnsi="宋体" w:cs="宋体"/>
                <w:b/>
                <w:bCs/>
                <w:color w:val="0000FF"/>
                <w:sz w:val="24"/>
                <w:lang w:val="en-US" w:eastAsia="zh-CN"/>
              </w:rPr>
              <w:t>4</w:t>
            </w:r>
          </w:p>
        </w:tc>
        <w:tc>
          <w:tcPr>
            <w:tcW w:w="3947" w:type="dxa"/>
            <w:gridSpan w:val="3"/>
            <w:tcBorders>
              <w:top w:val="single" w:color="000000" w:sz="8" w:space="0"/>
              <w:left w:val="single" w:color="000000" w:sz="8" w:space="0"/>
              <w:bottom w:val="single" w:color="000000" w:sz="8" w:space="0"/>
              <w:right w:val="single" w:color="000000" w:sz="8" w:space="0"/>
            </w:tcBorders>
            <w:vAlign w:val="top"/>
          </w:tcPr>
          <w:p w14:paraId="4CB38EE6">
            <w:pPr>
              <w:wordWrap w:val="0"/>
              <w:jc w:val="center"/>
              <w:rPr>
                <w:rFonts w:hint="eastAsia" w:cs="宋体" w:asciiTheme="minorEastAsia" w:hAnsiTheme="minorEastAsia" w:eastAsiaTheme="minorEastAsia"/>
                <w:kern w:val="2"/>
                <w:sz w:val="21"/>
                <w:szCs w:val="21"/>
                <w:lang w:val="en-US" w:eastAsia="zh-CN" w:bidi="ar-SA"/>
              </w:rPr>
            </w:pPr>
            <w:r>
              <w:rPr>
                <w:rFonts w:hint="eastAsia"/>
                <w:b/>
                <w:bCs/>
                <w:color w:val="0000FF"/>
                <w:lang w:val="en-US" w:eastAsia="zh-CN"/>
              </w:rPr>
              <w:t>诚信情况</w:t>
            </w:r>
          </w:p>
        </w:tc>
        <w:tc>
          <w:tcPr>
            <w:tcW w:w="4447" w:type="dxa"/>
            <w:tcBorders>
              <w:top w:val="single" w:color="000000" w:sz="8" w:space="0"/>
              <w:left w:val="single" w:color="000000" w:sz="8" w:space="0"/>
              <w:bottom w:val="single" w:color="000000" w:sz="8" w:space="0"/>
              <w:right w:val="single" w:color="000000" w:sz="8" w:space="0"/>
            </w:tcBorders>
          </w:tcPr>
          <w:p w14:paraId="171A3B3D">
            <w:pPr>
              <w:wordWrap w:val="0"/>
              <w:jc w:val="center"/>
              <w:rPr>
                <w:rFonts w:hint="eastAsia" w:asciiTheme="minorEastAsia" w:hAnsiTheme="minorEastAsia" w:eastAsiaTheme="minorEastAsia" w:cstheme="minorEastAsia"/>
                <w:b w:val="0"/>
                <w:bCs w:val="0"/>
                <w:sz w:val="21"/>
                <w:szCs w:val="21"/>
                <w:lang w:val="en-US" w:eastAsia="zh-CN"/>
              </w:rPr>
            </w:pPr>
            <w:r>
              <w:rPr>
                <w:rFonts w:hint="eastAsia" w:ascii="Times New Roman" w:hAnsi="Times New Roman" w:cs="Times New Roman"/>
                <w:b/>
                <w:bCs/>
                <w:color w:val="0000FF"/>
                <w:lang w:val="en-US" w:eastAsia="zh-CN"/>
              </w:rPr>
              <w:t>5</w:t>
            </w:r>
          </w:p>
        </w:tc>
      </w:tr>
      <w:tr w14:paraId="4BE2FE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41EB83F7">
            <w:pPr>
              <w:widowControl/>
              <w:jc w:val="left"/>
              <w:rPr>
                <w:rFonts w:ascii="宋体" w:hAnsi="宋体" w:cs="宋体"/>
                <w:b/>
                <w:bCs/>
                <w:color w:val="0000FF"/>
                <w:sz w:val="24"/>
              </w:rPr>
            </w:pPr>
            <w:bookmarkStart w:id="5" w:name="OLE_LINK14" w:colFirst="1" w:colLast="4"/>
          </w:p>
        </w:tc>
        <w:tc>
          <w:tcPr>
            <w:tcW w:w="680"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7DF1211B">
            <w:pPr>
              <w:wordWrap w:val="0"/>
              <w:jc w:val="center"/>
              <w:rPr>
                <w:rFonts w:hint="eastAsia" w:ascii="宋体" w:hAnsi="宋体" w:eastAsia="宋体" w:cs="宋体"/>
                <w:kern w:val="2"/>
                <w:sz w:val="21"/>
                <w:szCs w:val="21"/>
                <w:lang w:val="en-US" w:eastAsia="zh-CN" w:bidi="ar-SA"/>
              </w:rPr>
            </w:pPr>
            <w:r>
              <w:rPr>
                <w:rFonts w:hint="eastAsia"/>
                <w:szCs w:val="21"/>
              </w:rPr>
              <w:t>序号</w:t>
            </w:r>
          </w:p>
        </w:tc>
        <w:tc>
          <w:tcPr>
            <w:tcW w:w="2543"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08ED2155">
            <w:pPr>
              <w:wordWrap w:val="0"/>
              <w:jc w:val="center"/>
              <w:rPr>
                <w:rFonts w:hint="eastAsia" w:ascii="宋体" w:hAnsi="宋体" w:eastAsia="宋体" w:cs="宋体"/>
                <w:kern w:val="2"/>
                <w:sz w:val="21"/>
                <w:szCs w:val="21"/>
                <w:lang w:val="en-US" w:eastAsia="zh-CN" w:bidi="ar-SA"/>
              </w:rPr>
            </w:pPr>
            <w:r>
              <w:rPr>
                <w:rFonts w:hint="eastAsia"/>
                <w:szCs w:val="21"/>
              </w:rPr>
              <w:t>评分因素</w:t>
            </w:r>
          </w:p>
        </w:tc>
        <w:tc>
          <w:tcPr>
            <w:tcW w:w="724"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2E8A1752">
            <w:pPr>
              <w:wordWrap w:val="0"/>
              <w:jc w:val="center"/>
              <w:rPr>
                <w:rFonts w:hint="eastAsia" w:ascii="宋体" w:hAnsi="宋体" w:eastAsia="宋体" w:cs="宋体"/>
                <w:kern w:val="2"/>
                <w:sz w:val="21"/>
                <w:szCs w:val="21"/>
                <w:lang w:val="en-US" w:eastAsia="zh-CN" w:bidi="ar-SA"/>
              </w:rPr>
            </w:pPr>
            <w:r>
              <w:rPr>
                <w:rFonts w:hint="eastAsia"/>
                <w:szCs w:val="21"/>
              </w:rPr>
              <w:t>权重</w:t>
            </w:r>
          </w:p>
        </w:tc>
        <w:tc>
          <w:tcPr>
            <w:tcW w:w="4447"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47A3B2AA">
            <w:pPr>
              <w:jc w:val="center"/>
              <w:rPr>
                <w:rFonts w:hint="eastAsia" w:ascii="宋体" w:hAnsi="宋体" w:eastAsia="宋体" w:cs="Times New Roman"/>
                <w:color w:val="FF0000"/>
                <w:kern w:val="2"/>
                <w:sz w:val="21"/>
                <w:szCs w:val="24"/>
                <w:lang w:val="en-US" w:eastAsia="zh-CN" w:bidi="ar-SA"/>
              </w:rPr>
            </w:pPr>
            <w:r>
              <w:rPr>
                <w:rFonts w:hint="eastAsia"/>
                <w:szCs w:val="21"/>
              </w:rPr>
              <w:t>评分准则</w:t>
            </w:r>
          </w:p>
        </w:tc>
      </w:tr>
      <w:bookmarkEnd w:id="5"/>
      <w:tr w14:paraId="7AC3F0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26BA18B4">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4456054D">
            <w:pPr>
              <w:wordWrap w:val="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w:t>
            </w:r>
          </w:p>
        </w:tc>
        <w:tc>
          <w:tcPr>
            <w:tcW w:w="2543" w:type="dxa"/>
            <w:tcBorders>
              <w:top w:val="single" w:color="000000" w:sz="8" w:space="0"/>
              <w:left w:val="single" w:color="000000" w:sz="8" w:space="0"/>
              <w:bottom w:val="single" w:color="000000" w:sz="8" w:space="0"/>
              <w:right w:val="single" w:color="000000" w:sz="8" w:space="0"/>
            </w:tcBorders>
            <w:vAlign w:val="top"/>
          </w:tcPr>
          <w:p w14:paraId="22EF55C7">
            <w:pPr>
              <w:wordWrap w:val="0"/>
              <w:rPr>
                <w:szCs w:val="21"/>
              </w:rPr>
            </w:pPr>
            <w:r>
              <w:rPr>
                <w:szCs w:val="21"/>
              </w:rPr>
              <w:t>诚信情况</w:t>
            </w:r>
          </w:p>
          <w:p w14:paraId="383C48E6">
            <w:pPr>
              <w:jc w:val="left"/>
              <w:rPr>
                <w:rFonts w:hint="eastAsia" w:eastAsia="宋体" w:cs="宋体" w:asciiTheme="minorHAnsi" w:hAnsiTheme="minorHAnsi"/>
                <w:kern w:val="2"/>
                <w:sz w:val="21"/>
                <w:szCs w:val="22"/>
                <w:lang w:val="en-US" w:eastAsia="zh-CN" w:bidi="ar-SA"/>
              </w:rPr>
            </w:pPr>
          </w:p>
        </w:tc>
        <w:tc>
          <w:tcPr>
            <w:tcW w:w="724" w:type="dxa"/>
            <w:tcBorders>
              <w:top w:val="single" w:color="000000" w:sz="8" w:space="0"/>
              <w:left w:val="single" w:color="000000" w:sz="8" w:space="0"/>
              <w:bottom w:val="single" w:color="000000" w:sz="8" w:space="0"/>
              <w:right w:val="single" w:color="000000" w:sz="8" w:space="0"/>
            </w:tcBorders>
            <w:vAlign w:val="top"/>
          </w:tcPr>
          <w:p w14:paraId="7F5DCCC0">
            <w:pPr>
              <w:wordWrap w:val="0"/>
              <w:jc w:val="center"/>
              <w:rPr>
                <w:rFonts w:hint="eastAsia" w:cs="宋体" w:asciiTheme="minorEastAsia" w:hAnsiTheme="minorEastAsia" w:eastAsiaTheme="minorEastAsia"/>
                <w:kern w:val="2"/>
                <w:sz w:val="21"/>
                <w:szCs w:val="21"/>
                <w:lang w:val="en-US" w:eastAsia="zh-CN" w:bidi="ar-SA"/>
              </w:rPr>
            </w:pPr>
            <w:r>
              <w:rPr>
                <w:rFonts w:hint="eastAsia" w:ascii="宋体" w:hAnsi="宋体" w:cs="宋体"/>
                <w:b/>
                <w:bCs/>
                <w:color w:val="0000FF"/>
                <w:kern w:val="0"/>
                <w:szCs w:val="21"/>
                <w:lang w:val="en-US" w:eastAsia="zh-CN" w:bidi="ar"/>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5E2D1926">
            <w:pPr>
              <w:pStyle w:val="16"/>
              <w:keepNext w:val="0"/>
              <w:keepLines w:val="0"/>
              <w:suppressLineNumbers w:val="0"/>
              <w:wordWrap w:val="0"/>
              <w:spacing w:before="0" w:beforeAutospacing="0" w:after="0" w:afterAutospacing="0" w:line="240" w:lineRule="auto"/>
              <w:ind w:left="0" w:right="0" w:firstLine="420" w:firstLineChars="200"/>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w:t>
            </w:r>
            <w:r>
              <w:rPr>
                <w:rFonts w:hint="eastAsia" w:asciiTheme="minorEastAsia" w:hAnsiTheme="minorEastAsia" w:eastAsiaTheme="minorEastAsia" w:cstheme="minorEastAsia"/>
                <w:b w:val="0"/>
                <w:bCs w:val="0"/>
                <w:sz w:val="21"/>
                <w:szCs w:val="21"/>
                <w:lang w:val="en-US" w:eastAsia="zh-CN"/>
              </w:rPr>
              <w:t>满</w:t>
            </w:r>
            <w:r>
              <w:rPr>
                <w:rFonts w:hint="eastAsia" w:asciiTheme="minorEastAsia" w:hAnsiTheme="minorEastAsia" w:eastAsiaTheme="minorEastAsia" w:cstheme="minorEastAsia"/>
                <w:b w:val="0"/>
                <w:bCs w:val="0"/>
                <w:sz w:val="21"/>
                <w:szCs w:val="21"/>
              </w:rPr>
              <w:t>分。投标人无需提供任何证明材料，评标过程中由工作人员向评审委员会提供有关供应商诚信查询结果。</w:t>
            </w:r>
            <w:r>
              <w:rPr>
                <w:rFonts w:hint="eastAsia" w:asciiTheme="minorEastAsia" w:hAnsiTheme="minorEastAsia" w:eastAsiaTheme="minorEastAsia" w:cstheme="minorEastAsia"/>
                <w:b w:val="0"/>
                <w:bCs w:val="0"/>
                <w:color w:val="auto"/>
                <w:sz w:val="21"/>
                <w:szCs w:val="21"/>
              </w:rPr>
              <w:t>“深圳政府采购智慧平台信用库”作为供应商信用信息的法定查询渠道之一</w:t>
            </w:r>
            <w:r>
              <w:rPr>
                <w:rFonts w:hint="eastAsia" w:asciiTheme="minorEastAsia" w:hAnsiTheme="minorEastAsia" w:eastAsiaTheme="minorEastAsia" w:cstheme="minorEastAsia"/>
                <w:b w:val="0"/>
                <w:bCs w:val="0"/>
                <w:color w:val="auto"/>
                <w:sz w:val="21"/>
                <w:szCs w:val="21"/>
                <w:lang w:eastAsia="zh-CN"/>
              </w:rPr>
              <w:t>。</w:t>
            </w:r>
          </w:p>
          <w:p w14:paraId="571BB452">
            <w:pPr>
              <w:wordWrap w:val="0"/>
              <w:rPr>
                <w:rFonts w:hint="eastAsia" w:ascii="宋体" w:hAnsi="宋体" w:eastAsia="宋体" w:cs="Times New Roman"/>
                <w:color w:val="FF0000"/>
                <w:kern w:val="2"/>
                <w:sz w:val="21"/>
                <w:szCs w:val="24"/>
                <w:lang w:val="en-US" w:eastAsia="zh-CN" w:bidi="ar-SA"/>
              </w:rPr>
            </w:pPr>
            <w:r>
              <w:rPr>
                <w:rFonts w:hint="eastAsia" w:asciiTheme="minorEastAsia" w:hAnsiTheme="minorEastAsia" w:eastAsiaTheme="minorEastAsia" w:cstheme="minorEastAsia"/>
                <w:b w:val="0"/>
                <w:bCs w:val="0"/>
                <w:sz w:val="21"/>
                <w:szCs w:val="21"/>
              </w:rPr>
              <w:t>查询渠道：通过“信用中国”（www.creditchina.gov.cn，下载信用信息报告）、“中国政府采购网”（www.ccgp.gov.cn）以及“深圳市政府采购监管网”（http://zfcg.sz.gov.cn）</w:t>
            </w:r>
            <w:r>
              <w:rPr>
                <w:rFonts w:hint="eastAsia" w:asciiTheme="minorEastAsia" w:hAnsiTheme="minorEastAsia" w:eastAsiaTheme="minorEastAsia" w:cstheme="minorEastAsia"/>
                <w:b w:val="0"/>
                <w:bCs w:val="0"/>
                <w:sz w:val="21"/>
                <w:szCs w:val="21"/>
                <w:lang w:eastAsia="zh-CN"/>
              </w:rPr>
              <w:t>以及财政部门认可的“供应商诚信档案库”查</w:t>
            </w:r>
            <w:r>
              <w:rPr>
                <w:rFonts w:hint="eastAsia" w:asciiTheme="minorEastAsia" w:hAnsiTheme="minorEastAsia" w:eastAsiaTheme="minorEastAsia" w:cstheme="minorEastAsia"/>
                <w:b w:val="0"/>
                <w:bCs w:val="0"/>
                <w:sz w:val="21"/>
                <w:szCs w:val="21"/>
              </w:rPr>
              <w:t>查询供应商信用信息，信用信息以开标当日的查询结果为准。</w:t>
            </w:r>
          </w:p>
        </w:tc>
      </w:tr>
    </w:tbl>
    <w:p w14:paraId="3791C5AB">
      <w:pPr>
        <w:widowControl/>
        <w:jc w:val="left"/>
        <w:rPr>
          <w:rFonts w:ascii="黑体" w:hAnsi="黑体" w:eastAsia="黑体"/>
          <w:color w:val="FF0000"/>
          <w:sz w:val="28"/>
          <w:szCs w:val="28"/>
        </w:rPr>
      </w:pPr>
    </w:p>
    <w:p w14:paraId="78590669">
      <w:pPr>
        <w:pStyle w:val="28"/>
        <w:spacing w:before="280" w:after="280" w:line="320" w:lineRule="exact"/>
        <w:jc w:val="center"/>
        <w:outlineLvl w:val="1"/>
        <w:rPr>
          <w:rFonts w:ascii="黑体" w:hAnsi="黑体" w:eastAsia="黑体"/>
          <w:sz w:val="28"/>
          <w:szCs w:val="40"/>
        </w:rPr>
      </w:pPr>
      <w:bookmarkStart w:id="6" w:name="OLE_LINK34"/>
      <w:r>
        <w:rPr>
          <w:rFonts w:hint="eastAsia" w:ascii="黑体" w:hAnsi="黑体" w:eastAsia="黑体"/>
          <w:sz w:val="28"/>
          <w:szCs w:val="40"/>
        </w:rPr>
        <w:t>定标方法</w:t>
      </w:r>
    </w:p>
    <w:p w14:paraId="662E6D23">
      <w:pPr>
        <w:jc w:val="center"/>
      </w:pPr>
      <w:r>
        <w:rPr>
          <w:rFonts w:hint="eastAsia"/>
          <w:b/>
        </w:rPr>
        <w:t>非评定分离项目</w:t>
      </w:r>
    </w:p>
    <w:tbl>
      <w:tblPr>
        <w:tblStyle w:val="33"/>
        <w:tblW w:w="87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5909"/>
      </w:tblGrid>
      <w:tr w14:paraId="34603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4" w:type="dxa"/>
            <w:vAlign w:val="center"/>
          </w:tcPr>
          <w:p w14:paraId="41B2DC25">
            <w:pPr>
              <w:jc w:val="center"/>
              <w:rPr>
                <w:b/>
                <w:bCs/>
              </w:rPr>
            </w:pPr>
            <w:r>
              <w:rPr>
                <w:rFonts w:hint="eastAsia"/>
                <w:b/>
                <w:bCs/>
              </w:rPr>
              <w:t>评标方法</w:t>
            </w:r>
          </w:p>
        </w:tc>
        <w:tc>
          <w:tcPr>
            <w:tcW w:w="5909" w:type="dxa"/>
            <w:vAlign w:val="center"/>
          </w:tcPr>
          <w:p w14:paraId="0C215C75">
            <w:pPr>
              <w:jc w:val="center"/>
              <w:rPr>
                <w:rFonts w:hint="default" w:eastAsia="宋体"/>
                <w:b/>
                <w:bCs/>
                <w:lang w:val="en-US" w:eastAsia="zh-CN"/>
              </w:rPr>
            </w:pPr>
            <w:r>
              <w:rPr>
                <w:rFonts w:hint="eastAsia"/>
                <w:b/>
                <w:bCs/>
              </w:rPr>
              <w:t>综合评分法</w:t>
            </w:r>
          </w:p>
        </w:tc>
      </w:tr>
      <w:tr w14:paraId="0BD8D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844" w:type="dxa"/>
            <w:vAlign w:val="center"/>
          </w:tcPr>
          <w:p w14:paraId="421FD704">
            <w:pPr>
              <w:jc w:val="center"/>
            </w:pPr>
            <w:r>
              <w:rPr>
                <w:rFonts w:hint="eastAsia"/>
              </w:rPr>
              <w:t>候选中标供应商家数</w:t>
            </w:r>
          </w:p>
        </w:tc>
        <w:tc>
          <w:tcPr>
            <w:tcW w:w="5909" w:type="dxa"/>
            <w:vAlign w:val="center"/>
          </w:tcPr>
          <w:p w14:paraId="660F4CA8">
            <w:pPr>
              <w:jc w:val="center"/>
              <w:rPr>
                <w:rFonts w:hint="default" w:eastAsia="宋体"/>
                <w:lang w:val="en-US" w:eastAsia="zh-CN"/>
              </w:rPr>
            </w:pPr>
            <w:r>
              <w:rPr>
                <w:rFonts w:hint="eastAsia"/>
                <w:lang w:val="en-US" w:eastAsia="zh-CN"/>
              </w:rPr>
              <w:t>1</w:t>
            </w:r>
          </w:p>
        </w:tc>
      </w:tr>
      <w:tr w14:paraId="5559F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vAlign w:val="center"/>
          </w:tcPr>
          <w:p w14:paraId="13EF2FBC">
            <w:pPr>
              <w:jc w:val="center"/>
            </w:pPr>
            <w:r>
              <w:rPr>
                <w:rFonts w:hint="eastAsia"/>
              </w:rPr>
              <w:t>中标供应商家数</w:t>
            </w:r>
          </w:p>
        </w:tc>
        <w:tc>
          <w:tcPr>
            <w:tcW w:w="5909" w:type="dxa"/>
            <w:vAlign w:val="center"/>
          </w:tcPr>
          <w:p w14:paraId="279964F5">
            <w:pPr>
              <w:jc w:val="center"/>
            </w:pPr>
            <w:r>
              <w:rPr>
                <w:rFonts w:hint="eastAsia"/>
              </w:rPr>
              <w:t>1</w:t>
            </w:r>
          </w:p>
        </w:tc>
      </w:tr>
    </w:tbl>
    <w:p w14:paraId="0F5694D3">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cs="宋体"/>
          <w:kern w:val="0"/>
          <w:szCs w:val="21"/>
        </w:rPr>
      </w:pPr>
    </w:p>
    <w:p w14:paraId="406A69FD">
      <w:pPr>
        <w:keepNext w:val="0"/>
        <w:keepLines w:val="0"/>
        <w:pageBreakBefore w:val="0"/>
        <w:widowControl w:val="0"/>
        <w:kinsoku/>
        <w:wordWrap/>
        <w:overflowPunct/>
        <w:topLinePunct w:val="0"/>
        <w:autoSpaceDE/>
        <w:autoSpaceDN/>
        <w:bidi w:val="0"/>
        <w:adjustRightInd/>
        <w:snapToGrid/>
        <w:spacing w:line="240" w:lineRule="auto"/>
        <w:ind w:firstLine="411" w:firstLineChars="196"/>
        <w:textAlignment w:val="auto"/>
        <w:rPr>
          <w:rFonts w:ascii="宋体" w:hAnsi="宋体" w:cs="宋体"/>
          <w:kern w:val="0"/>
          <w:szCs w:val="21"/>
        </w:rPr>
      </w:pPr>
      <w:r>
        <w:rPr>
          <w:rFonts w:hint="eastAsia" w:ascii="宋体" w:hAnsi="宋体" w:cs="宋体"/>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唯一中标候选人。中标候选人并列的，采取随机抽取的方式确定，具体操作办法及流程由评标委员会确定。</w:t>
      </w:r>
      <w:r>
        <w:rPr>
          <w:rFonts w:hint="eastAsia" w:ascii="宋体" w:hAnsi="宋体" w:cs="宋体"/>
          <w:color w:val="FF0000"/>
          <w:kern w:val="0"/>
          <w:szCs w:val="21"/>
        </w:rPr>
        <w:t>如唯一候选中标供应商被认定投标或中标无效，采购人应当重新开展采购活动。</w:t>
      </w:r>
    </w:p>
    <w:p w14:paraId="5FB61A9B">
      <w:pPr>
        <w:pStyle w:val="31"/>
        <w:ind w:left="0" w:leftChars="0" w:firstLine="0" w:firstLineChars="0"/>
      </w:pPr>
    </w:p>
    <w:p w14:paraId="32377471">
      <w:pPr>
        <w:pStyle w:val="28"/>
        <w:spacing w:before="280" w:after="280" w:line="320" w:lineRule="exact"/>
        <w:jc w:val="center"/>
        <w:outlineLvl w:val="1"/>
        <w:rPr>
          <w:rFonts w:hint="eastAsia" w:ascii="黑体" w:hAnsi="黑体" w:eastAsia="黑体"/>
          <w:sz w:val="28"/>
          <w:szCs w:val="40"/>
          <w:lang w:val="en-US" w:eastAsia="zh-CN"/>
        </w:rPr>
      </w:pPr>
      <w:r>
        <w:rPr>
          <w:rFonts w:hint="eastAsia" w:ascii="黑体" w:hAnsi="黑体" w:eastAsia="黑体"/>
          <w:sz w:val="28"/>
          <w:szCs w:val="40"/>
          <w:lang w:val="en-US" w:eastAsia="zh-CN"/>
        </w:rPr>
        <w:t>相关</w:t>
      </w:r>
      <w:r>
        <w:rPr>
          <w:rFonts w:hint="eastAsia" w:ascii="黑体" w:hAnsi="黑体" w:eastAsia="黑体"/>
          <w:sz w:val="28"/>
          <w:szCs w:val="40"/>
        </w:rPr>
        <w:t>费</w:t>
      </w:r>
      <w:r>
        <w:rPr>
          <w:rFonts w:hint="eastAsia" w:ascii="黑体" w:hAnsi="黑体" w:eastAsia="黑体"/>
          <w:sz w:val="28"/>
          <w:szCs w:val="40"/>
          <w:lang w:val="en-US" w:eastAsia="zh-CN"/>
        </w:rPr>
        <w:t>用</w:t>
      </w:r>
    </w:p>
    <w:p w14:paraId="40F3E7AE">
      <w:pPr>
        <w:ind w:firstLine="422" w:firstLineChars="200"/>
        <w:rPr>
          <w:rFonts w:hint="eastAsia"/>
          <w:b/>
          <w:lang w:val="en-US" w:eastAsia="zh-CN"/>
        </w:rPr>
      </w:pPr>
      <w:bookmarkStart w:id="7" w:name="OLE_LINK29"/>
      <w:r>
        <w:rPr>
          <w:rFonts w:hint="eastAsia"/>
          <w:b/>
          <w:lang w:val="en-US" w:eastAsia="zh-CN"/>
        </w:rPr>
        <w:t>1、采购代理服务费</w:t>
      </w:r>
    </w:p>
    <w:p w14:paraId="4BB9C8B5">
      <w:pPr>
        <w:ind w:firstLine="422" w:firstLineChars="200"/>
        <w:rPr>
          <w:b/>
        </w:rPr>
      </w:pPr>
      <w:r>
        <w:rPr>
          <w:rFonts w:hint="eastAsia"/>
          <w:b/>
        </w:rPr>
        <w:t>本项目为代理服务项目，将向中标（成交）供应商收取代理服务费。</w:t>
      </w:r>
    </w:p>
    <w:p w14:paraId="6834311E">
      <w:pPr>
        <w:ind w:firstLine="420" w:firstLineChars="200"/>
      </w:pPr>
      <w:r>
        <w:rPr>
          <w:rFonts w:hint="eastAsia"/>
        </w:rPr>
        <w:t>中标</w:t>
      </w:r>
      <w:bookmarkEnd w:id="7"/>
      <w:r>
        <w:rPr>
          <w:rFonts w:hint="eastAsia"/>
        </w:rPr>
        <w:t>（成交）供应商在领取《中标（成交）通知书》之前须向深圳公共资源交易中心（深圳交易集团有限公司罗湖分公司）交纳代理服务费。若因中标（成交）供应商交纳代理服务费所产生的时间影响到合同签订的，由中标（成交）供应商自行承担责任。代理服务费标准参照下列标准收取。</w:t>
      </w:r>
      <w:r>
        <w:rPr>
          <w:rFonts w:hint="eastAsia"/>
          <w:b/>
          <w:color w:val="FF0000"/>
        </w:rPr>
        <w:t>本项目类型为服务采购：</w:t>
      </w:r>
    </w:p>
    <w:p w14:paraId="6EFDBED3">
      <w:pPr>
        <w:ind w:firstLine="420" w:firstLineChars="200"/>
      </w:pPr>
      <w:r>
        <w:rPr>
          <w:rFonts w:hint="eastAsia"/>
        </w:rPr>
        <w:t>（1）代理服务费以《中标（成交）通知书》确定的中标（成交）金额作为计算基数，按差额定率累进法计算。</w:t>
      </w:r>
    </w:p>
    <w:p w14:paraId="5ABD5BB0">
      <w:pPr>
        <w:ind w:firstLine="420" w:firstLineChars="200"/>
      </w:pPr>
      <w:r>
        <w:rPr>
          <w:rFonts w:hint="eastAsia"/>
        </w:rPr>
        <w:t>（2）中标（成交）金额的各部分费率如下表：</w:t>
      </w:r>
    </w:p>
    <w:tbl>
      <w:tblPr>
        <w:tblStyle w:val="3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20428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2D7F5003">
            <w:pPr>
              <w:widowControl/>
              <w:spacing w:line="360" w:lineRule="auto"/>
              <w:jc w:val="center"/>
            </w:pPr>
            <w:r>
              <w:rPr>
                <w:rFonts w:hint="eastAsia"/>
              </w:rPr>
              <w:t>中标（成交）金额</w:t>
            </w:r>
          </w:p>
        </w:tc>
        <w:tc>
          <w:tcPr>
            <w:tcW w:w="1799" w:type="dxa"/>
            <w:vAlign w:val="center"/>
          </w:tcPr>
          <w:p w14:paraId="67345B6F">
            <w:pPr>
              <w:widowControl/>
              <w:spacing w:line="360" w:lineRule="auto"/>
              <w:jc w:val="center"/>
            </w:pPr>
            <w:r>
              <w:rPr>
                <w:rFonts w:hint="eastAsia"/>
              </w:rPr>
              <w:t>货物采购</w:t>
            </w:r>
          </w:p>
        </w:tc>
        <w:tc>
          <w:tcPr>
            <w:tcW w:w="1799" w:type="dxa"/>
            <w:vAlign w:val="center"/>
          </w:tcPr>
          <w:p w14:paraId="48056781">
            <w:pPr>
              <w:widowControl/>
              <w:spacing w:line="360" w:lineRule="auto"/>
              <w:jc w:val="center"/>
            </w:pPr>
            <w:r>
              <w:rPr>
                <w:rFonts w:hint="eastAsia"/>
              </w:rPr>
              <w:t>服务采购</w:t>
            </w:r>
          </w:p>
        </w:tc>
        <w:tc>
          <w:tcPr>
            <w:tcW w:w="1799" w:type="dxa"/>
            <w:vAlign w:val="center"/>
          </w:tcPr>
          <w:p w14:paraId="2105B0C7">
            <w:pPr>
              <w:widowControl/>
              <w:spacing w:line="360" w:lineRule="auto"/>
              <w:jc w:val="center"/>
            </w:pPr>
            <w:r>
              <w:rPr>
                <w:rFonts w:hint="eastAsia"/>
              </w:rPr>
              <w:t>工程采购</w:t>
            </w:r>
          </w:p>
        </w:tc>
      </w:tr>
      <w:tr w14:paraId="4C00E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063ABE5">
            <w:pPr>
              <w:widowControl/>
              <w:spacing w:line="360" w:lineRule="auto"/>
              <w:jc w:val="center"/>
            </w:pPr>
            <w:r>
              <w:rPr>
                <w:rFonts w:hint="eastAsia"/>
              </w:rPr>
              <w:t>100万元以下</w:t>
            </w:r>
          </w:p>
        </w:tc>
        <w:tc>
          <w:tcPr>
            <w:tcW w:w="1799" w:type="dxa"/>
            <w:vAlign w:val="center"/>
          </w:tcPr>
          <w:p w14:paraId="1B4BABB9">
            <w:pPr>
              <w:widowControl/>
              <w:spacing w:line="360" w:lineRule="auto"/>
              <w:jc w:val="center"/>
            </w:pPr>
            <w:r>
              <w:rPr>
                <w:rFonts w:hint="eastAsia"/>
              </w:rPr>
              <w:t>1.5%</w:t>
            </w:r>
          </w:p>
        </w:tc>
        <w:tc>
          <w:tcPr>
            <w:tcW w:w="1799" w:type="dxa"/>
            <w:vAlign w:val="center"/>
          </w:tcPr>
          <w:p w14:paraId="116059C7">
            <w:pPr>
              <w:widowControl/>
              <w:spacing w:line="360" w:lineRule="auto"/>
              <w:jc w:val="center"/>
            </w:pPr>
            <w:r>
              <w:rPr>
                <w:rFonts w:hint="eastAsia"/>
              </w:rPr>
              <w:t>1.5%</w:t>
            </w:r>
          </w:p>
        </w:tc>
        <w:tc>
          <w:tcPr>
            <w:tcW w:w="1799" w:type="dxa"/>
            <w:vAlign w:val="center"/>
          </w:tcPr>
          <w:p w14:paraId="54F950F1">
            <w:pPr>
              <w:widowControl/>
              <w:spacing w:line="360" w:lineRule="auto"/>
              <w:jc w:val="center"/>
            </w:pPr>
            <w:r>
              <w:rPr>
                <w:rFonts w:hint="eastAsia"/>
              </w:rPr>
              <w:t>1.0%</w:t>
            </w:r>
          </w:p>
        </w:tc>
      </w:tr>
      <w:tr w14:paraId="68E97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F5DBDDD">
            <w:pPr>
              <w:widowControl/>
              <w:spacing w:line="360" w:lineRule="auto"/>
              <w:jc w:val="center"/>
            </w:pPr>
            <w:r>
              <w:rPr>
                <w:rFonts w:hint="eastAsia"/>
              </w:rPr>
              <w:t>100万元（含）-500万元</w:t>
            </w:r>
          </w:p>
        </w:tc>
        <w:tc>
          <w:tcPr>
            <w:tcW w:w="1799" w:type="dxa"/>
            <w:vAlign w:val="center"/>
          </w:tcPr>
          <w:p w14:paraId="3E4EC981">
            <w:pPr>
              <w:widowControl/>
              <w:spacing w:line="360" w:lineRule="auto"/>
              <w:jc w:val="center"/>
            </w:pPr>
            <w:r>
              <w:rPr>
                <w:rFonts w:hint="eastAsia"/>
              </w:rPr>
              <w:t>1.1%</w:t>
            </w:r>
          </w:p>
        </w:tc>
        <w:tc>
          <w:tcPr>
            <w:tcW w:w="1799" w:type="dxa"/>
            <w:vAlign w:val="center"/>
          </w:tcPr>
          <w:p w14:paraId="16010BEE">
            <w:pPr>
              <w:widowControl/>
              <w:spacing w:line="360" w:lineRule="auto"/>
              <w:jc w:val="center"/>
            </w:pPr>
            <w:r>
              <w:rPr>
                <w:rFonts w:hint="eastAsia"/>
              </w:rPr>
              <w:t>0.8%</w:t>
            </w:r>
          </w:p>
        </w:tc>
        <w:tc>
          <w:tcPr>
            <w:tcW w:w="1799" w:type="dxa"/>
            <w:vAlign w:val="center"/>
          </w:tcPr>
          <w:p w14:paraId="19E0944F">
            <w:pPr>
              <w:widowControl/>
              <w:spacing w:line="360" w:lineRule="auto"/>
              <w:jc w:val="center"/>
            </w:pPr>
            <w:r>
              <w:rPr>
                <w:rFonts w:hint="eastAsia"/>
              </w:rPr>
              <w:t>0.7%</w:t>
            </w:r>
          </w:p>
        </w:tc>
      </w:tr>
      <w:tr w14:paraId="41F34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8217F76">
            <w:pPr>
              <w:widowControl/>
              <w:spacing w:line="360" w:lineRule="auto"/>
              <w:jc w:val="center"/>
            </w:pPr>
            <w:r>
              <w:rPr>
                <w:rFonts w:hint="eastAsia"/>
              </w:rPr>
              <w:t>500万元（含）-1000万元</w:t>
            </w:r>
          </w:p>
        </w:tc>
        <w:tc>
          <w:tcPr>
            <w:tcW w:w="1799" w:type="dxa"/>
            <w:vAlign w:val="center"/>
          </w:tcPr>
          <w:p w14:paraId="1C282378">
            <w:pPr>
              <w:widowControl/>
              <w:spacing w:line="360" w:lineRule="auto"/>
              <w:jc w:val="center"/>
            </w:pPr>
            <w:r>
              <w:rPr>
                <w:rFonts w:hint="eastAsia"/>
              </w:rPr>
              <w:t>0.8%</w:t>
            </w:r>
          </w:p>
        </w:tc>
        <w:tc>
          <w:tcPr>
            <w:tcW w:w="1799" w:type="dxa"/>
            <w:vAlign w:val="center"/>
          </w:tcPr>
          <w:p w14:paraId="37D9A0CE">
            <w:pPr>
              <w:widowControl/>
              <w:spacing w:line="360" w:lineRule="auto"/>
              <w:jc w:val="center"/>
            </w:pPr>
            <w:r>
              <w:rPr>
                <w:rFonts w:hint="eastAsia"/>
              </w:rPr>
              <w:t>0.45%</w:t>
            </w:r>
          </w:p>
        </w:tc>
        <w:tc>
          <w:tcPr>
            <w:tcW w:w="1799" w:type="dxa"/>
            <w:vAlign w:val="center"/>
          </w:tcPr>
          <w:p w14:paraId="31C07BFC">
            <w:pPr>
              <w:widowControl/>
              <w:spacing w:line="360" w:lineRule="auto"/>
              <w:jc w:val="center"/>
            </w:pPr>
            <w:r>
              <w:rPr>
                <w:rFonts w:hint="eastAsia"/>
              </w:rPr>
              <w:t>0.55%</w:t>
            </w:r>
          </w:p>
        </w:tc>
      </w:tr>
      <w:tr w14:paraId="696C8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F87AF31">
            <w:pPr>
              <w:widowControl/>
              <w:spacing w:line="360" w:lineRule="auto"/>
              <w:jc w:val="center"/>
            </w:pPr>
            <w:r>
              <w:rPr>
                <w:rFonts w:hint="eastAsia"/>
              </w:rPr>
              <w:t>1000万元（含）-5000万元</w:t>
            </w:r>
          </w:p>
        </w:tc>
        <w:tc>
          <w:tcPr>
            <w:tcW w:w="1799" w:type="dxa"/>
            <w:vAlign w:val="center"/>
          </w:tcPr>
          <w:p w14:paraId="1FB9331A">
            <w:pPr>
              <w:widowControl/>
              <w:spacing w:line="360" w:lineRule="auto"/>
              <w:jc w:val="center"/>
            </w:pPr>
            <w:r>
              <w:rPr>
                <w:rFonts w:hint="eastAsia"/>
              </w:rPr>
              <w:t>0.5%</w:t>
            </w:r>
          </w:p>
        </w:tc>
        <w:tc>
          <w:tcPr>
            <w:tcW w:w="1799" w:type="dxa"/>
            <w:vAlign w:val="center"/>
          </w:tcPr>
          <w:p w14:paraId="5DEB48AB">
            <w:pPr>
              <w:widowControl/>
              <w:spacing w:line="360" w:lineRule="auto"/>
              <w:jc w:val="center"/>
            </w:pPr>
            <w:r>
              <w:rPr>
                <w:rFonts w:hint="eastAsia"/>
              </w:rPr>
              <w:t>0.25%</w:t>
            </w:r>
          </w:p>
        </w:tc>
        <w:tc>
          <w:tcPr>
            <w:tcW w:w="1799" w:type="dxa"/>
            <w:vAlign w:val="center"/>
          </w:tcPr>
          <w:p w14:paraId="75D2FE88">
            <w:pPr>
              <w:widowControl/>
              <w:spacing w:line="360" w:lineRule="auto"/>
              <w:jc w:val="center"/>
            </w:pPr>
            <w:r>
              <w:rPr>
                <w:rFonts w:hint="eastAsia"/>
              </w:rPr>
              <w:t>0.35%</w:t>
            </w:r>
          </w:p>
        </w:tc>
      </w:tr>
      <w:tr w14:paraId="5C16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2C2058B">
            <w:pPr>
              <w:widowControl/>
              <w:spacing w:line="360" w:lineRule="auto"/>
              <w:jc w:val="center"/>
            </w:pPr>
            <w:r>
              <w:rPr>
                <w:rFonts w:hint="eastAsia"/>
              </w:rPr>
              <w:t>5000万元（含）-1亿元</w:t>
            </w:r>
          </w:p>
        </w:tc>
        <w:tc>
          <w:tcPr>
            <w:tcW w:w="1799" w:type="dxa"/>
            <w:vAlign w:val="center"/>
          </w:tcPr>
          <w:p w14:paraId="3B5F5171">
            <w:pPr>
              <w:widowControl/>
              <w:spacing w:line="360" w:lineRule="auto"/>
              <w:jc w:val="center"/>
            </w:pPr>
            <w:r>
              <w:rPr>
                <w:rFonts w:hint="eastAsia"/>
              </w:rPr>
              <w:t>0.25%</w:t>
            </w:r>
          </w:p>
        </w:tc>
        <w:tc>
          <w:tcPr>
            <w:tcW w:w="1799" w:type="dxa"/>
            <w:vAlign w:val="center"/>
          </w:tcPr>
          <w:p w14:paraId="5BC0BA0A">
            <w:pPr>
              <w:widowControl/>
              <w:spacing w:line="360" w:lineRule="auto"/>
              <w:jc w:val="center"/>
            </w:pPr>
            <w:r>
              <w:rPr>
                <w:rFonts w:hint="eastAsia"/>
              </w:rPr>
              <w:t>0.1%</w:t>
            </w:r>
          </w:p>
        </w:tc>
        <w:tc>
          <w:tcPr>
            <w:tcW w:w="1799" w:type="dxa"/>
            <w:vAlign w:val="center"/>
          </w:tcPr>
          <w:p w14:paraId="65A4AB07">
            <w:pPr>
              <w:widowControl/>
              <w:spacing w:line="360" w:lineRule="auto"/>
              <w:jc w:val="center"/>
            </w:pPr>
            <w:r>
              <w:rPr>
                <w:rFonts w:hint="eastAsia"/>
              </w:rPr>
              <w:t>0.2%</w:t>
            </w:r>
          </w:p>
        </w:tc>
      </w:tr>
      <w:tr w14:paraId="5B97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297A15A">
            <w:pPr>
              <w:widowControl/>
              <w:spacing w:line="360" w:lineRule="auto"/>
              <w:jc w:val="center"/>
            </w:pPr>
            <w:r>
              <w:rPr>
                <w:rFonts w:hint="eastAsia"/>
              </w:rPr>
              <w:t>1亿元（含）-5亿元</w:t>
            </w:r>
          </w:p>
        </w:tc>
        <w:tc>
          <w:tcPr>
            <w:tcW w:w="1799" w:type="dxa"/>
            <w:vAlign w:val="center"/>
          </w:tcPr>
          <w:p w14:paraId="5D873842">
            <w:pPr>
              <w:widowControl/>
              <w:spacing w:line="360" w:lineRule="auto"/>
              <w:jc w:val="center"/>
            </w:pPr>
            <w:r>
              <w:rPr>
                <w:rFonts w:hint="eastAsia"/>
              </w:rPr>
              <w:t>0.05%</w:t>
            </w:r>
          </w:p>
        </w:tc>
        <w:tc>
          <w:tcPr>
            <w:tcW w:w="1799" w:type="dxa"/>
            <w:vAlign w:val="center"/>
          </w:tcPr>
          <w:p w14:paraId="5246D750">
            <w:pPr>
              <w:widowControl/>
              <w:spacing w:line="360" w:lineRule="auto"/>
              <w:jc w:val="center"/>
            </w:pPr>
            <w:r>
              <w:rPr>
                <w:rFonts w:hint="eastAsia"/>
              </w:rPr>
              <w:t>0.05%</w:t>
            </w:r>
          </w:p>
        </w:tc>
        <w:tc>
          <w:tcPr>
            <w:tcW w:w="1799" w:type="dxa"/>
            <w:vAlign w:val="center"/>
          </w:tcPr>
          <w:p w14:paraId="51C49A8E">
            <w:pPr>
              <w:widowControl/>
              <w:spacing w:line="360" w:lineRule="auto"/>
              <w:jc w:val="center"/>
            </w:pPr>
            <w:r>
              <w:rPr>
                <w:rFonts w:hint="eastAsia"/>
              </w:rPr>
              <w:t>0.05%</w:t>
            </w:r>
          </w:p>
        </w:tc>
      </w:tr>
      <w:tr w14:paraId="441A2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2C6C290">
            <w:pPr>
              <w:widowControl/>
              <w:spacing w:line="360" w:lineRule="auto"/>
              <w:jc w:val="center"/>
            </w:pPr>
            <w:r>
              <w:rPr>
                <w:rFonts w:hint="eastAsia"/>
              </w:rPr>
              <w:t>5亿元（含）-10亿元</w:t>
            </w:r>
          </w:p>
        </w:tc>
        <w:tc>
          <w:tcPr>
            <w:tcW w:w="1799" w:type="dxa"/>
            <w:vAlign w:val="center"/>
          </w:tcPr>
          <w:p w14:paraId="334E35C4">
            <w:pPr>
              <w:widowControl/>
              <w:spacing w:line="360" w:lineRule="auto"/>
              <w:jc w:val="center"/>
            </w:pPr>
            <w:r>
              <w:rPr>
                <w:rFonts w:hint="eastAsia"/>
              </w:rPr>
              <w:t>0.035%</w:t>
            </w:r>
          </w:p>
        </w:tc>
        <w:tc>
          <w:tcPr>
            <w:tcW w:w="1799" w:type="dxa"/>
            <w:vAlign w:val="center"/>
          </w:tcPr>
          <w:p w14:paraId="3509C989">
            <w:pPr>
              <w:widowControl/>
              <w:spacing w:line="360" w:lineRule="auto"/>
              <w:jc w:val="center"/>
            </w:pPr>
            <w:r>
              <w:rPr>
                <w:rFonts w:hint="eastAsia"/>
              </w:rPr>
              <w:t>0.035%</w:t>
            </w:r>
          </w:p>
        </w:tc>
        <w:tc>
          <w:tcPr>
            <w:tcW w:w="1799" w:type="dxa"/>
            <w:vAlign w:val="center"/>
          </w:tcPr>
          <w:p w14:paraId="2E6C935F">
            <w:pPr>
              <w:widowControl/>
              <w:spacing w:line="360" w:lineRule="auto"/>
              <w:jc w:val="center"/>
            </w:pPr>
            <w:r>
              <w:rPr>
                <w:rFonts w:hint="eastAsia"/>
              </w:rPr>
              <w:t>0.035%</w:t>
            </w:r>
          </w:p>
        </w:tc>
      </w:tr>
      <w:tr w14:paraId="634B1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09302A4C">
            <w:pPr>
              <w:widowControl/>
              <w:spacing w:line="360" w:lineRule="auto"/>
              <w:jc w:val="center"/>
            </w:pPr>
            <w:r>
              <w:rPr>
                <w:rFonts w:hint="eastAsia"/>
              </w:rPr>
              <w:t>10亿元（含）-50亿元</w:t>
            </w:r>
          </w:p>
        </w:tc>
        <w:tc>
          <w:tcPr>
            <w:tcW w:w="1799" w:type="dxa"/>
            <w:vAlign w:val="center"/>
          </w:tcPr>
          <w:p w14:paraId="069A22E3">
            <w:pPr>
              <w:widowControl/>
              <w:spacing w:line="360" w:lineRule="auto"/>
              <w:jc w:val="center"/>
            </w:pPr>
            <w:r>
              <w:rPr>
                <w:rFonts w:hint="eastAsia"/>
              </w:rPr>
              <w:t>0.008%</w:t>
            </w:r>
          </w:p>
        </w:tc>
        <w:tc>
          <w:tcPr>
            <w:tcW w:w="1799" w:type="dxa"/>
            <w:vAlign w:val="center"/>
          </w:tcPr>
          <w:p w14:paraId="548A5921">
            <w:pPr>
              <w:widowControl/>
              <w:spacing w:line="360" w:lineRule="auto"/>
              <w:jc w:val="center"/>
            </w:pPr>
            <w:r>
              <w:rPr>
                <w:rFonts w:hint="eastAsia"/>
              </w:rPr>
              <w:t>0.008%</w:t>
            </w:r>
          </w:p>
        </w:tc>
        <w:tc>
          <w:tcPr>
            <w:tcW w:w="1799" w:type="dxa"/>
            <w:vAlign w:val="center"/>
          </w:tcPr>
          <w:p w14:paraId="0A16C03B">
            <w:pPr>
              <w:widowControl/>
              <w:spacing w:line="360" w:lineRule="auto"/>
              <w:jc w:val="center"/>
            </w:pPr>
            <w:r>
              <w:rPr>
                <w:rFonts w:hint="eastAsia"/>
              </w:rPr>
              <w:t>0.008%</w:t>
            </w:r>
          </w:p>
        </w:tc>
      </w:tr>
      <w:tr w14:paraId="0074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3DC73BC">
            <w:pPr>
              <w:widowControl/>
              <w:spacing w:line="360" w:lineRule="auto"/>
              <w:jc w:val="center"/>
            </w:pPr>
            <w:r>
              <w:rPr>
                <w:rFonts w:hint="eastAsia"/>
              </w:rPr>
              <w:t>50亿元（含）-100亿元</w:t>
            </w:r>
          </w:p>
        </w:tc>
        <w:tc>
          <w:tcPr>
            <w:tcW w:w="1799" w:type="dxa"/>
            <w:vAlign w:val="center"/>
          </w:tcPr>
          <w:p w14:paraId="71A9E5E4">
            <w:pPr>
              <w:widowControl/>
              <w:spacing w:line="360" w:lineRule="auto"/>
              <w:jc w:val="center"/>
            </w:pPr>
            <w:r>
              <w:rPr>
                <w:rFonts w:hint="eastAsia"/>
              </w:rPr>
              <w:t>0.006%</w:t>
            </w:r>
          </w:p>
        </w:tc>
        <w:tc>
          <w:tcPr>
            <w:tcW w:w="1799" w:type="dxa"/>
            <w:vAlign w:val="center"/>
          </w:tcPr>
          <w:p w14:paraId="05DA0474">
            <w:pPr>
              <w:widowControl/>
              <w:spacing w:line="360" w:lineRule="auto"/>
              <w:jc w:val="center"/>
            </w:pPr>
            <w:r>
              <w:rPr>
                <w:rFonts w:hint="eastAsia"/>
              </w:rPr>
              <w:t>0.006%</w:t>
            </w:r>
          </w:p>
        </w:tc>
        <w:tc>
          <w:tcPr>
            <w:tcW w:w="1799" w:type="dxa"/>
            <w:vAlign w:val="center"/>
          </w:tcPr>
          <w:p w14:paraId="085867BA">
            <w:pPr>
              <w:widowControl/>
              <w:spacing w:line="360" w:lineRule="auto"/>
              <w:jc w:val="center"/>
            </w:pPr>
            <w:r>
              <w:rPr>
                <w:rFonts w:hint="eastAsia"/>
              </w:rPr>
              <w:t>0.006%</w:t>
            </w:r>
          </w:p>
        </w:tc>
      </w:tr>
      <w:tr w14:paraId="0F133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6E24FF5">
            <w:pPr>
              <w:widowControl/>
              <w:spacing w:line="360" w:lineRule="auto"/>
              <w:jc w:val="center"/>
            </w:pPr>
            <w:r>
              <w:rPr>
                <w:rFonts w:hint="eastAsia"/>
              </w:rPr>
              <w:t>100亿元（含）以上</w:t>
            </w:r>
          </w:p>
        </w:tc>
        <w:tc>
          <w:tcPr>
            <w:tcW w:w="1799" w:type="dxa"/>
            <w:vAlign w:val="center"/>
          </w:tcPr>
          <w:p w14:paraId="522B4714">
            <w:pPr>
              <w:widowControl/>
              <w:spacing w:line="360" w:lineRule="auto"/>
              <w:jc w:val="center"/>
            </w:pPr>
            <w:r>
              <w:rPr>
                <w:rFonts w:hint="eastAsia"/>
              </w:rPr>
              <w:t>0.004%</w:t>
            </w:r>
          </w:p>
        </w:tc>
        <w:tc>
          <w:tcPr>
            <w:tcW w:w="1799" w:type="dxa"/>
            <w:vAlign w:val="center"/>
          </w:tcPr>
          <w:p w14:paraId="21243EB0">
            <w:pPr>
              <w:widowControl/>
              <w:spacing w:line="360" w:lineRule="auto"/>
              <w:jc w:val="center"/>
            </w:pPr>
            <w:r>
              <w:rPr>
                <w:rFonts w:hint="eastAsia"/>
              </w:rPr>
              <w:t>0.004%</w:t>
            </w:r>
          </w:p>
        </w:tc>
        <w:tc>
          <w:tcPr>
            <w:tcW w:w="1799" w:type="dxa"/>
            <w:vAlign w:val="center"/>
          </w:tcPr>
          <w:p w14:paraId="6D241ABE">
            <w:pPr>
              <w:widowControl/>
              <w:spacing w:line="360" w:lineRule="auto"/>
              <w:jc w:val="center"/>
            </w:pPr>
            <w:r>
              <w:rPr>
                <w:rFonts w:hint="eastAsia"/>
              </w:rPr>
              <w:t>0.004%</w:t>
            </w:r>
          </w:p>
        </w:tc>
      </w:tr>
    </w:tbl>
    <w:p w14:paraId="1A4A97AC"/>
    <w:p w14:paraId="5EA452C2">
      <w:pPr>
        <w:ind w:firstLine="420" w:firstLineChars="200"/>
      </w:pPr>
      <w:r>
        <w:rPr>
          <w:rFonts w:hint="eastAsia"/>
        </w:rPr>
        <w:t>备注：1.每宗交易代理服务费不低于 5000 元；</w:t>
      </w:r>
    </w:p>
    <w:p w14:paraId="4D8AC0B3">
      <w:pPr>
        <w:ind w:firstLine="420" w:firstLineChars="200"/>
      </w:pPr>
      <w:r>
        <w:rPr>
          <w:rFonts w:hint="eastAsia"/>
        </w:rPr>
        <w:t>2.对于报总价的采购类项目，中标（成交）价为中标（成交）金额；对于报单价、折扣或费率的采购类项目，中标（成交）价为预算上限金额或经委托方与代理方确定的支付上限金额；</w:t>
      </w:r>
    </w:p>
    <w:p w14:paraId="7175E700">
      <w:pPr>
        <w:ind w:firstLine="420" w:firstLineChars="200"/>
      </w:pPr>
    </w:p>
    <w:p w14:paraId="00C249B3">
      <w:pPr>
        <w:ind w:firstLine="420" w:firstLineChars="200"/>
      </w:pPr>
      <w:r>
        <w:rPr>
          <w:rFonts w:hint="eastAsia"/>
        </w:rPr>
        <w:t>如某货物采购项目，中标（成交）金额为600万元，总共交纳的代理服务费的具体计算过程如下：</w:t>
      </w:r>
    </w:p>
    <w:p w14:paraId="040D6FB2">
      <w:pPr>
        <w:ind w:firstLine="420" w:firstLineChars="200"/>
      </w:pPr>
      <w:r>
        <w:rPr>
          <w:rFonts w:hint="eastAsia"/>
        </w:rPr>
        <w:t>标准代理服务费＝（100万以下部分的代理服务费）+（100万～500万部分的代理服务费）+（500万～600万部分的代理服务费）＝100万元×1.5%+（500-100）万元×1.1%+（600-500）万元×0.8%=1.5万元+4.4万元+0.8万元＝6.7万元</w:t>
      </w:r>
    </w:p>
    <w:p w14:paraId="63F2242D">
      <w:pPr>
        <w:ind w:firstLine="420" w:firstLineChars="200"/>
      </w:pPr>
      <w:r>
        <w:rPr>
          <w:rFonts w:hint="eastAsia"/>
        </w:rPr>
        <w:t>（3）中标（成交）供应商中标（成交）后，必须按规定采用银行对公转账方式向深圳交易集团有限公司直接交纳代理服务费，交纳信息及要求按照缴款（付款）通知书执行。</w:t>
      </w:r>
    </w:p>
    <w:p w14:paraId="5DDBA300">
      <w:pPr>
        <w:ind w:firstLine="422" w:firstLineChars="200"/>
        <w:rPr>
          <w:b/>
          <w:color w:val="FF0000"/>
        </w:rPr>
      </w:pPr>
      <w:r>
        <w:rPr>
          <w:rFonts w:hint="eastAsia"/>
          <w:b/>
          <w:color w:val="FF0000"/>
        </w:rPr>
        <w:t>基本户信息：</w:t>
      </w:r>
    </w:p>
    <w:p w14:paraId="7E447458">
      <w:pPr>
        <w:ind w:firstLine="420" w:firstLineChars="200"/>
        <w:rPr>
          <w:color w:val="FF0000"/>
        </w:rPr>
      </w:pPr>
      <w:r>
        <w:rPr>
          <w:rFonts w:hint="eastAsia"/>
          <w:color w:val="FF0000"/>
        </w:rPr>
        <w:t>账户名：深圳交易集团有限公司</w:t>
      </w:r>
    </w:p>
    <w:p w14:paraId="17023CA2">
      <w:pPr>
        <w:ind w:firstLine="420" w:firstLineChars="200"/>
        <w:rPr>
          <w:color w:val="FF0000"/>
        </w:rPr>
      </w:pPr>
      <w:r>
        <w:rPr>
          <w:rFonts w:hint="eastAsia"/>
          <w:color w:val="FF0000"/>
        </w:rPr>
        <w:t>账号：</w:t>
      </w:r>
      <w:r>
        <w:rPr>
          <w:color w:val="FF0000"/>
        </w:rPr>
        <w:t>632766021</w:t>
      </w:r>
    </w:p>
    <w:p w14:paraId="35889F43">
      <w:pPr>
        <w:ind w:firstLine="420" w:firstLineChars="200"/>
        <w:rPr>
          <w:color w:val="FF0000"/>
        </w:rPr>
      </w:pPr>
      <w:r>
        <w:rPr>
          <w:rFonts w:hint="eastAsia"/>
          <w:color w:val="FF0000"/>
        </w:rPr>
        <w:t>开户行：民生银行深圳五洲支行</w:t>
      </w:r>
    </w:p>
    <w:p w14:paraId="4DEB0FA1">
      <w:pPr>
        <w:ind w:firstLine="422" w:firstLineChars="200"/>
        <w:rPr>
          <w:b/>
          <w:color w:val="FF0000"/>
        </w:rPr>
      </w:pPr>
      <w:r>
        <w:rPr>
          <w:rFonts w:hint="eastAsia"/>
          <w:b/>
          <w:color w:val="FF0000"/>
        </w:rPr>
        <w:t>转账备注：</w:t>
      </w:r>
    </w:p>
    <w:p w14:paraId="2025158B">
      <w:pPr>
        <w:ind w:firstLine="420" w:firstLineChars="200"/>
        <w:rPr>
          <w:rFonts w:hint="eastAsia"/>
          <w:color w:val="FF0000"/>
        </w:rPr>
      </w:pPr>
      <w:r>
        <w:rPr>
          <w:rFonts w:hint="eastAsia"/>
          <w:color w:val="FF0000"/>
        </w:rPr>
        <w:t>项目编号+项目名称+中标（成交）金额+中标（成交）供应商名称</w:t>
      </w:r>
    </w:p>
    <w:p w14:paraId="796540A6">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lang w:val="en-US" w:eastAsia="zh-CN"/>
        </w:rPr>
      </w:pPr>
      <w:r>
        <w:rPr>
          <w:rFonts w:hint="eastAsia"/>
          <w:b/>
          <w:lang w:val="en-US" w:eastAsia="zh-CN"/>
        </w:rPr>
        <w:t>2、专家评审费</w:t>
      </w:r>
    </w:p>
    <w:p w14:paraId="7FED2361">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bookmarkStart w:id="8" w:name="OLE_LINK33"/>
      <w:r>
        <w:rPr>
          <w:rFonts w:hint="eastAsia" w:eastAsia="宋体" w:cs="Times New Roman"/>
          <w:b w:val="0"/>
          <w:bCs w:val="0"/>
          <w:kern w:val="2"/>
          <w:sz w:val="21"/>
          <w:szCs w:val="24"/>
          <w:lang w:val="en-US" w:eastAsia="zh-CN" w:bidi="ar-SA"/>
        </w:rPr>
        <w:t>本项目专家评审费由</w:t>
      </w:r>
      <w:r>
        <w:rPr>
          <w:rFonts w:hint="eastAsia"/>
        </w:rPr>
        <w:t>深圳公共资源交易中心（深圳交易集团有限公司罗湖分公司）</w:t>
      </w:r>
      <w:r>
        <w:rPr>
          <w:rFonts w:hint="eastAsia"/>
          <w:lang w:val="en-US" w:eastAsia="zh-CN"/>
        </w:rPr>
        <w:t>支付</w:t>
      </w:r>
      <w:r>
        <w:rPr>
          <w:rFonts w:hint="eastAsia" w:eastAsia="宋体" w:cs="Times New Roman"/>
          <w:b w:val="0"/>
          <w:bCs w:val="0"/>
          <w:kern w:val="2"/>
          <w:sz w:val="21"/>
          <w:szCs w:val="24"/>
          <w:lang w:val="en-US" w:eastAsia="zh-CN" w:bidi="ar-SA"/>
        </w:rPr>
        <w:t>，相关费用按照&lt;&lt;深圳市政府采购评审专家劳务报酬标准&gt;&gt;(深财购[2025]58号)执行。</w:t>
      </w:r>
      <w:bookmarkEnd w:id="8"/>
    </w:p>
    <w:p w14:paraId="349C6F8E">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p>
    <w:p w14:paraId="15A484ED">
      <w:pPr>
        <w:widowControl/>
        <w:jc w:val="center"/>
        <w:rPr>
          <w:rFonts w:ascii="黑体" w:hAnsi="黑体" w:eastAsia="黑体"/>
          <w:sz w:val="28"/>
          <w:szCs w:val="40"/>
        </w:rPr>
      </w:pPr>
      <w:r>
        <w:rPr>
          <w:rFonts w:hint="eastAsia" w:ascii="黑体" w:hAnsi="黑体" w:eastAsia="黑体"/>
          <w:sz w:val="28"/>
          <w:szCs w:val="40"/>
        </w:rPr>
        <w:t>订单融资情况</w:t>
      </w:r>
    </w:p>
    <w:p w14:paraId="4598A25F">
      <w:pPr>
        <w:widowControl/>
        <w:jc w:val="left"/>
        <w:rPr>
          <w:b/>
        </w:rPr>
      </w:pPr>
      <w:r>
        <w:rPr>
          <w:rFonts w:hint="eastAsia" w:ascii="宋体" w:hAnsi="宋体"/>
          <w:szCs w:val="21"/>
        </w:rPr>
        <w:t xml:space="preserve"> </w:t>
      </w:r>
      <w:r>
        <w:rPr>
          <w:rFonts w:hint="eastAsia"/>
          <w:b/>
        </w:rPr>
        <w:t xml:space="preserve">  </w:t>
      </w:r>
    </w:p>
    <w:p w14:paraId="2F68D267">
      <w:pPr>
        <w:ind w:firstLine="422" w:firstLineChars="200"/>
        <w:rPr>
          <w:b/>
          <w:bCs/>
        </w:rPr>
      </w:pPr>
      <w:r>
        <w:rPr>
          <w:rFonts w:hint="eastAsia"/>
          <w:b/>
          <w:bCs/>
        </w:rPr>
        <w:t>关于政府采购订单融资政策</w:t>
      </w:r>
    </w:p>
    <w:p w14:paraId="7A999412">
      <w:pPr>
        <w:ind w:firstLine="420" w:firstLineChars="200"/>
        <w:rPr>
          <w:bCs/>
          <w:szCs w:val="21"/>
        </w:rPr>
      </w:pPr>
      <w:r>
        <w:rPr>
          <w:rFonts w:hint="eastAsia"/>
          <w:bCs/>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28CE60F2">
      <w:pPr>
        <w:ind w:firstLine="422" w:firstLineChars="200"/>
        <w:rPr>
          <w:rFonts w:ascii="宋体" w:hAnsi="宋体" w:cs="宋体"/>
          <w:b/>
          <w:bCs/>
        </w:rPr>
      </w:pPr>
      <w:r>
        <w:rPr>
          <w:rFonts w:hint="eastAsia" w:ascii="宋体" w:hAnsi="宋体" w:cs="宋体"/>
          <w:b/>
          <w:bCs/>
        </w:rPr>
        <w:t>供应商账户信息</w:t>
      </w:r>
    </w:p>
    <w:p w14:paraId="4AEB8428">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633A35A2">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2A9AD52F">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5E017E92">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656C2E90">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07168DB0">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2075CC4E">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0C1C70B1">
      <w:pPr>
        <w:rPr>
          <w:szCs w:val="21"/>
        </w:rPr>
      </w:pPr>
      <w:r>
        <w:rPr>
          <w:rFonts w:hint="eastAsia" w:ascii="宋体" w:hAnsi="宋体"/>
          <w:b/>
          <w:bCs/>
          <w:color w:val="FF0000"/>
          <w:spacing w:val="-4"/>
          <w:kern w:val="0"/>
          <w:szCs w:val="21"/>
        </w:rPr>
        <w:t>注：本项填写内容作为订单融资开展的参考信息，不作为供应商资格性审查及符合性审查条件。</w:t>
      </w:r>
    </w:p>
    <w:bookmarkEnd w:id="6"/>
    <w:p w14:paraId="35FC2E88">
      <w:pPr>
        <w:pStyle w:val="31"/>
      </w:pPr>
    </w:p>
    <w:p w14:paraId="63D039A4">
      <w:r>
        <w:rPr>
          <w:rFonts w:hint="eastAsia"/>
        </w:rPr>
        <w:br w:type="page"/>
      </w:r>
    </w:p>
    <w:p w14:paraId="1C24E6C7">
      <w:pPr>
        <w:pStyle w:val="2"/>
      </w:pPr>
      <w:r>
        <w:rPr>
          <w:rFonts w:hint="eastAsia"/>
        </w:rPr>
        <w:t>第一册  招标项目需求</w:t>
      </w:r>
    </w:p>
    <w:p w14:paraId="32C7DB2A">
      <w:pPr>
        <w:pStyle w:val="5"/>
      </w:pPr>
      <w:r>
        <w:rPr>
          <w:rFonts w:hint="eastAsia"/>
        </w:rPr>
        <w:t>第一章  招标公告</w:t>
      </w:r>
    </w:p>
    <w:p w14:paraId="6E7036A4">
      <w:pPr>
        <w:ind w:firstLine="482" w:firstLineChars="200"/>
        <w:rPr>
          <w:rFonts w:ascii="宋体" w:hAnsi="宋体" w:cs="宋体"/>
          <w:b/>
          <w:color w:val="FF0000"/>
          <w:kern w:val="0"/>
          <w:sz w:val="24"/>
          <w:szCs w:val="21"/>
        </w:rPr>
      </w:pPr>
      <w:bookmarkStart w:id="9" w:name="OLE_LINK21"/>
      <w:r>
        <w:rPr>
          <w:rFonts w:hint="eastAsia" w:ascii="宋体" w:hAnsi="宋体" w:cs="宋体"/>
          <w:b/>
          <w:color w:val="FF0000"/>
          <w:kern w:val="0"/>
          <w:sz w:val="24"/>
          <w:szCs w:val="21"/>
        </w:rPr>
        <w:t>投标供应商资格要求：（投标人应按资格要求提供相关证明文件，</w:t>
      </w:r>
      <w:r>
        <w:rPr>
          <w:rFonts w:hint="eastAsia" w:ascii="宋体" w:hAnsi="宋体" w:cs="宋体"/>
          <w:b/>
          <w:color w:val="FF0000"/>
          <w:kern w:val="0"/>
          <w:sz w:val="24"/>
          <w:szCs w:val="21"/>
          <w:highlight w:val="yellow"/>
        </w:rPr>
        <w:t>如供应商资格审查不通过，不得参与本次自行采购活动</w:t>
      </w:r>
      <w:r>
        <w:rPr>
          <w:rFonts w:hint="eastAsia" w:ascii="宋体" w:hAnsi="宋体" w:cs="宋体"/>
          <w:b/>
          <w:color w:val="FF0000"/>
          <w:kern w:val="0"/>
          <w:sz w:val="24"/>
          <w:szCs w:val="21"/>
        </w:rPr>
        <w:t>）</w:t>
      </w:r>
    </w:p>
    <w:p w14:paraId="2F8BBAFC">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cs="宋体" w:asciiTheme="minorEastAsia" w:hAnsiTheme="minorEastAsia" w:eastAsiaTheme="minorEastAsia"/>
          <w:kern w:val="0"/>
        </w:rPr>
      </w:pPr>
    </w:p>
    <w:p w14:paraId="2616C4AA">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bookmarkStart w:id="10" w:name="OLE_LINK35"/>
      <w:r>
        <w:rPr>
          <w:rFonts w:hint="eastAsia" w:cs="宋体" w:asciiTheme="minorEastAsia" w:hAnsiTheme="minorEastAsia" w:eastAsiaTheme="minorEastAsia"/>
          <w:kern w:val="0"/>
        </w:rPr>
        <w:t>1</w:t>
      </w:r>
      <w:r>
        <w:rPr>
          <w:rFonts w:hint="eastAsia" w:cs="宋体" w:asciiTheme="minorEastAsia" w:hAnsiTheme="minorEastAsia" w:eastAsiaTheme="minorEastAsia"/>
          <w:kern w:val="0"/>
          <w:lang w:val="en-US" w:eastAsia="zh-CN"/>
        </w:rPr>
        <w:t>.</w:t>
      </w:r>
      <w:r>
        <w:rPr>
          <w:rFonts w:hint="eastAsia" w:cs="宋体" w:asciiTheme="minorEastAsia" w:hAnsiTheme="minorEastAsia" w:eastAsiaTheme="minorEastAsia"/>
          <w:kern w:val="0"/>
        </w:rPr>
        <w:t>具有独立承担民事责任的能力（提供营业执照或事业单位法人证书等证明资料扫描件，原件备查，分支机构参与投标的，须同时提供总部授权文件且授权书载明其民事责任由总公司承担）；</w:t>
      </w:r>
    </w:p>
    <w:p w14:paraId="68E423D5">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color w:val="FF0000"/>
          <w:kern w:val="0"/>
          <w:lang w:eastAsia="zh-CN"/>
        </w:rPr>
      </w:pPr>
      <w:r>
        <w:rPr>
          <w:rFonts w:hint="eastAsia" w:cs="宋体" w:asciiTheme="minorEastAsia" w:hAnsiTheme="minorEastAsia" w:eastAsiaTheme="minorEastAsia"/>
          <w:color w:val="FF0000"/>
          <w:kern w:val="0"/>
        </w:rPr>
        <w:t>2.本项目</w:t>
      </w:r>
      <w:r>
        <w:rPr>
          <w:rFonts w:hint="eastAsia" w:ascii="宋体" w:hAnsi="宋体" w:cs="宋体"/>
          <w:color w:val="FF0000"/>
          <w:kern w:val="0"/>
          <w:szCs w:val="21"/>
        </w:rPr>
        <w:sym w:font="Wingdings" w:char="00FE"/>
      </w:r>
      <w:r>
        <w:rPr>
          <w:rFonts w:hint="eastAsia" w:cs="宋体" w:asciiTheme="minorEastAsia" w:hAnsiTheme="minorEastAsia" w:eastAsiaTheme="minorEastAsia"/>
          <w:color w:val="FF0000"/>
          <w:kern w:val="0"/>
        </w:rPr>
        <w:t>不接受/</w:t>
      </w:r>
      <w:r>
        <w:rPr>
          <w:rFonts w:hint="eastAsia" w:ascii="宋体" w:hAnsi="宋体" w:cs="宋体"/>
          <w:color w:val="FF0000"/>
          <w:kern w:val="0"/>
          <w:szCs w:val="21"/>
        </w:rPr>
        <w:sym w:font="Wingdings" w:char="00A8"/>
      </w:r>
      <w:r>
        <w:rPr>
          <w:rFonts w:hint="eastAsia" w:cs="宋体" w:asciiTheme="minorEastAsia" w:hAnsiTheme="minorEastAsia" w:eastAsiaTheme="minorEastAsia"/>
          <w:color w:val="FF0000"/>
          <w:kern w:val="0"/>
        </w:rPr>
        <w:t>接受联合体投标，</w:t>
      </w:r>
      <w:r>
        <w:rPr>
          <w:rFonts w:hint="eastAsia" w:ascii="宋体" w:hAnsi="宋体" w:cs="宋体"/>
          <w:color w:val="FF0000"/>
          <w:kern w:val="0"/>
          <w:szCs w:val="21"/>
        </w:rPr>
        <w:sym w:font="Wingdings" w:char="00FE"/>
      </w:r>
      <w:r>
        <w:rPr>
          <w:rFonts w:hint="eastAsia" w:cs="宋体" w:asciiTheme="minorEastAsia" w:hAnsiTheme="minorEastAsia" w:eastAsiaTheme="minorEastAsia"/>
          <w:color w:val="FF0000"/>
          <w:kern w:val="0"/>
        </w:rPr>
        <w:t>不允许/</w:t>
      </w:r>
      <w:r>
        <w:rPr>
          <w:rFonts w:hint="eastAsia" w:ascii="宋体" w:hAnsi="宋体" w:cs="宋体"/>
          <w:color w:val="FF0000"/>
          <w:kern w:val="0"/>
          <w:szCs w:val="21"/>
        </w:rPr>
        <w:sym w:font="Wingdings" w:char="00A8"/>
      </w:r>
      <w:r>
        <w:rPr>
          <w:rFonts w:hint="eastAsia" w:cs="宋体" w:asciiTheme="minorEastAsia" w:hAnsiTheme="minorEastAsia" w:eastAsiaTheme="minorEastAsia"/>
          <w:color w:val="FF0000"/>
          <w:kern w:val="0"/>
        </w:rPr>
        <w:t>允许非主体非关键性工作分包，禁止转包，是否允许投标人选用进口产品参与投标以招标文件“第</w:t>
      </w:r>
      <w:r>
        <w:rPr>
          <w:rFonts w:hint="eastAsia" w:cs="宋体" w:asciiTheme="minorEastAsia" w:hAnsiTheme="minorEastAsia" w:eastAsiaTheme="minorEastAsia"/>
          <w:color w:val="FF0000"/>
          <w:kern w:val="0"/>
          <w:lang w:val="en-US" w:eastAsia="zh-CN"/>
        </w:rPr>
        <w:t>二</w:t>
      </w:r>
      <w:r>
        <w:rPr>
          <w:rFonts w:hint="eastAsia" w:cs="宋体" w:asciiTheme="minorEastAsia" w:hAnsiTheme="minorEastAsia" w:eastAsiaTheme="minorEastAsia"/>
          <w:color w:val="FF0000"/>
          <w:kern w:val="0"/>
        </w:rPr>
        <w:t xml:space="preserve">章 </w:t>
      </w:r>
      <w:r>
        <w:rPr>
          <w:rFonts w:hint="eastAsia" w:cs="宋体" w:asciiTheme="minorEastAsia" w:hAnsiTheme="minorEastAsia" w:eastAsiaTheme="minorEastAsia"/>
          <w:color w:val="FF0000"/>
          <w:kern w:val="0"/>
          <w:lang w:val="en-US" w:eastAsia="zh-CN"/>
        </w:rPr>
        <w:t>项目</w:t>
      </w:r>
      <w:r>
        <w:rPr>
          <w:rFonts w:hint="eastAsia" w:cs="宋体" w:asciiTheme="minorEastAsia" w:hAnsiTheme="minorEastAsia" w:eastAsiaTheme="minorEastAsia"/>
          <w:color w:val="FF0000"/>
          <w:kern w:val="0"/>
        </w:rPr>
        <w:t>需求书”为准（由供应商在《政府采购投标及履约承诺函》中作出声明）</w:t>
      </w:r>
      <w:r>
        <w:rPr>
          <w:rFonts w:hint="eastAsia" w:cs="宋体" w:asciiTheme="minorEastAsia" w:hAnsiTheme="minorEastAsia" w:eastAsiaTheme="minorEastAsia"/>
          <w:color w:val="FF0000"/>
          <w:kern w:val="0"/>
          <w:lang w:eastAsia="zh-CN"/>
        </w:rPr>
        <w:t>；</w:t>
      </w:r>
    </w:p>
    <w:p w14:paraId="06092E17">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3、参与本项目政府采购活动时不存在被有关部门禁止参与政府采购活动且在有效期内的情况（由供应商在《政府采购投标及履约承诺函》中作出声明）；</w:t>
      </w:r>
    </w:p>
    <w:p w14:paraId="249C4785">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4.具备《中华人民共和国政府采购法》第二十二条第一款的条件（由供应商在《政府采购投标及履约承诺函》中作出声明）；</w:t>
      </w:r>
    </w:p>
    <w:p w14:paraId="681DDF86">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5.未被列入失信被执行人、重大税收违法案件当事人名单、政府采购严重违法失信行为记录名单（由供应商在《政府采购投标及履约承诺函》中作出声明）；</w:t>
      </w:r>
    </w:p>
    <w:p w14:paraId="4F151798">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6.不存在《深圳市财政局政府采购供应商信用信息管理办法》（深财规〔2023〕3号）列明的严重违法失信行为（由供应商在《政府采购投标及履约承诺函》中作出声明）；</w:t>
      </w:r>
    </w:p>
    <w:p w14:paraId="38C97B00">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7.为采购项目提供整体设计、规范编制或者项目管理、监理、检测等服务的供应商，不得再参加该采购项目的其他采购活动（由供应商在《政府采购投标及履约承诺函》中作出声明）；</w:t>
      </w:r>
    </w:p>
    <w:p w14:paraId="0CEDD712">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6F25501F">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ascii="宋体" w:hAnsi="宋体" w:cs="宋体"/>
          <w:kern w:val="0"/>
          <w:szCs w:val="21"/>
          <w:lang w:eastAsia="zh-CN"/>
        </w:rPr>
      </w:pPr>
      <w:r>
        <w:rPr>
          <w:rFonts w:hint="eastAsia" w:ascii="宋体" w:hAnsi="宋体" w:cs="宋体"/>
          <w:kern w:val="0"/>
          <w:szCs w:val="21"/>
          <w:lang w:val="en-US" w:eastAsia="zh-CN"/>
        </w:rPr>
        <w:t>9.</w:t>
      </w:r>
      <w:r>
        <w:rPr>
          <w:rFonts w:hint="eastAsia" w:ascii="宋体" w:hAnsi="宋体" w:cs="宋体"/>
          <w:kern w:val="0"/>
          <w:szCs w:val="21"/>
        </w:rPr>
        <w:t>本项目</w:t>
      </w:r>
      <w:r>
        <w:rPr>
          <w:rFonts w:hint="eastAsia" w:ascii="宋体" w:hAnsi="宋体" w:cs="宋体"/>
          <w:kern w:val="0"/>
          <w:szCs w:val="21"/>
          <w:lang w:val="en-US" w:eastAsia="zh-CN"/>
        </w:rPr>
        <w:t>全部</w:t>
      </w:r>
      <w:r>
        <w:rPr>
          <w:rFonts w:hint="eastAsia" w:ascii="宋体" w:hAnsi="宋体" w:cs="宋体"/>
          <w:kern w:val="0"/>
          <w:szCs w:val="21"/>
        </w:rPr>
        <w:t>专门面向中小企业采购：</w:t>
      </w:r>
      <w:r>
        <w:rPr>
          <w:rFonts w:hint="eastAsia" w:ascii="宋体" w:hAnsi="宋体" w:cs="宋体"/>
          <w:kern w:val="0"/>
          <w:szCs w:val="21"/>
        </w:rPr>
        <w:sym w:font="Wingdings" w:char="00A8"/>
      </w:r>
      <w:r>
        <w:rPr>
          <w:rFonts w:hint="eastAsia" w:ascii="宋体" w:hAnsi="宋体" w:cs="宋体"/>
          <w:kern w:val="0"/>
          <w:szCs w:val="21"/>
        </w:rPr>
        <w:t>是，</w:t>
      </w:r>
      <w:r>
        <w:rPr>
          <w:rFonts w:hint="eastAsia" w:ascii="宋体" w:hAnsi="宋体" w:cs="宋体"/>
          <w:kern w:val="0"/>
          <w:szCs w:val="21"/>
          <w:lang w:val="en-US" w:eastAsia="zh-CN"/>
        </w:rPr>
        <w:t>本项目的承接服务商为</w:t>
      </w:r>
      <w:r>
        <w:rPr>
          <w:rFonts w:hint="eastAsia" w:ascii="宋体" w:hAnsi="宋体" w:cs="宋体"/>
          <w:kern w:val="0"/>
          <w:szCs w:val="21"/>
        </w:rPr>
        <w:t>符合政策要求的中小微企业、残疾人福利性</w:t>
      </w:r>
      <w:r>
        <w:rPr>
          <w:rFonts w:hint="eastAsia" w:ascii="宋体" w:hAnsi="宋体" w:cs="宋体"/>
          <w:kern w:val="0"/>
          <w:szCs w:val="21"/>
          <w:lang w:val="en-US" w:eastAsia="zh-CN"/>
        </w:rPr>
        <w:t>单位或</w:t>
      </w:r>
      <w:r>
        <w:rPr>
          <w:rFonts w:hint="eastAsia" w:ascii="宋体" w:hAnsi="宋体" w:cs="宋体"/>
          <w:kern w:val="0"/>
          <w:szCs w:val="21"/>
        </w:rPr>
        <w:t>监狱企业（由供应商在《中小企业声明函、残疾人福利性单位声明函及监狱企业声明函》中作出声明</w:t>
      </w:r>
      <w:r>
        <w:rPr>
          <w:rFonts w:hint="eastAsia" w:ascii="宋体" w:hAnsi="宋体" w:cs="宋体"/>
          <w:kern w:val="0"/>
          <w:szCs w:val="21"/>
          <w:lang w:eastAsia="zh-CN"/>
        </w:rPr>
        <w:t>；</w:t>
      </w:r>
      <w:r>
        <w:rPr>
          <w:rFonts w:hint="eastAsia" w:ascii="宋体" w:hAnsi="宋体" w:cs="宋体"/>
          <w:kern w:val="0"/>
          <w:szCs w:val="21"/>
          <w:lang w:val="en-US" w:eastAsia="zh-CN"/>
        </w:rPr>
        <w:t>未提供声明函或声明函不符合“填写指引”的，按资格审查不通过处理</w:t>
      </w:r>
      <w:r>
        <w:rPr>
          <w:rFonts w:hint="eastAsia" w:ascii="宋体" w:hAnsi="宋体" w:cs="宋体"/>
          <w:kern w:val="0"/>
          <w:szCs w:val="21"/>
        </w:rPr>
        <w:t>）；</w:t>
      </w:r>
      <w:r>
        <w:rPr>
          <w:rFonts w:hint="eastAsia" w:ascii="宋体" w:hAnsi="宋体" w:cs="宋体"/>
          <w:kern w:val="0"/>
          <w:szCs w:val="21"/>
        </w:rPr>
        <w:sym w:font="Wingdings" w:char="00FE"/>
      </w:r>
      <w:r>
        <w:rPr>
          <w:rFonts w:hint="eastAsia" w:ascii="宋体" w:hAnsi="宋体" w:cs="宋体"/>
          <w:kern w:val="0"/>
          <w:szCs w:val="21"/>
        </w:rPr>
        <w:t>否</w:t>
      </w:r>
      <w:r>
        <w:rPr>
          <w:rFonts w:hint="eastAsia" w:ascii="宋体" w:hAnsi="宋体" w:cs="宋体"/>
          <w:kern w:val="0"/>
          <w:szCs w:val="21"/>
          <w:lang w:eastAsia="zh-CN"/>
        </w:rPr>
        <w:t>。</w:t>
      </w:r>
    </w:p>
    <w:p w14:paraId="7E49DD34">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hint="eastAsia" w:ascii="宋体" w:hAnsi="宋体"/>
        </w:rPr>
      </w:pPr>
      <w:r>
        <w:rPr>
          <w:rFonts w:hint="eastAsia" w:ascii="宋体" w:hAnsi="宋体" w:cs="宋体"/>
          <w:kern w:val="0"/>
          <w:szCs w:val="21"/>
        </w:rPr>
        <w:t>注：</w:t>
      </w:r>
      <w:r>
        <w:rPr>
          <w:rFonts w:hint="eastAsia" w:ascii="宋体" w:hAnsi="宋体"/>
        </w:rPr>
        <w:t>（1）“信用中国”（www.creditchina.gov.cn，查询“信用服务”栏的“重大税收违法失信主体”“失信被执行人”或者下载信用信息报告），“中国政府采购网”（www.ccgp.gov.cn）中的“政府采购严重违法失信行为记录名单”，“深圳市政府采购监管网”（http://zfcg.sz.gov.cn）以及财政部门认可的“供应商诚信档案库”为供应商信用信息的查询渠道，相关信息以开标当日的查询结果为准；</w:t>
      </w:r>
      <w:bookmarkStart w:id="11" w:name="OLE_LINK27"/>
    </w:p>
    <w:p w14:paraId="3F1CCD1D">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hint="eastAsia"/>
        </w:rPr>
      </w:pPr>
      <w:r>
        <w:rPr>
          <w:rFonts w:hint="eastAsia" w:ascii="宋体" w:hAnsi="宋体"/>
          <w:lang w:eastAsia="zh-CN"/>
        </w:rPr>
        <w:t>（</w:t>
      </w:r>
      <w:r>
        <w:rPr>
          <w:rFonts w:hint="eastAsia" w:ascii="宋体" w:hAnsi="宋体"/>
          <w:lang w:val="en-US" w:eastAsia="zh-CN"/>
        </w:rPr>
        <w:t>2</w:t>
      </w:r>
      <w:r>
        <w:rPr>
          <w:rFonts w:hint="eastAsia" w:ascii="宋体" w:hAnsi="宋体"/>
          <w:lang w:eastAsia="zh-CN"/>
        </w:rPr>
        <w:t>）</w:t>
      </w:r>
      <w:r>
        <w:rPr>
          <w:rFonts w:hint="eastAsia"/>
        </w:rPr>
        <w:t>供应商参与投标（响应）必须先行办理注册手续。如果是未注册为深圳政府采购的供应商，请访问深圳公共资源交易中心（统一用户中心 https://trade.szggzy.com/ggzy/center/#/login）,先办理注册手续（注册咨询：0755-36568999）,再进行投标报名。</w:t>
      </w:r>
    </w:p>
    <w:bookmarkEnd w:id="10"/>
    <w:bookmarkEnd w:id="11"/>
    <w:p w14:paraId="19C81997">
      <w:pPr>
        <w:keepNext w:val="0"/>
        <w:keepLines w:val="0"/>
        <w:pageBreakBefore w:val="0"/>
        <w:kinsoku/>
        <w:overflowPunct/>
        <w:topLinePunct w:val="0"/>
        <w:autoSpaceDE/>
        <w:autoSpaceDN/>
        <w:bidi w:val="0"/>
        <w:adjustRightInd/>
        <w:snapToGrid/>
        <w:spacing w:line="240" w:lineRule="auto"/>
        <w:textAlignment w:val="auto"/>
        <w:rPr>
          <w:rFonts w:ascii="宋体" w:hAnsi="宋体" w:cs="宋体"/>
          <w:b/>
          <w:color w:val="FF0000"/>
          <w:kern w:val="0"/>
          <w:szCs w:val="21"/>
          <w:highlight w:val="yellow"/>
        </w:rPr>
      </w:pPr>
    </w:p>
    <w:p w14:paraId="6DF85AA7">
      <w:pPr>
        <w:keepNext w:val="0"/>
        <w:keepLines w:val="0"/>
        <w:pageBreakBefore w:val="0"/>
        <w:widowControl/>
        <w:kinsoku/>
        <w:overflowPunct/>
        <w:topLinePunct w:val="0"/>
        <w:autoSpaceDE/>
        <w:autoSpaceDN/>
        <w:bidi w:val="0"/>
        <w:adjustRightInd/>
        <w:snapToGrid/>
        <w:spacing w:line="240" w:lineRule="auto"/>
        <w:jc w:val="left"/>
        <w:textAlignment w:val="auto"/>
        <w:rPr>
          <w:rFonts w:ascii="宋体" w:hAnsi="宋体" w:cs="宋体"/>
          <w:kern w:val="0"/>
          <w:szCs w:val="21"/>
        </w:rPr>
      </w:pPr>
      <w:r>
        <w:rPr>
          <w:rFonts w:hint="eastAsia"/>
          <w:b/>
          <w:sz w:val="22"/>
          <w:szCs w:val="18"/>
        </w:rPr>
        <w:t>完整公告内容详见：</w:t>
      </w:r>
      <w:bookmarkStart w:id="12" w:name="OLE_LINK3"/>
      <w:r>
        <w:rPr>
          <w:rFonts w:hint="eastAsia"/>
          <w:b/>
          <w:color w:val="FF0000"/>
          <w:sz w:val="22"/>
          <w:szCs w:val="18"/>
        </w:rPr>
        <w:t>深圳交易集团罗湖分公司官网https://lh.szexgrp.com/jyfw/zfcg-view.html?id=zfcg</w:t>
      </w:r>
      <w:bookmarkEnd w:id="9"/>
      <w:bookmarkEnd w:id="12"/>
      <w:r>
        <w:rPr>
          <w:rFonts w:ascii="宋体" w:hAnsi="宋体" w:cs="宋体"/>
          <w:kern w:val="0"/>
          <w:szCs w:val="21"/>
        </w:rPr>
        <w:br w:type="page"/>
      </w:r>
    </w:p>
    <w:p w14:paraId="2C550964">
      <w:pPr>
        <w:ind w:firstLine="420" w:firstLineChars="200"/>
        <w:rPr>
          <w:rFonts w:ascii="宋体" w:hAnsi="宋体" w:cs="宋体"/>
          <w:kern w:val="0"/>
          <w:szCs w:val="21"/>
        </w:rPr>
      </w:pPr>
    </w:p>
    <w:p w14:paraId="2ED9787E">
      <w:pPr>
        <w:pStyle w:val="5"/>
      </w:pPr>
      <w:r>
        <w:rPr>
          <w:rFonts w:hint="eastAsia"/>
        </w:rPr>
        <w:t>第二章  项目需求书</w:t>
      </w:r>
    </w:p>
    <w:p w14:paraId="0DA704D1">
      <w:pPr>
        <w:pStyle w:val="3"/>
        <w:jc w:val="center"/>
        <w:rPr>
          <w:rFonts w:ascii="黑体" w:eastAsia="黑体"/>
          <w:b w:val="0"/>
          <w:kern w:val="0"/>
          <w:sz w:val="24"/>
        </w:rPr>
      </w:pPr>
      <w:bookmarkStart w:id="13" w:name="_Toc128884461"/>
      <w:r>
        <w:rPr>
          <w:rFonts w:hint="eastAsia" w:ascii="黑体" w:eastAsia="黑体"/>
          <w:b w:val="0"/>
          <w:kern w:val="0"/>
          <w:sz w:val="24"/>
        </w:rPr>
        <w:t>一、</w:t>
      </w:r>
      <w:bookmarkEnd w:id="13"/>
      <w:r>
        <w:rPr>
          <w:rFonts w:hint="eastAsia" w:ascii="黑体" w:eastAsia="黑体"/>
          <w:b w:val="0"/>
          <w:kern w:val="0"/>
          <w:sz w:val="24"/>
        </w:rPr>
        <w:t>项目情况介绍</w:t>
      </w:r>
    </w:p>
    <w:p w14:paraId="350C071C">
      <w:pPr>
        <w:pStyle w:val="4"/>
        <w:jc w:val="center"/>
        <w:rPr>
          <w:b w:val="0"/>
          <w:bCs w:val="0"/>
          <w:sz w:val="24"/>
          <w:szCs w:val="24"/>
        </w:rPr>
      </w:pPr>
      <w:r>
        <w:rPr>
          <w:rFonts w:hint="eastAsia"/>
          <w:b w:val="0"/>
          <w:bCs w:val="0"/>
          <w:sz w:val="24"/>
          <w:szCs w:val="24"/>
        </w:rPr>
        <w:t>（一）项目</w:t>
      </w:r>
      <w:bookmarkStart w:id="14" w:name="_Toc128884464"/>
      <w:r>
        <w:rPr>
          <w:rFonts w:hint="eastAsia"/>
          <w:b w:val="0"/>
          <w:bCs w:val="0"/>
          <w:sz w:val="24"/>
          <w:szCs w:val="24"/>
        </w:rPr>
        <w:t>概况</w:t>
      </w:r>
    </w:p>
    <w:p w14:paraId="4EA34A12">
      <w:pPr>
        <w:pStyle w:val="18"/>
        <w:keepNext w:val="0"/>
        <w:keepLines w:val="0"/>
        <w:pageBreakBefore w:val="0"/>
        <w:widowControl w:val="0"/>
        <w:kinsoku/>
        <w:wordWrap/>
        <w:overflowPunct/>
        <w:topLinePunct w:val="0"/>
        <w:autoSpaceDE/>
        <w:autoSpaceDN/>
        <w:bidi w:val="0"/>
        <w:adjustRightInd/>
        <w:snapToGrid/>
        <w:spacing w:line="240" w:lineRule="auto"/>
        <w:textAlignment w:val="auto"/>
      </w:pPr>
      <w:r>
        <w:rPr>
          <w:rFonts w:hint="eastAsia" w:ascii="宋体" w:hAnsi="宋体"/>
          <w:color w:val="000000"/>
          <w:szCs w:val="21"/>
        </w:rPr>
        <w:t>1、</w:t>
      </w:r>
      <w:r>
        <w:rPr>
          <w:rFonts w:hint="eastAsia"/>
        </w:rPr>
        <w:t>采购单位：</w:t>
      </w:r>
      <w:r>
        <w:rPr>
          <w:rFonts w:hint="eastAsia"/>
          <w:u w:val="single"/>
        </w:rPr>
        <w:t xml:space="preserve"> </w:t>
      </w:r>
      <w:r>
        <w:rPr>
          <w:rFonts w:hint="eastAsia"/>
          <w:u w:val="single"/>
          <w:lang w:eastAsia="zh-CN"/>
        </w:rPr>
        <w:t>深圳市向西小学</w:t>
      </w:r>
      <w:r>
        <w:rPr>
          <w:rFonts w:hint="eastAsia"/>
          <w:u w:val="single"/>
        </w:rPr>
        <w:t xml:space="preserve"> </w:t>
      </w:r>
    </w:p>
    <w:p w14:paraId="2A69F07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ascii="宋体" w:hAnsi="宋体"/>
          <w:color w:val="000000"/>
          <w:szCs w:val="21"/>
        </w:rPr>
        <w:t>2、</w:t>
      </w:r>
      <w:r>
        <w:rPr>
          <w:rFonts w:hint="eastAsia"/>
        </w:rPr>
        <w:t>项目关键信息：</w:t>
      </w:r>
    </w:p>
    <w:p w14:paraId="306E06F1">
      <w:pPr>
        <w:keepNext w:val="0"/>
        <w:keepLines w:val="0"/>
        <w:pageBreakBefore w:val="0"/>
        <w:widowControl w:val="0"/>
        <w:kinsoku/>
        <w:wordWrap/>
        <w:overflowPunct/>
        <w:topLinePunct w:val="0"/>
        <w:autoSpaceDE/>
        <w:autoSpaceDN/>
        <w:bidi w:val="0"/>
        <w:adjustRightInd/>
        <w:snapToGrid/>
        <w:spacing w:line="240" w:lineRule="auto"/>
        <w:ind w:firstLine="840" w:firstLineChars="400"/>
        <w:textAlignment w:val="auto"/>
      </w:pPr>
      <w:r>
        <w:rPr>
          <w:rFonts w:hint="eastAsia" w:ascii="宋体" w:hAnsi="宋体"/>
          <w:snapToGrid w:val="0"/>
          <w:color w:val="FF0000"/>
          <w:kern w:val="0"/>
        </w:rPr>
        <w:t>（1）本项目预算金额：</w:t>
      </w:r>
      <w:r>
        <w:rPr>
          <w:rFonts w:hint="eastAsia" w:ascii="宋体" w:hAnsi="宋体"/>
          <w:snapToGrid w:val="0"/>
          <w:color w:val="FF0000"/>
          <w:kern w:val="0"/>
          <w:u w:val="single"/>
        </w:rPr>
        <w:t xml:space="preserve"> </w:t>
      </w:r>
      <w:r>
        <w:rPr>
          <w:rFonts w:hint="eastAsia" w:ascii="宋体" w:hAnsi="宋体"/>
          <w:snapToGrid w:val="0"/>
          <w:color w:val="FF0000"/>
          <w:kern w:val="0"/>
          <w:u w:val="single"/>
          <w:lang w:val="en-US" w:eastAsia="zh-CN"/>
        </w:rPr>
        <w:t>862200.00</w:t>
      </w:r>
      <w:r>
        <w:rPr>
          <w:rFonts w:hint="eastAsia" w:ascii="宋体" w:hAnsi="宋体"/>
          <w:snapToGrid w:val="0"/>
          <w:color w:val="FF0000"/>
          <w:kern w:val="0"/>
          <w:u w:val="single"/>
        </w:rPr>
        <w:t xml:space="preserve">  </w:t>
      </w:r>
      <w:r>
        <w:rPr>
          <w:rFonts w:hint="eastAsia" w:ascii="宋体" w:hAnsi="宋体"/>
          <w:snapToGrid w:val="0"/>
          <w:color w:val="FF0000"/>
          <w:kern w:val="0"/>
        </w:rPr>
        <w:t>元；</w:t>
      </w:r>
    </w:p>
    <w:p w14:paraId="781B3620">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840" w:firstLineChars="400"/>
        <w:textAlignment w:val="auto"/>
      </w:pPr>
      <w:r>
        <w:rPr>
          <w:rFonts w:hint="eastAsia" w:ascii="宋体" w:hAnsi="宋体"/>
          <w:snapToGrid w:val="0"/>
          <w:color w:val="FF0000"/>
          <w:kern w:val="0"/>
        </w:rPr>
        <w:t>（2）★</w:t>
      </w:r>
      <w:r>
        <w:rPr>
          <w:rFonts w:hint="eastAsia" w:ascii="宋体" w:hAnsi="宋体"/>
          <w:color w:val="FF0000"/>
          <w:highlight w:val="none"/>
        </w:rPr>
        <w:t>本项目合同期为自签订之日起一年。本项目为长期服务项目，长期服务政府采购合同履行期限最长不得超过三十六个月。如甲方对履约情况不满意，甲方不再续约。</w:t>
      </w:r>
    </w:p>
    <w:p w14:paraId="79D80025">
      <w:pPr>
        <w:jc w:val="center"/>
        <w:rPr>
          <w:b/>
        </w:rPr>
      </w:pPr>
      <w:r>
        <w:rPr>
          <w:rFonts w:hint="eastAsia"/>
          <w:b/>
        </w:rPr>
        <w:t>（二）实质性条款</w:t>
      </w:r>
    </w:p>
    <w:p w14:paraId="3BDCC188">
      <w:pPr>
        <w:jc w:val="center"/>
        <w:rPr>
          <w:b/>
        </w:rPr>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513"/>
      </w:tblGrid>
      <w:tr w14:paraId="6B4B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528F0A8">
            <w:pPr>
              <w:jc w:val="center"/>
              <w:rPr>
                <w:rFonts w:ascii="宋体" w:hAnsi="宋体"/>
                <w:szCs w:val="21"/>
              </w:rPr>
            </w:pPr>
            <w:r>
              <w:rPr>
                <w:rFonts w:ascii="宋体" w:hAnsi="宋体"/>
                <w:szCs w:val="21"/>
              </w:rPr>
              <w:t>序号</w:t>
            </w:r>
          </w:p>
        </w:tc>
        <w:tc>
          <w:tcPr>
            <w:tcW w:w="7513" w:type="dxa"/>
          </w:tcPr>
          <w:p w14:paraId="1D43CD03">
            <w:pPr>
              <w:adjustRightInd w:val="0"/>
              <w:snapToGrid w:val="0"/>
              <w:spacing w:line="360" w:lineRule="auto"/>
              <w:jc w:val="center"/>
              <w:rPr>
                <w:rFonts w:ascii="宋体" w:hAnsi="宋体"/>
                <w:b/>
                <w:kern w:val="0"/>
                <w:szCs w:val="21"/>
              </w:rPr>
            </w:pPr>
            <w:r>
              <w:rPr>
                <w:rFonts w:hint="eastAsia" w:ascii="宋体" w:hAnsi="宋体"/>
                <w:b/>
                <w:kern w:val="0"/>
                <w:szCs w:val="21"/>
              </w:rPr>
              <w:t>实质性条款具体内容</w:t>
            </w:r>
          </w:p>
        </w:tc>
      </w:tr>
      <w:tr w14:paraId="1AF4B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21B0E00C">
            <w:pPr>
              <w:jc w:val="center"/>
              <w:rPr>
                <w:rFonts w:ascii="宋体" w:hAnsi="宋体"/>
                <w:szCs w:val="21"/>
              </w:rPr>
            </w:pPr>
            <w:r>
              <w:rPr>
                <w:rFonts w:hint="eastAsia" w:ascii="宋体" w:hAnsi="宋体"/>
                <w:szCs w:val="21"/>
              </w:rPr>
              <w:t>1</w:t>
            </w:r>
          </w:p>
        </w:tc>
        <w:tc>
          <w:tcPr>
            <w:tcW w:w="7513" w:type="dxa"/>
          </w:tcPr>
          <w:p w14:paraId="684FB355">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Ansi="宋体" w:eastAsiaTheme="minorEastAsia"/>
                <w:kern w:val="0"/>
                <w:szCs w:val="21"/>
              </w:rPr>
            </w:pPr>
            <w:r>
              <w:rPr>
                <w:rFonts w:hint="eastAsia" w:ascii="宋体" w:hAnsi="宋体"/>
                <w:snapToGrid w:val="0"/>
                <w:color w:val="FF0000"/>
                <w:kern w:val="0"/>
              </w:rPr>
              <w:t>（2）★</w:t>
            </w:r>
            <w:r>
              <w:rPr>
                <w:rFonts w:hint="eastAsia" w:ascii="宋体" w:hAnsi="宋体"/>
                <w:color w:val="FF0000"/>
                <w:highlight w:val="none"/>
              </w:rPr>
              <w:t>本项目合同期为自签订之日起一年。本项目为长期服务项目，长期服务政府采购合同履行期限最长不得超过三十六个月。如甲方对履约情况不满意，甲方不再续约。</w:t>
            </w:r>
          </w:p>
        </w:tc>
      </w:tr>
    </w:tbl>
    <w:p w14:paraId="13D95F86">
      <w:pPr>
        <w:rPr>
          <w:b/>
        </w:rPr>
      </w:pPr>
      <w:r>
        <w:rPr>
          <w:rFonts w:hint="eastAsia"/>
          <w:b/>
        </w:rPr>
        <w:t>注：上表所列内容为不可负偏离条款，负偏离将视为未实质性满足招标文件要求作投标无效处理。</w:t>
      </w:r>
    </w:p>
    <w:p w14:paraId="69A9F7C2">
      <w:pPr>
        <w:pStyle w:val="31"/>
        <w:spacing w:line="360" w:lineRule="auto"/>
        <w:ind w:left="0" w:leftChars="0"/>
      </w:pPr>
    </w:p>
    <w:p w14:paraId="79A85540">
      <w:pPr>
        <w:pStyle w:val="3"/>
        <w:jc w:val="center"/>
        <w:rPr>
          <w:rFonts w:ascii="黑体" w:eastAsia="黑体"/>
          <w:b w:val="0"/>
          <w:kern w:val="0"/>
          <w:sz w:val="24"/>
        </w:rPr>
      </w:pPr>
      <w:r>
        <w:rPr>
          <w:rFonts w:hint="eastAsia" w:ascii="黑体" w:eastAsia="黑体"/>
          <w:b w:val="0"/>
          <w:kern w:val="0"/>
          <w:sz w:val="24"/>
        </w:rPr>
        <w:t>二、项目技术及管理要求</w:t>
      </w:r>
    </w:p>
    <w:p w14:paraId="6E5013C5">
      <w:pPr>
        <w:spacing w:line="560" w:lineRule="exact"/>
        <w:ind w:firstLine="480" w:firstLineChars="200"/>
        <w:jc w:val="left"/>
        <w:rPr>
          <w:rFonts w:hint="eastAsia"/>
          <w:kern w:val="2"/>
          <w:sz w:val="24"/>
          <w:szCs w:val="24"/>
        </w:rPr>
      </w:pPr>
      <w:r>
        <w:rPr>
          <w:rFonts w:hint="eastAsia"/>
          <w:kern w:val="2"/>
          <w:sz w:val="24"/>
          <w:szCs w:val="24"/>
        </w:rPr>
        <w:t>本项目</w:t>
      </w:r>
      <w:r>
        <w:rPr>
          <w:rFonts w:hint="eastAsia"/>
          <w:kern w:val="2"/>
          <w:sz w:val="24"/>
          <w:szCs w:val="24"/>
          <w:lang w:eastAsia="zh-CN"/>
        </w:rPr>
        <w:t>为师生提供餐饮服务（教工120人的早餐、午餐，学生7</w:t>
      </w:r>
      <w:r>
        <w:rPr>
          <w:rFonts w:hint="eastAsia"/>
          <w:kern w:val="2"/>
          <w:sz w:val="24"/>
          <w:szCs w:val="24"/>
          <w:lang w:val="en-US" w:eastAsia="zh-CN"/>
        </w:rPr>
        <w:t>0</w:t>
      </w:r>
      <w:r>
        <w:rPr>
          <w:rFonts w:hint="eastAsia"/>
          <w:kern w:val="2"/>
          <w:sz w:val="24"/>
          <w:szCs w:val="24"/>
          <w:lang w:eastAsia="zh-CN"/>
        </w:rPr>
        <w:t>0人的午餐）</w:t>
      </w:r>
      <w:r>
        <w:rPr>
          <w:rFonts w:hint="eastAsia"/>
          <w:kern w:val="2"/>
          <w:sz w:val="24"/>
          <w:szCs w:val="24"/>
        </w:rPr>
        <w:t>食堂运营服务，中标供应商为采购单位的</w:t>
      </w:r>
      <w:r>
        <w:rPr>
          <w:rFonts w:hint="eastAsia"/>
          <w:kern w:val="2"/>
          <w:sz w:val="24"/>
          <w:szCs w:val="24"/>
          <w:lang w:eastAsia="zh-CN"/>
        </w:rPr>
        <w:t>教工</w:t>
      </w:r>
      <w:r>
        <w:rPr>
          <w:rFonts w:hint="eastAsia"/>
          <w:kern w:val="2"/>
          <w:sz w:val="24"/>
          <w:szCs w:val="24"/>
        </w:rPr>
        <w:t>和学生提供餐饮服务，由采购单位提供食材，中标供应商负责保管和加工成食物，供应给采购单位的</w:t>
      </w:r>
      <w:r>
        <w:rPr>
          <w:rFonts w:hint="eastAsia"/>
          <w:kern w:val="2"/>
          <w:sz w:val="24"/>
          <w:szCs w:val="24"/>
          <w:lang w:eastAsia="zh-CN"/>
        </w:rPr>
        <w:t>教工</w:t>
      </w:r>
      <w:r>
        <w:rPr>
          <w:rFonts w:hint="eastAsia"/>
          <w:kern w:val="2"/>
          <w:sz w:val="24"/>
          <w:szCs w:val="24"/>
        </w:rPr>
        <w:t>和学生。中标供应商应对采购单位的食堂给予管理服务。</w:t>
      </w:r>
    </w:p>
    <w:p w14:paraId="55AA225B">
      <w:pPr>
        <w:spacing w:line="560" w:lineRule="exact"/>
        <w:ind w:firstLine="480" w:firstLineChars="200"/>
        <w:jc w:val="left"/>
        <w:rPr>
          <w:rFonts w:hint="eastAsia"/>
          <w:kern w:val="2"/>
          <w:sz w:val="24"/>
          <w:szCs w:val="24"/>
        </w:rPr>
      </w:pPr>
      <w:r>
        <w:rPr>
          <w:rFonts w:hint="eastAsia"/>
          <w:kern w:val="2"/>
          <w:sz w:val="24"/>
          <w:szCs w:val="24"/>
        </w:rPr>
        <w:t>本项目预算控制金额为:人民币</w:t>
      </w:r>
      <w:r>
        <w:rPr>
          <w:rFonts w:hint="eastAsia"/>
          <w:kern w:val="2"/>
          <w:sz w:val="24"/>
          <w:szCs w:val="24"/>
          <w:lang w:eastAsia="zh-CN"/>
        </w:rPr>
        <w:t>捌</w:t>
      </w:r>
      <w:r>
        <w:rPr>
          <w:rFonts w:hint="eastAsia"/>
          <w:kern w:val="2"/>
          <w:sz w:val="24"/>
          <w:szCs w:val="24"/>
        </w:rPr>
        <w:t>拾陆万</w:t>
      </w:r>
      <w:r>
        <w:rPr>
          <w:rFonts w:hint="eastAsia"/>
          <w:kern w:val="2"/>
          <w:sz w:val="24"/>
          <w:szCs w:val="24"/>
          <w:lang w:eastAsia="zh-CN"/>
        </w:rPr>
        <w:t>贰</w:t>
      </w:r>
      <w:r>
        <w:rPr>
          <w:rFonts w:hint="eastAsia"/>
          <w:kern w:val="2"/>
          <w:sz w:val="24"/>
          <w:szCs w:val="24"/>
        </w:rPr>
        <w:t>仟</w:t>
      </w:r>
      <w:r>
        <w:rPr>
          <w:rFonts w:hint="eastAsia"/>
          <w:kern w:val="2"/>
          <w:sz w:val="24"/>
          <w:szCs w:val="24"/>
          <w:lang w:eastAsia="zh-CN"/>
        </w:rPr>
        <w:t>贰</w:t>
      </w:r>
      <w:r>
        <w:rPr>
          <w:rFonts w:hint="eastAsia"/>
          <w:kern w:val="2"/>
          <w:sz w:val="24"/>
          <w:szCs w:val="24"/>
        </w:rPr>
        <w:t>佰元(8</w:t>
      </w:r>
      <w:r>
        <w:rPr>
          <w:rFonts w:hint="eastAsia"/>
          <w:kern w:val="2"/>
          <w:sz w:val="24"/>
          <w:szCs w:val="24"/>
          <w:lang w:val="en-US" w:eastAsia="zh-CN"/>
        </w:rPr>
        <w:t>622</w:t>
      </w:r>
      <w:r>
        <w:rPr>
          <w:rFonts w:hint="eastAsia"/>
          <w:kern w:val="2"/>
          <w:sz w:val="24"/>
          <w:szCs w:val="24"/>
        </w:rPr>
        <w:t>00元)以内。其中教职工部分加工服务费为144000元(属于财政资金)，学生都分加工服务费自筹资金</w:t>
      </w:r>
      <w:r>
        <w:rPr>
          <w:rFonts w:hint="eastAsia"/>
          <w:kern w:val="2"/>
          <w:sz w:val="24"/>
          <w:szCs w:val="24"/>
          <w:lang w:val="en-US" w:eastAsia="zh-CN"/>
        </w:rPr>
        <w:t>7182</w:t>
      </w:r>
      <w:r>
        <w:rPr>
          <w:rFonts w:hint="eastAsia"/>
          <w:kern w:val="2"/>
          <w:sz w:val="24"/>
          <w:szCs w:val="24"/>
        </w:rPr>
        <w:t>00元(属于代收代付)，投标报价超过预算控制金额的视为无效投标。</w:t>
      </w:r>
    </w:p>
    <w:p w14:paraId="2E997C77">
      <w:pPr>
        <w:numPr>
          <w:ilvl w:val="0"/>
          <w:numId w:val="1"/>
        </w:numPr>
        <w:spacing w:line="560" w:lineRule="exact"/>
        <w:ind w:firstLine="480" w:firstLineChars="200"/>
        <w:jc w:val="left"/>
        <w:rPr>
          <w:rFonts w:hint="eastAsia"/>
          <w:kern w:val="2"/>
          <w:sz w:val="24"/>
          <w:szCs w:val="24"/>
        </w:rPr>
      </w:pPr>
      <w:r>
        <w:rPr>
          <w:rFonts w:hint="eastAsia"/>
          <w:kern w:val="2"/>
          <w:sz w:val="24"/>
          <w:szCs w:val="24"/>
        </w:rPr>
        <w:t>教工部分加工服务费，服务期内12个月共计144000元。</w:t>
      </w:r>
    </w:p>
    <w:p w14:paraId="376EC036">
      <w:pPr>
        <w:numPr>
          <w:ilvl w:val="0"/>
          <w:numId w:val="1"/>
        </w:numPr>
        <w:spacing w:line="560" w:lineRule="exact"/>
        <w:ind w:firstLine="480" w:firstLineChars="200"/>
        <w:jc w:val="left"/>
        <w:rPr>
          <w:rFonts w:hint="eastAsia"/>
          <w:kern w:val="2"/>
          <w:sz w:val="24"/>
          <w:szCs w:val="24"/>
        </w:rPr>
      </w:pPr>
      <w:r>
        <w:rPr>
          <w:rFonts w:hint="eastAsia"/>
          <w:kern w:val="2"/>
          <w:sz w:val="24"/>
          <w:szCs w:val="24"/>
        </w:rPr>
        <w:t>学生部分加工服务费，服务期内12个月计算共计</w:t>
      </w:r>
      <w:r>
        <w:rPr>
          <w:rFonts w:hint="eastAsia"/>
          <w:kern w:val="2"/>
          <w:sz w:val="24"/>
          <w:szCs w:val="24"/>
          <w:lang w:val="en-US" w:eastAsia="zh-CN"/>
        </w:rPr>
        <w:t>7182</w:t>
      </w:r>
      <w:r>
        <w:rPr>
          <w:rFonts w:hint="eastAsia"/>
          <w:kern w:val="2"/>
          <w:sz w:val="24"/>
          <w:szCs w:val="24"/>
        </w:rPr>
        <w:t>00元。学生按7</w:t>
      </w:r>
      <w:r>
        <w:rPr>
          <w:rFonts w:hint="eastAsia"/>
          <w:kern w:val="2"/>
          <w:sz w:val="24"/>
          <w:szCs w:val="24"/>
          <w:lang w:val="en-US" w:eastAsia="zh-CN"/>
        </w:rPr>
        <w:t>0</w:t>
      </w:r>
      <w:r>
        <w:rPr>
          <w:rFonts w:hint="eastAsia"/>
          <w:kern w:val="2"/>
          <w:sz w:val="24"/>
          <w:szCs w:val="24"/>
        </w:rPr>
        <w:t>0人计算，如服务期内学生人数增加或减少超过1</w:t>
      </w:r>
      <w:r>
        <w:rPr>
          <w:rFonts w:hint="eastAsia"/>
          <w:kern w:val="2"/>
          <w:sz w:val="24"/>
          <w:szCs w:val="24"/>
          <w:lang w:val="en-US" w:eastAsia="zh-CN"/>
        </w:rPr>
        <w:t>0</w:t>
      </w:r>
      <w:r>
        <w:rPr>
          <w:rFonts w:hint="eastAsia"/>
          <w:kern w:val="2"/>
          <w:sz w:val="24"/>
          <w:szCs w:val="24"/>
        </w:rPr>
        <w:t>%，经双方协商并经招标人行政会或者采购小组批准可以调整学生部分加工服务费和厨工人员，但是调整范围、流程需按并符合甲方有关主管部门的相关规定。</w:t>
      </w:r>
    </w:p>
    <w:p w14:paraId="57FE71CE">
      <w:pPr>
        <w:spacing w:line="560" w:lineRule="exact"/>
        <w:ind w:firstLine="480" w:firstLineChars="200"/>
        <w:jc w:val="left"/>
        <w:rPr>
          <w:kern w:val="2"/>
          <w:sz w:val="24"/>
          <w:szCs w:val="24"/>
        </w:rPr>
      </w:pPr>
      <w:r>
        <w:rPr>
          <w:rFonts w:hint="eastAsia"/>
          <w:kern w:val="2"/>
          <w:sz w:val="24"/>
          <w:szCs w:val="24"/>
        </w:rPr>
        <w:t>厨房人工预算价为</w:t>
      </w:r>
      <w:r>
        <w:rPr>
          <w:rFonts w:hint="eastAsia"/>
          <w:kern w:val="2"/>
          <w:sz w:val="24"/>
          <w:szCs w:val="24"/>
          <w:lang w:val="en-US" w:eastAsia="zh-CN"/>
        </w:rPr>
        <w:t>862200</w:t>
      </w:r>
      <w:r>
        <w:rPr>
          <w:rFonts w:hint="eastAsia"/>
          <w:kern w:val="2"/>
          <w:sz w:val="24"/>
          <w:szCs w:val="24"/>
        </w:rPr>
        <w:t>元。根据上级要求，(学生餐每学期据学生就餐实际人数核定食堂工作人员，最终以实际人数结算,人工服务费控制在学生就餐餐费的30%内，超出金额由中标方自行解决。)。厨房人工服务时间为202</w:t>
      </w:r>
      <w:r>
        <w:rPr>
          <w:rFonts w:hint="eastAsia"/>
          <w:kern w:val="2"/>
          <w:sz w:val="24"/>
          <w:szCs w:val="24"/>
          <w:lang w:val="en-US" w:eastAsia="zh-CN"/>
        </w:rPr>
        <w:t>6</w:t>
      </w:r>
      <w:r>
        <w:rPr>
          <w:rFonts w:hint="eastAsia"/>
          <w:kern w:val="2"/>
          <w:sz w:val="24"/>
          <w:szCs w:val="24"/>
        </w:rPr>
        <w:t>年9月1日至202</w:t>
      </w:r>
      <w:r>
        <w:rPr>
          <w:rFonts w:hint="eastAsia"/>
          <w:kern w:val="2"/>
          <w:sz w:val="24"/>
          <w:szCs w:val="24"/>
          <w:lang w:val="en-US" w:eastAsia="zh-CN"/>
        </w:rPr>
        <w:t>7</w:t>
      </w:r>
      <w:r>
        <w:rPr>
          <w:rFonts w:hint="eastAsia"/>
          <w:kern w:val="2"/>
          <w:sz w:val="24"/>
          <w:szCs w:val="24"/>
        </w:rPr>
        <w:t>年8月31日。本项目预算金额为预估价，实际按照项目开展进行结算。</w:t>
      </w:r>
    </w:p>
    <w:p w14:paraId="1C2F5A1B">
      <w:pPr>
        <w:spacing w:line="560" w:lineRule="exact"/>
        <w:ind w:firstLine="200"/>
        <w:jc w:val="left"/>
        <w:rPr>
          <w:rFonts w:hint="eastAsia" w:cs="宋体"/>
          <w:b/>
          <w:color w:val="000000"/>
          <w:sz w:val="24"/>
          <w:szCs w:val="24"/>
        </w:rPr>
      </w:pPr>
      <w:r>
        <w:rPr>
          <w:rFonts w:hint="eastAsia" w:cs="宋体"/>
          <w:b/>
          <w:color w:val="000000"/>
          <w:sz w:val="24"/>
          <w:szCs w:val="24"/>
        </w:rPr>
        <w:t>（一）食堂食品品种、供餐方式及供餐时间安排</w:t>
      </w:r>
    </w:p>
    <w:p w14:paraId="6122D437">
      <w:pPr>
        <w:spacing w:line="560" w:lineRule="exact"/>
        <w:ind w:firstLine="480" w:firstLineChars="200"/>
        <w:jc w:val="left"/>
        <w:rPr>
          <w:rFonts w:hint="eastAsia"/>
          <w:kern w:val="2"/>
          <w:sz w:val="24"/>
          <w:szCs w:val="24"/>
        </w:rPr>
      </w:pPr>
      <w:r>
        <w:rPr>
          <w:rFonts w:hint="eastAsia"/>
          <w:kern w:val="2"/>
          <w:sz w:val="24"/>
          <w:szCs w:val="24"/>
        </w:rPr>
        <w:t>1.根据食堂的场地条件及消费需求，推出较为丰富的品种食谱；并根据季节性变化，重点推出学生所喜爱的特色餐品做到口味多元化结合。</w:t>
      </w:r>
    </w:p>
    <w:p w14:paraId="7F0693D1">
      <w:pPr>
        <w:spacing w:line="560" w:lineRule="exact"/>
        <w:ind w:firstLine="480" w:firstLineChars="200"/>
        <w:jc w:val="left"/>
        <w:rPr>
          <w:rFonts w:hint="eastAsia"/>
          <w:kern w:val="2"/>
          <w:sz w:val="24"/>
          <w:szCs w:val="24"/>
        </w:rPr>
      </w:pPr>
      <w:r>
        <w:rPr>
          <w:rFonts w:hint="eastAsia"/>
          <w:kern w:val="2"/>
          <w:sz w:val="24"/>
          <w:szCs w:val="24"/>
        </w:rPr>
        <w:t>2.</w:t>
      </w:r>
      <w:r>
        <w:rPr>
          <w:rFonts w:hint="eastAsia"/>
          <w:kern w:val="2"/>
          <w:sz w:val="24"/>
          <w:szCs w:val="24"/>
          <w:lang w:eastAsia="zh-CN"/>
        </w:rPr>
        <w:t>教工120人的早餐、午餐，学生7</w:t>
      </w:r>
      <w:r>
        <w:rPr>
          <w:rFonts w:hint="eastAsia"/>
          <w:kern w:val="2"/>
          <w:sz w:val="24"/>
          <w:szCs w:val="24"/>
          <w:lang w:val="en-US" w:eastAsia="zh-CN"/>
        </w:rPr>
        <w:t>0</w:t>
      </w:r>
      <w:r>
        <w:rPr>
          <w:rFonts w:hint="eastAsia"/>
          <w:kern w:val="2"/>
          <w:sz w:val="24"/>
          <w:szCs w:val="24"/>
          <w:lang w:eastAsia="zh-CN"/>
        </w:rPr>
        <w:t>0人的午餐</w:t>
      </w:r>
      <w:r>
        <w:rPr>
          <w:rFonts w:hint="eastAsia"/>
          <w:kern w:val="2"/>
          <w:sz w:val="24"/>
          <w:szCs w:val="24"/>
        </w:rPr>
        <w:t>，中标供应商必须保证</w:t>
      </w:r>
      <w:r>
        <w:rPr>
          <w:rFonts w:hint="eastAsia"/>
          <w:kern w:val="2"/>
          <w:sz w:val="24"/>
          <w:szCs w:val="24"/>
          <w:lang w:eastAsia="zh-CN"/>
        </w:rPr>
        <w:t>教工早餐、午餐，学生午餐</w:t>
      </w:r>
      <w:r>
        <w:rPr>
          <w:rFonts w:hint="eastAsia"/>
          <w:kern w:val="2"/>
          <w:sz w:val="24"/>
          <w:szCs w:val="24"/>
        </w:rPr>
        <w:t>用餐质量、数量。</w:t>
      </w:r>
    </w:p>
    <w:p w14:paraId="2D2CC1FA">
      <w:pPr>
        <w:spacing w:line="560" w:lineRule="exact"/>
        <w:ind w:firstLine="480" w:firstLineChars="200"/>
        <w:jc w:val="left"/>
        <w:rPr>
          <w:rFonts w:hint="eastAsia"/>
          <w:kern w:val="2"/>
          <w:sz w:val="24"/>
          <w:szCs w:val="24"/>
        </w:rPr>
      </w:pPr>
      <w:r>
        <w:rPr>
          <w:rFonts w:hint="eastAsia"/>
          <w:kern w:val="2"/>
          <w:sz w:val="24"/>
          <w:szCs w:val="24"/>
        </w:rPr>
        <w:t>3.供餐方式：根据学校实际要求进行供餐。</w:t>
      </w:r>
    </w:p>
    <w:p w14:paraId="3043B68B">
      <w:pPr>
        <w:spacing w:line="560" w:lineRule="exact"/>
        <w:ind w:firstLine="480" w:firstLineChars="200"/>
        <w:jc w:val="left"/>
        <w:rPr>
          <w:rFonts w:hint="eastAsia"/>
          <w:kern w:val="2"/>
          <w:sz w:val="24"/>
          <w:szCs w:val="24"/>
        </w:rPr>
      </w:pPr>
      <w:r>
        <w:rPr>
          <w:rFonts w:hint="eastAsia"/>
          <w:kern w:val="2"/>
          <w:sz w:val="24"/>
          <w:szCs w:val="24"/>
        </w:rPr>
        <w:t>4.供餐时间安排：（可以根据采购单位的要求调整）</w:t>
      </w:r>
    </w:p>
    <w:p w14:paraId="7F4DBF7A">
      <w:pPr>
        <w:spacing w:line="560" w:lineRule="exact"/>
        <w:ind w:firstLine="480" w:firstLineChars="200"/>
        <w:jc w:val="left"/>
        <w:rPr>
          <w:rFonts w:hint="eastAsia"/>
          <w:kern w:val="2"/>
          <w:sz w:val="24"/>
          <w:szCs w:val="24"/>
        </w:rPr>
      </w:pPr>
      <w:r>
        <w:rPr>
          <w:rFonts w:hint="eastAsia"/>
          <w:kern w:val="2"/>
          <w:sz w:val="24"/>
          <w:szCs w:val="24"/>
        </w:rPr>
        <w:t>学生午餐：12:00—12:45</w:t>
      </w:r>
    </w:p>
    <w:p w14:paraId="1495F776">
      <w:pPr>
        <w:spacing w:line="560" w:lineRule="exact"/>
        <w:ind w:firstLine="480" w:firstLineChars="200"/>
        <w:jc w:val="left"/>
        <w:rPr>
          <w:rFonts w:hint="eastAsia"/>
          <w:kern w:val="2"/>
          <w:sz w:val="24"/>
          <w:szCs w:val="24"/>
        </w:rPr>
      </w:pPr>
      <w:r>
        <w:rPr>
          <w:rFonts w:hint="eastAsia"/>
          <w:kern w:val="2"/>
          <w:sz w:val="24"/>
          <w:szCs w:val="24"/>
        </w:rPr>
        <w:t>注：如有应急突发事件发生，根据采购单位需要，中标供应商随时待命。</w:t>
      </w:r>
    </w:p>
    <w:p w14:paraId="0DA0ED9C">
      <w:pPr>
        <w:spacing w:line="560" w:lineRule="exact"/>
        <w:ind w:firstLine="200"/>
        <w:jc w:val="left"/>
        <w:rPr>
          <w:rFonts w:hint="eastAsia" w:cs="宋体"/>
          <w:b/>
          <w:color w:val="000000"/>
          <w:sz w:val="24"/>
          <w:szCs w:val="24"/>
        </w:rPr>
      </w:pPr>
      <w:r>
        <w:rPr>
          <w:rFonts w:hint="eastAsia" w:cs="宋体"/>
          <w:b/>
          <w:color w:val="000000"/>
          <w:sz w:val="24"/>
          <w:szCs w:val="24"/>
        </w:rPr>
        <w:t>（二）人员配备</w:t>
      </w:r>
    </w:p>
    <w:p w14:paraId="102B3D0E">
      <w:pPr>
        <w:spacing w:line="560" w:lineRule="exact"/>
        <w:ind w:firstLine="480" w:firstLineChars="200"/>
        <w:jc w:val="left"/>
        <w:rPr>
          <w:rFonts w:hint="eastAsia"/>
          <w:kern w:val="2"/>
          <w:sz w:val="24"/>
          <w:szCs w:val="24"/>
        </w:rPr>
      </w:pPr>
      <w:r>
        <w:rPr>
          <w:rFonts w:hint="eastAsia"/>
          <w:kern w:val="2"/>
          <w:sz w:val="24"/>
          <w:szCs w:val="24"/>
        </w:rPr>
        <w:t>1.中标供应商应向采购单位的食堂提供3名有专业证书的厨师以及</w:t>
      </w:r>
      <w:r>
        <w:rPr>
          <w:rFonts w:hint="eastAsia"/>
          <w:kern w:val="2"/>
          <w:sz w:val="24"/>
          <w:szCs w:val="24"/>
          <w:lang w:val="en-US" w:eastAsia="zh-CN"/>
        </w:rPr>
        <w:t>9</w:t>
      </w:r>
      <w:r>
        <w:rPr>
          <w:rFonts w:hint="eastAsia"/>
          <w:kern w:val="2"/>
          <w:sz w:val="24"/>
          <w:szCs w:val="24"/>
        </w:rPr>
        <w:t>名厨工，食堂服务人员数量根据学生的实际就餐情况适当增减对应人员数量。</w:t>
      </w:r>
    </w:p>
    <w:p w14:paraId="785B4A0E">
      <w:pPr>
        <w:spacing w:line="560" w:lineRule="exact"/>
        <w:ind w:firstLine="480" w:firstLineChars="200"/>
        <w:jc w:val="left"/>
        <w:rPr>
          <w:rFonts w:hint="eastAsia"/>
          <w:kern w:val="2"/>
          <w:sz w:val="24"/>
          <w:szCs w:val="24"/>
        </w:rPr>
      </w:pPr>
      <w:r>
        <w:rPr>
          <w:rFonts w:hint="eastAsia"/>
          <w:kern w:val="2"/>
          <w:sz w:val="24"/>
          <w:szCs w:val="24"/>
        </w:rPr>
        <w:t>2.中标供应商提供的厨师和厨工必须持有深圳市防疫卫生部门领发的《健康证》。中标供应商应于厨师和厨工上岗前向采购单位提供厨师和厨工所持专业证书、《健康证》的复印件。</w:t>
      </w:r>
    </w:p>
    <w:p w14:paraId="0E346777">
      <w:pPr>
        <w:spacing w:line="560" w:lineRule="exact"/>
        <w:ind w:firstLine="200"/>
        <w:jc w:val="left"/>
        <w:rPr>
          <w:rFonts w:hint="eastAsia" w:cs="宋体"/>
          <w:b/>
          <w:color w:val="000000"/>
          <w:sz w:val="24"/>
          <w:szCs w:val="24"/>
        </w:rPr>
      </w:pPr>
      <w:r>
        <w:rPr>
          <w:rFonts w:hint="eastAsia" w:cs="宋体"/>
          <w:b/>
          <w:color w:val="000000"/>
          <w:sz w:val="24"/>
          <w:szCs w:val="24"/>
        </w:rPr>
        <w:t>（三）中标供应商的权利义务</w:t>
      </w:r>
    </w:p>
    <w:p w14:paraId="72A7777E">
      <w:pPr>
        <w:spacing w:line="560" w:lineRule="exact"/>
        <w:ind w:firstLine="480" w:firstLineChars="200"/>
        <w:jc w:val="left"/>
        <w:rPr>
          <w:rFonts w:hint="eastAsia"/>
          <w:kern w:val="2"/>
          <w:sz w:val="24"/>
          <w:szCs w:val="24"/>
        </w:rPr>
      </w:pPr>
      <w:r>
        <w:rPr>
          <w:rFonts w:hint="eastAsia"/>
          <w:kern w:val="2"/>
          <w:sz w:val="24"/>
          <w:szCs w:val="24"/>
        </w:rPr>
        <w:t>1.中标供应商负责食堂的经营管理，具体包括食堂厨师厨工、菜肴的搭配与制作、就餐环境卫生、服务等；</w:t>
      </w:r>
    </w:p>
    <w:p w14:paraId="13415ED2">
      <w:pPr>
        <w:spacing w:line="560" w:lineRule="exact"/>
        <w:ind w:firstLine="480" w:firstLineChars="200"/>
        <w:jc w:val="left"/>
        <w:rPr>
          <w:rFonts w:hint="eastAsia"/>
          <w:kern w:val="2"/>
          <w:sz w:val="24"/>
          <w:szCs w:val="24"/>
        </w:rPr>
      </w:pPr>
      <w:r>
        <w:rPr>
          <w:rFonts w:hint="eastAsia"/>
          <w:kern w:val="2"/>
          <w:sz w:val="24"/>
          <w:szCs w:val="24"/>
        </w:rPr>
        <w:t>2.中标供应商应制定食堂卫生管理制度、落实管理人员责任、健全食品卫生安全管理，承担安全卫生管理责任，如发生食品安全事故，中标供应商应承担一切责任。</w:t>
      </w:r>
    </w:p>
    <w:p w14:paraId="291CA00A">
      <w:pPr>
        <w:spacing w:line="560" w:lineRule="exact"/>
        <w:ind w:firstLine="480" w:firstLineChars="200"/>
        <w:jc w:val="left"/>
        <w:rPr>
          <w:rFonts w:hint="eastAsia"/>
          <w:kern w:val="2"/>
          <w:sz w:val="24"/>
          <w:szCs w:val="24"/>
        </w:rPr>
      </w:pPr>
      <w:r>
        <w:rPr>
          <w:rFonts w:hint="eastAsia"/>
          <w:kern w:val="2"/>
          <w:sz w:val="24"/>
          <w:szCs w:val="24"/>
        </w:rPr>
        <w:t>3.中标供应商食堂从业人员必须取得有效健康证，每年体检一次合格者方可上岗。如有违反，采购单位有权要求中标供应商立即更换成合格人员。食堂工作人员的工资、劳保、福利、保险由中标供应商自行承担。中标供应商食堂从业人员应做到穿着整洁、待人礼貌、举止文明、服务热情；</w:t>
      </w:r>
    </w:p>
    <w:p w14:paraId="1BD1F6BC">
      <w:pPr>
        <w:spacing w:line="560" w:lineRule="exact"/>
        <w:ind w:firstLine="480" w:firstLineChars="200"/>
        <w:jc w:val="left"/>
        <w:rPr>
          <w:rFonts w:hint="eastAsia"/>
          <w:kern w:val="2"/>
          <w:sz w:val="24"/>
          <w:szCs w:val="24"/>
        </w:rPr>
      </w:pPr>
      <w:r>
        <w:rPr>
          <w:rFonts w:hint="eastAsia"/>
          <w:kern w:val="2"/>
          <w:sz w:val="24"/>
          <w:szCs w:val="24"/>
        </w:rPr>
        <w:t>4.中标供应商应加强食品从业人员的卫生知识和消防知识教育，定期考核，提高职工的素质，新参加工作人员应先经过食品安全知识和消防知识培训考核合格方可上岗。如有违反，采购单位有权要求中标供应商立即更换成合格人员。</w:t>
      </w:r>
    </w:p>
    <w:p w14:paraId="3CC925D4">
      <w:pPr>
        <w:spacing w:line="560" w:lineRule="exact"/>
        <w:ind w:firstLine="480" w:firstLineChars="200"/>
        <w:jc w:val="left"/>
        <w:rPr>
          <w:rFonts w:hint="eastAsia"/>
          <w:kern w:val="2"/>
          <w:sz w:val="24"/>
          <w:szCs w:val="24"/>
        </w:rPr>
      </w:pPr>
      <w:r>
        <w:rPr>
          <w:rFonts w:hint="eastAsia"/>
          <w:kern w:val="2"/>
          <w:sz w:val="24"/>
          <w:szCs w:val="24"/>
        </w:rPr>
        <w:t>5.中标供应商应加强对采购单位财产物资的监护，确保资产不流失、不损坏。</w:t>
      </w:r>
    </w:p>
    <w:p w14:paraId="39C1B9B3">
      <w:pPr>
        <w:spacing w:line="560" w:lineRule="exact"/>
        <w:ind w:firstLine="480" w:firstLineChars="200"/>
        <w:jc w:val="left"/>
        <w:rPr>
          <w:rFonts w:hint="eastAsia"/>
          <w:kern w:val="2"/>
          <w:sz w:val="24"/>
          <w:szCs w:val="24"/>
        </w:rPr>
      </w:pPr>
      <w:r>
        <w:rPr>
          <w:rFonts w:hint="eastAsia"/>
          <w:kern w:val="2"/>
          <w:sz w:val="24"/>
          <w:szCs w:val="24"/>
        </w:rPr>
        <w:t>6.若因食堂运营被相关行政部门处罚或导致第三方损害的，由中标供应商承担全部责任，与采购单位无关。</w:t>
      </w:r>
    </w:p>
    <w:p w14:paraId="50F136F8">
      <w:pPr>
        <w:spacing w:line="560" w:lineRule="exact"/>
        <w:ind w:firstLine="480" w:firstLineChars="200"/>
        <w:jc w:val="left"/>
        <w:rPr>
          <w:rFonts w:hint="eastAsia"/>
          <w:kern w:val="2"/>
          <w:sz w:val="24"/>
          <w:szCs w:val="24"/>
        </w:rPr>
      </w:pPr>
      <w:r>
        <w:rPr>
          <w:rFonts w:hint="eastAsia"/>
          <w:kern w:val="2"/>
          <w:sz w:val="24"/>
          <w:szCs w:val="24"/>
        </w:rPr>
        <w:t>7.中标供应商食堂工作人员如有意外事故，其法律责任和经济责任均由中标供应商负责，与采购单位无关。</w:t>
      </w:r>
    </w:p>
    <w:p w14:paraId="6D6A3593">
      <w:pPr>
        <w:spacing w:line="560" w:lineRule="exact"/>
        <w:ind w:firstLine="480" w:firstLineChars="200"/>
        <w:jc w:val="left"/>
        <w:rPr>
          <w:rFonts w:hint="eastAsia"/>
          <w:kern w:val="2"/>
          <w:sz w:val="24"/>
          <w:szCs w:val="24"/>
        </w:rPr>
      </w:pPr>
      <w:r>
        <w:rPr>
          <w:rFonts w:hint="eastAsia"/>
          <w:kern w:val="2"/>
          <w:sz w:val="24"/>
          <w:szCs w:val="24"/>
        </w:rPr>
        <w:t>8.中标供应商不得将本合同转包、分包第三方经营或由第三方挂靠经营。中标供应商应向采购单位备案中标供应商食堂工作人员劳动合同、社保清单，确保业务直营。</w:t>
      </w:r>
    </w:p>
    <w:p w14:paraId="139CC448">
      <w:pPr>
        <w:spacing w:line="560" w:lineRule="exact"/>
        <w:ind w:firstLine="480" w:firstLineChars="200"/>
        <w:jc w:val="left"/>
        <w:rPr>
          <w:rFonts w:hint="eastAsia"/>
          <w:kern w:val="2"/>
          <w:sz w:val="24"/>
          <w:szCs w:val="24"/>
        </w:rPr>
      </w:pPr>
      <w:r>
        <w:rPr>
          <w:rFonts w:hint="eastAsia"/>
          <w:kern w:val="2"/>
          <w:sz w:val="24"/>
          <w:szCs w:val="24"/>
        </w:rPr>
        <w:t>9.采购单位有权对中标供应商配菜、营养搭配、服务水平及卫生状况进行监督，并进行日常考核检查。若中标供应商被发现有违反约定行为的，第一次予以口头警告，复查仍未改进的或一个月内同一现象累计达三次的，采购单位有权对中标供应商处以100－1000元罚款。</w:t>
      </w:r>
    </w:p>
    <w:p w14:paraId="3C304985">
      <w:pPr>
        <w:spacing w:line="560" w:lineRule="exact"/>
        <w:jc w:val="left"/>
        <w:rPr>
          <w:rFonts w:hint="eastAsia" w:cs="宋体"/>
          <w:b/>
          <w:color w:val="000000"/>
          <w:sz w:val="24"/>
          <w:szCs w:val="24"/>
        </w:rPr>
      </w:pPr>
      <w:r>
        <w:rPr>
          <w:rFonts w:hint="eastAsia" w:cs="宋体"/>
          <w:b/>
          <w:color w:val="000000"/>
          <w:sz w:val="24"/>
          <w:szCs w:val="24"/>
        </w:rPr>
        <w:t>（四）总体要求</w:t>
      </w:r>
    </w:p>
    <w:p w14:paraId="4F76725D">
      <w:pPr>
        <w:spacing w:line="560" w:lineRule="exact"/>
        <w:ind w:firstLine="480" w:firstLineChars="200"/>
        <w:jc w:val="left"/>
        <w:rPr>
          <w:rFonts w:hint="eastAsia"/>
          <w:kern w:val="2"/>
          <w:sz w:val="24"/>
          <w:szCs w:val="24"/>
        </w:rPr>
      </w:pPr>
      <w:r>
        <w:rPr>
          <w:rFonts w:hint="eastAsia"/>
          <w:kern w:val="2"/>
          <w:sz w:val="24"/>
          <w:szCs w:val="24"/>
        </w:rPr>
        <w:t>1.坚持把食品安全和卫生放在首位。遵循新鲜、营养、准时、正点和方便、快捷的原则，并根据就餐师生的口味需求调整和选派厨师，菜色口味以潮、粤、客家菜为主，以川、湘菜为辅，做到种类多样化，口味大众化。</w:t>
      </w:r>
    </w:p>
    <w:p w14:paraId="1FA7D99E">
      <w:pPr>
        <w:spacing w:line="560" w:lineRule="exact"/>
        <w:ind w:firstLine="480" w:firstLineChars="200"/>
        <w:jc w:val="left"/>
        <w:rPr>
          <w:rFonts w:hint="eastAsia"/>
          <w:kern w:val="2"/>
          <w:sz w:val="24"/>
          <w:szCs w:val="24"/>
        </w:rPr>
      </w:pPr>
      <w:r>
        <w:rPr>
          <w:rFonts w:hint="eastAsia"/>
          <w:kern w:val="2"/>
          <w:sz w:val="24"/>
          <w:szCs w:val="24"/>
        </w:rPr>
        <w:t>2.食堂内的固定资产（厨房灶台、售菜台、抽油烟机、水池、供水、供电设备（含电线、开关、灯具）、餐桌椅、空调等设施所有权归采购单位，中标供应商有使用权。合同期内的所有设施设备日常管理及保养由中标供应商负责，如需维修由采购单位负责，中标供应商如有损坏应照原价赔偿（自然损耗除外）。</w:t>
      </w:r>
    </w:p>
    <w:p w14:paraId="5C484720">
      <w:pPr>
        <w:spacing w:line="560" w:lineRule="exact"/>
        <w:ind w:firstLine="480" w:firstLineChars="200"/>
        <w:jc w:val="left"/>
        <w:rPr>
          <w:rFonts w:hint="eastAsia"/>
          <w:kern w:val="2"/>
          <w:sz w:val="24"/>
          <w:szCs w:val="24"/>
        </w:rPr>
      </w:pPr>
      <w:r>
        <w:rPr>
          <w:rFonts w:hint="eastAsia"/>
          <w:kern w:val="2"/>
          <w:sz w:val="24"/>
          <w:szCs w:val="24"/>
        </w:rPr>
        <w:t>3.中标供应商不得将食堂私自转让或托他人经营，更不得利用采购单位资产进行违法违规经营。</w:t>
      </w:r>
    </w:p>
    <w:p w14:paraId="700BC81E">
      <w:pPr>
        <w:spacing w:line="560" w:lineRule="exact"/>
        <w:ind w:firstLine="480" w:firstLineChars="200"/>
        <w:jc w:val="left"/>
        <w:rPr>
          <w:rFonts w:hint="eastAsia"/>
          <w:kern w:val="2"/>
          <w:sz w:val="24"/>
          <w:szCs w:val="24"/>
        </w:rPr>
      </w:pPr>
      <w:r>
        <w:rPr>
          <w:rFonts w:hint="eastAsia"/>
          <w:kern w:val="2"/>
          <w:sz w:val="24"/>
          <w:szCs w:val="24"/>
        </w:rPr>
        <w:t>4.中标供应商须安排所有服务人员每年进行定期体检，所需费用由中标供应商自理。对于不能胜任工作岗位的员工，采购单位有权要求中标供应商整改。合同服务期内，中标供应商负责处理与自聘员工所有劳资纠纷，并承担有关经济及法律责任。</w:t>
      </w:r>
    </w:p>
    <w:p w14:paraId="3A4C52D7">
      <w:pPr>
        <w:spacing w:line="360" w:lineRule="auto"/>
        <w:ind w:firstLine="480" w:firstLineChars="200"/>
        <w:jc w:val="left"/>
        <w:rPr>
          <w:rFonts w:hint="eastAsia"/>
          <w:kern w:val="2"/>
          <w:sz w:val="24"/>
          <w:szCs w:val="24"/>
        </w:rPr>
      </w:pPr>
      <w:r>
        <w:rPr>
          <w:rFonts w:hint="eastAsia"/>
          <w:kern w:val="2"/>
          <w:sz w:val="24"/>
          <w:szCs w:val="24"/>
        </w:rPr>
        <w:t>5.本项目由中标供应商负责膳食服务相关的所有事务，包括但不限于人员招聘、人员管理、自有或租赁的运营系统维护、工资发放、劳动纠纷、用工风险、食堂人员工伤赔偿等一切人力资源服务，采购单位负责监督。</w:t>
      </w:r>
      <w:r>
        <w:rPr>
          <w:kern w:val="2"/>
          <w:sz w:val="24"/>
          <w:szCs w:val="24"/>
        </w:rPr>
        <w:t xml:space="preserve"> </w:t>
      </w:r>
    </w:p>
    <w:p w14:paraId="50F3A41F">
      <w:pPr>
        <w:spacing w:line="360" w:lineRule="auto"/>
        <w:ind w:firstLine="480" w:firstLineChars="200"/>
        <w:jc w:val="left"/>
        <w:rPr>
          <w:rFonts w:hint="eastAsia"/>
          <w:kern w:val="2"/>
          <w:sz w:val="24"/>
          <w:szCs w:val="24"/>
        </w:rPr>
      </w:pPr>
      <w:r>
        <w:rPr>
          <w:rFonts w:hint="eastAsia"/>
          <w:kern w:val="2"/>
          <w:sz w:val="24"/>
          <w:szCs w:val="24"/>
        </w:rPr>
        <w:t>6.中标供应商必须遵守采购单位相关规章制度，接受采购单位的管理和监督。</w:t>
      </w:r>
    </w:p>
    <w:p w14:paraId="167B5E2A">
      <w:pPr>
        <w:spacing w:line="360" w:lineRule="auto"/>
        <w:ind w:firstLine="480" w:firstLineChars="200"/>
        <w:jc w:val="left"/>
        <w:rPr>
          <w:rFonts w:hint="eastAsia"/>
          <w:kern w:val="2"/>
          <w:sz w:val="24"/>
          <w:szCs w:val="24"/>
        </w:rPr>
      </w:pPr>
      <w:r>
        <w:rPr>
          <w:rFonts w:hint="eastAsia"/>
          <w:kern w:val="2"/>
          <w:sz w:val="24"/>
          <w:szCs w:val="24"/>
        </w:rPr>
        <w:t>7.采购单位对重要的管理决策有直接参与权与审批权。</w:t>
      </w:r>
    </w:p>
    <w:p w14:paraId="5053D188">
      <w:pPr>
        <w:spacing w:line="360" w:lineRule="auto"/>
        <w:ind w:firstLine="480" w:firstLineChars="200"/>
        <w:jc w:val="left"/>
        <w:rPr>
          <w:rFonts w:hint="eastAsia"/>
          <w:kern w:val="2"/>
          <w:sz w:val="24"/>
          <w:szCs w:val="24"/>
        </w:rPr>
      </w:pPr>
      <w:r>
        <w:rPr>
          <w:rFonts w:hint="eastAsia"/>
          <w:kern w:val="2"/>
          <w:sz w:val="24"/>
          <w:szCs w:val="24"/>
        </w:rPr>
        <w:t>8.中标供应商在做好工作的同时，有责任向采购单位提供合理化建议，以提高管理效率和管理质量。</w:t>
      </w:r>
    </w:p>
    <w:p w14:paraId="33F64ADF">
      <w:pPr>
        <w:spacing w:line="360" w:lineRule="auto"/>
        <w:ind w:firstLine="480" w:firstLineChars="200"/>
        <w:jc w:val="left"/>
        <w:rPr>
          <w:rFonts w:hint="eastAsia"/>
          <w:kern w:val="2"/>
          <w:sz w:val="24"/>
          <w:szCs w:val="24"/>
        </w:rPr>
      </w:pPr>
      <w:r>
        <w:rPr>
          <w:rFonts w:hint="eastAsia"/>
          <w:kern w:val="2"/>
          <w:sz w:val="24"/>
          <w:szCs w:val="24"/>
        </w:rPr>
        <w:t>9.中标供应商在合同期内，必须严格遵守《中华人民共和国劳动法》和《食品安全法》等各项法律法规的规定。因中标供应商违法及违规操作或因食材安全问题带来的损失和责任，由中标供应商全部承担。</w:t>
      </w:r>
    </w:p>
    <w:p w14:paraId="556E8412">
      <w:pPr>
        <w:spacing w:line="360" w:lineRule="auto"/>
        <w:ind w:firstLine="480" w:firstLineChars="200"/>
        <w:jc w:val="left"/>
        <w:rPr>
          <w:rFonts w:hint="eastAsia"/>
          <w:kern w:val="2"/>
          <w:sz w:val="24"/>
          <w:szCs w:val="24"/>
        </w:rPr>
      </w:pPr>
      <w:r>
        <w:rPr>
          <w:rFonts w:hint="eastAsia"/>
          <w:kern w:val="2"/>
          <w:sz w:val="24"/>
          <w:szCs w:val="24"/>
        </w:rPr>
        <w:t>10.中标供应商必须接受有关管理部门（安全环保、消防、食品安全、综合治理、卫生监督等）和采购单位的监督和检查。若被有关监督部门处罚的，处罚款由中标供应商承担。</w:t>
      </w:r>
    </w:p>
    <w:p w14:paraId="5FEE8050">
      <w:pPr>
        <w:spacing w:line="360" w:lineRule="auto"/>
        <w:ind w:firstLine="480" w:firstLineChars="200"/>
        <w:jc w:val="left"/>
        <w:rPr>
          <w:rFonts w:hint="eastAsia"/>
          <w:kern w:val="2"/>
          <w:sz w:val="24"/>
          <w:szCs w:val="24"/>
        </w:rPr>
      </w:pPr>
      <w:r>
        <w:rPr>
          <w:rFonts w:hint="eastAsia"/>
          <w:kern w:val="2"/>
          <w:sz w:val="24"/>
          <w:szCs w:val="24"/>
        </w:rPr>
        <w:t>11.中标供应商须接受采购单位对食堂的卫生状况、安全操作、消防操作、节能降耗的监督检查，并对采购单位提出的问题进行及时整改，如中标供应商对存在问题不进行整改，采购单位有权单方终止合同。</w:t>
      </w:r>
    </w:p>
    <w:p w14:paraId="6A3B20F2">
      <w:pPr>
        <w:spacing w:line="360" w:lineRule="auto"/>
        <w:ind w:firstLine="480" w:firstLineChars="200"/>
        <w:jc w:val="left"/>
        <w:rPr>
          <w:rFonts w:hint="eastAsia"/>
          <w:kern w:val="2"/>
          <w:sz w:val="24"/>
          <w:szCs w:val="24"/>
        </w:rPr>
      </w:pPr>
      <w:r>
        <w:rPr>
          <w:rFonts w:hint="eastAsia"/>
          <w:kern w:val="2"/>
          <w:sz w:val="24"/>
          <w:szCs w:val="24"/>
        </w:rPr>
        <w:t>12.中标供应商要做好食堂与从业人员的卫生管理工作，服务期间的卫生检疫、办理健康证、体检等费用均由中标供应商负责。</w:t>
      </w:r>
    </w:p>
    <w:p w14:paraId="685267E1">
      <w:pPr>
        <w:spacing w:line="560" w:lineRule="exact"/>
        <w:jc w:val="left"/>
        <w:rPr>
          <w:rFonts w:hint="eastAsia" w:cs="宋体"/>
          <w:b/>
          <w:color w:val="000000"/>
          <w:sz w:val="24"/>
          <w:szCs w:val="24"/>
        </w:rPr>
      </w:pPr>
      <w:r>
        <w:rPr>
          <w:rFonts w:hint="eastAsia" w:cs="宋体"/>
          <w:b/>
          <w:color w:val="000000"/>
          <w:sz w:val="24"/>
          <w:szCs w:val="24"/>
        </w:rPr>
        <w:t>（五）食堂运营服务要求</w:t>
      </w:r>
    </w:p>
    <w:p w14:paraId="230E2B29">
      <w:pPr>
        <w:spacing w:line="560" w:lineRule="exact"/>
        <w:ind w:firstLine="480" w:firstLineChars="200"/>
        <w:jc w:val="left"/>
        <w:rPr>
          <w:rFonts w:hint="eastAsia"/>
          <w:kern w:val="2"/>
          <w:sz w:val="24"/>
          <w:szCs w:val="24"/>
        </w:rPr>
      </w:pPr>
      <w:r>
        <w:rPr>
          <w:rFonts w:hint="eastAsia"/>
          <w:kern w:val="2"/>
          <w:sz w:val="24"/>
          <w:szCs w:val="24"/>
        </w:rPr>
        <w:t>中标供应商应严格遵照《中华人民共和国食品卫生法》、《学校卫生工作条例》和《广东省学校食堂与教工集体用餐卫生管理办法》、消防法律法规及采购单位服务质量要求等相关规定，履行食堂运营服务义务。</w:t>
      </w:r>
    </w:p>
    <w:p w14:paraId="38F4D980">
      <w:pPr>
        <w:spacing w:line="560" w:lineRule="exact"/>
        <w:jc w:val="left"/>
        <w:rPr>
          <w:rFonts w:hint="eastAsia" w:cs="宋体"/>
          <w:b/>
          <w:color w:val="000000"/>
          <w:sz w:val="24"/>
          <w:szCs w:val="24"/>
        </w:rPr>
      </w:pPr>
      <w:r>
        <w:rPr>
          <w:rFonts w:hint="eastAsia" w:cs="宋体"/>
          <w:b/>
          <w:color w:val="000000"/>
          <w:sz w:val="24"/>
          <w:szCs w:val="24"/>
        </w:rPr>
        <w:t>（六）上岗人员要求规范</w:t>
      </w:r>
    </w:p>
    <w:p w14:paraId="17D65F55">
      <w:pPr>
        <w:spacing w:line="560" w:lineRule="exact"/>
        <w:ind w:firstLine="480" w:firstLineChars="200"/>
        <w:jc w:val="left"/>
        <w:rPr>
          <w:rFonts w:hint="eastAsia"/>
          <w:kern w:val="2"/>
          <w:sz w:val="24"/>
          <w:szCs w:val="24"/>
        </w:rPr>
      </w:pPr>
      <w:r>
        <w:rPr>
          <w:rFonts w:hint="eastAsia"/>
          <w:kern w:val="2"/>
          <w:sz w:val="24"/>
          <w:szCs w:val="24"/>
        </w:rPr>
        <w:t>1.所有从业人员均需持健康证上岗，并每年接受一次身体健康检查。</w:t>
      </w:r>
    </w:p>
    <w:p w14:paraId="596B16ED">
      <w:pPr>
        <w:spacing w:line="560" w:lineRule="exact"/>
        <w:ind w:firstLine="480" w:firstLineChars="200"/>
        <w:jc w:val="left"/>
        <w:rPr>
          <w:rFonts w:hint="eastAsia"/>
          <w:kern w:val="2"/>
          <w:sz w:val="24"/>
          <w:szCs w:val="24"/>
        </w:rPr>
      </w:pPr>
      <w:r>
        <w:rPr>
          <w:rFonts w:hint="eastAsia"/>
          <w:kern w:val="2"/>
          <w:sz w:val="24"/>
          <w:szCs w:val="24"/>
        </w:rPr>
        <w:t>2.所有从业人员均需遵守“四勤”，即：勤洗手、剪指甲；勤洗澡、理发；勤洗衣服、被褥；勤换工作服。</w:t>
      </w:r>
    </w:p>
    <w:p w14:paraId="09833D33">
      <w:pPr>
        <w:spacing w:line="560" w:lineRule="exact"/>
        <w:ind w:firstLine="480" w:firstLineChars="200"/>
        <w:jc w:val="left"/>
        <w:rPr>
          <w:rFonts w:hint="eastAsia"/>
          <w:kern w:val="2"/>
          <w:sz w:val="24"/>
          <w:szCs w:val="24"/>
        </w:rPr>
      </w:pPr>
      <w:r>
        <w:rPr>
          <w:rFonts w:hint="eastAsia"/>
          <w:kern w:val="2"/>
          <w:sz w:val="24"/>
          <w:szCs w:val="24"/>
        </w:rPr>
        <w:t>3.所有从业人员须衣帽穿戴整齐、干净，在岗工作期间，不吸烟，不饮酒。员工上班时间一律着规定的工装，工作牌或标志佩戴于胸前。保持工装整洁、舒展，领结端正，皮鞋光亮，衣服上的纽扣要齐全；男员工发长以“鬓不盖耳，后不遮领”为准，不得留胡须、鬓角。保持发型整齐清洁。女员工长发应梳理整齐，服务人员及生产部员工按统一要求盘束，不得披发或带艳丽、奇异发饰。</w:t>
      </w:r>
    </w:p>
    <w:p w14:paraId="7BDA653F">
      <w:pPr>
        <w:spacing w:line="560" w:lineRule="exact"/>
        <w:ind w:firstLine="480" w:firstLineChars="200"/>
        <w:jc w:val="left"/>
        <w:rPr>
          <w:rFonts w:hint="eastAsia"/>
          <w:kern w:val="2"/>
          <w:sz w:val="24"/>
          <w:szCs w:val="24"/>
        </w:rPr>
      </w:pPr>
      <w:r>
        <w:rPr>
          <w:rFonts w:hint="eastAsia"/>
          <w:kern w:val="2"/>
          <w:sz w:val="24"/>
          <w:szCs w:val="24"/>
        </w:rPr>
        <w:t>4.表情：视微笑、礼貌、热情为准则。服务中始终让客人看到微笑，经常对员工进行情感训练，有意识地调节，养成良好的习惯。</w:t>
      </w:r>
    </w:p>
    <w:p w14:paraId="4554486B">
      <w:pPr>
        <w:spacing w:line="560" w:lineRule="exact"/>
        <w:jc w:val="left"/>
        <w:rPr>
          <w:rFonts w:hint="eastAsia" w:cs="宋体"/>
          <w:b/>
          <w:color w:val="000000"/>
          <w:sz w:val="24"/>
          <w:szCs w:val="24"/>
        </w:rPr>
      </w:pPr>
      <w:r>
        <w:rPr>
          <w:rFonts w:hint="eastAsia" w:cs="宋体"/>
          <w:b/>
          <w:color w:val="000000"/>
          <w:sz w:val="24"/>
          <w:szCs w:val="24"/>
        </w:rPr>
        <w:t>（七）食品安全管理</w:t>
      </w:r>
    </w:p>
    <w:p w14:paraId="50F5E668">
      <w:pPr>
        <w:spacing w:line="560" w:lineRule="exact"/>
        <w:ind w:firstLine="480" w:firstLineChars="200"/>
        <w:jc w:val="left"/>
        <w:rPr>
          <w:rFonts w:hint="eastAsia"/>
          <w:kern w:val="2"/>
          <w:sz w:val="24"/>
          <w:szCs w:val="24"/>
        </w:rPr>
      </w:pPr>
      <w:r>
        <w:rPr>
          <w:rFonts w:hint="eastAsia"/>
          <w:kern w:val="2"/>
          <w:sz w:val="24"/>
          <w:szCs w:val="24"/>
        </w:rPr>
        <w:t>1.严格遵守和执行《食品安全法》，接受食品卫生监督机构的监督检查。投标人应协助采购单位办理《餐饮服务许可证》。</w:t>
      </w:r>
    </w:p>
    <w:p w14:paraId="6C26B6FD">
      <w:pPr>
        <w:spacing w:line="560" w:lineRule="exact"/>
        <w:ind w:firstLine="480" w:firstLineChars="200"/>
        <w:jc w:val="left"/>
        <w:rPr>
          <w:rFonts w:hint="eastAsia"/>
          <w:kern w:val="2"/>
          <w:sz w:val="24"/>
          <w:szCs w:val="24"/>
        </w:rPr>
      </w:pPr>
      <w:r>
        <w:rPr>
          <w:rFonts w:hint="eastAsia"/>
          <w:kern w:val="2"/>
          <w:sz w:val="24"/>
          <w:szCs w:val="24"/>
        </w:rPr>
        <w:t>2.物品原料的储存须按照冷藏与冷冻分开，生熟隔离，食品与杂物、药物隔离，食品与天然冰隔离的四隔离原则。</w:t>
      </w:r>
    </w:p>
    <w:p w14:paraId="70325804">
      <w:pPr>
        <w:spacing w:line="560" w:lineRule="exact"/>
        <w:ind w:firstLine="480" w:firstLineChars="200"/>
        <w:jc w:val="left"/>
        <w:rPr>
          <w:rFonts w:hint="eastAsia"/>
          <w:kern w:val="2"/>
          <w:sz w:val="24"/>
          <w:szCs w:val="24"/>
        </w:rPr>
      </w:pPr>
      <w:r>
        <w:rPr>
          <w:rFonts w:hint="eastAsia"/>
          <w:kern w:val="2"/>
          <w:sz w:val="24"/>
          <w:szCs w:val="24"/>
        </w:rPr>
        <w:t>3.食品原料的粗加工须要一浸泡、二清洗、三漂洗、四保存，保持原料的营养价值。</w:t>
      </w:r>
    </w:p>
    <w:p w14:paraId="29ED0853">
      <w:pPr>
        <w:spacing w:line="560" w:lineRule="exact"/>
        <w:ind w:firstLine="480" w:firstLineChars="200"/>
        <w:jc w:val="left"/>
        <w:rPr>
          <w:rFonts w:hint="eastAsia"/>
          <w:kern w:val="2"/>
          <w:sz w:val="24"/>
          <w:szCs w:val="24"/>
        </w:rPr>
      </w:pPr>
      <w:r>
        <w:rPr>
          <w:rFonts w:hint="eastAsia"/>
          <w:kern w:val="2"/>
          <w:sz w:val="24"/>
          <w:szCs w:val="24"/>
        </w:rPr>
        <w:t>4.原料验收、贮藏要认真核查该批产品的卫生检验合格证、商标、包装情况，按原料类别分类分架、离墙离地存放，做到先进先出。</w:t>
      </w:r>
    </w:p>
    <w:p w14:paraId="58235ECC">
      <w:pPr>
        <w:spacing w:line="560" w:lineRule="exact"/>
        <w:ind w:firstLine="480" w:firstLineChars="200"/>
        <w:jc w:val="left"/>
        <w:rPr>
          <w:rFonts w:hint="eastAsia"/>
          <w:kern w:val="2"/>
          <w:sz w:val="24"/>
          <w:szCs w:val="24"/>
        </w:rPr>
      </w:pPr>
      <w:r>
        <w:rPr>
          <w:rFonts w:hint="eastAsia"/>
          <w:kern w:val="2"/>
          <w:sz w:val="24"/>
          <w:szCs w:val="24"/>
        </w:rPr>
        <w:t>5.加工蔬菜要反复漂洗，叶菜要用清水（适当加入食用盐）浸泡20分钟，烹饪时先用开水灼烫，废弃烫菜水，避免蔬菜污染的农药引起的食物中毒。</w:t>
      </w:r>
    </w:p>
    <w:p w14:paraId="7B2D79D1">
      <w:pPr>
        <w:spacing w:line="560" w:lineRule="exact"/>
        <w:ind w:firstLine="480" w:firstLineChars="200"/>
        <w:jc w:val="left"/>
        <w:rPr>
          <w:rFonts w:hint="eastAsia"/>
          <w:kern w:val="2"/>
          <w:sz w:val="24"/>
          <w:szCs w:val="24"/>
        </w:rPr>
      </w:pPr>
      <w:r>
        <w:rPr>
          <w:rFonts w:hint="eastAsia"/>
          <w:kern w:val="2"/>
          <w:sz w:val="24"/>
          <w:szCs w:val="24"/>
        </w:rPr>
        <w:t>6.餐具消毒须执行一洗、二刷、三冲、四消毒、五保洁的原则。</w:t>
      </w:r>
    </w:p>
    <w:p w14:paraId="595FF7A3">
      <w:pPr>
        <w:spacing w:line="560" w:lineRule="exact"/>
        <w:ind w:firstLine="480" w:firstLineChars="200"/>
        <w:jc w:val="left"/>
        <w:rPr>
          <w:rFonts w:hint="eastAsia"/>
          <w:kern w:val="2"/>
          <w:sz w:val="24"/>
          <w:szCs w:val="24"/>
        </w:rPr>
      </w:pPr>
      <w:r>
        <w:rPr>
          <w:rFonts w:hint="eastAsia"/>
          <w:kern w:val="2"/>
          <w:sz w:val="24"/>
          <w:szCs w:val="24"/>
        </w:rPr>
        <w:t>7.食堂每周全面清洁一次卫生，保持厨房清洁、无异味、无积水、无卫生死角。</w:t>
      </w:r>
    </w:p>
    <w:p w14:paraId="7B040F05">
      <w:pPr>
        <w:spacing w:line="560" w:lineRule="exact"/>
        <w:jc w:val="left"/>
        <w:rPr>
          <w:rFonts w:hint="eastAsia" w:cs="宋体"/>
          <w:b/>
          <w:color w:val="000000"/>
          <w:sz w:val="24"/>
          <w:szCs w:val="24"/>
        </w:rPr>
      </w:pPr>
      <w:r>
        <w:rPr>
          <w:rFonts w:hint="eastAsia" w:cs="宋体"/>
          <w:b/>
          <w:color w:val="000000"/>
          <w:sz w:val="24"/>
          <w:szCs w:val="24"/>
        </w:rPr>
        <w:t>（八）加工操作规程卫生管理规范</w:t>
      </w:r>
    </w:p>
    <w:p w14:paraId="22C82298">
      <w:pPr>
        <w:spacing w:line="560" w:lineRule="exact"/>
        <w:ind w:firstLine="480" w:firstLineChars="200"/>
        <w:jc w:val="left"/>
        <w:rPr>
          <w:rFonts w:hint="eastAsia"/>
          <w:kern w:val="2"/>
          <w:sz w:val="24"/>
          <w:szCs w:val="24"/>
        </w:rPr>
      </w:pPr>
      <w:r>
        <w:rPr>
          <w:rFonts w:hint="eastAsia"/>
          <w:kern w:val="2"/>
          <w:sz w:val="24"/>
          <w:szCs w:val="24"/>
        </w:rPr>
        <w:t>加工过程中的操作和管理是食品生产的重要环节，生产过程中的某一点出现波动都可能引起食品质量的波动。根据预防食物中毒的基本原则，食堂应制定相应的加工操作规程以预防食物中毒。</w:t>
      </w:r>
    </w:p>
    <w:p w14:paraId="023258C3">
      <w:pPr>
        <w:spacing w:line="560" w:lineRule="exact"/>
        <w:ind w:firstLine="480" w:firstLineChars="200"/>
        <w:jc w:val="left"/>
        <w:rPr>
          <w:rFonts w:hint="eastAsia"/>
          <w:kern w:val="2"/>
          <w:sz w:val="24"/>
          <w:szCs w:val="24"/>
        </w:rPr>
      </w:pPr>
      <w:r>
        <w:rPr>
          <w:rFonts w:hint="eastAsia"/>
          <w:kern w:val="2"/>
          <w:sz w:val="24"/>
          <w:szCs w:val="24"/>
        </w:rPr>
        <w:t>1.加工操作规程应包括对食品采购、运输和贮存、粗加工、切配、烹调、点心加工、生食海产品加工、备餐及供餐、食品再加热和工具、容器、餐饮具清洗、消毒、保洁、食品配送等各道操作工序的具体规定和详细的操作方法与要求。</w:t>
      </w:r>
    </w:p>
    <w:p w14:paraId="1D2A7D63">
      <w:pPr>
        <w:spacing w:line="560" w:lineRule="exact"/>
        <w:ind w:firstLine="480" w:firstLineChars="200"/>
        <w:jc w:val="left"/>
        <w:rPr>
          <w:rFonts w:hint="eastAsia"/>
          <w:kern w:val="2"/>
          <w:sz w:val="24"/>
          <w:szCs w:val="24"/>
        </w:rPr>
      </w:pPr>
      <w:r>
        <w:rPr>
          <w:rFonts w:hint="eastAsia"/>
          <w:kern w:val="2"/>
          <w:sz w:val="24"/>
          <w:szCs w:val="24"/>
        </w:rPr>
        <w:t>2.加工操作规程应具体规定标准的加工操作程序、加工操作过程关键项目控制标准和设备操作与维护标准，明确各工序、各岗位人员的要求及职责。</w:t>
      </w:r>
    </w:p>
    <w:p w14:paraId="410C577C">
      <w:pPr>
        <w:spacing w:line="560" w:lineRule="exact"/>
        <w:ind w:firstLine="480" w:firstLineChars="200"/>
        <w:jc w:val="left"/>
        <w:rPr>
          <w:rFonts w:hint="eastAsia"/>
          <w:kern w:val="2"/>
          <w:sz w:val="24"/>
          <w:szCs w:val="24"/>
        </w:rPr>
      </w:pPr>
      <w:r>
        <w:rPr>
          <w:rFonts w:hint="eastAsia"/>
          <w:kern w:val="2"/>
          <w:sz w:val="24"/>
          <w:szCs w:val="24"/>
        </w:rPr>
        <w:t>3.应教育培训员工按照加工操作规程进行操作，使其符合加工操作、卫生及品质管理要求。</w:t>
      </w:r>
    </w:p>
    <w:p w14:paraId="13243537">
      <w:pPr>
        <w:spacing w:line="560" w:lineRule="exact"/>
        <w:ind w:firstLine="480" w:firstLineChars="200"/>
        <w:jc w:val="left"/>
        <w:rPr>
          <w:rFonts w:hint="eastAsia"/>
          <w:kern w:val="2"/>
          <w:sz w:val="24"/>
          <w:szCs w:val="24"/>
        </w:rPr>
      </w:pPr>
      <w:r>
        <w:rPr>
          <w:rFonts w:hint="eastAsia"/>
          <w:kern w:val="2"/>
          <w:sz w:val="24"/>
          <w:szCs w:val="24"/>
        </w:rPr>
        <w:t>4.食堂管理人员和卫生监督人员应按照加工过程中各个关键工序控制项目及检查要求，进行管理和控制。</w:t>
      </w:r>
    </w:p>
    <w:p w14:paraId="02EA3972">
      <w:pPr>
        <w:spacing w:line="560" w:lineRule="exact"/>
        <w:ind w:firstLine="480" w:firstLineChars="200"/>
        <w:jc w:val="left"/>
        <w:rPr>
          <w:rFonts w:hint="eastAsia"/>
          <w:kern w:val="2"/>
          <w:sz w:val="24"/>
          <w:szCs w:val="24"/>
        </w:rPr>
      </w:pPr>
      <w:r>
        <w:rPr>
          <w:rFonts w:hint="eastAsia"/>
          <w:kern w:val="2"/>
          <w:sz w:val="24"/>
          <w:szCs w:val="24"/>
        </w:rPr>
        <w:t>5.加工过程中的各个工艺参数，如时间、温度等应监控并记录结果。</w:t>
      </w:r>
    </w:p>
    <w:p w14:paraId="6B601D34">
      <w:pPr>
        <w:spacing w:line="560" w:lineRule="exact"/>
        <w:jc w:val="left"/>
        <w:rPr>
          <w:rFonts w:hint="eastAsia" w:cs="宋体"/>
          <w:b/>
          <w:color w:val="000000"/>
          <w:sz w:val="24"/>
          <w:szCs w:val="24"/>
        </w:rPr>
      </w:pPr>
      <w:r>
        <w:rPr>
          <w:rFonts w:hint="eastAsia" w:cs="宋体"/>
          <w:b/>
          <w:color w:val="000000"/>
          <w:sz w:val="24"/>
          <w:szCs w:val="24"/>
        </w:rPr>
        <w:t>（九）粗加工及切配卫生管理规范</w:t>
      </w:r>
    </w:p>
    <w:p w14:paraId="24C210D9">
      <w:pPr>
        <w:spacing w:line="560" w:lineRule="exact"/>
        <w:ind w:firstLine="480" w:firstLineChars="200"/>
        <w:jc w:val="left"/>
        <w:rPr>
          <w:rFonts w:hint="eastAsia"/>
          <w:kern w:val="2"/>
          <w:sz w:val="24"/>
          <w:szCs w:val="24"/>
        </w:rPr>
      </w:pPr>
      <w:r>
        <w:rPr>
          <w:rFonts w:hint="eastAsia"/>
          <w:kern w:val="2"/>
          <w:sz w:val="24"/>
          <w:szCs w:val="24"/>
        </w:rPr>
        <w:t>1.加工前应认真检查待加工食品，发现有腐败变质迹象或者其他感官性状异常的，不得加工和使用。</w:t>
      </w:r>
    </w:p>
    <w:p w14:paraId="33ECF37F">
      <w:pPr>
        <w:spacing w:line="560" w:lineRule="exact"/>
        <w:ind w:firstLine="480" w:firstLineChars="200"/>
        <w:jc w:val="left"/>
        <w:rPr>
          <w:rFonts w:hint="eastAsia"/>
          <w:kern w:val="2"/>
          <w:sz w:val="24"/>
          <w:szCs w:val="24"/>
        </w:rPr>
      </w:pPr>
      <w:r>
        <w:rPr>
          <w:rFonts w:hint="eastAsia"/>
          <w:kern w:val="2"/>
          <w:sz w:val="24"/>
          <w:szCs w:val="24"/>
        </w:rPr>
        <w:t>2.各种食品原料在使用前应洗净，动物性食品、植物性食品应分池清洗，水产品宜在专用水池清洗，禽蛋在使用前应对外壳进行清洗，必要时消毒处理。</w:t>
      </w:r>
    </w:p>
    <w:p w14:paraId="02B6DD98">
      <w:pPr>
        <w:spacing w:line="560" w:lineRule="exact"/>
        <w:ind w:firstLine="480" w:firstLineChars="200"/>
        <w:jc w:val="left"/>
        <w:rPr>
          <w:rFonts w:hint="eastAsia"/>
          <w:kern w:val="2"/>
          <w:sz w:val="24"/>
          <w:szCs w:val="24"/>
        </w:rPr>
      </w:pPr>
      <w:r>
        <w:rPr>
          <w:rFonts w:hint="eastAsia"/>
          <w:kern w:val="2"/>
          <w:sz w:val="24"/>
          <w:szCs w:val="24"/>
        </w:rPr>
        <w:t>3.易腐食品应尽量缩短在常温下的存放时间，加工后应及时使用或冷藏。</w:t>
      </w:r>
    </w:p>
    <w:p w14:paraId="2E7E19CD">
      <w:pPr>
        <w:spacing w:line="560" w:lineRule="exact"/>
        <w:ind w:firstLine="480" w:firstLineChars="200"/>
        <w:jc w:val="left"/>
        <w:rPr>
          <w:rFonts w:hint="eastAsia"/>
          <w:kern w:val="2"/>
          <w:sz w:val="24"/>
          <w:szCs w:val="24"/>
        </w:rPr>
      </w:pPr>
      <w:r>
        <w:rPr>
          <w:rFonts w:hint="eastAsia"/>
          <w:kern w:val="2"/>
          <w:sz w:val="24"/>
          <w:szCs w:val="24"/>
        </w:rPr>
        <w:t>4.切配好的半成品应避免污染，与原料分开存放，并应根据性质分类存放。</w:t>
      </w:r>
    </w:p>
    <w:p w14:paraId="6E1696CE">
      <w:pPr>
        <w:spacing w:line="560" w:lineRule="exact"/>
        <w:ind w:firstLine="480" w:firstLineChars="200"/>
        <w:jc w:val="left"/>
        <w:rPr>
          <w:rFonts w:hint="eastAsia"/>
          <w:kern w:val="2"/>
          <w:sz w:val="24"/>
          <w:szCs w:val="24"/>
        </w:rPr>
      </w:pPr>
      <w:r>
        <w:rPr>
          <w:rFonts w:hint="eastAsia"/>
          <w:kern w:val="2"/>
          <w:sz w:val="24"/>
          <w:szCs w:val="24"/>
        </w:rPr>
        <w:t>5.切配好的食品应按照加工操作规程，在规定时间内使用。</w:t>
      </w:r>
    </w:p>
    <w:p w14:paraId="6084820F">
      <w:pPr>
        <w:spacing w:line="560" w:lineRule="exact"/>
        <w:ind w:firstLine="480" w:firstLineChars="200"/>
        <w:jc w:val="left"/>
        <w:rPr>
          <w:rFonts w:hint="eastAsia"/>
          <w:kern w:val="2"/>
          <w:sz w:val="24"/>
          <w:szCs w:val="24"/>
        </w:rPr>
      </w:pPr>
      <w:r>
        <w:rPr>
          <w:rFonts w:hint="eastAsia"/>
          <w:kern w:val="2"/>
          <w:sz w:val="24"/>
          <w:szCs w:val="24"/>
        </w:rPr>
        <w:t>6.已盛装食品的容器不得直接置于地上，以防止食品污染。</w:t>
      </w:r>
    </w:p>
    <w:p w14:paraId="4FF63E0C">
      <w:pPr>
        <w:spacing w:line="560" w:lineRule="exact"/>
        <w:ind w:firstLine="480" w:firstLineChars="200"/>
        <w:jc w:val="left"/>
        <w:rPr>
          <w:rFonts w:hint="eastAsia"/>
          <w:kern w:val="2"/>
          <w:sz w:val="24"/>
          <w:szCs w:val="24"/>
        </w:rPr>
      </w:pPr>
      <w:r>
        <w:rPr>
          <w:rFonts w:hint="eastAsia"/>
          <w:kern w:val="2"/>
          <w:sz w:val="24"/>
          <w:szCs w:val="24"/>
        </w:rPr>
        <w:t>7.生熟食品的加工工具及容器应分开使用并有明显标志。</w:t>
      </w:r>
    </w:p>
    <w:p w14:paraId="6E6D2E02">
      <w:pPr>
        <w:spacing w:line="560" w:lineRule="exact"/>
        <w:jc w:val="left"/>
        <w:rPr>
          <w:rFonts w:hint="eastAsia" w:cs="宋体"/>
          <w:b/>
          <w:color w:val="000000"/>
          <w:sz w:val="24"/>
          <w:szCs w:val="24"/>
        </w:rPr>
      </w:pPr>
      <w:r>
        <w:rPr>
          <w:rFonts w:hint="eastAsia" w:cs="宋体"/>
          <w:b/>
          <w:color w:val="000000"/>
          <w:sz w:val="24"/>
          <w:szCs w:val="24"/>
        </w:rPr>
        <w:t>（十）烹调加工卫生管理规范</w:t>
      </w:r>
    </w:p>
    <w:p w14:paraId="2BB5972C">
      <w:pPr>
        <w:spacing w:line="560" w:lineRule="exact"/>
        <w:ind w:firstLine="480" w:firstLineChars="200"/>
        <w:jc w:val="left"/>
        <w:rPr>
          <w:rFonts w:hint="eastAsia"/>
          <w:kern w:val="2"/>
          <w:sz w:val="24"/>
          <w:szCs w:val="24"/>
        </w:rPr>
      </w:pPr>
      <w:r>
        <w:rPr>
          <w:rFonts w:hint="eastAsia"/>
          <w:kern w:val="2"/>
          <w:sz w:val="24"/>
          <w:szCs w:val="24"/>
        </w:rPr>
        <w:t>1.烹调前应认真检查待加工食品，发现有腐败变质或者其他感官性状异常的，不得进行烹调加工。</w:t>
      </w:r>
    </w:p>
    <w:p w14:paraId="26CADD4D">
      <w:pPr>
        <w:spacing w:line="560" w:lineRule="exact"/>
        <w:ind w:firstLine="480" w:firstLineChars="200"/>
        <w:jc w:val="left"/>
        <w:rPr>
          <w:rFonts w:hint="eastAsia"/>
          <w:kern w:val="2"/>
          <w:sz w:val="24"/>
          <w:szCs w:val="24"/>
        </w:rPr>
      </w:pPr>
      <w:r>
        <w:rPr>
          <w:rFonts w:hint="eastAsia"/>
          <w:kern w:val="2"/>
          <w:sz w:val="24"/>
          <w:szCs w:val="24"/>
        </w:rPr>
        <w:t>2.不得将回收后的食品（包括辅料）经烹调加工后再次供应。</w:t>
      </w:r>
    </w:p>
    <w:p w14:paraId="25CA9088">
      <w:pPr>
        <w:spacing w:line="560" w:lineRule="exact"/>
        <w:ind w:firstLine="480" w:firstLineChars="200"/>
        <w:jc w:val="left"/>
        <w:rPr>
          <w:rFonts w:hint="eastAsia"/>
          <w:kern w:val="2"/>
          <w:sz w:val="24"/>
          <w:szCs w:val="24"/>
        </w:rPr>
      </w:pPr>
      <w:r>
        <w:rPr>
          <w:rFonts w:hint="eastAsia"/>
          <w:kern w:val="2"/>
          <w:sz w:val="24"/>
          <w:szCs w:val="24"/>
        </w:rPr>
        <w:t>3.需要熟制加工食品应当烧熟煮透，加工时食品中心温度应不低于70℃。</w:t>
      </w:r>
    </w:p>
    <w:p w14:paraId="2643B3F1">
      <w:pPr>
        <w:spacing w:line="560" w:lineRule="exact"/>
        <w:ind w:firstLine="480" w:firstLineChars="200"/>
        <w:jc w:val="left"/>
        <w:rPr>
          <w:rFonts w:hint="eastAsia"/>
          <w:kern w:val="2"/>
          <w:sz w:val="24"/>
          <w:szCs w:val="24"/>
        </w:rPr>
      </w:pPr>
      <w:r>
        <w:rPr>
          <w:rFonts w:hint="eastAsia"/>
          <w:kern w:val="2"/>
          <w:sz w:val="24"/>
          <w:szCs w:val="24"/>
        </w:rPr>
        <w:t>4.加工后的成品应与半成品、原料分开存放。</w:t>
      </w:r>
    </w:p>
    <w:p w14:paraId="5B1BC1BC">
      <w:pPr>
        <w:spacing w:line="560" w:lineRule="exact"/>
        <w:ind w:firstLine="480" w:firstLineChars="200"/>
        <w:jc w:val="left"/>
        <w:rPr>
          <w:rFonts w:hint="eastAsia"/>
          <w:kern w:val="2"/>
          <w:sz w:val="24"/>
          <w:szCs w:val="24"/>
        </w:rPr>
      </w:pPr>
      <w:r>
        <w:rPr>
          <w:rFonts w:hint="eastAsia"/>
          <w:kern w:val="2"/>
          <w:sz w:val="24"/>
          <w:szCs w:val="24"/>
        </w:rPr>
        <w:t>5.需要冷藏的熟制品，应尽快冷却后再冷藏。</w:t>
      </w:r>
    </w:p>
    <w:p w14:paraId="6852E997">
      <w:pPr>
        <w:spacing w:line="560" w:lineRule="exact"/>
        <w:jc w:val="left"/>
        <w:rPr>
          <w:rFonts w:hint="eastAsia" w:cs="宋体"/>
          <w:b/>
          <w:color w:val="000000"/>
          <w:sz w:val="24"/>
          <w:szCs w:val="24"/>
        </w:rPr>
      </w:pPr>
      <w:r>
        <w:rPr>
          <w:rFonts w:hint="eastAsia" w:cs="宋体"/>
          <w:b/>
          <w:color w:val="000000"/>
          <w:sz w:val="24"/>
          <w:szCs w:val="24"/>
        </w:rPr>
        <w:t>（十一）餐用具卫生管理规范</w:t>
      </w:r>
    </w:p>
    <w:p w14:paraId="72B5D256">
      <w:pPr>
        <w:spacing w:line="560" w:lineRule="exact"/>
        <w:ind w:firstLine="480" w:firstLineChars="200"/>
        <w:jc w:val="left"/>
        <w:rPr>
          <w:rFonts w:hint="eastAsia"/>
          <w:kern w:val="2"/>
          <w:sz w:val="24"/>
          <w:szCs w:val="24"/>
        </w:rPr>
      </w:pPr>
      <w:r>
        <w:rPr>
          <w:rFonts w:hint="eastAsia"/>
          <w:kern w:val="2"/>
          <w:sz w:val="24"/>
          <w:szCs w:val="24"/>
        </w:rPr>
        <w:t>1.餐用具使用后应按照一洗、二刷、三冲、四消毒、五保管的要求及时洗净，定位存放，保持清洁。消毒后的餐用具应贮存在专用保洁柜内备用，保洁柜应有明显标记。餐具保洁柜应当定期清洗，保持洁净。</w:t>
      </w:r>
    </w:p>
    <w:p w14:paraId="1728A1E9">
      <w:pPr>
        <w:spacing w:line="560" w:lineRule="exact"/>
        <w:ind w:firstLine="480" w:firstLineChars="200"/>
        <w:jc w:val="left"/>
        <w:rPr>
          <w:rFonts w:hint="eastAsia"/>
          <w:kern w:val="2"/>
          <w:sz w:val="24"/>
          <w:szCs w:val="24"/>
        </w:rPr>
      </w:pPr>
      <w:r>
        <w:rPr>
          <w:rFonts w:hint="eastAsia"/>
          <w:kern w:val="2"/>
          <w:sz w:val="24"/>
          <w:szCs w:val="24"/>
        </w:rPr>
        <w:t>2.接触直接入口食品的餐用具使用前应洗净并消毒。</w:t>
      </w:r>
    </w:p>
    <w:p w14:paraId="4D659EEF">
      <w:pPr>
        <w:spacing w:line="560" w:lineRule="exact"/>
        <w:ind w:firstLine="480" w:firstLineChars="200"/>
        <w:jc w:val="left"/>
        <w:rPr>
          <w:rFonts w:hint="eastAsia"/>
          <w:kern w:val="2"/>
          <w:sz w:val="24"/>
          <w:szCs w:val="24"/>
        </w:rPr>
      </w:pPr>
      <w:r>
        <w:rPr>
          <w:rFonts w:hint="eastAsia"/>
          <w:kern w:val="2"/>
          <w:sz w:val="24"/>
          <w:szCs w:val="24"/>
        </w:rPr>
        <w:t>3.应定期检查消毒设备、设施是否处于良好状态。采用化学消毒的应定时测量有效消毒浓度。</w:t>
      </w:r>
    </w:p>
    <w:p w14:paraId="09BA1D2F">
      <w:pPr>
        <w:spacing w:line="560" w:lineRule="exact"/>
        <w:ind w:firstLine="480" w:firstLineChars="200"/>
        <w:jc w:val="left"/>
        <w:rPr>
          <w:rFonts w:hint="eastAsia"/>
          <w:kern w:val="2"/>
          <w:sz w:val="24"/>
          <w:szCs w:val="24"/>
        </w:rPr>
      </w:pPr>
      <w:r>
        <w:rPr>
          <w:rFonts w:hint="eastAsia"/>
          <w:kern w:val="2"/>
          <w:sz w:val="24"/>
          <w:szCs w:val="24"/>
        </w:rPr>
        <w:t>4.消毒后餐具应符合相关文件规定。</w:t>
      </w:r>
    </w:p>
    <w:p w14:paraId="2DF0532D">
      <w:pPr>
        <w:spacing w:line="560" w:lineRule="exact"/>
        <w:ind w:firstLine="480" w:firstLineChars="200"/>
        <w:jc w:val="left"/>
        <w:rPr>
          <w:rFonts w:hint="eastAsia"/>
          <w:kern w:val="2"/>
          <w:sz w:val="24"/>
          <w:szCs w:val="24"/>
        </w:rPr>
      </w:pPr>
      <w:r>
        <w:rPr>
          <w:rFonts w:hint="eastAsia"/>
          <w:kern w:val="2"/>
          <w:sz w:val="24"/>
          <w:szCs w:val="24"/>
        </w:rPr>
        <w:t>5.不得重复使用一次性餐饮具。</w:t>
      </w:r>
    </w:p>
    <w:p w14:paraId="0F501E56">
      <w:r>
        <w:rPr>
          <w:rFonts w:hint="eastAsia"/>
          <w:kern w:val="2"/>
          <w:sz w:val="24"/>
          <w:szCs w:val="24"/>
        </w:rPr>
        <w:t>6.已消毒和未消毒的餐用具应分开存放，保洁柜内不得存放其他物品。</w:t>
      </w:r>
    </w:p>
    <w:p w14:paraId="5AD2B3B3"/>
    <w:p w14:paraId="3CA0445F"/>
    <w:p w14:paraId="10948C16"/>
    <w:p w14:paraId="16E3218D">
      <w:pPr>
        <w:pStyle w:val="49"/>
      </w:pPr>
    </w:p>
    <w:p w14:paraId="0D43D5BF">
      <w:pPr>
        <w:pStyle w:val="49"/>
      </w:pPr>
    </w:p>
    <w:p w14:paraId="157910B1">
      <w:pPr>
        <w:pStyle w:val="49"/>
      </w:pPr>
    </w:p>
    <w:p w14:paraId="646827BD">
      <w:pPr>
        <w:pStyle w:val="49"/>
      </w:pPr>
    </w:p>
    <w:p w14:paraId="6EE180B2"/>
    <w:p w14:paraId="04259C78"/>
    <w:p w14:paraId="0BB3214E"/>
    <w:bookmarkEnd w:id="14"/>
    <w:p w14:paraId="5C2BBFC9">
      <w:pPr>
        <w:pStyle w:val="3"/>
        <w:jc w:val="center"/>
        <w:rPr>
          <w:rFonts w:ascii="黑体" w:eastAsia="黑体"/>
          <w:b w:val="0"/>
          <w:kern w:val="0"/>
          <w:sz w:val="24"/>
        </w:rPr>
      </w:pPr>
      <w:bookmarkStart w:id="15" w:name="_Toc128884465"/>
      <w:r>
        <w:rPr>
          <w:rFonts w:hint="eastAsia" w:ascii="黑体" w:eastAsia="黑体"/>
          <w:b w:val="0"/>
          <w:kern w:val="0"/>
          <w:sz w:val="24"/>
        </w:rPr>
        <w:t>三、</w:t>
      </w:r>
      <w:bookmarkEnd w:id="15"/>
      <w:r>
        <w:rPr>
          <w:rFonts w:hint="eastAsia" w:ascii="黑体" w:eastAsia="黑体"/>
          <w:b w:val="0"/>
          <w:kern w:val="0"/>
          <w:sz w:val="24"/>
        </w:rPr>
        <w:t>项目商务要求</w:t>
      </w:r>
    </w:p>
    <w:p w14:paraId="28717310">
      <w:pPr>
        <w:pStyle w:val="4"/>
        <w:jc w:val="center"/>
        <w:rPr>
          <w:b w:val="0"/>
          <w:bCs w:val="0"/>
          <w:sz w:val="24"/>
          <w:szCs w:val="24"/>
        </w:rPr>
      </w:pPr>
      <w:r>
        <w:rPr>
          <w:rFonts w:hint="eastAsia"/>
          <w:b w:val="0"/>
          <w:bCs w:val="0"/>
          <w:sz w:val="24"/>
          <w:szCs w:val="24"/>
        </w:rPr>
        <w:t>（一）履约保证金</w:t>
      </w:r>
    </w:p>
    <w:p w14:paraId="0AF2CEC4">
      <w:pPr>
        <w:pStyle w:val="7"/>
        <w:spacing w:before="60" w:beforeLines="25" w:after="60" w:afterLines="25" w:line="360" w:lineRule="exact"/>
        <w:ind w:firstLine="392" w:firstLineChars="187"/>
        <w:rPr>
          <w:rFonts w:ascii="宋体" w:hAnsi="宋体"/>
          <w:color w:val="000000"/>
          <w:szCs w:val="21"/>
        </w:rPr>
      </w:pPr>
      <w:r>
        <w:rPr>
          <w:rFonts w:hint="eastAsia" w:ascii="宋体" w:hAnsi="宋体"/>
          <w:color w:val="000000"/>
          <w:szCs w:val="21"/>
        </w:rPr>
        <w:t>本项目无需提供履约保证金。</w:t>
      </w:r>
    </w:p>
    <w:p w14:paraId="68E04B17">
      <w:pPr>
        <w:pStyle w:val="4"/>
        <w:spacing w:line="400" w:lineRule="exact"/>
        <w:jc w:val="center"/>
        <w:rPr>
          <w:b w:val="0"/>
          <w:bCs w:val="0"/>
          <w:sz w:val="24"/>
          <w:szCs w:val="24"/>
        </w:rPr>
      </w:pPr>
      <w:bookmarkStart w:id="16" w:name="OLE_LINK9"/>
      <w:r>
        <w:rPr>
          <w:rFonts w:hint="eastAsia"/>
          <w:b w:val="0"/>
          <w:bCs w:val="0"/>
          <w:sz w:val="24"/>
          <w:szCs w:val="24"/>
        </w:rPr>
        <w:t>（二）投标报价构成</w:t>
      </w:r>
    </w:p>
    <w:bookmarkEnd w:id="16"/>
    <w:p w14:paraId="32AE99A0">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34ADC700">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2、投标人应充分了解项目的位置、情况、道路及任何其它足以影响投标报价的情况，任何因忽视或误解项目情况而导致的索赔或服务期限延长申请将不获批准。</w:t>
      </w:r>
    </w:p>
    <w:p w14:paraId="66F1A2D8">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14:paraId="741B9437">
      <w:pPr>
        <w:widowControl/>
        <w:spacing w:line="360" w:lineRule="exact"/>
        <w:ind w:firstLine="420" w:firstLineChars="200"/>
        <w:jc w:val="left"/>
        <w:rPr>
          <w:rFonts w:hint="eastAsia" w:ascii="宋体" w:hAnsi="宋体" w:eastAsiaTheme="minorEastAsia" w:cstheme="minorBidi"/>
          <w:color w:val="000000"/>
          <w:szCs w:val="21"/>
        </w:rPr>
      </w:pPr>
      <w:r>
        <w:rPr>
          <w:rFonts w:hint="eastAsia" w:ascii="宋体" w:hAnsi="宋体" w:eastAsiaTheme="minorEastAsia" w:cstheme="minorBidi"/>
          <w:color w:val="000000"/>
          <w:szCs w:val="21"/>
        </w:rPr>
        <w:t>4、除政府采购合同继续履行将损害国家利益和社会公共利益外，双方当事人不得擅自变更、中止或者终止合同。</w:t>
      </w:r>
    </w:p>
    <w:p w14:paraId="593C5E2D">
      <w:pPr>
        <w:pStyle w:val="4"/>
        <w:spacing w:line="400" w:lineRule="exact"/>
        <w:jc w:val="center"/>
        <w:rPr>
          <w:rFonts w:hint="default" w:eastAsia="黑体"/>
          <w:b w:val="0"/>
          <w:bCs w:val="0"/>
          <w:sz w:val="24"/>
          <w:szCs w:val="24"/>
          <w:lang w:val="en-US" w:eastAsia="zh-CN"/>
        </w:rPr>
      </w:pPr>
      <w:bookmarkStart w:id="17" w:name="OLE_LINK37"/>
      <w:r>
        <w:rPr>
          <w:rFonts w:hint="eastAsia"/>
          <w:b w:val="0"/>
          <w:bCs w:val="0"/>
          <w:sz w:val="24"/>
          <w:szCs w:val="24"/>
        </w:rPr>
        <w:t>（</w:t>
      </w:r>
      <w:r>
        <w:rPr>
          <w:rFonts w:hint="eastAsia"/>
          <w:b w:val="0"/>
          <w:bCs w:val="0"/>
          <w:sz w:val="24"/>
          <w:szCs w:val="24"/>
          <w:lang w:val="en-US" w:eastAsia="zh-CN"/>
        </w:rPr>
        <w:t>三</w:t>
      </w:r>
      <w:r>
        <w:rPr>
          <w:rFonts w:hint="eastAsia"/>
          <w:b w:val="0"/>
          <w:bCs w:val="0"/>
          <w:sz w:val="24"/>
          <w:szCs w:val="24"/>
        </w:rPr>
        <w:t>）</w:t>
      </w:r>
      <w:r>
        <w:rPr>
          <w:rFonts w:hint="eastAsia"/>
          <w:b w:val="0"/>
          <w:bCs w:val="0"/>
          <w:sz w:val="24"/>
          <w:szCs w:val="24"/>
          <w:lang w:val="en-US" w:eastAsia="zh-CN"/>
        </w:rPr>
        <w:t>其他重要条款</w:t>
      </w:r>
    </w:p>
    <w:p w14:paraId="1B43B77F">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lang w:val="en-US" w:eastAsia="zh-CN"/>
        </w:rPr>
        <w:t>1</w:t>
      </w:r>
      <w:r>
        <w:rPr>
          <w:rFonts w:hint="eastAsia" w:ascii="宋体" w:hAnsi="宋体" w:eastAsiaTheme="minorEastAsia" w:cstheme="minorBidi"/>
          <w:color w:val="000000"/>
          <w:szCs w:val="21"/>
        </w:rPr>
        <w:t>、“信用中国”中“信用服务”栏的“重大税收违法失信主体”“失信被执行人”，“中国政府采购网”中的“政府采购严重违法失信行为记录名单”，“深圳市政府采购监管网”以及财政部门认可的“供应商诚信档案库”为供应商信用信息的查询渠道，相关信息以开标当日的查询结果为准</w:t>
      </w:r>
      <w:r>
        <w:rPr>
          <w:rFonts w:hint="eastAsia" w:ascii="宋体" w:hAnsi="宋体"/>
        </w:rPr>
        <w:t>；</w:t>
      </w:r>
      <w:r>
        <w:rPr>
          <w:rFonts w:hint="eastAsia" w:ascii="宋体" w:hAnsi="宋体" w:eastAsiaTheme="minorEastAsia" w:cstheme="minorBidi"/>
          <w:color w:val="000000"/>
          <w:szCs w:val="21"/>
        </w:rPr>
        <w:t>如开标当日网站出现网站无法打开的特殊情况，相关信息则以中标通知书发出前的查询结果为准。</w:t>
      </w:r>
    </w:p>
    <w:p w14:paraId="4DFAD787">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lang w:val="en-US" w:eastAsia="zh-CN"/>
        </w:rPr>
        <w:t>2</w:t>
      </w:r>
      <w:r>
        <w:rPr>
          <w:rFonts w:hint="eastAsia" w:ascii="宋体" w:hAnsi="宋体" w:eastAsiaTheme="minorEastAsia" w:cstheme="minorBidi"/>
          <w:color w:val="000000"/>
          <w:szCs w:val="21"/>
        </w:rPr>
        <w:t>、供应商提供报价合理性、澄清、说明、补正或者错误的修正的方式，包括但不限于现场提交（地址：深圳市罗湖区深南东路1076号党群服务中心4楼）、电邮提交（邮箱：szexlhfgs@szexgrp.com）等便捷方式。</w:t>
      </w:r>
    </w:p>
    <w:bookmarkEnd w:id="17"/>
    <w:p w14:paraId="3AA491C3">
      <w:pPr>
        <w:widowControl/>
        <w:spacing w:line="360" w:lineRule="exact"/>
        <w:ind w:firstLine="482" w:firstLineChars="200"/>
        <w:jc w:val="left"/>
        <w:rPr>
          <w:rFonts w:ascii="黑体" w:hAnsi="宋体" w:eastAsia="黑体" w:cs="宋体"/>
          <w:kern w:val="0"/>
          <w:sz w:val="24"/>
          <w:szCs w:val="32"/>
        </w:rPr>
      </w:pPr>
      <w:r>
        <w:rPr>
          <w:rFonts w:ascii="黑体" w:eastAsia="黑体"/>
          <w:b/>
          <w:kern w:val="0"/>
          <w:sz w:val="24"/>
        </w:rPr>
        <w:br w:type="page"/>
      </w:r>
    </w:p>
    <w:p w14:paraId="0650A52F">
      <w:pPr>
        <w:pStyle w:val="3"/>
        <w:jc w:val="center"/>
        <w:rPr>
          <w:rFonts w:ascii="黑体" w:eastAsia="黑体"/>
          <w:b w:val="0"/>
          <w:kern w:val="0"/>
          <w:sz w:val="24"/>
        </w:rPr>
      </w:pPr>
      <w:r>
        <w:rPr>
          <w:rFonts w:hint="eastAsia" w:ascii="黑体" w:eastAsia="黑体"/>
          <w:b w:val="0"/>
          <w:kern w:val="0"/>
          <w:sz w:val="24"/>
        </w:rPr>
        <w:t>四、投标文件组成</w:t>
      </w:r>
    </w:p>
    <w:p w14:paraId="347DB9D9">
      <w:pPr>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0A1E6052">
      <w:pPr>
        <w:ind w:firstLine="422" w:firstLineChars="200"/>
        <w:rPr>
          <w:b/>
          <w:color w:val="FF0000"/>
          <w:highlight w:val="yellow"/>
        </w:rPr>
      </w:pPr>
    </w:p>
    <w:p w14:paraId="27C2091F">
      <w:pPr>
        <w:ind w:firstLine="422" w:firstLineChars="200"/>
        <w:rPr>
          <w:b/>
          <w:color w:val="FF0000"/>
        </w:rPr>
      </w:pPr>
      <w:r>
        <w:rPr>
          <w:rFonts w:hint="eastAsia"/>
          <w:b/>
          <w:color w:val="FF0000"/>
          <w:highlight w:val="yellow"/>
        </w:rPr>
        <w:t>重要提醒：投标供应商在编辑投标文件时，在投标文件目录中属于本节点内容的必须在本节点中填写，填写到其他节点将可能导致投标无效，一切后果由供应商自行承担。</w:t>
      </w:r>
    </w:p>
    <w:p w14:paraId="5743886F">
      <w:pPr>
        <w:spacing w:line="320" w:lineRule="exact"/>
        <w:ind w:firstLine="422" w:firstLineChars="200"/>
        <w:rPr>
          <w:rFonts w:ascii="宋体" w:hAnsi="宋体"/>
          <w:b/>
          <w:snapToGrid w:val="0"/>
          <w:color w:val="FF0000"/>
          <w:kern w:val="0"/>
          <w:highlight w:val="yellow"/>
        </w:rPr>
      </w:pPr>
    </w:p>
    <w:p w14:paraId="57865ADA">
      <w:pPr>
        <w:spacing w:line="400" w:lineRule="exact"/>
        <w:ind w:firstLine="420" w:firstLineChars="200"/>
        <w:rPr>
          <w:rFonts w:ascii="宋体" w:hAnsi="宋体"/>
          <w:color w:val="000000"/>
          <w:szCs w:val="21"/>
        </w:rPr>
      </w:pPr>
      <w:r>
        <w:rPr>
          <w:rFonts w:hint="eastAsia" w:ascii="宋体" w:hAnsi="宋体"/>
          <w:color w:val="000000"/>
          <w:szCs w:val="21"/>
        </w:rPr>
        <w:t>投标供应商编写的投标文件应包括下列部分：</w:t>
      </w:r>
    </w:p>
    <w:p w14:paraId="108165BA">
      <w:pPr>
        <w:spacing w:line="400" w:lineRule="exact"/>
        <w:ind w:firstLine="843" w:firstLineChars="400"/>
        <w:rPr>
          <w:rFonts w:ascii="宋体" w:hAnsi="宋体"/>
          <w:b/>
          <w:color w:val="000000"/>
          <w:szCs w:val="21"/>
        </w:rPr>
      </w:pPr>
      <w:r>
        <w:rPr>
          <w:rFonts w:hint="eastAsia" w:ascii="宋体" w:hAnsi="宋体"/>
          <w:b/>
          <w:color w:val="000000"/>
          <w:szCs w:val="21"/>
        </w:rPr>
        <w:t>一、关键信息</w:t>
      </w:r>
    </w:p>
    <w:p w14:paraId="68359DCA">
      <w:pPr>
        <w:spacing w:line="400" w:lineRule="exact"/>
        <w:ind w:firstLine="840" w:firstLineChars="400"/>
        <w:rPr>
          <w:rFonts w:ascii="宋体" w:hAnsi="宋体"/>
          <w:color w:val="000000"/>
          <w:szCs w:val="21"/>
        </w:rPr>
      </w:pPr>
      <w:r>
        <w:rPr>
          <w:rFonts w:hint="eastAsia" w:ascii="宋体" w:hAnsi="宋体"/>
          <w:color w:val="000000"/>
          <w:szCs w:val="21"/>
        </w:rPr>
        <w:t>（1）开标一览表</w:t>
      </w:r>
    </w:p>
    <w:p w14:paraId="4509ED45">
      <w:pPr>
        <w:spacing w:line="400" w:lineRule="exact"/>
        <w:ind w:firstLine="840" w:firstLineChars="400"/>
        <w:rPr>
          <w:rFonts w:ascii="宋体" w:hAnsi="宋体"/>
          <w:color w:val="000000"/>
          <w:szCs w:val="21"/>
        </w:rPr>
      </w:pPr>
      <w:r>
        <w:rPr>
          <w:rFonts w:hint="eastAsia" w:ascii="宋体" w:hAnsi="宋体"/>
          <w:color w:val="000000"/>
          <w:szCs w:val="21"/>
        </w:rPr>
        <w:t>（2）政府采购投标及履约承诺函</w:t>
      </w:r>
    </w:p>
    <w:p w14:paraId="16A764C4">
      <w:pPr>
        <w:spacing w:line="400" w:lineRule="exact"/>
        <w:ind w:firstLine="840" w:firstLineChars="400"/>
        <w:rPr>
          <w:rFonts w:ascii="宋体" w:hAnsi="宋体"/>
          <w:color w:val="000000"/>
          <w:szCs w:val="21"/>
        </w:rPr>
      </w:pPr>
      <w:r>
        <w:rPr>
          <w:rFonts w:hint="eastAsia" w:ascii="宋体" w:hAnsi="宋体"/>
          <w:color w:val="000000"/>
          <w:szCs w:val="21"/>
        </w:rPr>
        <w:t>（3）供应商资格证明文件</w:t>
      </w:r>
    </w:p>
    <w:p w14:paraId="2282A0BA">
      <w:pPr>
        <w:spacing w:line="400" w:lineRule="exact"/>
        <w:ind w:firstLine="840" w:firstLineChars="400"/>
        <w:rPr>
          <w:rFonts w:ascii="宋体" w:hAnsi="宋体"/>
          <w:color w:val="000000"/>
          <w:szCs w:val="21"/>
        </w:rPr>
      </w:pPr>
      <w:r>
        <w:rPr>
          <w:rFonts w:hint="eastAsia" w:ascii="宋体" w:hAnsi="宋体"/>
          <w:color w:val="000000"/>
          <w:szCs w:val="21"/>
        </w:rPr>
        <w:t>（4）实质性服务条款（以★号标注）证明文件（如有）</w:t>
      </w:r>
    </w:p>
    <w:p w14:paraId="0D90BD53">
      <w:pPr>
        <w:spacing w:line="400" w:lineRule="exact"/>
        <w:ind w:firstLine="840" w:firstLineChars="400"/>
        <w:rPr>
          <w:rFonts w:ascii="宋体" w:hAnsi="宋体"/>
          <w:color w:val="000000"/>
          <w:szCs w:val="21"/>
        </w:rPr>
      </w:pPr>
      <w:r>
        <w:rPr>
          <w:rFonts w:hint="eastAsia" w:ascii="宋体" w:hAnsi="宋体"/>
          <w:color w:val="000000"/>
          <w:szCs w:val="21"/>
        </w:rPr>
        <w:t>（5）法定代表人（负责人）资格证明书</w:t>
      </w:r>
    </w:p>
    <w:p w14:paraId="1C3495C1">
      <w:pPr>
        <w:spacing w:line="400" w:lineRule="exact"/>
        <w:ind w:firstLine="840" w:firstLineChars="400"/>
        <w:rPr>
          <w:rFonts w:ascii="宋体" w:hAnsi="宋体"/>
          <w:color w:val="000000"/>
          <w:szCs w:val="21"/>
        </w:rPr>
      </w:pPr>
      <w:r>
        <w:rPr>
          <w:rFonts w:hint="eastAsia" w:ascii="宋体" w:hAnsi="宋体"/>
          <w:color w:val="000000"/>
          <w:szCs w:val="21"/>
        </w:rPr>
        <w:t>（6）投标文件签署授权委托书</w:t>
      </w:r>
    </w:p>
    <w:p w14:paraId="05AE6759">
      <w:pPr>
        <w:spacing w:line="400" w:lineRule="exact"/>
        <w:ind w:firstLine="840" w:firstLineChars="400"/>
        <w:rPr>
          <w:rFonts w:ascii="宋体" w:hAnsi="宋体"/>
          <w:color w:val="000000"/>
          <w:szCs w:val="21"/>
        </w:rPr>
      </w:pPr>
      <w:r>
        <w:rPr>
          <w:rFonts w:hint="eastAsia" w:ascii="宋体" w:hAnsi="宋体"/>
          <w:color w:val="000000"/>
          <w:szCs w:val="21"/>
        </w:rPr>
        <w:t>（7）分项报价清单</w:t>
      </w:r>
    </w:p>
    <w:p w14:paraId="4A89D3D1">
      <w:pPr>
        <w:spacing w:line="400" w:lineRule="exact"/>
        <w:ind w:firstLine="843" w:firstLineChars="400"/>
        <w:rPr>
          <w:rFonts w:ascii="宋体" w:hAnsi="宋体"/>
          <w:b/>
          <w:color w:val="000000"/>
          <w:szCs w:val="21"/>
        </w:rPr>
      </w:pPr>
      <w:r>
        <w:rPr>
          <w:rFonts w:hint="eastAsia" w:ascii="宋体" w:hAnsi="宋体"/>
          <w:b/>
          <w:color w:val="000000"/>
          <w:szCs w:val="21"/>
        </w:rPr>
        <w:t>二、技术服务部分</w:t>
      </w:r>
    </w:p>
    <w:p w14:paraId="6CF93000">
      <w:pPr>
        <w:spacing w:line="400" w:lineRule="exact"/>
        <w:ind w:firstLine="840" w:firstLineChars="400"/>
        <w:rPr>
          <w:rFonts w:ascii="宋体" w:hAnsi="宋体"/>
          <w:color w:val="000000"/>
          <w:szCs w:val="21"/>
        </w:rPr>
      </w:pPr>
      <w:r>
        <w:rPr>
          <w:rFonts w:hint="eastAsia" w:ascii="宋体" w:hAnsi="宋体"/>
          <w:color w:val="000000"/>
          <w:szCs w:val="21"/>
        </w:rPr>
        <w:t>（1）</w:t>
      </w:r>
      <w:r>
        <w:rPr>
          <w:rFonts w:hint="eastAsia" w:ascii="宋体" w:hAnsi="宋体"/>
          <w:color w:val="auto"/>
        </w:rPr>
        <w:t>项目服务方案</w:t>
      </w:r>
    </w:p>
    <w:p w14:paraId="5F7B8A90">
      <w:pPr>
        <w:spacing w:line="400" w:lineRule="exact"/>
        <w:ind w:firstLine="840" w:firstLineChars="400"/>
        <w:rPr>
          <w:rFonts w:ascii="宋体" w:hAnsi="宋体"/>
          <w:color w:val="000000"/>
          <w:szCs w:val="21"/>
        </w:rPr>
      </w:pPr>
      <w:r>
        <w:rPr>
          <w:rFonts w:hint="eastAsia" w:ascii="宋体" w:hAnsi="宋体"/>
          <w:color w:val="000000"/>
          <w:szCs w:val="21"/>
        </w:rPr>
        <w:t>（2）</w:t>
      </w:r>
      <w:r>
        <w:rPr>
          <w:rFonts w:hint="eastAsia" w:ascii="宋体" w:hAnsi="宋体"/>
          <w:color w:val="auto"/>
        </w:rPr>
        <w:t>质量保障措施及方案</w:t>
      </w:r>
    </w:p>
    <w:p w14:paraId="3EAF3548">
      <w:pPr>
        <w:spacing w:line="400" w:lineRule="exact"/>
        <w:ind w:firstLine="840" w:firstLineChars="400"/>
        <w:rPr>
          <w:rFonts w:ascii="宋体" w:hAnsi="宋体"/>
          <w:color w:val="000000"/>
          <w:szCs w:val="21"/>
        </w:rPr>
      </w:pPr>
      <w:r>
        <w:rPr>
          <w:rFonts w:hint="eastAsia" w:ascii="宋体" w:hAnsi="宋体"/>
          <w:color w:val="000000"/>
          <w:szCs w:val="21"/>
        </w:rPr>
        <w:t>（3）</w:t>
      </w:r>
      <w:r>
        <w:rPr>
          <w:rFonts w:hint="eastAsia" w:cs="宋体" w:asciiTheme="minorHAnsi" w:hAnsiTheme="minorHAnsi"/>
          <w:szCs w:val="22"/>
        </w:rPr>
        <w:t>项目重点难点分析、应对措施及相关的合理化建议</w:t>
      </w:r>
    </w:p>
    <w:p w14:paraId="351778DB">
      <w:pPr>
        <w:spacing w:line="400" w:lineRule="exact"/>
        <w:ind w:firstLine="840" w:firstLineChars="400"/>
        <w:rPr>
          <w:rFonts w:hint="eastAsia" w:ascii="宋体" w:hAnsi="宋体"/>
          <w:color w:val="000000"/>
          <w:szCs w:val="21"/>
        </w:rPr>
      </w:pPr>
      <w:r>
        <w:rPr>
          <w:rFonts w:hint="eastAsia" w:ascii="宋体" w:hAnsi="宋体"/>
          <w:color w:val="000000"/>
          <w:szCs w:val="21"/>
        </w:rPr>
        <w:t>（4）拟安排的项目负责人情况（仅限一人）</w:t>
      </w:r>
    </w:p>
    <w:p w14:paraId="714E8EA6">
      <w:pPr>
        <w:spacing w:line="400" w:lineRule="exact"/>
        <w:ind w:firstLine="840" w:firstLineChars="400"/>
        <w:rPr>
          <w:rFonts w:hint="eastAsia" w:ascii="宋体" w:hAnsi="宋体"/>
          <w:color w:val="000000"/>
          <w:szCs w:val="21"/>
          <w:lang w:val="en-US" w:eastAsia="zh-CN"/>
        </w:rPr>
      </w:pPr>
      <w:r>
        <w:rPr>
          <w:rFonts w:hint="eastAsia" w:ascii="宋体" w:hAnsi="宋体"/>
          <w:color w:val="000000"/>
          <w:szCs w:val="21"/>
        </w:rPr>
        <w:t>（</w:t>
      </w:r>
      <w:r>
        <w:rPr>
          <w:rFonts w:hint="eastAsia" w:ascii="宋体" w:hAnsi="宋体"/>
          <w:color w:val="000000"/>
          <w:szCs w:val="21"/>
          <w:lang w:val="en-US" w:eastAsia="zh-CN"/>
        </w:rPr>
        <w:t>5</w:t>
      </w:r>
      <w:r>
        <w:rPr>
          <w:rFonts w:hint="eastAsia" w:ascii="宋体" w:hAnsi="宋体"/>
          <w:color w:val="000000"/>
          <w:szCs w:val="21"/>
        </w:rPr>
        <w:t>）</w:t>
      </w:r>
      <w:r>
        <w:rPr>
          <w:rFonts w:hint="eastAsia" w:ascii="宋体" w:hAnsi="宋体" w:eastAsia="宋体" w:cs="宋体"/>
          <w:sz w:val="21"/>
          <w:szCs w:val="21"/>
        </w:rPr>
        <w:t>拟安排的项目团队成员（项目负责人除外）</w:t>
      </w:r>
    </w:p>
    <w:p w14:paraId="515D2DCB">
      <w:pPr>
        <w:spacing w:line="400" w:lineRule="exact"/>
        <w:ind w:firstLine="840" w:firstLineChars="400"/>
        <w:rPr>
          <w:rFonts w:hint="eastAsia"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6</w:t>
      </w:r>
      <w:r>
        <w:rPr>
          <w:rFonts w:hint="eastAsia" w:ascii="宋体" w:hAnsi="宋体"/>
          <w:color w:val="000000"/>
          <w:szCs w:val="21"/>
        </w:rPr>
        <w:t>）</w:t>
      </w:r>
      <w:r>
        <w:rPr>
          <w:rFonts w:hint="eastAsia" w:ascii="宋体" w:hAnsi="宋体" w:eastAsia="宋体" w:cs="宋体"/>
          <w:sz w:val="21"/>
          <w:szCs w:val="21"/>
        </w:rPr>
        <w:t>项目完成（服务期满）后的服务承诺</w:t>
      </w:r>
    </w:p>
    <w:p w14:paraId="0B21CABB">
      <w:pPr>
        <w:spacing w:line="400" w:lineRule="exact"/>
        <w:ind w:firstLine="840" w:firstLineChars="400"/>
        <w:rPr>
          <w:rFonts w:hint="eastAsia"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7</w:t>
      </w:r>
      <w:r>
        <w:rPr>
          <w:rFonts w:hint="eastAsia" w:ascii="宋体" w:hAnsi="宋体"/>
          <w:color w:val="000000"/>
          <w:szCs w:val="21"/>
        </w:rPr>
        <w:t>）投标人同类项目业绩情况</w:t>
      </w:r>
    </w:p>
    <w:p w14:paraId="4D211A6B">
      <w:pPr>
        <w:spacing w:line="400" w:lineRule="exact"/>
        <w:ind w:firstLine="843" w:firstLineChars="400"/>
        <w:rPr>
          <w:rFonts w:ascii="宋体" w:hAnsi="宋体"/>
          <w:b/>
          <w:color w:val="000000"/>
          <w:szCs w:val="21"/>
        </w:rPr>
      </w:pPr>
      <w:r>
        <w:rPr>
          <w:rFonts w:hint="eastAsia" w:ascii="宋体" w:hAnsi="宋体"/>
          <w:b/>
          <w:color w:val="000000"/>
          <w:szCs w:val="21"/>
        </w:rPr>
        <w:t>三、综合实力部分</w:t>
      </w:r>
    </w:p>
    <w:p w14:paraId="6BCA27D9">
      <w:pPr>
        <w:spacing w:line="400" w:lineRule="exact"/>
        <w:ind w:firstLine="840" w:firstLineChars="400"/>
        <w:rPr>
          <w:rFonts w:hint="eastAsia" w:ascii="宋体" w:hAnsi="宋体"/>
          <w:szCs w:val="21"/>
        </w:rPr>
      </w:pPr>
      <w:r>
        <w:rPr>
          <w:rFonts w:hint="eastAsia" w:ascii="宋体" w:hAnsi="宋体"/>
          <w:color w:val="000000"/>
          <w:szCs w:val="21"/>
        </w:rPr>
        <w:t>（1）</w:t>
      </w:r>
      <w:r>
        <w:rPr>
          <w:rFonts w:hint="eastAsia" w:ascii="宋体" w:hAnsi="宋体"/>
          <w:szCs w:val="21"/>
        </w:rPr>
        <w:t>体系认证</w:t>
      </w:r>
    </w:p>
    <w:p w14:paraId="7C806DF3">
      <w:pPr>
        <w:spacing w:line="400" w:lineRule="exact"/>
        <w:ind w:firstLine="840" w:firstLineChars="400"/>
        <w:rPr>
          <w:rFonts w:ascii="宋体" w:hAnsi="宋体"/>
          <w:szCs w:val="21"/>
        </w:rPr>
      </w:pPr>
      <w:r>
        <w:rPr>
          <w:rFonts w:hint="eastAsia" w:ascii="宋体" w:hAnsi="宋体"/>
          <w:color w:val="000000"/>
          <w:szCs w:val="21"/>
        </w:rPr>
        <w:t>（2）便利化服务</w:t>
      </w:r>
    </w:p>
    <w:p w14:paraId="781056F1">
      <w:pPr>
        <w:spacing w:line="400" w:lineRule="exact"/>
        <w:ind w:firstLine="840" w:firstLineChars="400"/>
        <w:rPr>
          <w:rFonts w:ascii="宋体" w:hAnsi="宋体"/>
          <w:szCs w:val="21"/>
        </w:rPr>
      </w:pPr>
      <w:r>
        <w:rPr>
          <w:rFonts w:hint="eastAsia" w:ascii="宋体" w:hAnsi="宋体"/>
          <w:color w:val="000000"/>
          <w:szCs w:val="21"/>
        </w:rPr>
        <w:t>（3）</w:t>
      </w:r>
      <w:r>
        <w:rPr>
          <w:rFonts w:hint="eastAsia" w:ascii="宋体" w:hAnsi="宋体" w:eastAsia="宋体" w:cs="宋体"/>
          <w:b w:val="0"/>
          <w:bCs/>
          <w:sz w:val="21"/>
          <w:szCs w:val="21"/>
          <w:lang w:val="en-US" w:eastAsia="zh-CN"/>
        </w:rPr>
        <w:t>公共（众）责任险</w:t>
      </w:r>
    </w:p>
    <w:p w14:paraId="67F1F905">
      <w:pPr>
        <w:spacing w:line="400" w:lineRule="exact"/>
        <w:ind w:firstLine="840" w:firstLineChars="400"/>
        <w:rPr>
          <w:rFonts w:hint="eastAsia" w:ascii="宋体" w:hAnsi="宋体" w:eastAsia="宋体" w:cs="宋体"/>
          <w:b w:val="0"/>
          <w:bCs/>
          <w:sz w:val="21"/>
          <w:szCs w:val="21"/>
          <w:lang w:val="en-US" w:eastAsia="zh-CN"/>
        </w:rPr>
      </w:pPr>
      <w:r>
        <w:rPr>
          <w:rFonts w:hint="eastAsia" w:ascii="宋体" w:hAnsi="宋体"/>
          <w:color w:val="000000"/>
          <w:szCs w:val="21"/>
          <w:lang w:val="en-US" w:eastAsia="zh-CN"/>
        </w:rPr>
        <w:t>（4）</w:t>
      </w:r>
      <w:r>
        <w:rPr>
          <w:rFonts w:hint="eastAsia" w:ascii="宋体" w:hAnsi="宋体" w:eastAsia="宋体" w:cs="宋体"/>
          <w:b w:val="0"/>
          <w:bCs/>
          <w:sz w:val="21"/>
          <w:szCs w:val="21"/>
          <w:lang w:val="en-US" w:eastAsia="zh-CN"/>
        </w:rPr>
        <w:t>信息化管理</w:t>
      </w:r>
    </w:p>
    <w:p w14:paraId="0B0E1388">
      <w:pPr>
        <w:spacing w:line="400" w:lineRule="exact"/>
        <w:ind w:firstLine="840" w:firstLineChars="400"/>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（5）</w:t>
      </w:r>
      <w:r>
        <w:rPr>
          <w:rFonts w:hint="eastAsia" w:ascii="宋体" w:hAnsi="宋体" w:eastAsia="宋体" w:cs="宋体"/>
          <w:b w:val="0"/>
          <w:bCs/>
          <w:sz w:val="21"/>
          <w:szCs w:val="21"/>
          <w:highlight w:val="none"/>
        </w:rPr>
        <w:t>安全</w:t>
      </w:r>
      <w:r>
        <w:rPr>
          <w:rFonts w:hint="eastAsia" w:ascii="宋体" w:hAnsi="宋体" w:eastAsia="宋体" w:cs="宋体"/>
          <w:b w:val="0"/>
          <w:bCs/>
          <w:sz w:val="21"/>
          <w:szCs w:val="21"/>
          <w:highlight w:val="none"/>
          <w:lang w:val="en-US" w:eastAsia="zh-CN"/>
        </w:rPr>
        <w:t>检测</w:t>
      </w:r>
    </w:p>
    <w:p w14:paraId="3DE9746F">
      <w:pPr>
        <w:spacing w:line="400" w:lineRule="exact"/>
        <w:ind w:firstLine="843" w:firstLineChars="400"/>
        <w:rPr>
          <w:rFonts w:ascii="宋体" w:hAnsi="宋体"/>
          <w:b/>
          <w:color w:val="000000"/>
          <w:szCs w:val="21"/>
        </w:rPr>
      </w:pPr>
      <w:r>
        <w:rPr>
          <w:rFonts w:hint="eastAsia" w:ascii="宋体" w:hAnsi="宋体"/>
          <w:b/>
          <w:color w:val="000000"/>
          <w:szCs w:val="21"/>
        </w:rPr>
        <w:t>四、招标</w:t>
      </w:r>
      <w:r>
        <w:rPr>
          <w:rFonts w:ascii="宋体" w:hAnsi="宋体"/>
          <w:b/>
          <w:color w:val="000000"/>
          <w:szCs w:val="21"/>
        </w:rPr>
        <w:t>文件要求的其它内容及投标</w:t>
      </w:r>
      <w:r>
        <w:rPr>
          <w:rFonts w:hint="eastAsia" w:ascii="宋体" w:hAnsi="宋体"/>
          <w:b/>
          <w:color w:val="000000"/>
          <w:szCs w:val="21"/>
        </w:rPr>
        <w:t>供应商</w:t>
      </w:r>
      <w:r>
        <w:rPr>
          <w:rFonts w:ascii="宋体" w:hAnsi="宋体"/>
          <w:b/>
          <w:color w:val="000000"/>
          <w:szCs w:val="21"/>
        </w:rPr>
        <w:t>认为需要补充的内容</w:t>
      </w:r>
    </w:p>
    <w:p w14:paraId="29CAB675">
      <w:pPr>
        <w:spacing w:line="400" w:lineRule="exact"/>
        <w:ind w:firstLine="840" w:firstLineChars="400"/>
        <w:rPr>
          <w:rFonts w:ascii="宋体" w:hAnsi="宋体"/>
          <w:color w:val="000000"/>
          <w:szCs w:val="21"/>
        </w:rPr>
      </w:pPr>
      <w:r>
        <w:rPr>
          <w:rFonts w:hint="eastAsia" w:ascii="宋体" w:hAnsi="宋体"/>
          <w:color w:val="000000"/>
          <w:szCs w:val="21"/>
        </w:rPr>
        <w:t>（1）政府采购违法行为风险知悉确认书</w:t>
      </w:r>
    </w:p>
    <w:p w14:paraId="132C5117">
      <w:pPr>
        <w:rPr>
          <w:rFonts w:ascii="宋体" w:hAnsi="宋体"/>
          <w:color w:val="000000"/>
          <w:szCs w:val="21"/>
        </w:rPr>
      </w:pPr>
    </w:p>
    <w:p w14:paraId="12AE256F">
      <w:pPr>
        <w:rPr>
          <w:rFonts w:hint="eastAsia"/>
        </w:rPr>
      </w:pPr>
      <w:r>
        <w:rPr>
          <w:rFonts w:hint="eastAsia"/>
        </w:rPr>
        <w:br w:type="page"/>
      </w:r>
    </w:p>
    <w:p w14:paraId="255BECFB">
      <w:pPr>
        <w:pStyle w:val="2"/>
        <w:rPr>
          <w:sz w:val="24"/>
        </w:rPr>
      </w:pPr>
      <w:r>
        <w:rPr>
          <w:rFonts w:hint="eastAsia"/>
        </w:rPr>
        <w:t xml:space="preserve">第二册  </w:t>
      </w:r>
      <w:r>
        <w:rPr>
          <w:rFonts w:hint="eastAsia"/>
          <w:kern w:val="2"/>
        </w:rPr>
        <w:t>投标文件的格式及合同</w:t>
      </w:r>
    </w:p>
    <w:p w14:paraId="255848B6">
      <w:pPr>
        <w:pStyle w:val="5"/>
        <w:rPr>
          <w:b w:val="0"/>
          <w:color w:val="000000"/>
        </w:rPr>
      </w:pPr>
      <w:bookmarkStart w:id="18" w:name="bt投标书"/>
      <w:bookmarkEnd w:id="18"/>
      <w:bookmarkStart w:id="19" w:name="bt附件"/>
      <w:bookmarkEnd w:id="19"/>
      <w:bookmarkStart w:id="20" w:name="_Toc194467285"/>
      <w:r>
        <w:rPr>
          <w:rFonts w:hint="eastAsia"/>
          <w:kern w:val="2"/>
        </w:rPr>
        <w:t>第一章  投标文件的格式</w:t>
      </w:r>
      <w:bookmarkEnd w:id="20"/>
    </w:p>
    <w:p w14:paraId="19F9C7C9">
      <w:pPr>
        <w:spacing w:line="360" w:lineRule="exact"/>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6560002D">
      <w:pPr>
        <w:spacing w:line="360" w:lineRule="exact"/>
        <w:rPr>
          <w:rFonts w:ascii="仿宋_GB2312" w:eastAsia="仿宋_GB2312"/>
          <w:color w:val="FF0000"/>
          <w:sz w:val="24"/>
        </w:rPr>
      </w:pPr>
    </w:p>
    <w:p w14:paraId="2F8C25B2">
      <w:pPr>
        <w:spacing w:line="360" w:lineRule="exact"/>
        <w:ind w:firstLine="422" w:firstLineChars="200"/>
        <w:rPr>
          <w:b/>
          <w:color w:val="FF0000"/>
          <w:szCs w:val="21"/>
        </w:rPr>
      </w:pPr>
      <w:r>
        <w:rPr>
          <w:rFonts w:hint="eastAsia"/>
          <w:b/>
          <w:color w:val="FF0000"/>
          <w:szCs w:val="21"/>
        </w:rPr>
        <w:t>温馨提示：</w:t>
      </w:r>
    </w:p>
    <w:p w14:paraId="6657614A">
      <w:pPr>
        <w:spacing w:line="360" w:lineRule="exact"/>
        <w:ind w:firstLine="422" w:firstLineChars="200"/>
        <w:rPr>
          <w:rFonts w:ascii="宋体" w:hAnsi="宋体"/>
          <w:color w:val="FF0000"/>
          <w:szCs w:val="21"/>
        </w:rPr>
      </w:pPr>
      <w:r>
        <w:rPr>
          <w:rFonts w:hint="eastAsia"/>
          <w:b/>
          <w:color w:val="FF0000"/>
          <w:szCs w:val="21"/>
        </w:rPr>
        <w:t>以下内容请供应商编写投标文件时重点关注，避免因格式问题出现失误，进而导致投标无效。以下内容属于常见失误情形：</w:t>
      </w:r>
    </w:p>
    <w:p w14:paraId="4ECAB17E">
      <w:pPr>
        <w:spacing w:line="360" w:lineRule="exact"/>
        <w:ind w:firstLine="480"/>
        <w:rPr>
          <w:rFonts w:ascii="宋体" w:hAnsi="宋体"/>
          <w:color w:val="000000"/>
          <w:szCs w:val="21"/>
        </w:rPr>
      </w:pPr>
      <w:r>
        <w:rPr>
          <w:rFonts w:hint="eastAsia" w:ascii="宋体" w:hAnsi="宋体"/>
          <w:color w:val="000000"/>
          <w:szCs w:val="21"/>
        </w:rPr>
        <w:t>1.《</w:t>
      </w:r>
      <w:bookmarkStart w:id="21" w:name="OLE_LINK28"/>
      <w:r>
        <w:rPr>
          <w:rFonts w:hint="eastAsia" w:ascii="宋体" w:hAnsi="宋体"/>
          <w:color w:val="000000"/>
          <w:szCs w:val="21"/>
          <w:lang w:eastAsia="zh-CN"/>
        </w:rPr>
        <w:t>政府采购投标及履约承诺函</w:t>
      </w:r>
      <w:bookmarkEnd w:id="21"/>
      <w:r>
        <w:rPr>
          <w:rFonts w:hint="eastAsia" w:ascii="宋体" w:hAnsi="宋体"/>
          <w:color w:val="000000"/>
          <w:szCs w:val="21"/>
        </w:rPr>
        <w:t>》、《法定代表人（负责人）资格证明书》、《投标文件签署授权委托书》、《分项报价清单》未按照招标文件规定的样式及要求填写；</w:t>
      </w:r>
    </w:p>
    <w:p w14:paraId="3411CAB1">
      <w:pPr>
        <w:spacing w:line="360" w:lineRule="exact"/>
        <w:ind w:firstLine="480"/>
        <w:rPr>
          <w:rFonts w:ascii="宋体" w:hAnsi="宋体"/>
          <w:color w:val="000000"/>
          <w:szCs w:val="21"/>
        </w:rPr>
      </w:pPr>
      <w:r>
        <w:rPr>
          <w:rFonts w:hint="eastAsia" w:ascii="宋体" w:hAnsi="宋体"/>
          <w:color w:val="000000"/>
          <w:szCs w:val="21"/>
        </w:rPr>
        <w:t>2.《</w:t>
      </w:r>
      <w:r>
        <w:rPr>
          <w:rFonts w:hint="eastAsia" w:ascii="宋体" w:hAnsi="宋体"/>
          <w:color w:val="000000"/>
          <w:szCs w:val="21"/>
          <w:lang w:eastAsia="zh-CN"/>
        </w:rPr>
        <w:t>政府采购投标及履约承诺函</w:t>
      </w:r>
      <w:r>
        <w:rPr>
          <w:rFonts w:hint="eastAsia" w:ascii="宋体" w:hAnsi="宋体"/>
          <w:color w:val="000000"/>
          <w:szCs w:val="21"/>
        </w:rPr>
        <w:t>》中的抬头、项目编号、项目名称、投标供应商名称、法定代表人或其委托代理人的名称、日期填写错误；</w:t>
      </w:r>
    </w:p>
    <w:p w14:paraId="7F8FC5FC">
      <w:pPr>
        <w:spacing w:line="360" w:lineRule="exact"/>
        <w:rPr>
          <w:rFonts w:ascii="宋体" w:hAnsi="宋体"/>
          <w:color w:val="000000"/>
          <w:szCs w:val="21"/>
        </w:rPr>
      </w:pPr>
      <w:r>
        <w:rPr>
          <w:rFonts w:hint="eastAsia" w:ascii="宋体" w:hAnsi="宋体"/>
          <w:color w:val="000000"/>
          <w:szCs w:val="21"/>
        </w:rPr>
        <w:t>　　3.《法定代表人（负责人）资格证明书》中的姓名、身份证号填写错误，未附法定代表人（负责人）的身份证扫描件（正反两面）；</w:t>
      </w:r>
    </w:p>
    <w:p w14:paraId="4E31E461">
      <w:pPr>
        <w:spacing w:line="360" w:lineRule="exact"/>
        <w:rPr>
          <w:rFonts w:ascii="宋体" w:hAnsi="宋体"/>
          <w:color w:val="000000"/>
          <w:szCs w:val="21"/>
        </w:rPr>
      </w:pPr>
      <w:r>
        <w:rPr>
          <w:rFonts w:hint="eastAsia" w:ascii="宋体" w:hAnsi="宋体"/>
          <w:color w:val="000000"/>
          <w:szCs w:val="21"/>
        </w:rPr>
        <w:t>　　4.《投标文件签署授权委托书》中的委托人的姓名、身份证号填写错误，受托人（代理人）的姓名、身份证号填写错误，授权委托日期填写错误，未附受托人（代理人）的身份证扫描件（正反两面）。</w:t>
      </w:r>
    </w:p>
    <w:p w14:paraId="66B11A8A">
      <w:pPr>
        <w:rPr>
          <w:rFonts w:ascii="仿宋_GB2312" w:eastAsia="仿宋_GB2312"/>
          <w:sz w:val="24"/>
          <w:lang w:val="en"/>
        </w:rPr>
      </w:pPr>
    </w:p>
    <w:p w14:paraId="336F6692">
      <w:pPr>
        <w:widowControl/>
        <w:jc w:val="left"/>
        <w:rPr>
          <w:rFonts w:ascii="宋体" w:hAnsi="宋体" w:cs="宋体"/>
          <w:b/>
          <w:sz w:val="28"/>
          <w:szCs w:val="32"/>
        </w:rPr>
      </w:pPr>
      <w:bookmarkStart w:id="22" w:name="_Toc194467288"/>
      <w:r>
        <w:br w:type="page"/>
      </w:r>
    </w:p>
    <w:p w14:paraId="64B66CCF">
      <w:pPr>
        <w:pStyle w:val="3"/>
        <w:jc w:val="center"/>
      </w:pPr>
      <w:r>
        <w:rPr>
          <w:rFonts w:hint="eastAsia"/>
        </w:rPr>
        <w:t>一、关键信息</w:t>
      </w:r>
    </w:p>
    <w:p w14:paraId="7AF34042">
      <w:pPr>
        <w:pStyle w:val="3"/>
        <w:jc w:val="center"/>
      </w:pPr>
      <w:r>
        <w:rPr>
          <w:rFonts w:hint="eastAsia"/>
        </w:rPr>
        <w:t>（一）开标一览表</w:t>
      </w:r>
    </w:p>
    <w:tbl>
      <w:tblPr>
        <w:tblStyle w:val="32"/>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2410"/>
        <w:gridCol w:w="1680"/>
        <w:gridCol w:w="1849"/>
      </w:tblGrid>
      <w:tr w14:paraId="3DDB7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3E6C2FB3">
            <w:pPr>
              <w:tabs>
                <w:tab w:val="left" w:pos="654"/>
                <w:tab w:val="left" w:pos="1734"/>
                <w:tab w:val="left" w:pos="2814"/>
                <w:tab w:val="left" w:pos="3894"/>
                <w:tab w:val="left" w:pos="5334"/>
                <w:tab w:val="left" w:pos="6414"/>
                <w:tab w:val="left" w:pos="7254"/>
                <w:tab w:val="left" w:pos="8574"/>
                <w:tab w:val="left" w:pos="9654"/>
              </w:tabs>
              <w:spacing w:line="360" w:lineRule="auto"/>
              <w:jc w:val="center"/>
            </w:pPr>
            <w:bookmarkStart w:id="23" w:name="OLE_LINK24" w:colFirst="0" w:colLast="3"/>
            <w:r>
              <w:t>项目名称</w:t>
            </w:r>
          </w:p>
        </w:tc>
        <w:tc>
          <w:tcPr>
            <w:tcW w:w="2410"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4776EEB3">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投标总价</w:t>
            </w:r>
          </w:p>
        </w:tc>
        <w:tc>
          <w:tcPr>
            <w:tcW w:w="1680"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433B9820">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rPr>
                <w:rFonts w:hint="eastAsia"/>
              </w:rPr>
              <w:t>服务期</w:t>
            </w:r>
          </w:p>
        </w:tc>
        <w:tc>
          <w:tcPr>
            <w:tcW w:w="1849"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361D4C12">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备注</w:t>
            </w:r>
            <w:r>
              <w:rPr>
                <w:rFonts w:hint="eastAsia"/>
              </w:rPr>
              <w:t>（</w:t>
            </w:r>
            <w:r>
              <w:rPr>
                <w:rFonts w:hint="eastAsia" w:ascii="宋体" w:hAnsi="宋体"/>
                <w:szCs w:val="21"/>
              </w:rPr>
              <w:t>可选填</w:t>
            </w:r>
            <w:r>
              <w:rPr>
                <w:rFonts w:hint="eastAsia"/>
              </w:rPr>
              <w:t>）</w:t>
            </w:r>
          </w:p>
        </w:tc>
      </w:tr>
      <w:tr w14:paraId="05790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tcPr>
          <w:p w14:paraId="2073C5E9">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2410" w:type="dxa"/>
            <w:tcBorders>
              <w:top w:val="single" w:color="auto" w:sz="4" w:space="0"/>
              <w:left w:val="single" w:color="auto" w:sz="4" w:space="0"/>
              <w:bottom w:val="single" w:color="auto" w:sz="4" w:space="0"/>
              <w:right w:val="single" w:color="auto" w:sz="4" w:space="0"/>
            </w:tcBorders>
          </w:tcPr>
          <w:p w14:paraId="70B4A24A">
            <w:pPr>
              <w:tabs>
                <w:tab w:val="left" w:pos="654"/>
                <w:tab w:val="left" w:pos="1734"/>
                <w:tab w:val="left" w:pos="2814"/>
                <w:tab w:val="left" w:pos="3894"/>
                <w:tab w:val="left" w:pos="5334"/>
                <w:tab w:val="left" w:pos="6414"/>
                <w:tab w:val="left" w:pos="7254"/>
                <w:tab w:val="left" w:pos="8574"/>
                <w:tab w:val="left" w:pos="9654"/>
              </w:tabs>
              <w:spacing w:line="360" w:lineRule="auto"/>
            </w:pPr>
            <w:r>
              <w:t>大写：</w:t>
            </w:r>
          </w:p>
          <w:p w14:paraId="1F74C309">
            <w:pPr>
              <w:tabs>
                <w:tab w:val="left" w:pos="654"/>
                <w:tab w:val="left" w:pos="1734"/>
                <w:tab w:val="left" w:pos="2814"/>
                <w:tab w:val="left" w:pos="3894"/>
                <w:tab w:val="left" w:pos="5334"/>
                <w:tab w:val="left" w:pos="6414"/>
                <w:tab w:val="left" w:pos="7254"/>
                <w:tab w:val="left" w:pos="8574"/>
                <w:tab w:val="left" w:pos="9654"/>
              </w:tabs>
              <w:spacing w:line="360" w:lineRule="auto"/>
            </w:pPr>
            <w:r>
              <w:t>小写：</w:t>
            </w:r>
          </w:p>
        </w:tc>
        <w:tc>
          <w:tcPr>
            <w:tcW w:w="1680" w:type="dxa"/>
            <w:tcBorders>
              <w:top w:val="single" w:color="auto" w:sz="4" w:space="0"/>
              <w:left w:val="single" w:color="auto" w:sz="4" w:space="0"/>
              <w:bottom w:val="single" w:color="auto" w:sz="4" w:space="0"/>
              <w:right w:val="single" w:color="auto" w:sz="4" w:space="0"/>
            </w:tcBorders>
          </w:tcPr>
          <w:p w14:paraId="37977A96">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1849" w:type="dxa"/>
            <w:tcBorders>
              <w:top w:val="single" w:color="auto" w:sz="4" w:space="0"/>
              <w:left w:val="single" w:color="auto" w:sz="4" w:space="0"/>
              <w:bottom w:val="single" w:color="auto" w:sz="4" w:space="0"/>
              <w:right w:val="single" w:color="auto" w:sz="4" w:space="0"/>
            </w:tcBorders>
          </w:tcPr>
          <w:p w14:paraId="415BDB68">
            <w:pPr>
              <w:tabs>
                <w:tab w:val="left" w:pos="654"/>
                <w:tab w:val="left" w:pos="1734"/>
                <w:tab w:val="left" w:pos="2814"/>
                <w:tab w:val="left" w:pos="3894"/>
                <w:tab w:val="left" w:pos="5334"/>
                <w:tab w:val="left" w:pos="6414"/>
                <w:tab w:val="left" w:pos="7254"/>
                <w:tab w:val="left" w:pos="8574"/>
                <w:tab w:val="left" w:pos="9654"/>
              </w:tabs>
              <w:spacing w:line="360" w:lineRule="auto"/>
            </w:pPr>
          </w:p>
        </w:tc>
      </w:tr>
      <w:bookmarkEnd w:id="23"/>
    </w:tbl>
    <w:p w14:paraId="2F0713B5"/>
    <w:p w14:paraId="10C9F652">
      <w:pPr>
        <w:widowControl/>
        <w:jc w:val="left"/>
        <w:rPr>
          <w:rFonts w:ascii="Arial" w:hAnsi="Arial" w:eastAsia="黑体"/>
          <w:bCs/>
          <w:sz w:val="24"/>
        </w:rPr>
      </w:pPr>
      <w:r>
        <w:rPr>
          <w:b/>
          <w:sz w:val="24"/>
        </w:rPr>
        <w:br w:type="page"/>
      </w:r>
    </w:p>
    <w:p w14:paraId="04A5031B">
      <w:pPr>
        <w:pStyle w:val="3"/>
        <w:jc w:val="center"/>
      </w:pPr>
      <w:r>
        <w:rPr>
          <w:rFonts w:hint="eastAsia"/>
        </w:rPr>
        <w:t>（二）</w:t>
      </w:r>
      <w:bookmarkEnd w:id="22"/>
      <w:r>
        <w:rPr>
          <w:rFonts w:hint="eastAsia"/>
        </w:rPr>
        <w:t>政府采购投标及履约承诺函</w:t>
      </w:r>
    </w:p>
    <w:p w14:paraId="6F22C400">
      <w:pPr>
        <w:keepNext w:val="0"/>
        <w:keepLines w:val="0"/>
        <w:pageBreakBefore w:val="0"/>
        <w:kinsoku/>
        <w:wordWrap/>
        <w:overflowPunct/>
        <w:topLinePunct w:val="0"/>
        <w:autoSpaceDE/>
        <w:autoSpaceDN/>
        <w:bidi w:val="0"/>
        <w:adjustRightInd/>
        <w:snapToGrid/>
        <w:spacing w:line="360" w:lineRule="exact"/>
        <w:ind w:firstLine="0" w:firstLineChars="0"/>
        <w:textAlignment w:val="auto"/>
        <w:outlineLvl w:val="9"/>
        <w:rPr>
          <w:rFonts w:hint="default" w:ascii="宋体" w:hAnsi="宋体" w:eastAsia="宋体" w:cs="宋体"/>
          <w:b/>
          <w:bCs/>
          <w:color w:val="FF0000"/>
          <w:spacing w:val="0"/>
          <w:sz w:val="21"/>
          <w:szCs w:val="21"/>
          <w:u w:val="single"/>
          <w:lang w:val="en-US" w:eastAsia="zh-CN"/>
        </w:rPr>
      </w:pPr>
      <w:r>
        <w:rPr>
          <w:rFonts w:hint="eastAsia" w:ascii="宋体" w:hAnsi="宋体" w:eastAsia="宋体" w:cs="宋体"/>
          <w:color w:val="FF0000"/>
          <w:spacing w:val="0"/>
          <w:sz w:val="21"/>
          <w:szCs w:val="21"/>
        </w:rPr>
        <w:t>致：</w:t>
      </w:r>
      <w:r>
        <w:rPr>
          <w:rFonts w:hint="eastAsia" w:ascii="宋体" w:hAnsi="宋体" w:eastAsia="宋体" w:cs="宋体"/>
          <w:b/>
          <w:bCs/>
          <w:color w:val="FF0000"/>
          <w:spacing w:val="0"/>
          <w:sz w:val="21"/>
          <w:szCs w:val="21"/>
          <w:u w:val="single"/>
          <w:lang w:val="en-US" w:eastAsia="zh-CN"/>
        </w:rPr>
        <w:t>（采购人）</w:t>
      </w:r>
      <w:r>
        <w:rPr>
          <w:rFonts w:hint="eastAsia" w:ascii="宋体" w:hAnsi="宋体" w:cs="宋体"/>
          <w:b/>
          <w:bCs/>
          <w:color w:val="FF0000"/>
          <w:spacing w:val="0"/>
          <w:sz w:val="21"/>
          <w:szCs w:val="21"/>
          <w:u w:val="single"/>
          <w:lang w:val="en-US" w:eastAsia="zh-CN"/>
        </w:rPr>
        <w:t xml:space="preserve">            </w:t>
      </w:r>
    </w:p>
    <w:p w14:paraId="2AC36161">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我单位承诺：</w:t>
      </w:r>
    </w:p>
    <w:p w14:paraId="5755FC9D">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1.我单位参与本项目符合资格条件关于联合体、进口产品的要求。</w:t>
      </w:r>
    </w:p>
    <w:p w14:paraId="09DCC4A0">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2.我单位参与本项目所投标（响应）的货物、工程或服务，不存在侵犯知识产权的情况。</w:t>
      </w:r>
    </w:p>
    <w:p w14:paraId="47CDBEB7">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3.我单位参与本项目政府采购活动时不存在被有关部门禁止参与政府采购活动且在有效期内的情况。</w:t>
      </w:r>
    </w:p>
    <w:p w14:paraId="4793BBF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4.我单位具备《中华人民共和国政府采购法》第二十二条第一款规定的六项条件。</w:t>
      </w:r>
    </w:p>
    <w:p w14:paraId="232A5591">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5.我单位未被列入失信被执行人、重大税收违法案件当事人名单、政府采购严重违法失信行为记录名单。</w:t>
      </w:r>
    </w:p>
    <w:p w14:paraId="532EAA69">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6.我单位不存在《深圳市财政局政府采购供应商信用信息管理办法》（深财规〔2023〕3号）列明的严重违法失信行为。</w:t>
      </w:r>
    </w:p>
    <w:p w14:paraId="3D8176CB">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4495E27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0899456E">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3BFFC375">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162EF43F">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10.我单位承诺中标后项目不转包，未经采购人同意不进行分包。</w:t>
      </w:r>
    </w:p>
    <w:p w14:paraId="4B553643">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11.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2176E708">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12.我单位保证，若所投货物涉及《关于印发节能产品政府采购品目清单的通知》（财库〔2019〕19号）列明的政府采购强制产品，则所投该产品符合节能产品的认证要求。若所投产品包括数据中心相关设备的，应满足《财政部 生态环境部 工业和信息化部关于印发&lt;绿色数据中心政府采购需求标准（试行）&gt;的通知》（财库〔2023〕7号）要求。若所投产品涉及国家强制性标准的，所投产品应符合国家强制性标准相关要求。</w:t>
      </w:r>
    </w:p>
    <w:p w14:paraId="03D59463">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13.我单位已知悉并同意中标（成交）结果信息公示（公开）的内容。</w:t>
      </w:r>
    </w:p>
    <w:p w14:paraId="191713B6">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791B0808">
      <w:pPr>
        <w:keepNext w:val="0"/>
        <w:keepLines w:val="0"/>
        <w:pageBreakBefore w:val="0"/>
        <w:kinsoku/>
        <w:wordWrap/>
        <w:overflowPunct/>
        <w:topLinePunct w:val="0"/>
        <w:autoSpaceDE/>
        <w:autoSpaceDN/>
        <w:bidi w:val="0"/>
        <w:adjustRightInd/>
        <w:snapToGrid/>
        <w:spacing w:before="0" w:beforeLines="0" w:after="0" w:afterLines="0" w:line="360" w:lineRule="exact"/>
        <w:ind w:firstLine="422" w:firstLineChars="200"/>
        <w:textAlignment w:val="auto"/>
        <w:outlineLvl w:val="9"/>
        <w:rPr>
          <w:rFonts w:hint="eastAsia" w:ascii="宋体" w:hAnsi="宋体" w:eastAsia="宋体" w:cs="宋体"/>
          <w:b/>
          <w:bCs/>
          <w:spacing w:val="0"/>
          <w:sz w:val="21"/>
          <w:szCs w:val="21"/>
        </w:rPr>
      </w:pPr>
      <w:r>
        <w:rPr>
          <w:rFonts w:hint="eastAsia" w:ascii="宋体" w:hAnsi="宋体" w:eastAsia="宋体" w:cs="宋体"/>
          <w:b/>
          <w:bCs/>
          <w:spacing w:val="0"/>
          <w:sz w:val="21"/>
          <w:szCs w:val="21"/>
        </w:rPr>
        <w:t>15.我单位清楚，如存在违反投标承诺行为情节严重的，将根据《深圳市财政局关于印发&lt;深圳市财政局政府采购供应商信用信息管理办法&gt;的通知》，依法被列入失信信息。</w:t>
      </w:r>
    </w:p>
    <w:p w14:paraId="353DD9B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p>
    <w:p w14:paraId="156869FF">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spacing w:val="0"/>
          <w:sz w:val="21"/>
          <w:szCs w:val="21"/>
        </w:rPr>
        <w:t>以上承诺，如有违反，愿依照国家相关法律法规处理，并承担由此给采购人带来的损失。</w:t>
      </w:r>
    </w:p>
    <w:p w14:paraId="679CF32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p>
    <w:p w14:paraId="1F5843F8">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jc w:val="center"/>
        <w:textAlignment w:val="auto"/>
        <w:outlineLvl w:val="9"/>
        <w:rPr>
          <w:rFonts w:hint="default" w:ascii="宋体" w:hAnsi="宋体" w:eastAsia="宋体" w:cs="宋体"/>
          <w:color w:val="FF0000"/>
          <w:spacing w:val="0"/>
          <w:sz w:val="21"/>
          <w:szCs w:val="21"/>
          <w:u w:val="single"/>
          <w:lang w:val="en-US" w:eastAsia="zh-CN"/>
        </w:rPr>
      </w:pPr>
      <w:r>
        <w:rPr>
          <w:rFonts w:hint="eastAsia" w:ascii="宋体" w:hAnsi="宋体" w:eastAsia="宋体" w:cs="宋体"/>
          <w:color w:val="auto"/>
          <w:spacing w:val="0"/>
          <w:sz w:val="21"/>
          <w:szCs w:val="21"/>
          <w:lang w:val="en-US" w:eastAsia="zh-CN"/>
        </w:rPr>
        <w:t xml:space="preserve">                          </w:t>
      </w:r>
      <w:r>
        <w:rPr>
          <w:rFonts w:hint="eastAsia" w:ascii="宋体" w:hAnsi="宋体" w:eastAsia="宋体" w:cs="宋体"/>
          <w:color w:val="FF0000"/>
          <w:spacing w:val="0"/>
          <w:sz w:val="21"/>
          <w:szCs w:val="21"/>
          <w:lang w:val="en-US" w:eastAsia="zh-CN"/>
        </w:rPr>
        <w:t xml:space="preserve"> </w:t>
      </w:r>
      <w:r>
        <w:rPr>
          <w:rFonts w:hint="eastAsia" w:ascii="宋体" w:hAnsi="宋体" w:eastAsia="宋体" w:cs="宋体"/>
          <w:color w:val="FF0000"/>
          <w:spacing w:val="0"/>
          <w:sz w:val="21"/>
          <w:szCs w:val="21"/>
        </w:rPr>
        <w:t>投标供应商</w:t>
      </w:r>
      <w:r>
        <w:rPr>
          <w:rFonts w:hint="eastAsia" w:ascii="宋体" w:hAnsi="宋体" w:eastAsia="宋体" w:cs="宋体"/>
          <w:color w:val="FF0000"/>
          <w:spacing w:val="0"/>
          <w:sz w:val="21"/>
          <w:szCs w:val="21"/>
          <w:lang w:eastAsia="zh-CN"/>
        </w:rPr>
        <w:t>名称：</w:t>
      </w:r>
      <w:r>
        <w:rPr>
          <w:rFonts w:hint="eastAsia" w:ascii="宋体" w:hAnsi="宋体" w:cs="宋体"/>
          <w:color w:val="FF0000"/>
          <w:spacing w:val="0"/>
          <w:sz w:val="21"/>
          <w:szCs w:val="21"/>
          <w:u w:val="single"/>
          <w:lang w:val="en-US" w:eastAsia="zh-CN"/>
        </w:rPr>
        <w:t xml:space="preserve">                 </w:t>
      </w:r>
    </w:p>
    <w:p w14:paraId="3211B5CC">
      <w:pPr>
        <w:keepNext w:val="0"/>
        <w:keepLines w:val="0"/>
        <w:pageBreakBefore w:val="0"/>
        <w:widowControl/>
        <w:kinsoku/>
        <w:wordWrap/>
        <w:overflowPunct/>
        <w:topLinePunct w:val="0"/>
        <w:autoSpaceDE/>
        <w:autoSpaceDN/>
        <w:bidi w:val="0"/>
        <w:adjustRightInd/>
        <w:snapToGrid/>
        <w:spacing w:line="360" w:lineRule="exact"/>
        <w:ind w:firstLine="420" w:firstLineChars="200"/>
        <w:jc w:val="right"/>
        <w:textAlignment w:val="auto"/>
        <w:rPr>
          <w:rFonts w:hint="eastAsia" w:ascii="宋体" w:hAnsi="宋体" w:eastAsia="宋体" w:cs="宋体"/>
          <w:spacing w:val="-6"/>
          <w:sz w:val="21"/>
          <w:szCs w:val="21"/>
          <w:lang w:val="en-US" w:eastAsia="zh-CN"/>
        </w:rPr>
      </w:pPr>
      <w:r>
        <w:rPr>
          <w:rFonts w:hint="eastAsia" w:ascii="宋体" w:hAnsi="宋体" w:eastAsia="宋体" w:cs="宋体"/>
          <w:color w:val="FF0000"/>
          <w:spacing w:val="0"/>
          <w:sz w:val="21"/>
          <w:szCs w:val="21"/>
        </w:rPr>
        <w:t>日期：</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年</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月</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日</w:t>
      </w:r>
    </w:p>
    <w:p w14:paraId="4E8DC8BE">
      <w:pPr>
        <w:spacing w:line="320" w:lineRule="exact"/>
        <w:jc w:val="both"/>
        <w:rPr>
          <w:color w:val="FF0000"/>
          <w:szCs w:val="21"/>
        </w:rPr>
      </w:pPr>
    </w:p>
    <w:p w14:paraId="1F4CB810">
      <w:pPr>
        <w:ind w:left="257"/>
        <w:jc w:val="right"/>
        <w:rPr>
          <w:rFonts w:ascii="宋体" w:hAnsi="宋体"/>
          <w:szCs w:val="21"/>
        </w:rPr>
      </w:pPr>
    </w:p>
    <w:p w14:paraId="6928E2BD">
      <w:pPr>
        <w:widowControl/>
        <w:jc w:val="left"/>
        <w:rPr>
          <w:rFonts w:ascii="Arial" w:hAnsi="Arial" w:eastAsia="黑体"/>
          <w:bCs/>
          <w:sz w:val="24"/>
        </w:rPr>
      </w:pPr>
      <w:r>
        <w:rPr>
          <w:b/>
          <w:sz w:val="24"/>
        </w:rPr>
        <w:br w:type="page"/>
      </w:r>
    </w:p>
    <w:p w14:paraId="15C13A23">
      <w:pPr>
        <w:pStyle w:val="3"/>
        <w:jc w:val="center"/>
      </w:pPr>
      <w:r>
        <w:rPr>
          <w:rFonts w:hint="eastAsia"/>
          <w:szCs w:val="24"/>
        </w:rPr>
        <w:t>（三）</w:t>
      </w:r>
      <w:r>
        <w:rPr>
          <w:rFonts w:hint="eastAsia"/>
        </w:rPr>
        <w:t>供应商资格证明文件</w:t>
      </w:r>
    </w:p>
    <w:p w14:paraId="529766D2">
      <w:pPr>
        <w:spacing w:before="120" w:beforeLines="50"/>
        <w:ind w:firstLine="422" w:firstLineChars="200"/>
        <w:rPr>
          <w:rFonts w:hint="eastAsia"/>
          <w:b/>
          <w:bCs/>
          <w:color w:val="FF0000"/>
        </w:rPr>
      </w:pPr>
      <w:bookmarkStart w:id="24" w:name="OLE_LINK38"/>
      <w:r>
        <w:rPr>
          <w:rFonts w:hint="eastAsia"/>
          <w:b/>
          <w:bCs/>
          <w:color w:val="FF0000"/>
        </w:rPr>
        <w:t>（特别提示：投标人须按本招标文件第一册第一章招标公告 “投标供应商资格要求”提供相关的资格证明资料，未提供或提供不完整、不符合要求的，将作投标无效处理，其中要求提供《政府采购投标及履约承诺函》《供应商基本情况表》且已在规定章节中提供的，此处不重复提供。）</w:t>
      </w:r>
    </w:p>
    <w:bookmarkEnd w:id="24"/>
    <w:p w14:paraId="7E1FE725">
      <w:pPr>
        <w:spacing w:before="120" w:beforeLines="50"/>
        <w:ind w:firstLine="422" w:firstLineChars="200"/>
        <w:rPr>
          <w:bCs/>
        </w:rPr>
      </w:pPr>
      <w:r>
        <w:rPr>
          <w:rFonts w:hint="eastAsia"/>
          <w:b/>
          <w:bCs/>
          <w:color w:val="FF0000"/>
        </w:rPr>
        <w:t>1、资格证明材料：</w:t>
      </w:r>
      <w:r>
        <w:rPr>
          <w:bCs/>
        </w:rPr>
        <w:t xml:space="preserve"> </w:t>
      </w:r>
    </w:p>
    <w:p w14:paraId="119A59F8">
      <w:pPr>
        <w:pStyle w:val="4"/>
        <w:jc w:val="center"/>
        <w:rPr>
          <w:b w:val="0"/>
        </w:rPr>
      </w:pPr>
      <w:r>
        <w:rPr>
          <w:rFonts w:hint="eastAsia"/>
          <w:b w:val="0"/>
        </w:rPr>
        <w:t>（1）供应商基本情况表</w:t>
      </w:r>
    </w:p>
    <w:tbl>
      <w:tblPr>
        <w:tblStyle w:val="33"/>
        <w:tblW w:w="929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1072"/>
        <w:gridCol w:w="773"/>
        <w:gridCol w:w="1420"/>
        <w:gridCol w:w="1792"/>
        <w:gridCol w:w="1898"/>
        <w:gridCol w:w="1779"/>
      </w:tblGrid>
      <w:tr w14:paraId="7273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1630" w:type="dxa"/>
            <w:gridSpan w:val="2"/>
            <w:tcBorders>
              <w:top w:val="single" w:color="auto" w:sz="4" w:space="0"/>
              <w:left w:val="single" w:color="auto" w:sz="4" w:space="0"/>
              <w:bottom w:val="single" w:color="auto" w:sz="4" w:space="0"/>
              <w:right w:val="single" w:color="auto" w:sz="4" w:space="0"/>
            </w:tcBorders>
            <w:noWrap w:val="0"/>
            <w:vAlign w:val="center"/>
          </w:tcPr>
          <w:p w14:paraId="730A96A2">
            <w:pPr>
              <w:jc w:val="center"/>
              <w:rPr>
                <w:rFonts w:hint="eastAsia" w:ascii="宋体" w:hAnsi="宋体" w:eastAsia="宋体" w:cs="宋体"/>
                <w:b w:val="0"/>
                <w:bCs w:val="0"/>
                <w:sz w:val="21"/>
                <w:szCs w:val="21"/>
              </w:rPr>
            </w:pPr>
            <w:bookmarkStart w:id="25" w:name="OLE_LINK25"/>
            <w:r>
              <w:rPr>
                <w:rFonts w:hint="eastAsia" w:ascii="宋体" w:hAnsi="宋体" w:eastAsia="宋体" w:cs="宋体"/>
                <w:b/>
                <w:bCs/>
                <w:sz w:val="21"/>
                <w:szCs w:val="21"/>
              </w:rPr>
              <w:t>投标（响应）供应商</w:t>
            </w:r>
          </w:p>
        </w:tc>
        <w:tc>
          <w:tcPr>
            <w:tcW w:w="2193" w:type="dxa"/>
            <w:gridSpan w:val="2"/>
            <w:tcBorders>
              <w:top w:val="single" w:color="auto" w:sz="4" w:space="0"/>
              <w:left w:val="nil"/>
              <w:bottom w:val="single" w:color="auto" w:sz="4" w:space="0"/>
              <w:right w:val="single" w:color="auto" w:sz="4" w:space="0"/>
            </w:tcBorders>
            <w:noWrap w:val="0"/>
            <w:vAlign w:val="center"/>
          </w:tcPr>
          <w:p w14:paraId="52FF679E">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050E88E4">
            <w:pPr>
              <w:jc w:val="center"/>
              <w:rPr>
                <w:rFonts w:hint="eastAsia" w:ascii="宋体" w:hAnsi="宋体" w:eastAsia="宋体" w:cs="宋体"/>
                <w:b w:val="0"/>
                <w:bCs w:val="0"/>
                <w:sz w:val="21"/>
                <w:szCs w:val="21"/>
              </w:rPr>
            </w:pPr>
            <w:r>
              <w:rPr>
                <w:rFonts w:hint="eastAsia" w:ascii="宋体" w:hAnsi="宋体" w:eastAsia="宋体" w:cs="宋体"/>
                <w:b/>
                <w:bCs/>
                <w:sz w:val="21"/>
                <w:szCs w:val="21"/>
                <w:lang w:eastAsia="zh-CN"/>
              </w:rPr>
              <w:t>采购</w:t>
            </w:r>
            <w:r>
              <w:rPr>
                <w:rFonts w:hint="eastAsia" w:ascii="宋体" w:hAnsi="宋体" w:eastAsia="宋体" w:cs="宋体"/>
                <w:b/>
                <w:bCs/>
                <w:sz w:val="21"/>
                <w:szCs w:val="21"/>
              </w:rPr>
              <w:t>项目名称及编号</w:t>
            </w:r>
          </w:p>
        </w:tc>
        <w:tc>
          <w:tcPr>
            <w:tcW w:w="3677" w:type="dxa"/>
            <w:gridSpan w:val="2"/>
            <w:tcBorders>
              <w:top w:val="single" w:color="auto" w:sz="4" w:space="0"/>
              <w:left w:val="nil"/>
              <w:bottom w:val="single" w:color="auto" w:sz="4" w:space="0"/>
              <w:right w:val="single" w:color="auto" w:sz="4" w:space="0"/>
            </w:tcBorders>
            <w:noWrap w:val="0"/>
            <w:vAlign w:val="center"/>
          </w:tcPr>
          <w:p w14:paraId="4DA65440">
            <w:pPr>
              <w:jc w:val="center"/>
              <w:rPr>
                <w:rFonts w:hint="eastAsia" w:ascii="宋体" w:hAnsi="宋体" w:eastAsia="宋体" w:cs="宋体"/>
                <w:b w:val="0"/>
                <w:bCs w:val="0"/>
                <w:sz w:val="21"/>
                <w:szCs w:val="21"/>
              </w:rPr>
            </w:pPr>
          </w:p>
        </w:tc>
      </w:tr>
      <w:tr w14:paraId="512DE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33757B80">
            <w:pPr>
              <w:jc w:val="center"/>
              <w:rPr>
                <w:rFonts w:hint="eastAsia" w:ascii="宋体" w:hAnsi="宋体" w:eastAsia="宋体" w:cs="宋体"/>
                <w:b w:val="0"/>
                <w:bCs w:val="0"/>
                <w:sz w:val="21"/>
                <w:szCs w:val="21"/>
              </w:rPr>
            </w:pPr>
            <w:r>
              <w:rPr>
                <w:rFonts w:hint="eastAsia" w:ascii="宋体" w:hAnsi="宋体" w:eastAsia="宋体" w:cs="宋体"/>
                <w:b/>
                <w:bCs/>
                <w:sz w:val="21"/>
                <w:szCs w:val="21"/>
              </w:rPr>
              <w:t>投标（响应）供应商相关人员情况</w:t>
            </w:r>
          </w:p>
        </w:tc>
      </w:tr>
      <w:tr w14:paraId="5BF2B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579F7BCD">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492FD2CB">
            <w:pPr>
              <w:jc w:val="center"/>
              <w:rPr>
                <w:rFonts w:hint="eastAsia" w:ascii="宋体" w:hAnsi="宋体" w:eastAsia="宋体" w:cs="宋体"/>
                <w:b/>
                <w:bCs/>
                <w:sz w:val="21"/>
                <w:szCs w:val="21"/>
              </w:rPr>
            </w:pPr>
            <w:r>
              <w:rPr>
                <w:rFonts w:hint="eastAsia" w:ascii="宋体" w:hAnsi="宋体" w:eastAsia="宋体" w:cs="宋体"/>
                <w:b/>
                <w:bCs/>
                <w:sz w:val="21"/>
                <w:szCs w:val="21"/>
              </w:rPr>
              <w:t>职务</w:t>
            </w:r>
          </w:p>
        </w:tc>
        <w:tc>
          <w:tcPr>
            <w:tcW w:w="1420" w:type="dxa"/>
            <w:tcBorders>
              <w:top w:val="single" w:color="auto" w:sz="4" w:space="0"/>
              <w:left w:val="nil"/>
              <w:bottom w:val="single" w:color="auto" w:sz="4" w:space="0"/>
              <w:right w:val="single" w:color="auto" w:sz="4" w:space="0"/>
            </w:tcBorders>
            <w:noWrap w:val="0"/>
            <w:vAlign w:val="center"/>
          </w:tcPr>
          <w:p w14:paraId="11DAEEF0">
            <w:pPr>
              <w:jc w:val="center"/>
              <w:rPr>
                <w:rFonts w:hint="eastAsia" w:ascii="宋体" w:hAnsi="宋体" w:eastAsia="宋体" w:cs="宋体"/>
                <w:b/>
                <w:bCs/>
                <w:sz w:val="21"/>
                <w:szCs w:val="21"/>
              </w:rPr>
            </w:pPr>
            <w:r>
              <w:rPr>
                <w:rFonts w:hint="eastAsia" w:ascii="宋体" w:hAnsi="宋体" w:eastAsia="宋体" w:cs="宋体"/>
                <w:b/>
                <w:bCs/>
                <w:sz w:val="21"/>
                <w:szCs w:val="21"/>
              </w:rPr>
              <w:t>姓名</w:t>
            </w:r>
          </w:p>
        </w:tc>
        <w:tc>
          <w:tcPr>
            <w:tcW w:w="1792" w:type="dxa"/>
            <w:tcBorders>
              <w:top w:val="single" w:color="auto" w:sz="4" w:space="0"/>
              <w:left w:val="nil"/>
              <w:bottom w:val="single" w:color="auto" w:sz="4" w:space="0"/>
              <w:right w:val="single" w:color="auto" w:sz="4" w:space="0"/>
            </w:tcBorders>
            <w:noWrap w:val="0"/>
            <w:vAlign w:val="center"/>
          </w:tcPr>
          <w:p w14:paraId="7F062BF0">
            <w:pPr>
              <w:jc w:val="center"/>
              <w:rPr>
                <w:rFonts w:hint="eastAsia" w:ascii="宋体" w:hAnsi="宋体" w:eastAsia="宋体" w:cs="宋体"/>
                <w:b/>
                <w:bCs/>
                <w:sz w:val="21"/>
                <w:szCs w:val="21"/>
              </w:rPr>
            </w:pPr>
            <w:r>
              <w:rPr>
                <w:rFonts w:hint="eastAsia" w:ascii="宋体" w:hAnsi="宋体" w:eastAsia="宋体" w:cs="宋体"/>
                <w:b/>
                <w:bCs/>
                <w:sz w:val="21"/>
                <w:szCs w:val="21"/>
              </w:rPr>
              <w:t>身份证号码</w:t>
            </w:r>
          </w:p>
        </w:tc>
        <w:tc>
          <w:tcPr>
            <w:tcW w:w="1898" w:type="dxa"/>
            <w:tcBorders>
              <w:top w:val="single" w:color="auto" w:sz="4" w:space="0"/>
              <w:left w:val="nil"/>
              <w:bottom w:val="single" w:color="auto" w:sz="4" w:space="0"/>
              <w:right w:val="single" w:color="auto" w:sz="4" w:space="0"/>
            </w:tcBorders>
            <w:noWrap w:val="0"/>
            <w:vAlign w:val="center"/>
          </w:tcPr>
          <w:p w14:paraId="03DDAC20">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劳动合同</w:t>
            </w:r>
          </w:p>
          <w:p w14:paraId="50E97A81">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关系单位</w:t>
            </w:r>
          </w:p>
        </w:tc>
        <w:tc>
          <w:tcPr>
            <w:tcW w:w="1779" w:type="dxa"/>
            <w:tcBorders>
              <w:top w:val="single" w:color="auto" w:sz="4" w:space="0"/>
              <w:left w:val="nil"/>
              <w:bottom w:val="single" w:color="auto" w:sz="4" w:space="0"/>
              <w:right w:val="single" w:color="auto" w:sz="4" w:space="0"/>
            </w:tcBorders>
            <w:noWrap w:val="0"/>
            <w:vAlign w:val="center"/>
          </w:tcPr>
          <w:p w14:paraId="4DBE3E99">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缴纳社会</w:t>
            </w:r>
          </w:p>
          <w:p w14:paraId="529CA630">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保险单位</w:t>
            </w:r>
          </w:p>
        </w:tc>
      </w:tr>
      <w:tr w14:paraId="2B5DD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2D3E4FF1">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6F78474E">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法定代表人/单位负责人/主要经营负责人</w:t>
            </w:r>
          </w:p>
        </w:tc>
        <w:tc>
          <w:tcPr>
            <w:tcW w:w="1420" w:type="dxa"/>
            <w:tcBorders>
              <w:top w:val="single" w:color="auto" w:sz="4" w:space="0"/>
              <w:left w:val="nil"/>
              <w:bottom w:val="single" w:color="auto" w:sz="4" w:space="0"/>
              <w:right w:val="single" w:color="auto" w:sz="4" w:space="0"/>
            </w:tcBorders>
            <w:noWrap w:val="0"/>
            <w:vAlign w:val="center"/>
          </w:tcPr>
          <w:p w14:paraId="3AB0A28D">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48EF8B4B">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00958F00">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49AADAA1">
            <w:pPr>
              <w:jc w:val="center"/>
              <w:rPr>
                <w:rFonts w:hint="eastAsia" w:ascii="宋体" w:hAnsi="宋体" w:eastAsia="宋体" w:cs="宋体"/>
                <w:b w:val="0"/>
                <w:bCs w:val="0"/>
                <w:sz w:val="21"/>
                <w:szCs w:val="21"/>
              </w:rPr>
            </w:pPr>
          </w:p>
        </w:tc>
      </w:tr>
      <w:tr w14:paraId="018CE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14CCB251">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2573FA9A">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项目投标授权代表人</w:t>
            </w:r>
          </w:p>
        </w:tc>
        <w:tc>
          <w:tcPr>
            <w:tcW w:w="1420" w:type="dxa"/>
            <w:tcBorders>
              <w:top w:val="single" w:color="auto" w:sz="4" w:space="0"/>
              <w:left w:val="nil"/>
              <w:bottom w:val="single" w:color="auto" w:sz="4" w:space="0"/>
              <w:right w:val="single" w:color="auto" w:sz="4" w:space="0"/>
            </w:tcBorders>
            <w:noWrap w:val="0"/>
            <w:vAlign w:val="center"/>
          </w:tcPr>
          <w:p w14:paraId="127085BC">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5A1BDCF2">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5A1F25D1">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14D2894D">
            <w:pPr>
              <w:jc w:val="center"/>
              <w:rPr>
                <w:rFonts w:hint="eastAsia" w:ascii="宋体" w:hAnsi="宋体" w:eastAsia="宋体" w:cs="宋体"/>
                <w:b w:val="0"/>
                <w:bCs w:val="0"/>
                <w:sz w:val="21"/>
                <w:szCs w:val="21"/>
              </w:rPr>
            </w:pPr>
          </w:p>
        </w:tc>
      </w:tr>
      <w:tr w14:paraId="5B13E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790E8484">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3</w:t>
            </w:r>
          </w:p>
        </w:tc>
        <w:tc>
          <w:tcPr>
            <w:tcW w:w="1845" w:type="dxa"/>
            <w:gridSpan w:val="2"/>
            <w:tcBorders>
              <w:top w:val="single" w:color="auto" w:sz="4" w:space="0"/>
              <w:left w:val="nil"/>
              <w:bottom w:val="single" w:color="auto" w:sz="4" w:space="0"/>
              <w:right w:val="single" w:color="auto" w:sz="4" w:space="0"/>
            </w:tcBorders>
            <w:noWrap w:val="0"/>
            <w:vAlign w:val="center"/>
          </w:tcPr>
          <w:p w14:paraId="5EBEB54C">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项目负责人</w:t>
            </w:r>
          </w:p>
        </w:tc>
        <w:tc>
          <w:tcPr>
            <w:tcW w:w="1420" w:type="dxa"/>
            <w:tcBorders>
              <w:top w:val="single" w:color="auto" w:sz="4" w:space="0"/>
              <w:left w:val="nil"/>
              <w:bottom w:val="single" w:color="auto" w:sz="4" w:space="0"/>
              <w:right w:val="single" w:color="auto" w:sz="4" w:space="0"/>
            </w:tcBorders>
            <w:noWrap w:val="0"/>
            <w:vAlign w:val="center"/>
          </w:tcPr>
          <w:p w14:paraId="4402D2CD">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50806EEA">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6DC031CC">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020B6AC8">
            <w:pPr>
              <w:jc w:val="center"/>
              <w:rPr>
                <w:rFonts w:hint="eastAsia" w:ascii="宋体" w:hAnsi="宋体" w:eastAsia="宋体" w:cs="宋体"/>
                <w:b w:val="0"/>
                <w:bCs w:val="0"/>
                <w:sz w:val="21"/>
                <w:szCs w:val="21"/>
              </w:rPr>
            </w:pPr>
          </w:p>
        </w:tc>
      </w:tr>
      <w:tr w14:paraId="0C823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1D09C010">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4</w:t>
            </w:r>
          </w:p>
        </w:tc>
        <w:tc>
          <w:tcPr>
            <w:tcW w:w="1845" w:type="dxa"/>
            <w:gridSpan w:val="2"/>
            <w:tcBorders>
              <w:top w:val="single" w:color="auto" w:sz="4" w:space="0"/>
              <w:left w:val="nil"/>
              <w:bottom w:val="single" w:color="auto" w:sz="4" w:space="0"/>
              <w:right w:val="single" w:color="auto" w:sz="4" w:space="0"/>
            </w:tcBorders>
            <w:noWrap w:val="0"/>
            <w:vAlign w:val="center"/>
          </w:tcPr>
          <w:p w14:paraId="314ADE5E">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主要技术人员</w:t>
            </w:r>
          </w:p>
        </w:tc>
        <w:tc>
          <w:tcPr>
            <w:tcW w:w="1420" w:type="dxa"/>
            <w:tcBorders>
              <w:top w:val="single" w:color="auto" w:sz="4" w:space="0"/>
              <w:left w:val="nil"/>
              <w:bottom w:val="single" w:color="auto" w:sz="4" w:space="0"/>
              <w:right w:val="single" w:color="auto" w:sz="4" w:space="0"/>
            </w:tcBorders>
            <w:noWrap w:val="0"/>
            <w:vAlign w:val="center"/>
          </w:tcPr>
          <w:p w14:paraId="744CF074">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4A189D46">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34EBA9B3">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5F98B31F">
            <w:pPr>
              <w:jc w:val="center"/>
              <w:rPr>
                <w:rFonts w:hint="eastAsia" w:ascii="宋体" w:hAnsi="宋体" w:eastAsia="宋体" w:cs="宋体"/>
                <w:b w:val="0"/>
                <w:bCs w:val="0"/>
                <w:sz w:val="21"/>
                <w:szCs w:val="21"/>
              </w:rPr>
            </w:pPr>
          </w:p>
        </w:tc>
      </w:tr>
      <w:tr w14:paraId="54DA3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67DF2372">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5</w:t>
            </w:r>
          </w:p>
        </w:tc>
        <w:tc>
          <w:tcPr>
            <w:tcW w:w="1845" w:type="dxa"/>
            <w:gridSpan w:val="2"/>
            <w:tcBorders>
              <w:top w:val="single" w:color="auto" w:sz="4" w:space="0"/>
              <w:left w:val="nil"/>
              <w:bottom w:val="single" w:color="auto" w:sz="4" w:space="0"/>
              <w:right w:val="single" w:color="auto" w:sz="4" w:space="0"/>
            </w:tcBorders>
            <w:noWrap w:val="0"/>
            <w:vAlign w:val="center"/>
          </w:tcPr>
          <w:p w14:paraId="61213A07">
            <w:pPr>
              <w:bidi w:val="0"/>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投标文件编制人员</w:t>
            </w:r>
          </w:p>
        </w:tc>
        <w:tc>
          <w:tcPr>
            <w:tcW w:w="1420" w:type="dxa"/>
            <w:tcBorders>
              <w:top w:val="single" w:color="auto" w:sz="4" w:space="0"/>
              <w:left w:val="nil"/>
              <w:bottom w:val="single" w:color="auto" w:sz="4" w:space="0"/>
              <w:right w:val="single" w:color="auto" w:sz="4" w:space="0"/>
            </w:tcBorders>
            <w:noWrap w:val="0"/>
            <w:vAlign w:val="center"/>
          </w:tcPr>
          <w:p w14:paraId="022212A7">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7729484F">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3637657A">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7EB14D53">
            <w:pPr>
              <w:jc w:val="center"/>
              <w:rPr>
                <w:rFonts w:hint="eastAsia" w:ascii="宋体" w:hAnsi="宋体" w:eastAsia="宋体" w:cs="宋体"/>
                <w:b w:val="0"/>
                <w:bCs w:val="0"/>
                <w:sz w:val="21"/>
                <w:szCs w:val="21"/>
              </w:rPr>
            </w:pPr>
          </w:p>
        </w:tc>
      </w:tr>
      <w:tr w14:paraId="01FE7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7702F2DF">
            <w:pPr>
              <w:bidi w:val="0"/>
              <w:rPr>
                <w:rFonts w:hint="eastAsia" w:ascii="宋体" w:hAnsi="宋体" w:eastAsia="宋体" w:cs="宋体"/>
                <w:b/>
                <w:bCs/>
                <w:sz w:val="21"/>
                <w:szCs w:val="21"/>
              </w:rPr>
            </w:pPr>
            <w:r>
              <w:rPr>
                <w:rFonts w:hint="eastAsia" w:ascii="宋体" w:hAnsi="宋体" w:eastAsia="宋体" w:cs="宋体"/>
                <w:b/>
                <w:bCs/>
                <w:sz w:val="21"/>
                <w:szCs w:val="21"/>
              </w:rPr>
              <w:t>说明：</w:t>
            </w: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同一职务有多人担任（如主要技术人员），应分行填写。</w:t>
            </w:r>
          </w:p>
          <w:p w14:paraId="2B8BA140">
            <w:pPr>
              <w:bidi w:val="0"/>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2.投标供应商成立不满一个月或上述人员社保缴纳不满一个月的，应提供承诺函，格式自拟。</w:t>
            </w:r>
          </w:p>
        </w:tc>
      </w:tr>
      <w:tr w14:paraId="6F813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62EB5B56">
            <w:pPr>
              <w:jc w:val="center"/>
              <w:rPr>
                <w:rFonts w:hint="eastAsia" w:ascii="宋体" w:hAnsi="宋体" w:eastAsia="宋体" w:cs="宋体"/>
                <w:b/>
                <w:bCs/>
                <w:sz w:val="21"/>
                <w:szCs w:val="21"/>
              </w:rPr>
            </w:pPr>
            <w:r>
              <w:rPr>
                <w:rFonts w:hint="eastAsia" w:ascii="宋体" w:hAnsi="宋体" w:eastAsia="宋体" w:cs="宋体"/>
                <w:b/>
                <w:bCs/>
                <w:sz w:val="21"/>
                <w:szCs w:val="21"/>
              </w:rPr>
              <w:t>投标（响应）供应商关联关系情况</w:t>
            </w:r>
          </w:p>
        </w:tc>
      </w:tr>
      <w:tr w14:paraId="3B940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4FFC1909">
            <w:pPr>
              <w:bidi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103448B1">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关联关系类型</w:t>
            </w:r>
          </w:p>
        </w:tc>
        <w:tc>
          <w:tcPr>
            <w:tcW w:w="3212" w:type="dxa"/>
            <w:gridSpan w:val="2"/>
            <w:tcBorders>
              <w:top w:val="single" w:color="auto" w:sz="4" w:space="0"/>
              <w:left w:val="nil"/>
              <w:bottom w:val="single" w:color="auto" w:sz="4" w:space="0"/>
              <w:right w:val="single" w:color="auto" w:sz="4" w:space="0"/>
            </w:tcBorders>
            <w:noWrap w:val="0"/>
            <w:vAlign w:val="center"/>
          </w:tcPr>
          <w:p w14:paraId="087DDE16">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关联主体名称</w:t>
            </w:r>
          </w:p>
        </w:tc>
        <w:tc>
          <w:tcPr>
            <w:tcW w:w="3677" w:type="dxa"/>
            <w:gridSpan w:val="2"/>
            <w:tcBorders>
              <w:top w:val="single" w:color="auto" w:sz="4" w:space="0"/>
              <w:left w:val="nil"/>
              <w:bottom w:val="single" w:color="auto" w:sz="4" w:space="0"/>
              <w:right w:val="single" w:color="auto" w:sz="4" w:space="0"/>
            </w:tcBorders>
            <w:noWrap w:val="0"/>
            <w:vAlign w:val="center"/>
          </w:tcPr>
          <w:p w14:paraId="4F0CA569">
            <w:pPr>
              <w:bidi w:val="0"/>
              <w:jc w:val="center"/>
              <w:rPr>
                <w:rFonts w:hint="eastAsia" w:ascii="宋体" w:hAnsi="宋体" w:eastAsia="宋体" w:cs="宋体"/>
                <w:b/>
                <w:bCs/>
                <w:sz w:val="21"/>
                <w:szCs w:val="21"/>
              </w:rPr>
            </w:pPr>
            <w:r>
              <w:rPr>
                <w:rFonts w:hint="eastAsia" w:ascii="宋体" w:hAnsi="宋体" w:eastAsia="宋体" w:cs="宋体"/>
                <w:b/>
                <w:bCs/>
                <w:sz w:val="21"/>
                <w:szCs w:val="21"/>
              </w:rPr>
              <w:t>备注</w:t>
            </w:r>
          </w:p>
        </w:tc>
      </w:tr>
      <w:tr w14:paraId="24727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40C00EC3">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7DB3DCD6">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控股股东</w:t>
            </w:r>
          </w:p>
        </w:tc>
        <w:tc>
          <w:tcPr>
            <w:tcW w:w="3212" w:type="dxa"/>
            <w:gridSpan w:val="2"/>
            <w:tcBorders>
              <w:top w:val="single" w:color="auto" w:sz="4" w:space="0"/>
              <w:left w:val="nil"/>
              <w:bottom w:val="single" w:color="auto" w:sz="4" w:space="0"/>
              <w:right w:val="single" w:color="auto" w:sz="4" w:space="0"/>
            </w:tcBorders>
            <w:noWrap w:val="0"/>
            <w:vAlign w:val="center"/>
          </w:tcPr>
          <w:p w14:paraId="45BED87C">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190F501B">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797D8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3776EC45">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265A39B0">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管理关系</w:t>
            </w:r>
          </w:p>
        </w:tc>
        <w:tc>
          <w:tcPr>
            <w:tcW w:w="3212" w:type="dxa"/>
            <w:gridSpan w:val="2"/>
            <w:tcBorders>
              <w:top w:val="single" w:color="auto" w:sz="4" w:space="0"/>
              <w:left w:val="nil"/>
              <w:bottom w:val="single" w:color="auto" w:sz="4" w:space="0"/>
              <w:right w:val="single" w:color="auto" w:sz="4" w:space="0"/>
            </w:tcBorders>
            <w:noWrap w:val="0"/>
            <w:vAlign w:val="center"/>
          </w:tcPr>
          <w:p w14:paraId="72A23CA9">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7193AAA4">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指对投标（响应）供应商不具有出资持股关系，但对其存在管理关系的主体。</w:t>
            </w:r>
          </w:p>
        </w:tc>
      </w:tr>
      <w:tr w14:paraId="1DD5A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2DAA25D8">
            <w:pPr>
              <w:snapToGrid w:val="0"/>
              <w:ind w:firstLine="0"/>
              <w:jc w:val="left"/>
              <w:rPr>
                <w:rFonts w:hint="eastAsia" w:ascii="宋体" w:hAnsi="宋体" w:eastAsia="宋体" w:cs="宋体"/>
                <w:b w:val="0"/>
                <w:bCs w:val="0"/>
                <w:sz w:val="21"/>
                <w:szCs w:val="21"/>
                <w:lang w:val="en-US" w:eastAsia="zh-CN"/>
              </w:rPr>
            </w:pPr>
            <w:r>
              <w:rPr>
                <w:rFonts w:hint="eastAsia" w:ascii="宋体" w:hAnsi="宋体" w:eastAsia="宋体" w:cs="宋体"/>
                <w:b/>
                <w:bCs/>
                <w:sz w:val="21"/>
                <w:szCs w:val="21"/>
              </w:rPr>
              <w:t>说明：同一关联关系类型有多个主体的，应分行填写。</w:t>
            </w:r>
          </w:p>
        </w:tc>
      </w:tr>
      <w:bookmarkEnd w:id="25"/>
    </w:tbl>
    <w:p w14:paraId="5630F049">
      <w:pPr>
        <w:jc w:val="both"/>
        <w:outlineLvl w:val="9"/>
        <w:rPr>
          <w:rFonts w:hint="eastAsia"/>
          <w:szCs w:val="24"/>
        </w:rPr>
      </w:pPr>
    </w:p>
    <w:p w14:paraId="77F69D37">
      <w:pPr>
        <w:jc w:val="center"/>
        <w:outlineLvl w:val="9"/>
        <w:rPr>
          <w:rFonts w:hint="eastAsia"/>
          <w:szCs w:val="24"/>
        </w:rPr>
      </w:pPr>
    </w:p>
    <w:p w14:paraId="6B59908B">
      <w:pPr>
        <w:jc w:val="center"/>
        <w:outlineLvl w:val="9"/>
        <w:rPr>
          <w:rFonts w:hint="eastAsia"/>
          <w:szCs w:val="24"/>
        </w:rPr>
      </w:pPr>
    </w:p>
    <w:p w14:paraId="08D1F9E7">
      <w:pPr>
        <w:pStyle w:val="3"/>
        <w:jc w:val="center"/>
      </w:pPr>
      <w:r>
        <w:rPr>
          <w:rFonts w:hint="eastAsia"/>
          <w:szCs w:val="24"/>
        </w:rPr>
        <w:t>（四）</w:t>
      </w:r>
      <w:r>
        <w:rPr>
          <w:rFonts w:hint="eastAsia"/>
        </w:rPr>
        <w:t>实质性服务条款（以★号标注）证明文件（如有）</w:t>
      </w:r>
    </w:p>
    <w:p w14:paraId="70C7FB61">
      <w:pPr>
        <w:ind w:firstLine="420" w:firstLineChars="200"/>
        <w:rPr>
          <w:color w:val="FF0000"/>
        </w:rPr>
      </w:pPr>
      <w:r>
        <w:rPr>
          <w:rFonts w:hint="eastAsia"/>
          <w:color w:val="FF0000"/>
        </w:rPr>
        <w:t>备注：</w:t>
      </w:r>
    </w:p>
    <w:p w14:paraId="30BB95CB">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1、如本项目没有设置实质性服务条款（以★号标注），该部分无需填写。</w:t>
      </w:r>
    </w:p>
    <w:p w14:paraId="508CF1CD">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2、如本项目设置了实质性服务条款（以★号标注），投标供应商须按要求提供相关证明文件，如未提供或出现负偏离的，投标文件作投标无效处理。</w:t>
      </w:r>
    </w:p>
    <w:tbl>
      <w:tblPr>
        <w:tblStyle w:val="3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774"/>
        <w:gridCol w:w="1530"/>
        <w:gridCol w:w="1275"/>
        <w:gridCol w:w="933"/>
      </w:tblGrid>
      <w:tr w14:paraId="50824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1" w:hRule="atLeast"/>
        </w:trPr>
        <w:tc>
          <w:tcPr>
            <w:tcW w:w="705" w:type="dxa"/>
            <w:vAlign w:val="center"/>
          </w:tcPr>
          <w:p w14:paraId="5643972D">
            <w:pPr>
              <w:adjustRightInd w:val="0"/>
              <w:snapToGrid w:val="0"/>
              <w:spacing w:line="360" w:lineRule="auto"/>
              <w:jc w:val="center"/>
              <w:rPr>
                <w:rFonts w:ascii="宋体" w:hAnsi="宋体"/>
                <w:kern w:val="0"/>
                <w:szCs w:val="21"/>
              </w:rPr>
            </w:pPr>
            <w:bookmarkStart w:id="26" w:name="_Hlk72092651"/>
            <w:r>
              <w:rPr>
                <w:rFonts w:hint="eastAsia" w:ascii="宋体" w:hAnsi="宋体"/>
                <w:kern w:val="0"/>
                <w:szCs w:val="21"/>
              </w:rPr>
              <w:t>序号</w:t>
            </w:r>
          </w:p>
        </w:tc>
        <w:tc>
          <w:tcPr>
            <w:tcW w:w="3774" w:type="dxa"/>
            <w:vAlign w:val="center"/>
          </w:tcPr>
          <w:p w14:paraId="0C814A6A">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30" w:type="dxa"/>
            <w:vAlign w:val="center"/>
          </w:tcPr>
          <w:p w14:paraId="1C0E01A8">
            <w:pPr>
              <w:adjustRightInd w:val="0"/>
              <w:snapToGrid w:val="0"/>
              <w:spacing w:line="360" w:lineRule="auto"/>
              <w:jc w:val="center"/>
              <w:rPr>
                <w:rFonts w:ascii="宋体" w:hAnsi="宋体"/>
                <w:kern w:val="0"/>
                <w:szCs w:val="21"/>
              </w:rPr>
            </w:pPr>
            <w:r>
              <w:rPr>
                <w:rFonts w:hint="eastAsia"/>
              </w:rPr>
              <w:t>投标响应</w:t>
            </w:r>
          </w:p>
        </w:tc>
        <w:tc>
          <w:tcPr>
            <w:tcW w:w="1275" w:type="dxa"/>
            <w:vAlign w:val="center"/>
          </w:tcPr>
          <w:p w14:paraId="45BA6B1F">
            <w:pPr>
              <w:adjustRightInd w:val="0"/>
              <w:snapToGrid w:val="0"/>
              <w:spacing w:line="360" w:lineRule="auto"/>
              <w:jc w:val="center"/>
              <w:rPr>
                <w:rFonts w:ascii="宋体" w:hAnsi="宋体"/>
                <w:kern w:val="0"/>
                <w:szCs w:val="21"/>
              </w:rPr>
            </w:pPr>
            <w:r>
              <w:rPr>
                <w:rFonts w:hint="eastAsia"/>
              </w:rPr>
              <w:t>偏离情况</w:t>
            </w:r>
          </w:p>
        </w:tc>
        <w:tc>
          <w:tcPr>
            <w:tcW w:w="933" w:type="dxa"/>
            <w:vAlign w:val="center"/>
          </w:tcPr>
          <w:p w14:paraId="398B4DC7">
            <w:pPr>
              <w:adjustRightInd w:val="0"/>
              <w:snapToGrid w:val="0"/>
              <w:spacing w:line="360" w:lineRule="auto"/>
              <w:jc w:val="center"/>
              <w:rPr>
                <w:rFonts w:ascii="宋体" w:hAnsi="宋体"/>
                <w:kern w:val="0"/>
                <w:szCs w:val="21"/>
              </w:rPr>
            </w:pPr>
            <w:r>
              <w:rPr>
                <w:rFonts w:hint="eastAsia"/>
              </w:rPr>
              <w:t>说明</w:t>
            </w:r>
          </w:p>
        </w:tc>
      </w:tr>
      <w:bookmarkEnd w:id="26"/>
      <w:tr w14:paraId="035BC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6B0A6111">
            <w:pPr>
              <w:adjustRightInd w:val="0"/>
              <w:snapToGrid w:val="0"/>
              <w:spacing w:line="360" w:lineRule="auto"/>
              <w:rPr>
                <w:rFonts w:ascii="宋体" w:hAnsi="宋体"/>
                <w:kern w:val="0"/>
                <w:szCs w:val="21"/>
              </w:rPr>
            </w:pPr>
            <w:r>
              <w:rPr>
                <w:rFonts w:hint="eastAsia" w:ascii="宋体" w:hAnsi="宋体"/>
                <w:kern w:val="0"/>
                <w:szCs w:val="21"/>
              </w:rPr>
              <w:t>1</w:t>
            </w:r>
          </w:p>
        </w:tc>
        <w:tc>
          <w:tcPr>
            <w:tcW w:w="3774" w:type="dxa"/>
          </w:tcPr>
          <w:p w14:paraId="3BAC268F">
            <w:pPr>
              <w:rPr>
                <w:rFonts w:hAnsi="宋体"/>
                <w:kern w:val="0"/>
                <w:szCs w:val="21"/>
              </w:rPr>
            </w:pPr>
            <w:r>
              <w:rPr>
                <w:rFonts w:hint="eastAsia" w:ascii="宋体" w:hAnsi="宋体"/>
                <w:snapToGrid w:val="0"/>
                <w:color w:val="FF0000"/>
                <w:kern w:val="0"/>
              </w:rPr>
              <w:t>（2）★</w:t>
            </w:r>
            <w:r>
              <w:rPr>
                <w:rFonts w:hint="eastAsia" w:ascii="宋体" w:hAnsi="宋体"/>
                <w:color w:val="FF0000"/>
                <w:highlight w:val="none"/>
              </w:rPr>
              <w:t>本项目合同期为自签订之日起一年。本项目为长期服务项目，长期服务政府采购合同履行期限最长不得超过三十六个月。如甲方对履约情况不满意，甲方不再续约。</w:t>
            </w:r>
          </w:p>
        </w:tc>
        <w:tc>
          <w:tcPr>
            <w:tcW w:w="1530" w:type="dxa"/>
          </w:tcPr>
          <w:p w14:paraId="2EB89B28">
            <w:pPr>
              <w:adjustRightInd w:val="0"/>
              <w:snapToGrid w:val="0"/>
              <w:spacing w:line="360" w:lineRule="auto"/>
              <w:rPr>
                <w:rFonts w:ascii="宋体" w:hAnsi="宋体"/>
                <w:kern w:val="0"/>
                <w:szCs w:val="21"/>
              </w:rPr>
            </w:pPr>
          </w:p>
        </w:tc>
        <w:tc>
          <w:tcPr>
            <w:tcW w:w="1275" w:type="dxa"/>
          </w:tcPr>
          <w:p w14:paraId="57E3A09E">
            <w:pPr>
              <w:adjustRightInd w:val="0"/>
              <w:snapToGrid w:val="0"/>
              <w:spacing w:line="360" w:lineRule="auto"/>
              <w:rPr>
                <w:rFonts w:ascii="宋体" w:hAnsi="宋体"/>
                <w:kern w:val="0"/>
                <w:szCs w:val="21"/>
              </w:rPr>
            </w:pPr>
          </w:p>
        </w:tc>
        <w:tc>
          <w:tcPr>
            <w:tcW w:w="933" w:type="dxa"/>
          </w:tcPr>
          <w:p w14:paraId="2A874A25">
            <w:pPr>
              <w:adjustRightInd w:val="0"/>
              <w:snapToGrid w:val="0"/>
              <w:spacing w:line="360" w:lineRule="auto"/>
              <w:rPr>
                <w:rFonts w:ascii="宋体" w:hAnsi="宋体"/>
                <w:kern w:val="0"/>
                <w:szCs w:val="21"/>
              </w:rPr>
            </w:pPr>
          </w:p>
        </w:tc>
      </w:tr>
    </w:tbl>
    <w:p w14:paraId="2D9DA91C">
      <w:pPr>
        <w:ind w:firstLine="420" w:firstLineChars="200"/>
      </w:pPr>
      <w:bookmarkStart w:id="198" w:name="_GoBack"/>
      <w:bookmarkEnd w:id="198"/>
      <w:r>
        <w:rPr>
          <w:rFonts w:hint="eastAsia"/>
        </w:rPr>
        <w:t>注：</w:t>
      </w:r>
    </w:p>
    <w:p w14:paraId="7B5F51A4">
      <w:pPr>
        <w:ind w:firstLine="420" w:firstLineChars="200"/>
      </w:pPr>
      <w:r>
        <w:rPr>
          <w:rFonts w:hint="eastAsia"/>
        </w:rPr>
        <w:t>1.上表所列各项均为不可负偏离条款。</w:t>
      </w:r>
    </w:p>
    <w:p w14:paraId="2B0A8AB5">
      <w:pPr>
        <w:ind w:firstLine="420" w:firstLineChars="200"/>
      </w:pPr>
      <w:r>
        <w:rPr>
          <w:rFonts w:hint="eastAsia"/>
        </w:rPr>
        <w:t>2.“投标响应”一栏应当详细填写投标人自身响应情况，而不能不合理照搬照抄招实质性条款具体内容。</w:t>
      </w:r>
    </w:p>
    <w:p w14:paraId="4B327965">
      <w:pPr>
        <w:ind w:firstLine="420" w:firstLineChars="200"/>
      </w:pPr>
      <w:r>
        <w:rPr>
          <w:rFonts w:hint="eastAsia"/>
        </w:rPr>
        <w:t>3</w:t>
      </w:r>
      <w:r>
        <w:t>.</w:t>
      </w:r>
      <w:r>
        <w:rPr>
          <w:rFonts w:hint="eastAsia"/>
        </w:rPr>
        <w:t>“偏离情况”一栏应填写“正偏离”、“负偏离”或“无偏离”，“正偏离”表示“投标响应优于实质性条款具体内容要求”，“负偏离”表示“投标响应不满足实质性条款具体内容要求”，“无偏离”表示“投标响应与实质性条款具体内容要求一致”。</w:t>
      </w:r>
    </w:p>
    <w:p w14:paraId="7A8E7B77">
      <w:pPr>
        <w:ind w:firstLine="420" w:firstLineChars="200"/>
      </w:pPr>
      <w:r>
        <w:t>4.</w:t>
      </w:r>
      <w:r>
        <w:rPr>
          <w:rFonts w:hint="eastAsia"/>
        </w:rPr>
        <w:t>评审委员会有权对投标响应情况作出判断（作出评审结论）。</w:t>
      </w:r>
    </w:p>
    <w:p w14:paraId="0E5411FA">
      <w:pPr>
        <w:ind w:firstLine="420" w:firstLineChars="200"/>
      </w:pPr>
      <w:r>
        <w:t>5</w:t>
      </w:r>
      <w:r>
        <w:rPr>
          <w:rFonts w:hint="eastAsia"/>
        </w:rPr>
        <w:t>.实质性响应条款“投标响应情况”与投标文件其它内容冲突的，以实质性响应条款“投标响应情况”为准。</w:t>
      </w:r>
    </w:p>
    <w:p w14:paraId="4D8E4BC7">
      <w:pPr>
        <w:ind w:firstLine="420" w:firstLineChars="200"/>
      </w:pPr>
      <w:r>
        <w:rPr>
          <w:rFonts w:hint="eastAsia"/>
        </w:rPr>
        <w:t>6.要求提供证明资料，在“说明”一栏中列明证明资料的位置,以便评审；未要求提供证明材料的，投标人可以不提供。</w:t>
      </w:r>
    </w:p>
    <w:p w14:paraId="15AA6D4F">
      <w:pPr>
        <w:ind w:firstLine="420" w:firstLineChars="200"/>
      </w:pPr>
    </w:p>
    <w:p w14:paraId="6CB896BA">
      <w:pPr>
        <w:ind w:firstLine="420" w:firstLineChars="200"/>
        <w:rPr>
          <w:rFonts w:ascii="黑体" w:hAnsi="宋体" w:eastAsia="黑体"/>
          <w:bCs/>
          <w:color w:val="FF0000"/>
          <w:kern w:val="0"/>
          <w:szCs w:val="21"/>
        </w:rPr>
      </w:pPr>
    </w:p>
    <w:p w14:paraId="10F223AE">
      <w:pPr>
        <w:ind w:firstLine="420" w:firstLineChars="200"/>
        <w:rPr>
          <w:rFonts w:ascii="黑体" w:hAnsi="宋体" w:eastAsia="黑体"/>
          <w:bCs/>
          <w:color w:val="FF0000"/>
          <w:kern w:val="0"/>
          <w:szCs w:val="21"/>
        </w:rPr>
      </w:pPr>
    </w:p>
    <w:p w14:paraId="5E4FBF81">
      <w:pPr>
        <w:pStyle w:val="3"/>
        <w:jc w:val="center"/>
      </w:pPr>
      <w:r>
        <w:rPr>
          <w:rFonts w:hint="eastAsia"/>
          <w:szCs w:val="24"/>
        </w:rPr>
        <w:t>（五）</w:t>
      </w:r>
      <w:r>
        <w:rPr>
          <w:rFonts w:hint="eastAsia"/>
        </w:rPr>
        <w:t>法定代表人（负责人）资格证明书</w:t>
      </w:r>
    </w:p>
    <w:p w14:paraId="60D20560">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13178F82">
      <w:pPr>
        <w:spacing w:line="360" w:lineRule="auto"/>
        <w:ind w:firstLine="420" w:firstLineChars="200"/>
        <w:rPr>
          <w:szCs w:val="21"/>
        </w:rPr>
      </w:pPr>
      <w:r>
        <w:rPr>
          <w:rFonts w:hint="eastAsia"/>
          <w:szCs w:val="21"/>
        </w:rPr>
        <w:t>特此证明。</w:t>
      </w:r>
    </w:p>
    <w:p w14:paraId="1F771B8E">
      <w:pPr>
        <w:spacing w:line="360" w:lineRule="auto"/>
        <w:ind w:firstLine="420" w:firstLineChars="200"/>
        <w:rPr>
          <w:szCs w:val="21"/>
        </w:rPr>
      </w:pPr>
      <w:r>
        <w:rPr>
          <w:rFonts w:hint="eastAsia"/>
          <w:szCs w:val="21"/>
        </w:rPr>
        <w:t>说明：1、法定代表人为投标人（企业事业单位、国家机关、社会团体）的主要行政负责人。</w:t>
      </w:r>
    </w:p>
    <w:p w14:paraId="4ACA5927">
      <w:pPr>
        <w:numPr>
          <w:ilvl w:val="0"/>
          <w:numId w:val="2"/>
        </w:numPr>
        <w:spacing w:line="360" w:lineRule="auto"/>
        <w:ind w:firstLine="420" w:firstLineChars="200"/>
        <w:rPr>
          <w:szCs w:val="21"/>
        </w:rPr>
      </w:pPr>
      <w:r>
        <w:rPr>
          <w:rFonts w:hint="eastAsia"/>
          <w:szCs w:val="21"/>
          <w:lang w:eastAsia="zh-Hans"/>
        </w:rPr>
        <w:t>本证明书要供法定代表人（负责人）</w:t>
      </w:r>
      <w:r>
        <w:rPr>
          <w:rFonts w:hint="eastAsia"/>
          <w:szCs w:val="21"/>
        </w:rPr>
        <w:t>相关身份证明文件：身份证扫描件（正反两面）；港澳台居民可提供来往通行证扫描件；非中国国籍管辖范围人员，可提供公安部门认可的身份证明材料扫描件。</w:t>
      </w:r>
    </w:p>
    <w:p w14:paraId="3EB3CCF9">
      <w:pPr>
        <w:numPr>
          <w:ilvl w:val="0"/>
          <w:numId w:val="2"/>
        </w:numPr>
        <w:spacing w:line="360" w:lineRule="auto"/>
        <w:ind w:firstLine="420" w:firstLineChars="200"/>
        <w:rPr>
          <w:szCs w:val="21"/>
        </w:rPr>
      </w:pPr>
      <w:r>
        <w:rPr>
          <w:rFonts w:hint="eastAsia"/>
          <w:szCs w:val="21"/>
          <w:lang w:eastAsia="zh-Hans"/>
        </w:rPr>
        <w:t>本项目投标授权代表为法定代表人（负责人）的，无需提供</w:t>
      </w:r>
      <w:r>
        <w:rPr>
          <w:rFonts w:hint="eastAsia"/>
          <w:szCs w:val="21"/>
        </w:rPr>
        <w:t>《投标文件签署授权委托书》</w:t>
      </w:r>
      <w:r>
        <w:rPr>
          <w:rFonts w:hint="eastAsia"/>
          <w:szCs w:val="21"/>
          <w:lang w:eastAsia="zh-Hans"/>
        </w:rPr>
        <w:t>。</w:t>
      </w:r>
    </w:p>
    <w:p w14:paraId="6601FEF3">
      <w:pPr>
        <w:numPr>
          <w:ilvl w:val="0"/>
          <w:numId w:val="2"/>
        </w:numPr>
        <w:spacing w:line="360" w:lineRule="auto"/>
        <w:ind w:firstLine="420" w:firstLineChars="200"/>
        <w:rPr>
          <w:szCs w:val="21"/>
        </w:rPr>
      </w:pPr>
      <w:r>
        <w:rPr>
          <w:rFonts w:hint="eastAsia"/>
          <w:szCs w:val="21"/>
        </w:rPr>
        <w:t>内容必须填写真实、清楚，涂改无效，不得转让、买卖。</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3A498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trPr>
        <w:tc>
          <w:tcPr>
            <w:tcW w:w="4264" w:type="dxa"/>
          </w:tcPr>
          <w:p w14:paraId="1D991133">
            <w:pPr>
              <w:jc w:val="center"/>
            </w:pPr>
            <w:r>
              <w:rPr>
                <w:rFonts w:hint="eastAsia"/>
              </w:rPr>
              <w:t>证件扫描件正面</w:t>
            </w:r>
          </w:p>
          <w:p w14:paraId="2BCBE642">
            <w:pPr>
              <w:spacing w:line="360" w:lineRule="auto"/>
              <w:jc w:val="center"/>
              <w:rPr>
                <w:b/>
                <w:bCs/>
                <w:sz w:val="24"/>
              </w:rPr>
            </w:pPr>
          </w:p>
          <w:p w14:paraId="1B515B08">
            <w:pPr>
              <w:spacing w:line="360" w:lineRule="auto"/>
              <w:jc w:val="center"/>
              <w:rPr>
                <w:sz w:val="24"/>
              </w:rPr>
            </w:pPr>
          </w:p>
        </w:tc>
        <w:tc>
          <w:tcPr>
            <w:tcW w:w="4265" w:type="dxa"/>
          </w:tcPr>
          <w:p w14:paraId="4C430640">
            <w:pPr>
              <w:jc w:val="center"/>
            </w:pPr>
            <w:r>
              <w:rPr>
                <w:rFonts w:hint="eastAsia"/>
              </w:rPr>
              <w:t>证件扫描件反面</w:t>
            </w:r>
          </w:p>
          <w:p w14:paraId="04A31762">
            <w:pPr>
              <w:spacing w:line="360" w:lineRule="auto"/>
              <w:jc w:val="center"/>
              <w:rPr>
                <w:b/>
                <w:bCs/>
                <w:sz w:val="24"/>
              </w:rPr>
            </w:pPr>
          </w:p>
          <w:p w14:paraId="0088CEDC">
            <w:pPr>
              <w:spacing w:line="360" w:lineRule="auto"/>
              <w:jc w:val="center"/>
              <w:rPr>
                <w:sz w:val="24"/>
              </w:rPr>
            </w:pPr>
          </w:p>
        </w:tc>
      </w:tr>
    </w:tbl>
    <w:p w14:paraId="64A7944E">
      <w:pPr>
        <w:spacing w:after="120"/>
        <w:ind w:firstLine="422" w:firstLineChars="200"/>
        <w:rPr>
          <w:rFonts w:asciiTheme="minorHAnsi" w:hAnsiTheme="minorHAnsi" w:eastAsiaTheme="minorEastAsia" w:cstheme="minorBidi"/>
          <w:b/>
          <w:color w:val="FF0000"/>
        </w:rPr>
      </w:pPr>
    </w:p>
    <w:p w14:paraId="48E5AD8F">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2910C337">
      <w:pPr>
        <w:rPr>
          <w:sz w:val="24"/>
        </w:rPr>
      </w:pPr>
    </w:p>
    <w:p w14:paraId="4B831575">
      <w:pPr>
        <w:widowControl/>
        <w:jc w:val="left"/>
        <w:rPr>
          <w:rFonts w:ascii="黑体" w:hAnsi="宋体" w:eastAsia="黑体"/>
          <w:bCs/>
          <w:sz w:val="24"/>
          <w:szCs w:val="32"/>
        </w:rPr>
      </w:pPr>
      <w:r>
        <w:rPr>
          <w:rFonts w:ascii="黑体" w:eastAsia="黑体"/>
          <w:b/>
          <w:sz w:val="24"/>
        </w:rPr>
        <w:br w:type="page"/>
      </w:r>
    </w:p>
    <w:p w14:paraId="6BF4DE15">
      <w:pPr>
        <w:pStyle w:val="3"/>
        <w:jc w:val="center"/>
      </w:pPr>
      <w:r>
        <w:rPr>
          <w:rFonts w:hint="eastAsia"/>
          <w:szCs w:val="24"/>
        </w:rPr>
        <w:t>（六）</w:t>
      </w:r>
      <w:r>
        <w:rPr>
          <w:rFonts w:hint="eastAsia"/>
        </w:rPr>
        <w:t>投标文件签署授权委托书</w:t>
      </w:r>
    </w:p>
    <w:p w14:paraId="7611BFAA">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363098F4">
      <w:pPr>
        <w:spacing w:line="360" w:lineRule="auto"/>
        <w:ind w:firstLine="420" w:firstLineChars="200"/>
        <w:rPr>
          <w:szCs w:val="21"/>
        </w:rPr>
      </w:pPr>
      <w:r>
        <w:rPr>
          <w:rFonts w:hint="eastAsia"/>
          <w:szCs w:val="21"/>
        </w:rPr>
        <w:t>代理人无转委托权，特此委托。</w:t>
      </w:r>
    </w:p>
    <w:p w14:paraId="35D642B9">
      <w:pPr>
        <w:spacing w:line="360" w:lineRule="auto"/>
        <w:ind w:firstLine="420" w:firstLineChars="200"/>
        <w:rPr>
          <w:szCs w:val="21"/>
        </w:rPr>
      </w:pPr>
    </w:p>
    <w:p w14:paraId="052E542A">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5E91DEAD">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04625144">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236644B0">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41EA1A01">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8FF9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5" w:hRule="atLeast"/>
        </w:trPr>
        <w:tc>
          <w:tcPr>
            <w:tcW w:w="4264" w:type="dxa"/>
          </w:tcPr>
          <w:p w14:paraId="28FF7133">
            <w:pPr>
              <w:jc w:val="center"/>
            </w:pPr>
            <w:r>
              <w:rPr>
                <w:rFonts w:hint="eastAsia"/>
              </w:rPr>
              <w:t>证件扫描件正面</w:t>
            </w:r>
          </w:p>
          <w:p w14:paraId="31CADF23">
            <w:pPr>
              <w:spacing w:line="360" w:lineRule="auto"/>
              <w:jc w:val="center"/>
              <w:rPr>
                <w:b/>
                <w:bCs/>
                <w:sz w:val="24"/>
              </w:rPr>
            </w:pPr>
          </w:p>
          <w:p w14:paraId="19F25CBD">
            <w:pPr>
              <w:spacing w:line="360" w:lineRule="auto"/>
              <w:jc w:val="center"/>
              <w:rPr>
                <w:sz w:val="24"/>
              </w:rPr>
            </w:pPr>
          </w:p>
        </w:tc>
        <w:tc>
          <w:tcPr>
            <w:tcW w:w="4265" w:type="dxa"/>
          </w:tcPr>
          <w:p w14:paraId="396427D1">
            <w:pPr>
              <w:jc w:val="center"/>
            </w:pPr>
            <w:r>
              <w:rPr>
                <w:rFonts w:hint="eastAsia"/>
              </w:rPr>
              <w:t>证件扫描件反面</w:t>
            </w:r>
          </w:p>
          <w:p w14:paraId="4ACC7134">
            <w:pPr>
              <w:spacing w:line="360" w:lineRule="auto"/>
              <w:jc w:val="center"/>
              <w:rPr>
                <w:b/>
                <w:bCs/>
                <w:sz w:val="24"/>
              </w:rPr>
            </w:pPr>
          </w:p>
          <w:p w14:paraId="29746081">
            <w:pPr>
              <w:spacing w:line="360" w:lineRule="auto"/>
              <w:jc w:val="center"/>
              <w:rPr>
                <w:sz w:val="24"/>
              </w:rPr>
            </w:pPr>
          </w:p>
        </w:tc>
      </w:tr>
    </w:tbl>
    <w:p w14:paraId="6DF99E0C"/>
    <w:p w14:paraId="33D9DBE9">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5CC0E309">
      <w:pPr>
        <w:pStyle w:val="31"/>
      </w:pPr>
    </w:p>
    <w:p w14:paraId="56345B0A">
      <w:pPr>
        <w:widowControl/>
        <w:jc w:val="left"/>
        <w:rPr>
          <w:rFonts w:ascii="黑体" w:hAnsi="宋体" w:eastAsia="黑体"/>
          <w:bCs/>
          <w:kern w:val="0"/>
          <w:sz w:val="24"/>
        </w:rPr>
      </w:pPr>
      <w:r>
        <w:rPr>
          <w:rFonts w:ascii="黑体" w:eastAsia="黑体"/>
          <w:b/>
          <w:kern w:val="0"/>
          <w:sz w:val="24"/>
        </w:rPr>
        <w:br w:type="page"/>
      </w:r>
    </w:p>
    <w:p w14:paraId="2F2379D6">
      <w:pPr>
        <w:pStyle w:val="3"/>
        <w:jc w:val="center"/>
      </w:pPr>
      <w:r>
        <w:rPr>
          <w:rFonts w:hint="eastAsia"/>
        </w:rPr>
        <w:t>（七）分项报价清单</w:t>
      </w:r>
    </w:p>
    <w:tbl>
      <w:tblPr>
        <w:tblStyle w:val="32"/>
        <w:tblW w:w="8613" w:type="dxa"/>
        <w:tblInd w:w="0" w:type="dxa"/>
        <w:tblLayout w:type="fixed"/>
        <w:tblCellMar>
          <w:top w:w="0" w:type="dxa"/>
          <w:left w:w="108" w:type="dxa"/>
          <w:bottom w:w="0" w:type="dxa"/>
          <w:right w:w="108" w:type="dxa"/>
        </w:tblCellMar>
      </w:tblPr>
      <w:tblGrid>
        <w:gridCol w:w="618"/>
        <w:gridCol w:w="1016"/>
        <w:gridCol w:w="3152"/>
        <w:gridCol w:w="1559"/>
        <w:gridCol w:w="2268"/>
      </w:tblGrid>
      <w:tr w14:paraId="5CEC5482">
        <w:tblPrEx>
          <w:tblCellMar>
            <w:top w:w="0" w:type="dxa"/>
            <w:left w:w="108" w:type="dxa"/>
            <w:bottom w:w="0" w:type="dxa"/>
            <w:right w:w="108" w:type="dxa"/>
          </w:tblCellMar>
        </w:tblPrEx>
        <w:trPr>
          <w:trHeight w:val="285" w:hRule="atLeast"/>
        </w:trPr>
        <w:tc>
          <w:tcPr>
            <w:tcW w:w="618" w:type="dxa"/>
            <w:tcBorders>
              <w:top w:val="single" w:color="auto" w:sz="8" w:space="0"/>
              <w:left w:val="single" w:color="auto" w:sz="8" w:space="0"/>
              <w:bottom w:val="single" w:color="auto" w:sz="4" w:space="0"/>
              <w:right w:val="single" w:color="auto" w:sz="4" w:space="0"/>
            </w:tcBorders>
            <w:shd w:val="clear" w:color="000000" w:fill="E7E6E6"/>
            <w:vAlign w:val="center"/>
          </w:tcPr>
          <w:p w14:paraId="76C6F04D">
            <w:pPr>
              <w:widowControl/>
              <w:jc w:val="center"/>
              <w:rPr>
                <w:rFonts w:ascii="宋体" w:hAnsi="宋体" w:cs="宋体"/>
                <w:b/>
                <w:bCs/>
                <w:kern w:val="0"/>
                <w:sz w:val="20"/>
                <w:szCs w:val="20"/>
              </w:rPr>
            </w:pPr>
            <w:r>
              <w:rPr>
                <w:rFonts w:hint="eastAsia" w:ascii="宋体" w:hAnsi="宋体" w:cs="宋体"/>
                <w:b/>
                <w:bCs/>
                <w:kern w:val="0"/>
                <w:sz w:val="20"/>
                <w:szCs w:val="20"/>
              </w:rPr>
              <w:t>序号</w:t>
            </w:r>
          </w:p>
        </w:tc>
        <w:tc>
          <w:tcPr>
            <w:tcW w:w="4168" w:type="dxa"/>
            <w:gridSpan w:val="2"/>
            <w:tcBorders>
              <w:top w:val="single" w:color="auto" w:sz="8" w:space="0"/>
              <w:left w:val="nil"/>
              <w:bottom w:val="single" w:color="auto" w:sz="4" w:space="0"/>
              <w:right w:val="single" w:color="auto" w:sz="4" w:space="0"/>
            </w:tcBorders>
            <w:shd w:val="clear" w:color="000000" w:fill="E7E6E6"/>
            <w:vAlign w:val="center"/>
          </w:tcPr>
          <w:p w14:paraId="2EFCA173">
            <w:pPr>
              <w:widowControl/>
              <w:jc w:val="center"/>
              <w:rPr>
                <w:rFonts w:ascii="宋体" w:hAnsi="宋体" w:cs="宋体"/>
                <w:b/>
                <w:bCs/>
                <w:kern w:val="0"/>
                <w:sz w:val="20"/>
                <w:szCs w:val="20"/>
              </w:rPr>
            </w:pPr>
            <w:r>
              <w:rPr>
                <w:rFonts w:hint="eastAsia" w:ascii="宋体" w:hAnsi="宋体" w:cs="宋体"/>
                <w:b/>
                <w:bCs/>
                <w:kern w:val="0"/>
                <w:sz w:val="20"/>
                <w:szCs w:val="20"/>
              </w:rPr>
              <w:t>需求名称</w:t>
            </w:r>
          </w:p>
        </w:tc>
        <w:tc>
          <w:tcPr>
            <w:tcW w:w="1559" w:type="dxa"/>
            <w:tcBorders>
              <w:top w:val="single" w:color="auto" w:sz="8" w:space="0"/>
              <w:left w:val="nil"/>
              <w:bottom w:val="single" w:color="auto" w:sz="4" w:space="0"/>
              <w:right w:val="single" w:color="auto" w:sz="4" w:space="0"/>
            </w:tcBorders>
            <w:shd w:val="clear" w:color="000000" w:fill="E7E6E6"/>
            <w:vAlign w:val="center"/>
          </w:tcPr>
          <w:p w14:paraId="5B7D8E03">
            <w:pPr>
              <w:widowControl/>
              <w:jc w:val="center"/>
              <w:rPr>
                <w:rFonts w:ascii="宋体" w:hAnsi="宋体" w:cs="宋体"/>
                <w:b/>
                <w:bCs/>
                <w:kern w:val="0"/>
                <w:sz w:val="20"/>
                <w:szCs w:val="20"/>
              </w:rPr>
            </w:pPr>
            <w:r>
              <w:rPr>
                <w:rFonts w:hint="eastAsia" w:ascii="宋体" w:hAnsi="宋体" w:cs="宋体"/>
                <w:b/>
                <w:bCs/>
                <w:kern w:val="0"/>
                <w:sz w:val="20"/>
                <w:szCs w:val="20"/>
              </w:rPr>
              <w:t>金额（元）</w:t>
            </w:r>
          </w:p>
        </w:tc>
        <w:tc>
          <w:tcPr>
            <w:tcW w:w="2268" w:type="dxa"/>
            <w:tcBorders>
              <w:top w:val="single" w:color="auto" w:sz="8" w:space="0"/>
              <w:left w:val="nil"/>
              <w:bottom w:val="single" w:color="auto" w:sz="4" w:space="0"/>
              <w:right w:val="single" w:color="auto" w:sz="8" w:space="0"/>
            </w:tcBorders>
            <w:shd w:val="clear" w:color="000000" w:fill="E7E6E6"/>
            <w:vAlign w:val="center"/>
          </w:tcPr>
          <w:p w14:paraId="01FEE007">
            <w:pPr>
              <w:widowControl/>
              <w:jc w:val="center"/>
              <w:rPr>
                <w:rFonts w:ascii="宋体" w:hAnsi="宋体" w:cs="宋体"/>
                <w:b/>
                <w:bCs/>
                <w:kern w:val="0"/>
                <w:sz w:val="20"/>
                <w:szCs w:val="20"/>
              </w:rPr>
            </w:pPr>
            <w:r>
              <w:rPr>
                <w:rFonts w:hint="eastAsia" w:ascii="宋体" w:hAnsi="宋体" w:cs="宋体"/>
                <w:b/>
                <w:bCs/>
                <w:kern w:val="0"/>
                <w:sz w:val="20"/>
                <w:szCs w:val="20"/>
              </w:rPr>
              <w:t>说明</w:t>
            </w:r>
          </w:p>
        </w:tc>
      </w:tr>
      <w:tr w14:paraId="03790576">
        <w:tblPrEx>
          <w:tblCellMar>
            <w:top w:w="0" w:type="dxa"/>
            <w:left w:w="108" w:type="dxa"/>
            <w:bottom w:w="0" w:type="dxa"/>
            <w:right w:w="108" w:type="dxa"/>
          </w:tblCellMar>
        </w:tblPrEx>
        <w:trPr>
          <w:trHeight w:val="285" w:hRule="atLeast"/>
        </w:trPr>
        <w:tc>
          <w:tcPr>
            <w:tcW w:w="618" w:type="dxa"/>
            <w:tcBorders>
              <w:top w:val="single" w:color="auto" w:sz="4" w:space="0"/>
              <w:left w:val="single" w:color="auto" w:sz="8" w:space="0"/>
              <w:bottom w:val="single" w:color="auto" w:sz="4" w:space="0"/>
              <w:right w:val="single" w:color="auto" w:sz="4" w:space="0"/>
            </w:tcBorders>
            <w:shd w:val="clear" w:color="auto" w:fill="auto"/>
            <w:vAlign w:val="center"/>
          </w:tcPr>
          <w:p w14:paraId="5B483D7C">
            <w:pPr>
              <w:widowControl/>
              <w:jc w:val="center"/>
              <w:rPr>
                <w:rFonts w:ascii="宋体" w:hAnsi="宋体" w:cs="宋体"/>
                <w:kern w:val="0"/>
                <w:sz w:val="20"/>
                <w:szCs w:val="20"/>
              </w:rPr>
            </w:pPr>
            <w:r>
              <w:rPr>
                <w:rFonts w:hint="eastAsia" w:ascii="宋体" w:hAnsi="宋体" w:cs="宋体"/>
                <w:kern w:val="0"/>
                <w:sz w:val="20"/>
                <w:szCs w:val="20"/>
              </w:rPr>
              <w:t>一</w:t>
            </w:r>
          </w:p>
        </w:tc>
        <w:tc>
          <w:tcPr>
            <w:tcW w:w="4168" w:type="dxa"/>
            <w:gridSpan w:val="2"/>
            <w:tcBorders>
              <w:top w:val="single" w:color="auto" w:sz="4" w:space="0"/>
              <w:left w:val="nil"/>
              <w:bottom w:val="single" w:color="auto" w:sz="4" w:space="0"/>
              <w:right w:val="single" w:color="auto" w:sz="4" w:space="0"/>
            </w:tcBorders>
            <w:shd w:val="clear" w:color="auto" w:fill="auto"/>
            <w:vAlign w:val="center"/>
          </w:tcPr>
          <w:p w14:paraId="5A0188EA">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single" w:color="auto" w:sz="4" w:space="0"/>
              <w:left w:val="nil"/>
              <w:bottom w:val="single" w:color="auto" w:sz="4" w:space="0"/>
              <w:right w:val="single" w:color="auto" w:sz="4" w:space="0"/>
            </w:tcBorders>
            <w:shd w:val="clear" w:color="000000" w:fill="FFFFFF"/>
            <w:vAlign w:val="center"/>
          </w:tcPr>
          <w:p w14:paraId="1D87BA8E">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single" w:color="auto" w:sz="4" w:space="0"/>
              <w:left w:val="nil"/>
              <w:bottom w:val="single" w:color="auto" w:sz="4" w:space="0"/>
              <w:right w:val="single" w:color="auto" w:sz="8" w:space="0"/>
            </w:tcBorders>
            <w:shd w:val="clear" w:color="auto" w:fill="auto"/>
            <w:vAlign w:val="center"/>
          </w:tcPr>
          <w:p w14:paraId="411BAB36">
            <w:pPr>
              <w:widowControl/>
              <w:jc w:val="left"/>
              <w:rPr>
                <w:rFonts w:ascii="宋体" w:hAnsi="宋体" w:cs="宋体"/>
                <w:kern w:val="0"/>
                <w:sz w:val="20"/>
                <w:szCs w:val="20"/>
              </w:rPr>
            </w:pPr>
          </w:p>
        </w:tc>
      </w:tr>
      <w:tr w14:paraId="7DBCD173">
        <w:tblPrEx>
          <w:tblCellMar>
            <w:top w:w="0" w:type="dxa"/>
            <w:left w:w="108" w:type="dxa"/>
            <w:bottom w:w="0" w:type="dxa"/>
            <w:right w:w="108" w:type="dxa"/>
          </w:tblCellMar>
        </w:tblPrEx>
        <w:trPr>
          <w:trHeight w:val="480" w:hRule="atLeast"/>
        </w:trPr>
        <w:tc>
          <w:tcPr>
            <w:tcW w:w="618" w:type="dxa"/>
            <w:vMerge w:val="restart"/>
            <w:tcBorders>
              <w:top w:val="nil"/>
              <w:left w:val="single" w:color="auto" w:sz="8" w:space="0"/>
              <w:right w:val="single" w:color="auto" w:sz="4" w:space="0"/>
            </w:tcBorders>
            <w:shd w:val="clear" w:color="auto" w:fill="auto"/>
            <w:vAlign w:val="center"/>
          </w:tcPr>
          <w:p w14:paraId="538FD38E">
            <w:pPr>
              <w:widowControl/>
              <w:jc w:val="center"/>
              <w:rPr>
                <w:rFonts w:ascii="宋体" w:hAnsi="宋体" w:cs="宋体"/>
                <w:kern w:val="0"/>
                <w:sz w:val="20"/>
                <w:szCs w:val="20"/>
              </w:rPr>
            </w:pPr>
            <w:r>
              <w:rPr>
                <w:rFonts w:hint="eastAsia" w:ascii="宋体" w:hAnsi="宋体" w:cs="宋体"/>
                <w:kern w:val="0"/>
                <w:sz w:val="20"/>
                <w:szCs w:val="20"/>
              </w:rPr>
              <w:t>二</w:t>
            </w:r>
          </w:p>
        </w:tc>
        <w:tc>
          <w:tcPr>
            <w:tcW w:w="1016" w:type="dxa"/>
            <w:vMerge w:val="restart"/>
            <w:tcBorders>
              <w:top w:val="nil"/>
              <w:left w:val="single" w:color="auto" w:sz="4" w:space="0"/>
              <w:bottom w:val="single" w:color="auto" w:sz="4" w:space="0"/>
              <w:right w:val="single" w:color="auto" w:sz="4" w:space="0"/>
            </w:tcBorders>
            <w:shd w:val="clear" w:color="auto" w:fill="auto"/>
            <w:vAlign w:val="center"/>
          </w:tcPr>
          <w:p w14:paraId="681604C5">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w:t>
            </w:r>
          </w:p>
        </w:tc>
        <w:tc>
          <w:tcPr>
            <w:tcW w:w="3152" w:type="dxa"/>
            <w:tcBorders>
              <w:top w:val="nil"/>
              <w:left w:val="nil"/>
              <w:bottom w:val="single" w:color="auto" w:sz="4" w:space="0"/>
              <w:right w:val="single" w:color="auto" w:sz="4" w:space="0"/>
            </w:tcBorders>
            <w:shd w:val="clear" w:color="auto" w:fill="auto"/>
            <w:vAlign w:val="center"/>
          </w:tcPr>
          <w:p w14:paraId="0E8012F9">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207E785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restart"/>
            <w:tcBorders>
              <w:top w:val="nil"/>
              <w:left w:val="nil"/>
              <w:right w:val="single" w:color="auto" w:sz="8" w:space="0"/>
            </w:tcBorders>
            <w:shd w:val="clear" w:color="auto" w:fill="auto"/>
            <w:vAlign w:val="center"/>
          </w:tcPr>
          <w:p w14:paraId="549FD375">
            <w:pPr>
              <w:widowControl/>
              <w:jc w:val="left"/>
              <w:rPr>
                <w:rFonts w:ascii="宋体" w:hAnsi="宋体" w:cs="宋体"/>
                <w:kern w:val="0"/>
                <w:sz w:val="20"/>
                <w:szCs w:val="20"/>
              </w:rPr>
            </w:pPr>
            <w:r>
              <w:rPr>
                <w:rFonts w:hint="eastAsia" w:ascii="宋体" w:hAnsi="宋体" w:cs="宋体"/>
                <w:kern w:val="0"/>
                <w:sz w:val="20"/>
                <w:szCs w:val="20"/>
              </w:rPr>
              <w:t>　</w:t>
            </w:r>
          </w:p>
        </w:tc>
      </w:tr>
      <w:tr w14:paraId="58D46DFA">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76D6143B">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53492059">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25D9E0DB">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2EA7B0C4">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41A08AE5">
            <w:pPr>
              <w:jc w:val="left"/>
              <w:rPr>
                <w:rFonts w:ascii="宋体" w:hAnsi="宋体" w:cs="宋体"/>
                <w:kern w:val="0"/>
                <w:sz w:val="20"/>
                <w:szCs w:val="20"/>
              </w:rPr>
            </w:pPr>
          </w:p>
        </w:tc>
      </w:tr>
      <w:tr w14:paraId="6C6E6856">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3B946F6E">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67DB2C20">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21832DB5">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5F38AA3C">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758D4734">
            <w:pPr>
              <w:jc w:val="left"/>
              <w:rPr>
                <w:rFonts w:ascii="宋体" w:hAnsi="宋体" w:cs="宋体"/>
                <w:kern w:val="0"/>
                <w:sz w:val="20"/>
                <w:szCs w:val="20"/>
              </w:rPr>
            </w:pPr>
          </w:p>
        </w:tc>
      </w:tr>
      <w:tr w14:paraId="3052632D">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5AF37529">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1618AF49">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6A25F13A">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7D2172CD">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76036501">
            <w:pPr>
              <w:jc w:val="left"/>
              <w:rPr>
                <w:rFonts w:ascii="宋体" w:hAnsi="宋体" w:cs="宋体"/>
                <w:kern w:val="0"/>
                <w:sz w:val="20"/>
                <w:szCs w:val="20"/>
              </w:rPr>
            </w:pPr>
          </w:p>
        </w:tc>
      </w:tr>
      <w:tr w14:paraId="67629377">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4D29D5C0">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6CE2DBC9">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05014E26">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12C5D3E3">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1BF64CF4">
            <w:pPr>
              <w:jc w:val="left"/>
              <w:rPr>
                <w:rFonts w:ascii="宋体" w:hAnsi="宋体" w:cs="宋体"/>
                <w:kern w:val="0"/>
                <w:sz w:val="20"/>
                <w:szCs w:val="20"/>
              </w:rPr>
            </w:pPr>
          </w:p>
        </w:tc>
      </w:tr>
      <w:tr w14:paraId="35E445E5">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0946D72F">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6C6D94ED">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7D70EAAD">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41DE69E3">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bottom w:val="single" w:color="auto" w:sz="4" w:space="0"/>
              <w:right w:val="single" w:color="auto" w:sz="8" w:space="0"/>
            </w:tcBorders>
            <w:shd w:val="clear" w:color="auto" w:fill="auto"/>
            <w:vAlign w:val="center"/>
          </w:tcPr>
          <w:p w14:paraId="47EDB30D">
            <w:pPr>
              <w:widowControl/>
              <w:jc w:val="left"/>
              <w:rPr>
                <w:rFonts w:ascii="宋体" w:hAnsi="宋体" w:cs="宋体"/>
                <w:kern w:val="0"/>
                <w:sz w:val="20"/>
                <w:szCs w:val="20"/>
              </w:rPr>
            </w:pPr>
          </w:p>
        </w:tc>
      </w:tr>
      <w:tr w14:paraId="46EC62D7">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66F9148E">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27536A3C">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费用小计</w:t>
            </w:r>
          </w:p>
        </w:tc>
        <w:tc>
          <w:tcPr>
            <w:tcW w:w="1559" w:type="dxa"/>
            <w:tcBorders>
              <w:top w:val="nil"/>
              <w:left w:val="nil"/>
              <w:bottom w:val="single" w:color="auto" w:sz="4" w:space="0"/>
              <w:right w:val="single" w:color="auto" w:sz="4" w:space="0"/>
            </w:tcBorders>
            <w:shd w:val="clear" w:color="000000" w:fill="FFFFFF"/>
            <w:vAlign w:val="center"/>
          </w:tcPr>
          <w:p w14:paraId="7AE813CE">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4423825A">
            <w:pPr>
              <w:widowControl/>
              <w:jc w:val="left"/>
              <w:rPr>
                <w:rFonts w:ascii="宋体" w:hAnsi="宋体" w:cs="宋体"/>
                <w:kern w:val="0"/>
                <w:sz w:val="20"/>
                <w:szCs w:val="20"/>
              </w:rPr>
            </w:pPr>
            <w:r>
              <w:rPr>
                <w:rFonts w:hint="eastAsia" w:ascii="宋体" w:hAnsi="宋体" w:cs="宋体"/>
                <w:kern w:val="0"/>
                <w:sz w:val="20"/>
                <w:szCs w:val="20"/>
              </w:rPr>
              <w:t>　</w:t>
            </w:r>
          </w:p>
        </w:tc>
      </w:tr>
      <w:tr w14:paraId="2BCC0BCA">
        <w:tblPrEx>
          <w:tblCellMar>
            <w:top w:w="0" w:type="dxa"/>
            <w:left w:w="108" w:type="dxa"/>
            <w:bottom w:w="0" w:type="dxa"/>
            <w:right w:w="108" w:type="dxa"/>
          </w:tblCellMar>
        </w:tblPrEx>
        <w:trPr>
          <w:trHeight w:val="285" w:hRule="atLeast"/>
        </w:trPr>
        <w:tc>
          <w:tcPr>
            <w:tcW w:w="618" w:type="dxa"/>
            <w:vMerge w:val="restart"/>
            <w:tcBorders>
              <w:top w:val="nil"/>
              <w:left w:val="single" w:color="auto" w:sz="8" w:space="0"/>
              <w:right w:val="single" w:color="auto" w:sz="4" w:space="0"/>
            </w:tcBorders>
            <w:shd w:val="clear" w:color="000000" w:fill="FFFFFF"/>
            <w:vAlign w:val="center"/>
          </w:tcPr>
          <w:p w14:paraId="21C77E20">
            <w:pPr>
              <w:widowControl/>
              <w:jc w:val="center"/>
              <w:rPr>
                <w:rFonts w:ascii="宋体" w:hAnsi="宋体" w:cs="宋体"/>
                <w:kern w:val="0"/>
                <w:sz w:val="20"/>
                <w:szCs w:val="20"/>
              </w:rPr>
            </w:pPr>
            <w:r>
              <w:rPr>
                <w:rFonts w:hint="eastAsia" w:ascii="宋体" w:hAnsi="宋体" w:cs="宋体"/>
                <w:kern w:val="0"/>
                <w:sz w:val="20"/>
                <w:szCs w:val="20"/>
              </w:rPr>
              <w:t>三</w:t>
            </w:r>
          </w:p>
        </w:tc>
        <w:tc>
          <w:tcPr>
            <w:tcW w:w="1016" w:type="dxa"/>
            <w:vMerge w:val="restart"/>
            <w:tcBorders>
              <w:top w:val="nil"/>
              <w:left w:val="single" w:color="auto" w:sz="4" w:space="0"/>
              <w:bottom w:val="single" w:color="auto" w:sz="4" w:space="0"/>
              <w:right w:val="single" w:color="auto" w:sz="4" w:space="0"/>
            </w:tcBorders>
            <w:shd w:val="clear" w:color="000000" w:fill="FFFFFF"/>
            <w:vAlign w:val="center"/>
          </w:tcPr>
          <w:p w14:paraId="1985EE58">
            <w:pPr>
              <w:widowControl/>
              <w:jc w:val="center"/>
              <w:rPr>
                <w:rFonts w:ascii="宋体" w:hAnsi="宋体" w:cs="宋体"/>
                <w:kern w:val="0"/>
                <w:sz w:val="20"/>
                <w:szCs w:val="20"/>
              </w:rPr>
            </w:pPr>
            <w:r>
              <w:rPr>
                <w:rFonts w:hint="eastAsia" w:ascii="宋体" w:hAnsi="宋体" w:cs="宋体"/>
                <w:kern w:val="0"/>
                <w:sz w:val="20"/>
                <w:szCs w:val="20"/>
              </w:rPr>
              <w:t>其他费用</w:t>
            </w:r>
          </w:p>
        </w:tc>
        <w:tc>
          <w:tcPr>
            <w:tcW w:w="3152" w:type="dxa"/>
            <w:tcBorders>
              <w:top w:val="nil"/>
              <w:left w:val="nil"/>
              <w:bottom w:val="single" w:color="auto" w:sz="4" w:space="0"/>
              <w:right w:val="single" w:color="auto" w:sz="4" w:space="0"/>
            </w:tcBorders>
            <w:shd w:val="clear" w:color="000000" w:fill="FFFFFF"/>
            <w:vAlign w:val="center"/>
          </w:tcPr>
          <w:p w14:paraId="42B85248">
            <w:pPr>
              <w:widowControl/>
              <w:jc w:val="left"/>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04D6A7D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184EAFF9">
            <w:pPr>
              <w:widowControl/>
              <w:jc w:val="left"/>
              <w:rPr>
                <w:rFonts w:ascii="宋体" w:hAnsi="宋体" w:cs="宋体"/>
                <w:kern w:val="0"/>
                <w:sz w:val="20"/>
                <w:szCs w:val="20"/>
              </w:rPr>
            </w:pPr>
          </w:p>
        </w:tc>
      </w:tr>
      <w:tr w14:paraId="4DD2779B">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000000" w:fill="FFFFFF"/>
            <w:vAlign w:val="center"/>
          </w:tcPr>
          <w:p w14:paraId="0F1DB618">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7EA6FBCC">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000000" w:fill="FFFFFF"/>
            <w:vAlign w:val="center"/>
          </w:tcPr>
          <w:p w14:paraId="70236BCC">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000000" w:fill="FFFFFF"/>
            <w:vAlign w:val="center"/>
          </w:tcPr>
          <w:p w14:paraId="22DEDCCC">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53D79063">
            <w:pPr>
              <w:widowControl/>
              <w:jc w:val="left"/>
              <w:rPr>
                <w:rFonts w:ascii="宋体" w:hAnsi="宋体" w:cs="宋体"/>
                <w:kern w:val="0"/>
                <w:sz w:val="20"/>
                <w:szCs w:val="20"/>
              </w:rPr>
            </w:pPr>
          </w:p>
        </w:tc>
      </w:tr>
      <w:tr w14:paraId="3FB636E9">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273F68DE">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5C7ED9DA">
            <w:pPr>
              <w:widowControl/>
              <w:jc w:val="center"/>
              <w:rPr>
                <w:rFonts w:ascii="宋体" w:hAnsi="宋体" w:cs="宋体"/>
                <w:kern w:val="0"/>
                <w:sz w:val="20"/>
                <w:szCs w:val="20"/>
              </w:rPr>
            </w:pPr>
            <w:r>
              <w:rPr>
                <w:rFonts w:hint="eastAsia" w:ascii="宋体" w:hAnsi="宋体" w:cs="宋体"/>
                <w:kern w:val="0"/>
                <w:sz w:val="20"/>
                <w:szCs w:val="20"/>
              </w:rPr>
              <w:t>其他费用小计</w:t>
            </w:r>
          </w:p>
        </w:tc>
        <w:tc>
          <w:tcPr>
            <w:tcW w:w="1559" w:type="dxa"/>
            <w:tcBorders>
              <w:top w:val="nil"/>
              <w:left w:val="nil"/>
              <w:bottom w:val="single" w:color="auto" w:sz="4" w:space="0"/>
              <w:right w:val="single" w:color="auto" w:sz="4" w:space="0"/>
            </w:tcBorders>
            <w:shd w:val="clear" w:color="000000" w:fill="FFFFFF"/>
            <w:vAlign w:val="center"/>
          </w:tcPr>
          <w:p w14:paraId="09E7863C">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125BCC02">
            <w:pPr>
              <w:widowControl/>
              <w:jc w:val="left"/>
              <w:rPr>
                <w:rFonts w:ascii="宋体" w:hAnsi="宋体" w:cs="宋体"/>
                <w:kern w:val="0"/>
                <w:sz w:val="20"/>
                <w:szCs w:val="20"/>
              </w:rPr>
            </w:pPr>
            <w:r>
              <w:rPr>
                <w:rFonts w:hint="eastAsia" w:ascii="宋体" w:hAnsi="宋体" w:cs="宋体"/>
                <w:kern w:val="0"/>
                <w:sz w:val="20"/>
                <w:szCs w:val="20"/>
              </w:rPr>
              <w:t>　</w:t>
            </w:r>
          </w:p>
        </w:tc>
      </w:tr>
      <w:tr w14:paraId="338B0EBA">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07560776">
            <w:pPr>
              <w:widowControl/>
              <w:jc w:val="center"/>
              <w:rPr>
                <w:rFonts w:ascii="宋体" w:hAnsi="宋体" w:cs="宋体"/>
                <w:kern w:val="0"/>
                <w:sz w:val="20"/>
                <w:szCs w:val="20"/>
              </w:rPr>
            </w:pPr>
            <w:r>
              <w:rPr>
                <w:rFonts w:hint="eastAsia" w:ascii="宋体" w:hAnsi="宋体" w:cs="宋体"/>
                <w:kern w:val="0"/>
                <w:sz w:val="20"/>
                <w:szCs w:val="20"/>
              </w:rPr>
              <w:t>四</w:t>
            </w: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67B4ECE7">
            <w:pPr>
              <w:widowControl/>
              <w:jc w:val="left"/>
              <w:rPr>
                <w:rFonts w:ascii="宋体" w:hAnsi="宋体" w:cs="宋体"/>
                <w:kern w:val="0"/>
                <w:sz w:val="20"/>
                <w:szCs w:val="20"/>
              </w:rPr>
            </w:pPr>
            <w:r>
              <w:rPr>
                <w:rFonts w:hint="eastAsia" w:ascii="宋体" w:hAnsi="宋体" w:cs="宋体"/>
                <w:kern w:val="0"/>
                <w:sz w:val="20"/>
                <w:szCs w:val="20"/>
              </w:rPr>
              <w:t>税金</w:t>
            </w:r>
          </w:p>
        </w:tc>
        <w:tc>
          <w:tcPr>
            <w:tcW w:w="1559" w:type="dxa"/>
            <w:tcBorders>
              <w:top w:val="nil"/>
              <w:left w:val="nil"/>
              <w:bottom w:val="single" w:color="auto" w:sz="4" w:space="0"/>
              <w:right w:val="single" w:color="auto" w:sz="4" w:space="0"/>
            </w:tcBorders>
            <w:shd w:val="clear" w:color="000000" w:fill="FFFFFF"/>
            <w:vAlign w:val="center"/>
          </w:tcPr>
          <w:p w14:paraId="38FF0714">
            <w:pPr>
              <w:widowControl/>
              <w:jc w:val="lef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0FCF8FE9">
            <w:pPr>
              <w:widowControl/>
              <w:jc w:val="left"/>
              <w:rPr>
                <w:rFonts w:ascii="宋体" w:hAnsi="宋体" w:cs="宋体"/>
                <w:kern w:val="0"/>
                <w:sz w:val="20"/>
                <w:szCs w:val="20"/>
              </w:rPr>
            </w:pPr>
            <w:r>
              <w:rPr>
                <w:rFonts w:hint="eastAsia" w:ascii="宋体" w:hAnsi="宋体" w:cs="宋体"/>
                <w:kern w:val="0"/>
                <w:sz w:val="20"/>
                <w:szCs w:val="20"/>
              </w:rPr>
              <w:t>　</w:t>
            </w:r>
          </w:p>
        </w:tc>
      </w:tr>
      <w:tr w14:paraId="68C52AB1">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6241EF93">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0C9E6426">
            <w:pPr>
              <w:widowControl/>
              <w:jc w:val="left"/>
              <w:rPr>
                <w:rFonts w:ascii="宋体" w:hAnsi="宋体" w:cs="宋体"/>
                <w:kern w:val="0"/>
                <w:sz w:val="20"/>
                <w:szCs w:val="20"/>
              </w:rPr>
            </w:pPr>
            <w:r>
              <w:rPr>
                <w:rFonts w:hint="eastAsia" w:ascii="宋体" w:hAnsi="宋体" w:cs="宋体"/>
                <w:b/>
                <w:bCs/>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1EF61849">
            <w:pPr>
              <w:widowControl/>
              <w:jc w:val="left"/>
              <w:rPr>
                <w:rFonts w:ascii="宋体" w:hAnsi="宋体" w:cs="宋体"/>
                <w:kern w:val="0"/>
                <w:sz w:val="20"/>
                <w:szCs w:val="20"/>
              </w:rPr>
            </w:pPr>
          </w:p>
        </w:tc>
        <w:tc>
          <w:tcPr>
            <w:tcW w:w="2268" w:type="dxa"/>
            <w:tcBorders>
              <w:top w:val="nil"/>
              <w:left w:val="nil"/>
              <w:bottom w:val="single" w:color="auto" w:sz="4" w:space="0"/>
              <w:right w:val="single" w:color="auto" w:sz="8" w:space="0"/>
            </w:tcBorders>
            <w:shd w:val="clear" w:color="000000" w:fill="FFFFFF"/>
            <w:vAlign w:val="center"/>
          </w:tcPr>
          <w:p w14:paraId="655E885A">
            <w:pPr>
              <w:widowControl/>
              <w:jc w:val="left"/>
              <w:rPr>
                <w:rFonts w:ascii="宋体" w:hAnsi="宋体" w:cs="宋体"/>
                <w:kern w:val="0"/>
                <w:sz w:val="20"/>
                <w:szCs w:val="20"/>
              </w:rPr>
            </w:pPr>
          </w:p>
        </w:tc>
      </w:tr>
      <w:tr w14:paraId="03111749">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5741BEB2">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0B75CFD5">
            <w:pPr>
              <w:widowControl/>
              <w:jc w:val="center"/>
              <w:rPr>
                <w:rFonts w:ascii="宋体" w:hAnsi="宋体" w:cs="宋体"/>
                <w:b/>
                <w:bCs/>
                <w:kern w:val="0"/>
                <w:sz w:val="20"/>
                <w:szCs w:val="20"/>
              </w:rPr>
            </w:pPr>
            <w:r>
              <w:rPr>
                <w:rFonts w:hint="eastAsia" w:ascii="宋体" w:hAnsi="宋体" w:cs="宋体"/>
                <w:b/>
                <w:bCs/>
                <w:kern w:val="0"/>
                <w:sz w:val="20"/>
                <w:szCs w:val="20"/>
              </w:rPr>
              <w:t>合计(元)</w:t>
            </w:r>
          </w:p>
        </w:tc>
        <w:tc>
          <w:tcPr>
            <w:tcW w:w="1559" w:type="dxa"/>
            <w:tcBorders>
              <w:top w:val="nil"/>
              <w:left w:val="nil"/>
              <w:bottom w:val="single" w:color="auto" w:sz="4" w:space="0"/>
              <w:right w:val="single" w:color="auto" w:sz="4" w:space="0"/>
            </w:tcBorders>
            <w:shd w:val="clear" w:color="000000" w:fill="FFFFFF"/>
            <w:vAlign w:val="center"/>
          </w:tcPr>
          <w:p w14:paraId="41EFAF3A">
            <w:pPr>
              <w:widowControl/>
              <w:jc w:val="right"/>
              <w:rPr>
                <w:rFonts w:ascii="宋体" w:hAnsi="宋体" w:cs="宋体"/>
                <w:b/>
                <w:bCs/>
                <w:kern w:val="0"/>
                <w:sz w:val="20"/>
                <w:szCs w:val="20"/>
              </w:rPr>
            </w:pPr>
            <w:r>
              <w:rPr>
                <w:rFonts w:hint="eastAsia" w:ascii="宋体" w:hAnsi="宋体" w:cs="宋体"/>
                <w:b/>
                <w:bCs/>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273FF99E">
            <w:pPr>
              <w:widowControl/>
              <w:jc w:val="center"/>
              <w:rPr>
                <w:rFonts w:ascii="宋体" w:hAnsi="宋体" w:cs="宋体"/>
                <w:kern w:val="0"/>
                <w:sz w:val="20"/>
                <w:szCs w:val="20"/>
              </w:rPr>
            </w:pPr>
            <w:r>
              <w:rPr>
                <w:rFonts w:hint="eastAsia" w:ascii="宋体" w:hAnsi="宋体" w:cs="宋体"/>
                <w:kern w:val="0"/>
                <w:sz w:val="20"/>
                <w:szCs w:val="20"/>
              </w:rPr>
              <w:t>　以上各项之和</w:t>
            </w:r>
          </w:p>
        </w:tc>
      </w:tr>
    </w:tbl>
    <w:p w14:paraId="1BA980CA">
      <w:pPr>
        <w:ind w:firstLine="420" w:firstLineChars="200"/>
        <w:rPr>
          <w:rFonts w:ascii="宋体" w:hAnsi="宋体"/>
        </w:rPr>
      </w:pPr>
      <w:r>
        <w:rPr>
          <w:rFonts w:hint="eastAsia" w:ascii="宋体" w:hAnsi="宋体"/>
        </w:rPr>
        <w:t>注：1、所有价格应按“招标文件”中规定的货币单位填写；</w:t>
      </w:r>
    </w:p>
    <w:p w14:paraId="54E9B7C1">
      <w:pPr>
        <w:numPr>
          <w:ilvl w:val="0"/>
          <w:numId w:val="3"/>
        </w:numPr>
        <w:ind w:firstLine="840" w:firstLineChars="400"/>
        <w:rPr>
          <w:rFonts w:ascii="宋体" w:hAnsi="宋体"/>
        </w:rPr>
      </w:pPr>
      <w:r>
        <w:rPr>
          <w:rFonts w:hint="eastAsia" w:ascii="宋体" w:hAnsi="宋体"/>
        </w:rPr>
        <w:t>本表格仅为指导性范本，供应商可根据项目具体情况对各分项内容进行调整提供详细分项报价。</w:t>
      </w:r>
    </w:p>
    <w:p w14:paraId="21FB2C0A">
      <w:pPr>
        <w:pStyle w:val="31"/>
      </w:pPr>
    </w:p>
    <w:p w14:paraId="167AF315">
      <w:pPr>
        <w:pStyle w:val="31"/>
      </w:pPr>
    </w:p>
    <w:p w14:paraId="0349D493">
      <w:pPr>
        <w:ind w:firstLine="420" w:firstLineChars="200"/>
        <w:jc w:val="center"/>
        <w:rPr>
          <w:szCs w:val="21"/>
        </w:rPr>
      </w:pPr>
    </w:p>
    <w:p w14:paraId="31A6C554">
      <w:pPr>
        <w:widowControl/>
        <w:jc w:val="left"/>
        <w:rPr>
          <w:rFonts w:ascii="Arial" w:hAnsi="Arial" w:eastAsia="黑体"/>
          <w:bCs/>
          <w:sz w:val="24"/>
        </w:rPr>
      </w:pPr>
      <w:r>
        <w:rPr>
          <w:b/>
          <w:sz w:val="24"/>
        </w:rPr>
        <w:br w:type="page"/>
      </w:r>
    </w:p>
    <w:p w14:paraId="48829E80">
      <w:pPr>
        <w:pStyle w:val="3"/>
        <w:jc w:val="center"/>
        <w:rPr>
          <w:rFonts w:ascii="黑体" w:eastAsia="黑体"/>
          <w:szCs w:val="28"/>
        </w:rPr>
      </w:pPr>
      <w:r>
        <w:rPr>
          <w:rFonts w:hint="eastAsia" w:ascii="黑体" w:eastAsia="黑体"/>
          <w:szCs w:val="28"/>
        </w:rPr>
        <w:t>二、技术服务部分</w:t>
      </w:r>
    </w:p>
    <w:p w14:paraId="245F813D"/>
    <w:p w14:paraId="2B032D07">
      <w:pPr>
        <w:pStyle w:val="4"/>
        <w:jc w:val="left"/>
        <w:rPr>
          <w:rFonts w:hint="default" w:ascii="黑体" w:eastAsia="黑体"/>
          <w:b w:val="0"/>
          <w:sz w:val="24"/>
          <w:lang w:val="en-US" w:eastAsia="zh-CN"/>
        </w:rPr>
      </w:pPr>
      <w:r>
        <w:rPr>
          <w:rFonts w:hint="eastAsia" w:ascii="黑体"/>
          <w:b w:val="0"/>
          <w:sz w:val="24"/>
        </w:rPr>
        <w:t>（一）项目</w:t>
      </w:r>
      <w:r>
        <w:rPr>
          <w:rFonts w:hint="eastAsia" w:ascii="黑体"/>
          <w:b w:val="0"/>
          <w:sz w:val="24"/>
          <w:lang w:val="en-US" w:eastAsia="zh-CN"/>
        </w:rPr>
        <w:t>服务方案</w:t>
      </w:r>
    </w:p>
    <w:p w14:paraId="02579C45">
      <w:pPr>
        <w:jc w:val="left"/>
      </w:pPr>
      <w:r>
        <w:rPr>
          <w:rFonts w:hint="eastAsia"/>
        </w:rPr>
        <w:t>请按照招标文件要求提供相关证明文件。</w:t>
      </w:r>
    </w:p>
    <w:p w14:paraId="06DA5A6C">
      <w:pPr>
        <w:pStyle w:val="31"/>
        <w:jc w:val="left"/>
      </w:pPr>
    </w:p>
    <w:p w14:paraId="651DCCEC">
      <w:pPr>
        <w:pStyle w:val="31"/>
        <w:jc w:val="left"/>
      </w:pPr>
    </w:p>
    <w:p w14:paraId="669BDC97">
      <w:pPr>
        <w:pStyle w:val="4"/>
        <w:jc w:val="left"/>
        <w:rPr>
          <w:rFonts w:ascii="黑体"/>
          <w:b w:val="0"/>
          <w:sz w:val="24"/>
        </w:rPr>
      </w:pPr>
      <w:r>
        <w:rPr>
          <w:rFonts w:hint="eastAsia" w:ascii="黑体"/>
          <w:b w:val="0"/>
          <w:sz w:val="24"/>
        </w:rPr>
        <w:t>（二）质量保障措施及方案</w:t>
      </w:r>
    </w:p>
    <w:p w14:paraId="25D0DDB7">
      <w:pPr>
        <w:jc w:val="left"/>
      </w:pPr>
      <w:r>
        <w:rPr>
          <w:rFonts w:hint="eastAsia"/>
        </w:rPr>
        <w:t>请按照招标文件要求提供相关证明文件。</w:t>
      </w:r>
    </w:p>
    <w:p w14:paraId="50FB416A">
      <w:pPr>
        <w:pStyle w:val="31"/>
        <w:jc w:val="left"/>
      </w:pPr>
    </w:p>
    <w:p w14:paraId="51476C03">
      <w:pPr>
        <w:pStyle w:val="31"/>
        <w:jc w:val="left"/>
      </w:pPr>
    </w:p>
    <w:p w14:paraId="60CC9533">
      <w:pPr>
        <w:pStyle w:val="4"/>
        <w:jc w:val="left"/>
        <w:rPr>
          <w:rFonts w:ascii="黑体"/>
          <w:b w:val="0"/>
          <w:sz w:val="24"/>
        </w:rPr>
      </w:pPr>
      <w:r>
        <w:rPr>
          <w:rFonts w:hint="eastAsia" w:ascii="黑体"/>
          <w:b w:val="0"/>
          <w:sz w:val="24"/>
        </w:rPr>
        <w:t>（三）项目重点难点分析、应对措施及相关的合理化建议</w:t>
      </w:r>
    </w:p>
    <w:p w14:paraId="78B879CF">
      <w:pPr>
        <w:jc w:val="left"/>
      </w:pPr>
      <w:r>
        <w:rPr>
          <w:rFonts w:hint="eastAsia"/>
        </w:rPr>
        <w:t>请按照招标文件要求提供相关证明文件。</w:t>
      </w:r>
    </w:p>
    <w:p w14:paraId="5039190D">
      <w:pPr>
        <w:pStyle w:val="31"/>
        <w:jc w:val="left"/>
      </w:pPr>
    </w:p>
    <w:p w14:paraId="78B95651">
      <w:pPr>
        <w:pStyle w:val="31"/>
        <w:jc w:val="left"/>
      </w:pPr>
    </w:p>
    <w:p w14:paraId="2B1C7920">
      <w:pPr>
        <w:pStyle w:val="4"/>
        <w:jc w:val="left"/>
        <w:rPr>
          <w:rFonts w:ascii="黑体"/>
          <w:b w:val="0"/>
          <w:sz w:val="24"/>
        </w:rPr>
      </w:pPr>
      <w:r>
        <w:rPr>
          <w:rFonts w:hint="eastAsia" w:ascii="黑体"/>
          <w:b w:val="0"/>
          <w:sz w:val="24"/>
        </w:rPr>
        <w:t>（四）拟安排的项目负责人情况（仅限一人）</w:t>
      </w:r>
    </w:p>
    <w:p w14:paraId="46BCB800">
      <w:pPr>
        <w:jc w:val="left"/>
      </w:pPr>
      <w:r>
        <w:rPr>
          <w:rFonts w:hint="eastAsia"/>
        </w:rPr>
        <w:t>请按照招标文件要求提供相关证明文件。</w:t>
      </w:r>
    </w:p>
    <w:p w14:paraId="7BCC5159">
      <w:pPr>
        <w:pStyle w:val="31"/>
        <w:jc w:val="left"/>
      </w:pPr>
    </w:p>
    <w:p w14:paraId="6E03E9FC">
      <w:pPr>
        <w:pStyle w:val="31"/>
        <w:ind w:left="0" w:leftChars="0" w:firstLine="0" w:firstLineChars="0"/>
        <w:jc w:val="left"/>
      </w:pPr>
    </w:p>
    <w:p w14:paraId="595DC55F">
      <w:pPr>
        <w:pStyle w:val="4"/>
        <w:jc w:val="left"/>
        <w:rPr>
          <w:rFonts w:ascii="黑体"/>
          <w:b w:val="0"/>
          <w:sz w:val="24"/>
        </w:rPr>
      </w:pPr>
      <w:r>
        <w:rPr>
          <w:rFonts w:hint="eastAsia" w:ascii="黑体"/>
          <w:b w:val="0"/>
          <w:sz w:val="24"/>
        </w:rPr>
        <w:t>（五）拟安排的项目团队成员（项目负责人除外）</w:t>
      </w:r>
    </w:p>
    <w:p w14:paraId="1EBA59C4">
      <w:pPr>
        <w:jc w:val="left"/>
      </w:pPr>
      <w:r>
        <w:rPr>
          <w:rFonts w:hint="eastAsia"/>
        </w:rPr>
        <w:t>请按照招标文件要求提供相关证明文件。</w:t>
      </w:r>
    </w:p>
    <w:p w14:paraId="0E90AFFD">
      <w:pPr>
        <w:pStyle w:val="31"/>
        <w:jc w:val="left"/>
      </w:pPr>
    </w:p>
    <w:p w14:paraId="441C56AF">
      <w:pPr>
        <w:pStyle w:val="4"/>
        <w:jc w:val="left"/>
        <w:rPr>
          <w:rFonts w:ascii="黑体"/>
          <w:b w:val="0"/>
          <w:sz w:val="24"/>
        </w:rPr>
      </w:pPr>
      <w:r>
        <w:rPr>
          <w:rFonts w:hint="eastAsia" w:ascii="黑体"/>
          <w:b w:val="0"/>
          <w:sz w:val="24"/>
        </w:rPr>
        <w:t>（</w:t>
      </w:r>
      <w:r>
        <w:rPr>
          <w:rFonts w:hint="eastAsia" w:ascii="黑体"/>
          <w:b w:val="0"/>
          <w:sz w:val="24"/>
          <w:lang w:val="en-US" w:eastAsia="zh-CN"/>
        </w:rPr>
        <w:t>六</w:t>
      </w:r>
      <w:r>
        <w:rPr>
          <w:rFonts w:hint="eastAsia" w:ascii="黑体"/>
          <w:b w:val="0"/>
          <w:sz w:val="24"/>
        </w:rPr>
        <w:t>）项目完成（服务期满）后的服务承诺</w:t>
      </w:r>
    </w:p>
    <w:p w14:paraId="55B349E0">
      <w:pPr>
        <w:jc w:val="left"/>
      </w:pPr>
      <w:r>
        <w:rPr>
          <w:rFonts w:hint="eastAsia"/>
        </w:rPr>
        <w:t>请按照招标文件要求提供相关证明文件。</w:t>
      </w:r>
    </w:p>
    <w:p w14:paraId="1353F6BE">
      <w:pPr>
        <w:pStyle w:val="4"/>
        <w:jc w:val="left"/>
        <w:rPr>
          <w:rFonts w:ascii="黑体"/>
          <w:b w:val="0"/>
          <w:sz w:val="24"/>
        </w:rPr>
      </w:pPr>
      <w:bookmarkStart w:id="27" w:name="OLE_LINK8"/>
      <w:r>
        <w:rPr>
          <w:rFonts w:hint="eastAsia" w:ascii="黑体"/>
          <w:b w:val="0"/>
          <w:sz w:val="24"/>
        </w:rPr>
        <w:t>（</w:t>
      </w:r>
      <w:r>
        <w:rPr>
          <w:rFonts w:hint="eastAsia" w:ascii="黑体"/>
          <w:b w:val="0"/>
          <w:sz w:val="24"/>
          <w:lang w:val="en-US" w:eastAsia="zh-CN"/>
        </w:rPr>
        <w:t>七</w:t>
      </w:r>
      <w:r>
        <w:rPr>
          <w:rFonts w:hint="eastAsia" w:ascii="黑体"/>
          <w:b w:val="0"/>
          <w:sz w:val="24"/>
        </w:rPr>
        <w:t>）投标人同类项目业绩情况</w:t>
      </w:r>
    </w:p>
    <w:bookmarkEnd w:id="27"/>
    <w:tbl>
      <w:tblPr>
        <w:tblStyle w:val="32"/>
        <w:tblW w:w="792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54" w:type="dxa"/>
          <w:bottom w:w="0" w:type="dxa"/>
          <w:right w:w="54" w:type="dxa"/>
        </w:tblCellMar>
      </w:tblPr>
      <w:tblGrid>
        <w:gridCol w:w="942"/>
        <w:gridCol w:w="1000"/>
        <w:gridCol w:w="1701"/>
        <w:gridCol w:w="1625"/>
        <w:gridCol w:w="1750"/>
        <w:gridCol w:w="904"/>
      </w:tblGrid>
      <w:tr w14:paraId="035E9A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tcBorders>
              <w:bottom w:val="single" w:color="auto" w:sz="4" w:space="0"/>
            </w:tcBorders>
            <w:vAlign w:val="center"/>
          </w:tcPr>
          <w:p w14:paraId="1E8FF524">
            <w:pPr>
              <w:jc w:val="center"/>
            </w:pPr>
            <w:r>
              <w:rPr>
                <w:rFonts w:hint="eastAsia"/>
              </w:rPr>
              <w:t>序号</w:t>
            </w:r>
          </w:p>
        </w:tc>
        <w:tc>
          <w:tcPr>
            <w:tcW w:w="1000" w:type="dxa"/>
            <w:vAlign w:val="center"/>
          </w:tcPr>
          <w:p w14:paraId="07BEF61E">
            <w:pPr>
              <w:jc w:val="center"/>
            </w:pPr>
            <w:r>
              <w:rPr>
                <w:rFonts w:hint="eastAsia"/>
                <w:szCs w:val="21"/>
              </w:rPr>
              <w:t>采购单位</w:t>
            </w:r>
          </w:p>
        </w:tc>
        <w:tc>
          <w:tcPr>
            <w:tcW w:w="1701" w:type="dxa"/>
            <w:vAlign w:val="center"/>
          </w:tcPr>
          <w:p w14:paraId="1A7269DC">
            <w:pPr>
              <w:jc w:val="center"/>
            </w:pPr>
            <w:r>
              <w:rPr>
                <w:rFonts w:hint="eastAsia"/>
              </w:rPr>
              <w:t>项目名称</w:t>
            </w:r>
          </w:p>
        </w:tc>
        <w:tc>
          <w:tcPr>
            <w:tcW w:w="1625" w:type="dxa"/>
            <w:vAlign w:val="center"/>
          </w:tcPr>
          <w:p w14:paraId="60CBB32E">
            <w:pPr>
              <w:jc w:val="center"/>
            </w:pPr>
            <w:r>
              <w:rPr>
                <w:rFonts w:hint="eastAsia"/>
                <w:szCs w:val="21"/>
              </w:rPr>
              <w:t>合同签订日期</w:t>
            </w:r>
          </w:p>
        </w:tc>
        <w:tc>
          <w:tcPr>
            <w:tcW w:w="1750" w:type="dxa"/>
            <w:vAlign w:val="center"/>
          </w:tcPr>
          <w:p w14:paraId="15E9C15D">
            <w:pPr>
              <w:jc w:val="center"/>
            </w:pPr>
            <w:r>
              <w:rPr>
                <w:rFonts w:hint="eastAsia"/>
                <w:szCs w:val="21"/>
              </w:rPr>
              <w:t>履约评价情况</w:t>
            </w:r>
          </w:p>
        </w:tc>
        <w:tc>
          <w:tcPr>
            <w:tcW w:w="904" w:type="dxa"/>
            <w:vAlign w:val="center"/>
          </w:tcPr>
          <w:p w14:paraId="38227D35">
            <w:pPr>
              <w:jc w:val="center"/>
            </w:pPr>
            <w:r>
              <w:rPr>
                <w:rFonts w:hint="eastAsia"/>
              </w:rPr>
              <w:t>备注</w:t>
            </w:r>
          </w:p>
        </w:tc>
      </w:tr>
      <w:tr w14:paraId="7234FC9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tcBorders>
              <w:top w:val="single" w:color="auto" w:sz="4" w:space="0"/>
            </w:tcBorders>
            <w:vAlign w:val="center"/>
          </w:tcPr>
          <w:p w14:paraId="0416A62C">
            <w:pPr>
              <w:jc w:val="center"/>
            </w:pPr>
          </w:p>
        </w:tc>
        <w:tc>
          <w:tcPr>
            <w:tcW w:w="1000" w:type="dxa"/>
            <w:vAlign w:val="center"/>
          </w:tcPr>
          <w:p w14:paraId="179E2B94">
            <w:pPr>
              <w:jc w:val="center"/>
            </w:pPr>
          </w:p>
        </w:tc>
        <w:tc>
          <w:tcPr>
            <w:tcW w:w="1701" w:type="dxa"/>
            <w:vAlign w:val="center"/>
          </w:tcPr>
          <w:p w14:paraId="183C392D">
            <w:pPr>
              <w:jc w:val="center"/>
            </w:pPr>
          </w:p>
        </w:tc>
        <w:tc>
          <w:tcPr>
            <w:tcW w:w="1625" w:type="dxa"/>
            <w:vAlign w:val="center"/>
          </w:tcPr>
          <w:p w14:paraId="07E5DC3E">
            <w:pPr>
              <w:jc w:val="center"/>
            </w:pPr>
          </w:p>
        </w:tc>
        <w:tc>
          <w:tcPr>
            <w:tcW w:w="1750" w:type="dxa"/>
            <w:vAlign w:val="center"/>
          </w:tcPr>
          <w:p w14:paraId="3F57CB82">
            <w:pPr>
              <w:jc w:val="center"/>
            </w:pPr>
          </w:p>
        </w:tc>
        <w:tc>
          <w:tcPr>
            <w:tcW w:w="904" w:type="dxa"/>
            <w:vAlign w:val="center"/>
          </w:tcPr>
          <w:p w14:paraId="19410F89">
            <w:pPr>
              <w:jc w:val="center"/>
            </w:pPr>
          </w:p>
        </w:tc>
      </w:tr>
      <w:tr w14:paraId="34B4AF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6F079B4C">
            <w:pPr>
              <w:jc w:val="center"/>
            </w:pPr>
          </w:p>
        </w:tc>
        <w:tc>
          <w:tcPr>
            <w:tcW w:w="1000" w:type="dxa"/>
            <w:vAlign w:val="center"/>
          </w:tcPr>
          <w:p w14:paraId="18801AB7">
            <w:pPr>
              <w:jc w:val="center"/>
            </w:pPr>
          </w:p>
        </w:tc>
        <w:tc>
          <w:tcPr>
            <w:tcW w:w="1701" w:type="dxa"/>
            <w:vAlign w:val="center"/>
          </w:tcPr>
          <w:p w14:paraId="4B9C3342">
            <w:pPr>
              <w:jc w:val="center"/>
            </w:pPr>
          </w:p>
        </w:tc>
        <w:tc>
          <w:tcPr>
            <w:tcW w:w="1625" w:type="dxa"/>
            <w:vAlign w:val="center"/>
          </w:tcPr>
          <w:p w14:paraId="231CA7DD">
            <w:pPr>
              <w:jc w:val="center"/>
            </w:pPr>
          </w:p>
        </w:tc>
        <w:tc>
          <w:tcPr>
            <w:tcW w:w="1750" w:type="dxa"/>
            <w:vAlign w:val="center"/>
          </w:tcPr>
          <w:p w14:paraId="7B0946EF">
            <w:pPr>
              <w:jc w:val="center"/>
            </w:pPr>
          </w:p>
        </w:tc>
        <w:tc>
          <w:tcPr>
            <w:tcW w:w="904" w:type="dxa"/>
            <w:vAlign w:val="center"/>
          </w:tcPr>
          <w:p w14:paraId="17F2F610">
            <w:pPr>
              <w:jc w:val="center"/>
            </w:pPr>
          </w:p>
        </w:tc>
      </w:tr>
      <w:tr w14:paraId="246AFF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cantSplit/>
          <w:trHeight w:val="731" w:hRule="atLeast"/>
          <w:jc w:val="center"/>
        </w:trPr>
        <w:tc>
          <w:tcPr>
            <w:tcW w:w="942" w:type="dxa"/>
            <w:vAlign w:val="center"/>
          </w:tcPr>
          <w:p w14:paraId="4BE55886">
            <w:pPr>
              <w:jc w:val="center"/>
            </w:pPr>
          </w:p>
        </w:tc>
        <w:tc>
          <w:tcPr>
            <w:tcW w:w="1000" w:type="dxa"/>
            <w:vAlign w:val="center"/>
          </w:tcPr>
          <w:p w14:paraId="2C9B7951">
            <w:pPr>
              <w:jc w:val="center"/>
            </w:pPr>
          </w:p>
        </w:tc>
        <w:tc>
          <w:tcPr>
            <w:tcW w:w="1701" w:type="dxa"/>
            <w:vAlign w:val="center"/>
          </w:tcPr>
          <w:p w14:paraId="15A4CF5E">
            <w:pPr>
              <w:jc w:val="center"/>
            </w:pPr>
          </w:p>
        </w:tc>
        <w:tc>
          <w:tcPr>
            <w:tcW w:w="1625" w:type="dxa"/>
            <w:vAlign w:val="center"/>
          </w:tcPr>
          <w:p w14:paraId="0D0B40CF">
            <w:pPr>
              <w:jc w:val="center"/>
            </w:pPr>
          </w:p>
        </w:tc>
        <w:tc>
          <w:tcPr>
            <w:tcW w:w="1750" w:type="dxa"/>
            <w:vAlign w:val="center"/>
          </w:tcPr>
          <w:p w14:paraId="68485760">
            <w:pPr>
              <w:jc w:val="center"/>
            </w:pPr>
          </w:p>
        </w:tc>
        <w:tc>
          <w:tcPr>
            <w:tcW w:w="904" w:type="dxa"/>
            <w:vAlign w:val="center"/>
          </w:tcPr>
          <w:p w14:paraId="2E074499">
            <w:pPr>
              <w:jc w:val="center"/>
            </w:pPr>
          </w:p>
        </w:tc>
      </w:tr>
      <w:tr w14:paraId="65C4F4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5E09E3BD">
            <w:pPr>
              <w:jc w:val="center"/>
            </w:pPr>
          </w:p>
        </w:tc>
        <w:tc>
          <w:tcPr>
            <w:tcW w:w="1000" w:type="dxa"/>
            <w:vAlign w:val="center"/>
          </w:tcPr>
          <w:p w14:paraId="65E7C1F0">
            <w:pPr>
              <w:jc w:val="center"/>
            </w:pPr>
          </w:p>
        </w:tc>
        <w:tc>
          <w:tcPr>
            <w:tcW w:w="1701" w:type="dxa"/>
            <w:vAlign w:val="center"/>
          </w:tcPr>
          <w:p w14:paraId="605E66CA">
            <w:pPr>
              <w:jc w:val="center"/>
            </w:pPr>
          </w:p>
        </w:tc>
        <w:tc>
          <w:tcPr>
            <w:tcW w:w="1625" w:type="dxa"/>
            <w:vAlign w:val="center"/>
          </w:tcPr>
          <w:p w14:paraId="583842A5">
            <w:pPr>
              <w:jc w:val="center"/>
            </w:pPr>
          </w:p>
        </w:tc>
        <w:tc>
          <w:tcPr>
            <w:tcW w:w="1750" w:type="dxa"/>
            <w:vAlign w:val="center"/>
          </w:tcPr>
          <w:p w14:paraId="0CF5F5BF">
            <w:pPr>
              <w:jc w:val="center"/>
            </w:pPr>
          </w:p>
        </w:tc>
        <w:tc>
          <w:tcPr>
            <w:tcW w:w="904" w:type="dxa"/>
            <w:vAlign w:val="center"/>
          </w:tcPr>
          <w:p w14:paraId="14E94CC2">
            <w:pPr>
              <w:jc w:val="center"/>
            </w:pPr>
          </w:p>
        </w:tc>
      </w:tr>
      <w:tr w14:paraId="4E41CA4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6890B227">
            <w:pPr>
              <w:jc w:val="center"/>
            </w:pPr>
          </w:p>
        </w:tc>
        <w:tc>
          <w:tcPr>
            <w:tcW w:w="1000" w:type="dxa"/>
            <w:vAlign w:val="center"/>
          </w:tcPr>
          <w:p w14:paraId="2E17436F">
            <w:pPr>
              <w:jc w:val="center"/>
            </w:pPr>
          </w:p>
        </w:tc>
        <w:tc>
          <w:tcPr>
            <w:tcW w:w="1701" w:type="dxa"/>
            <w:vAlign w:val="center"/>
          </w:tcPr>
          <w:p w14:paraId="5DAAEC25">
            <w:pPr>
              <w:jc w:val="center"/>
            </w:pPr>
          </w:p>
        </w:tc>
        <w:tc>
          <w:tcPr>
            <w:tcW w:w="1625" w:type="dxa"/>
            <w:vAlign w:val="center"/>
          </w:tcPr>
          <w:p w14:paraId="2A40BB01">
            <w:pPr>
              <w:jc w:val="center"/>
            </w:pPr>
          </w:p>
        </w:tc>
        <w:tc>
          <w:tcPr>
            <w:tcW w:w="1750" w:type="dxa"/>
            <w:vAlign w:val="center"/>
          </w:tcPr>
          <w:p w14:paraId="67B7AB39">
            <w:pPr>
              <w:jc w:val="center"/>
            </w:pPr>
          </w:p>
        </w:tc>
        <w:tc>
          <w:tcPr>
            <w:tcW w:w="904" w:type="dxa"/>
            <w:vAlign w:val="center"/>
          </w:tcPr>
          <w:p w14:paraId="1312B191">
            <w:pPr>
              <w:jc w:val="center"/>
            </w:pPr>
          </w:p>
        </w:tc>
      </w:tr>
    </w:tbl>
    <w:p w14:paraId="0F710BC4">
      <w:pPr>
        <w:jc w:val="left"/>
      </w:pPr>
    </w:p>
    <w:p w14:paraId="5BA0A585">
      <w:pPr>
        <w:pStyle w:val="3"/>
        <w:jc w:val="center"/>
        <w:rPr>
          <w:rFonts w:ascii="黑体" w:eastAsia="黑体"/>
          <w:szCs w:val="28"/>
        </w:rPr>
      </w:pPr>
      <w:r>
        <w:rPr>
          <w:rFonts w:hint="eastAsia" w:ascii="黑体" w:eastAsia="黑体"/>
          <w:szCs w:val="28"/>
        </w:rPr>
        <w:t>三、综合实力部分</w:t>
      </w:r>
    </w:p>
    <w:p w14:paraId="403924CD">
      <w:pPr>
        <w:pStyle w:val="4"/>
        <w:jc w:val="left"/>
        <w:rPr>
          <w:rFonts w:ascii="黑体"/>
          <w:b w:val="0"/>
          <w:sz w:val="24"/>
        </w:rPr>
      </w:pPr>
      <w:r>
        <w:rPr>
          <w:rFonts w:hint="eastAsia" w:ascii="黑体"/>
          <w:b w:val="0"/>
          <w:sz w:val="24"/>
        </w:rPr>
        <w:t>（一）体系认证</w:t>
      </w:r>
    </w:p>
    <w:p w14:paraId="24565A08">
      <w:pPr>
        <w:jc w:val="left"/>
      </w:pPr>
      <w:bookmarkStart w:id="28" w:name="bt项目管理班子配备情况"/>
      <w:bookmarkEnd w:id="28"/>
      <w:r>
        <w:rPr>
          <w:rFonts w:hint="eastAsia"/>
        </w:rPr>
        <w:t>请按照招标文件要求提供相关证明文件。</w:t>
      </w:r>
    </w:p>
    <w:p w14:paraId="480C3F3B">
      <w:pPr>
        <w:rPr>
          <w:b/>
        </w:rPr>
      </w:pPr>
    </w:p>
    <w:p w14:paraId="509EEDE7">
      <w:pPr>
        <w:pStyle w:val="4"/>
        <w:jc w:val="left"/>
        <w:rPr>
          <w:rFonts w:ascii="黑体"/>
          <w:b w:val="0"/>
          <w:sz w:val="24"/>
        </w:rPr>
      </w:pPr>
      <w:r>
        <w:rPr>
          <w:rFonts w:hint="eastAsia" w:ascii="黑体"/>
          <w:b w:val="0"/>
          <w:sz w:val="24"/>
        </w:rPr>
        <w:t>（二）便利化服务</w:t>
      </w:r>
    </w:p>
    <w:p w14:paraId="7FD134A1">
      <w:pPr>
        <w:jc w:val="left"/>
      </w:pPr>
      <w:r>
        <w:rPr>
          <w:rFonts w:hint="eastAsia"/>
        </w:rPr>
        <w:t>请按照招标文件要求提供相关证明文件。</w:t>
      </w:r>
    </w:p>
    <w:p w14:paraId="4C8B2AB3">
      <w:pPr>
        <w:pStyle w:val="31"/>
        <w:jc w:val="left"/>
      </w:pPr>
    </w:p>
    <w:p w14:paraId="2BF62877">
      <w:pPr>
        <w:pStyle w:val="4"/>
        <w:jc w:val="left"/>
        <w:rPr>
          <w:rFonts w:ascii="黑体"/>
          <w:b w:val="0"/>
          <w:sz w:val="24"/>
        </w:rPr>
      </w:pPr>
      <w:r>
        <w:rPr>
          <w:rFonts w:hint="eastAsia" w:ascii="黑体"/>
          <w:b w:val="0"/>
          <w:sz w:val="24"/>
        </w:rPr>
        <w:t>（三）公共（众）责任险</w:t>
      </w:r>
    </w:p>
    <w:p w14:paraId="00C471C7">
      <w:pPr>
        <w:rPr>
          <w:rFonts w:hint="eastAsia"/>
        </w:rPr>
      </w:pPr>
      <w:r>
        <w:rPr>
          <w:rFonts w:hint="eastAsia"/>
        </w:rPr>
        <w:t>请按照招标文件要求提供相关证明文件。</w:t>
      </w:r>
    </w:p>
    <w:p w14:paraId="76A95D96">
      <w:pPr>
        <w:pStyle w:val="49"/>
        <w:rPr>
          <w:rFonts w:hint="eastAsia"/>
        </w:rPr>
      </w:pPr>
    </w:p>
    <w:p w14:paraId="4FA22399">
      <w:pPr>
        <w:pStyle w:val="4"/>
        <w:jc w:val="left"/>
        <w:rPr>
          <w:rFonts w:hint="eastAsia" w:ascii="黑体"/>
          <w:b w:val="0"/>
          <w:sz w:val="24"/>
          <w:lang w:val="en-US" w:eastAsia="zh-CN"/>
        </w:rPr>
      </w:pPr>
      <w:r>
        <w:rPr>
          <w:rFonts w:hint="eastAsia" w:ascii="黑体"/>
          <w:b w:val="0"/>
          <w:sz w:val="24"/>
          <w:lang w:val="en-US" w:eastAsia="zh-CN"/>
        </w:rPr>
        <w:t>（四）信息化管理</w:t>
      </w:r>
    </w:p>
    <w:p w14:paraId="309CB3D0">
      <w:pPr>
        <w:rPr>
          <w:rFonts w:hint="eastAsia"/>
        </w:rPr>
      </w:pPr>
      <w:r>
        <w:rPr>
          <w:rFonts w:hint="eastAsia"/>
        </w:rPr>
        <w:t>请按照招标文件要求提供相关证明文件。</w:t>
      </w:r>
    </w:p>
    <w:p w14:paraId="09FEE753">
      <w:pPr>
        <w:spacing w:line="400" w:lineRule="exact"/>
        <w:ind w:firstLine="840" w:firstLineChars="400"/>
        <w:rPr>
          <w:rFonts w:hint="eastAsia" w:ascii="宋体" w:hAnsi="宋体" w:cs="宋体"/>
          <w:b w:val="0"/>
          <w:bCs/>
          <w:sz w:val="21"/>
          <w:szCs w:val="21"/>
          <w:lang w:val="en-US" w:eastAsia="zh-CN"/>
        </w:rPr>
      </w:pPr>
    </w:p>
    <w:p w14:paraId="6B116EA7">
      <w:pPr>
        <w:pStyle w:val="4"/>
        <w:jc w:val="left"/>
        <w:rPr>
          <w:rFonts w:hint="eastAsia" w:ascii="黑体"/>
          <w:b w:val="0"/>
          <w:sz w:val="24"/>
          <w:lang w:val="en-US" w:eastAsia="zh-CN"/>
        </w:rPr>
      </w:pPr>
      <w:r>
        <w:rPr>
          <w:rFonts w:hint="eastAsia" w:ascii="黑体"/>
          <w:b w:val="0"/>
          <w:sz w:val="24"/>
          <w:lang w:val="en-US" w:eastAsia="zh-CN"/>
        </w:rPr>
        <w:t>（五）安全检测</w:t>
      </w:r>
    </w:p>
    <w:p w14:paraId="24A02158">
      <w:pPr>
        <w:rPr>
          <w:rFonts w:hint="eastAsia"/>
        </w:rPr>
      </w:pPr>
      <w:r>
        <w:rPr>
          <w:rFonts w:hint="eastAsia"/>
        </w:rPr>
        <w:t>请按照招标文件要求提供相关证明文件。</w:t>
      </w:r>
    </w:p>
    <w:p w14:paraId="025249D8">
      <w:pPr>
        <w:pStyle w:val="49"/>
        <w:rPr>
          <w:rFonts w:hint="eastAsia"/>
        </w:rPr>
      </w:pPr>
    </w:p>
    <w:p w14:paraId="39F23572">
      <w:pPr>
        <w:pStyle w:val="49"/>
        <w:rPr>
          <w:rFonts w:hint="eastAsia"/>
        </w:rPr>
      </w:pPr>
    </w:p>
    <w:p w14:paraId="541783B6">
      <w:pPr>
        <w:pStyle w:val="3"/>
        <w:jc w:val="center"/>
        <w:rPr>
          <w:rFonts w:ascii="黑体" w:eastAsia="黑体"/>
          <w:szCs w:val="28"/>
        </w:rPr>
      </w:pPr>
      <w:r>
        <w:rPr>
          <w:rFonts w:hint="eastAsia" w:ascii="黑体" w:eastAsia="黑体"/>
          <w:szCs w:val="28"/>
        </w:rPr>
        <w:t>四、招标</w:t>
      </w:r>
      <w:r>
        <w:rPr>
          <w:rFonts w:ascii="黑体" w:eastAsia="黑体"/>
          <w:szCs w:val="28"/>
        </w:rPr>
        <w:t>文件要求的其它内容及投标</w:t>
      </w:r>
      <w:r>
        <w:rPr>
          <w:rFonts w:hint="eastAsia" w:ascii="黑体" w:eastAsia="黑体"/>
          <w:szCs w:val="28"/>
        </w:rPr>
        <w:t>供应商</w:t>
      </w:r>
      <w:r>
        <w:rPr>
          <w:rFonts w:ascii="黑体" w:eastAsia="黑体"/>
          <w:szCs w:val="28"/>
        </w:rPr>
        <w:t>认为需要补充的内容</w:t>
      </w:r>
    </w:p>
    <w:p w14:paraId="4D8A8D29">
      <w:pPr>
        <w:rPr>
          <w:color w:val="000000"/>
        </w:rPr>
      </w:pPr>
    </w:p>
    <w:p w14:paraId="17791EA8">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2DD33303">
      <w:pPr>
        <w:spacing w:after="120" w:afterLines="50" w:line="360" w:lineRule="exact"/>
        <w:ind w:firstLine="482" w:firstLineChars="200"/>
        <w:rPr>
          <w:rFonts w:ascii="Calibri" w:hAnsi="Calibri"/>
          <w:b/>
          <w:bCs/>
          <w:sz w:val="24"/>
        </w:rPr>
      </w:pPr>
      <w:r>
        <w:rPr>
          <w:rFonts w:hint="eastAsia" w:ascii="Calibri" w:hAnsi="Calibri"/>
          <w:b/>
          <w:bCs/>
          <w:sz w:val="24"/>
        </w:rPr>
        <w:t>我单位在投标前已充分知悉以下情形为参与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0CB99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1C4FA9AB">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7811" w:type="dxa"/>
          </w:tcPr>
          <w:p w14:paraId="32604994">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供应商参与投标禁止情形</w:t>
            </w:r>
          </w:p>
        </w:tc>
      </w:tr>
      <w:tr w14:paraId="73D42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5C522189">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7811" w:type="dxa"/>
            <w:vAlign w:val="center"/>
          </w:tcPr>
          <w:p w14:paraId="27C51838">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与其他投标供应商的法定代表人、主要经营负责人、投标授权代表人、项目负责人、主要技术人员为同一人、属同一单位或者在同一单位缴纳社会保险。</w:t>
            </w:r>
          </w:p>
        </w:tc>
      </w:tr>
      <w:tr w14:paraId="7DC54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0FA3E2A7">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7811" w:type="dxa"/>
            <w:vAlign w:val="center"/>
          </w:tcPr>
          <w:p w14:paraId="6048A1B3">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参与本项目采购活动时，与其他投标供应商存在单位负责人为同一人或直接控股、管理关系。</w:t>
            </w:r>
          </w:p>
        </w:tc>
      </w:tr>
      <w:tr w14:paraId="1A310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3B86DAB8">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7811" w:type="dxa"/>
            <w:vAlign w:val="center"/>
          </w:tcPr>
          <w:p w14:paraId="30758DF2">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与其他投标供应商的投标文件或部分投标文件相互混装或存在非正常一致。</w:t>
            </w:r>
          </w:p>
        </w:tc>
      </w:tr>
      <w:tr w14:paraId="063E3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2C06A207">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7811" w:type="dxa"/>
            <w:vAlign w:val="center"/>
          </w:tcPr>
          <w:p w14:paraId="77E474B4">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与其他投标供应商的投标文件由同一单位或者同一人编制，或者使用同一设备编制（“文件制作机器码”“文件创建标识码”一致）。</w:t>
            </w:r>
          </w:p>
        </w:tc>
      </w:tr>
      <w:tr w14:paraId="09C4B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0C31CD1D">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7811" w:type="dxa"/>
            <w:vAlign w:val="center"/>
          </w:tcPr>
          <w:p w14:paraId="6CD442BB">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提供未经出具机构核实的虚假的检验检测报告、业绩材料、社保缴纳证明、学历学位证书、职称认证证书等材料。</w:t>
            </w:r>
          </w:p>
        </w:tc>
      </w:tr>
      <w:tr w14:paraId="72F02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761FDA35">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7811" w:type="dxa"/>
            <w:vAlign w:val="center"/>
          </w:tcPr>
          <w:p w14:paraId="49144B45">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擅自将投标密钥或电子营业执照出借他人使用或未妥善保管。</w:t>
            </w:r>
          </w:p>
        </w:tc>
      </w:tr>
    </w:tbl>
    <w:p w14:paraId="6B4E5D37">
      <w:pPr>
        <w:spacing w:before="120" w:beforeLines="50" w:line="380" w:lineRule="exact"/>
        <w:ind w:firstLine="422" w:firstLineChars="200"/>
        <w:rPr>
          <w:rFonts w:ascii="Calibri" w:hAnsi="Calibri"/>
          <w:b/>
        </w:rPr>
      </w:pPr>
      <w:r>
        <w:rPr>
          <w:rFonts w:hint="eastAsia" w:ascii="Calibri" w:hAnsi="Calibri"/>
          <w:b/>
        </w:rPr>
        <w:t>一、我单位已充分知悉“隐瞒真实情况，提供虚假资料”的法定情形，包括但不限于：</w:t>
      </w:r>
    </w:p>
    <w:p w14:paraId="4A752DCF">
      <w:pPr>
        <w:spacing w:line="380" w:lineRule="exact"/>
        <w:ind w:firstLine="420" w:firstLineChars="200"/>
        <w:rPr>
          <w:rFonts w:ascii="Calibri" w:hAnsi="Calibri"/>
        </w:rPr>
      </w:pPr>
      <w:r>
        <w:rPr>
          <w:rFonts w:hint="eastAsia" w:ascii="Calibri" w:hAnsi="Calibri"/>
        </w:rPr>
        <w:t>（一）通过转让或者租借等方式从其他单位获取资格或者资质证书投标的。</w:t>
      </w:r>
    </w:p>
    <w:p w14:paraId="0FB78720">
      <w:pPr>
        <w:spacing w:line="380" w:lineRule="exact"/>
        <w:ind w:firstLine="420" w:firstLineChars="200"/>
        <w:rPr>
          <w:rFonts w:ascii="Calibri" w:hAnsi="Calibri"/>
        </w:rPr>
      </w:pPr>
      <w:r>
        <w:rPr>
          <w:rFonts w:hint="eastAsia" w:ascii="Calibri" w:hAnsi="Calibri"/>
        </w:rPr>
        <w:t>（二）由其他单位或者其他单位负责人在投标供应商编制的投标文件上加盖印章或者签字的。</w:t>
      </w:r>
    </w:p>
    <w:p w14:paraId="7AAC4BD1">
      <w:pPr>
        <w:spacing w:line="380" w:lineRule="exact"/>
        <w:ind w:firstLine="420" w:firstLineChars="200"/>
        <w:rPr>
          <w:rFonts w:ascii="Calibri" w:hAnsi="Calibri"/>
        </w:rPr>
      </w:pPr>
      <w:r>
        <w:rPr>
          <w:rFonts w:hint="eastAsia" w:ascii="Calibri" w:hAnsi="Calibri"/>
        </w:rPr>
        <w:t>（三）项目负责人或者主要技术人员不是本单位人员的。</w:t>
      </w:r>
    </w:p>
    <w:p w14:paraId="4A6D8328">
      <w:pPr>
        <w:spacing w:line="380" w:lineRule="exact"/>
        <w:ind w:firstLine="420" w:firstLineChars="200"/>
        <w:rPr>
          <w:rFonts w:ascii="Calibri" w:hAnsi="Calibri"/>
        </w:rPr>
      </w:pPr>
      <w:r>
        <w:rPr>
          <w:rFonts w:hint="eastAsia" w:ascii="Calibri" w:hAnsi="Calibri"/>
        </w:rPr>
        <w:t>（四）投标保证金不是从投标供应商基本账户转出的。</w:t>
      </w:r>
    </w:p>
    <w:p w14:paraId="412137F3">
      <w:pPr>
        <w:spacing w:line="380" w:lineRule="exact"/>
        <w:ind w:firstLine="420" w:firstLineChars="200"/>
        <w:rPr>
          <w:rFonts w:ascii="Calibri" w:hAnsi="Calibri"/>
        </w:rPr>
      </w:pPr>
      <w:r>
        <w:rPr>
          <w:rFonts w:hint="eastAsia" w:ascii="Calibri" w:hAnsi="Calibri"/>
        </w:rPr>
        <w:t>（五）其他隐瞒真实情况、提供虚假资料的行为。</w:t>
      </w:r>
    </w:p>
    <w:p w14:paraId="2B366001">
      <w:pPr>
        <w:spacing w:line="380" w:lineRule="exact"/>
        <w:ind w:firstLine="422" w:firstLineChars="200"/>
        <w:rPr>
          <w:rFonts w:ascii="Calibri" w:hAnsi="Calibri"/>
          <w:b/>
        </w:rPr>
      </w:pPr>
      <w:r>
        <w:rPr>
          <w:rFonts w:hint="eastAsia" w:ascii="Calibri" w:hAnsi="Calibri"/>
          <w:b/>
        </w:rPr>
        <w:t>二、我单位已充分知悉“与其他采购参加人串通投标”的法定情形，包括但不限于：</w:t>
      </w:r>
    </w:p>
    <w:p w14:paraId="73DAA378">
      <w:pPr>
        <w:spacing w:line="380" w:lineRule="exact"/>
        <w:ind w:firstLine="420" w:firstLineChars="200"/>
        <w:rPr>
          <w:rFonts w:ascii="Calibri" w:hAnsi="Calibri"/>
        </w:rPr>
      </w:pPr>
      <w:r>
        <w:rPr>
          <w:rFonts w:hint="eastAsia" w:ascii="Calibri" w:hAnsi="Calibri"/>
        </w:rPr>
        <w:t>（一）投标供应商之间相互约定给予未中标的供应商利益补偿。</w:t>
      </w:r>
    </w:p>
    <w:p w14:paraId="33B96710">
      <w:pPr>
        <w:spacing w:line="380" w:lineRule="exact"/>
        <w:ind w:firstLine="420" w:firstLineChars="200"/>
        <w:rPr>
          <w:rFonts w:ascii="Calibri" w:hAnsi="Calibri"/>
        </w:rPr>
      </w:pPr>
      <w:r>
        <w:rPr>
          <w:rFonts w:hint="eastAsia" w:ascii="Calibri" w:hAnsi="Calibri"/>
        </w:rPr>
        <w:t>（二）不同投标供应商的法定代表人、主要经营负责人、项目投标授权代表人、项目负责人、主要技术人员为同一人、属同一单位或者在同一单位缴纳社会保险。</w:t>
      </w:r>
    </w:p>
    <w:p w14:paraId="3BF25780">
      <w:pPr>
        <w:spacing w:line="340" w:lineRule="exact"/>
        <w:ind w:firstLine="420" w:firstLineChars="200"/>
        <w:rPr>
          <w:rFonts w:ascii="Calibri" w:hAnsi="Calibri"/>
        </w:rPr>
      </w:pPr>
      <w:r>
        <w:rPr>
          <w:rFonts w:hint="eastAsia" w:ascii="Calibri" w:hAnsi="Calibri"/>
        </w:rPr>
        <w:t>（三）不同投标供应商的投标文件由同一单位或者同一人编制，或者由同一人分阶段参与编制的。</w:t>
      </w:r>
    </w:p>
    <w:p w14:paraId="7788FACB">
      <w:pPr>
        <w:spacing w:line="340" w:lineRule="exact"/>
        <w:ind w:firstLine="420" w:firstLineChars="200"/>
        <w:rPr>
          <w:rFonts w:ascii="Calibri" w:hAnsi="Calibri"/>
        </w:rPr>
      </w:pPr>
      <w:r>
        <w:rPr>
          <w:rFonts w:hint="eastAsia" w:ascii="Calibri" w:hAnsi="Calibri"/>
        </w:rPr>
        <w:t>（四）不同投标供应商的投标文件或部分投标文件相互混装。</w:t>
      </w:r>
    </w:p>
    <w:p w14:paraId="2833D328">
      <w:pPr>
        <w:spacing w:line="340" w:lineRule="exact"/>
        <w:ind w:firstLine="420" w:firstLineChars="200"/>
        <w:rPr>
          <w:rFonts w:ascii="Calibri" w:hAnsi="Calibri"/>
        </w:rPr>
      </w:pPr>
      <w:r>
        <w:rPr>
          <w:rFonts w:hint="eastAsia" w:ascii="Calibri" w:hAnsi="Calibri"/>
        </w:rPr>
        <w:t>（五）不同投标供应商的投标文件内容存在非正常一致。</w:t>
      </w:r>
    </w:p>
    <w:p w14:paraId="1F14EA26">
      <w:pPr>
        <w:spacing w:line="340" w:lineRule="exact"/>
        <w:ind w:firstLine="420" w:firstLineChars="200"/>
        <w:rPr>
          <w:rFonts w:ascii="Calibri" w:hAnsi="Calibri"/>
        </w:rPr>
      </w:pPr>
      <w:r>
        <w:rPr>
          <w:rFonts w:hint="eastAsia" w:ascii="Calibri" w:hAnsi="Calibri"/>
        </w:rPr>
        <w:t>（六）由同一单位工作人员为两家以上（含两家）供应商进行同一项投标活动的。</w:t>
      </w:r>
    </w:p>
    <w:p w14:paraId="42909616">
      <w:pPr>
        <w:spacing w:line="340" w:lineRule="exact"/>
        <w:ind w:firstLine="420" w:firstLineChars="200"/>
        <w:rPr>
          <w:rFonts w:ascii="Calibri" w:hAnsi="Calibri"/>
        </w:rPr>
      </w:pPr>
      <w:r>
        <w:rPr>
          <w:rFonts w:hint="eastAsia" w:ascii="Calibri" w:hAnsi="Calibri"/>
        </w:rPr>
        <w:t>（七）不同投标人的投标报价呈规律性差异。</w:t>
      </w:r>
    </w:p>
    <w:p w14:paraId="0B81A738">
      <w:pPr>
        <w:spacing w:line="340" w:lineRule="exact"/>
        <w:ind w:firstLine="420" w:firstLineChars="200"/>
        <w:rPr>
          <w:rFonts w:ascii="Calibri" w:hAnsi="Calibri"/>
        </w:rPr>
      </w:pPr>
      <w:r>
        <w:rPr>
          <w:rFonts w:hint="eastAsia" w:ascii="Calibri" w:hAnsi="Calibri"/>
        </w:rPr>
        <w:t>（八）不同投标人的投标保证金从同一单位或者个人的账户转出。</w:t>
      </w:r>
    </w:p>
    <w:p w14:paraId="4579BF04">
      <w:pPr>
        <w:spacing w:line="340" w:lineRule="exact"/>
        <w:ind w:firstLine="420" w:firstLineChars="200"/>
        <w:rPr>
          <w:rFonts w:ascii="Calibri" w:hAnsi="Calibri"/>
        </w:rPr>
      </w:pPr>
      <w:r>
        <w:rPr>
          <w:rFonts w:hint="eastAsia" w:ascii="Calibri" w:hAnsi="Calibri"/>
        </w:rPr>
        <w:t>（九）主管部门依照法律、法规认定的其他情形。</w:t>
      </w:r>
    </w:p>
    <w:p w14:paraId="02CBE57A">
      <w:pPr>
        <w:spacing w:line="340" w:lineRule="exact"/>
        <w:ind w:firstLine="422" w:firstLineChars="200"/>
        <w:rPr>
          <w:rFonts w:ascii="Calibri" w:hAnsi="Calibri"/>
          <w:b/>
        </w:rPr>
      </w:pPr>
      <w:r>
        <w:rPr>
          <w:rFonts w:hint="eastAsia" w:ascii="Calibri" w:hAnsi="Calibri"/>
          <w:b/>
        </w:rPr>
        <w:t>三、我单位已充分知悉下列情形存在法律风险，在投标前已对相关风险事项进行排查。</w:t>
      </w:r>
    </w:p>
    <w:p w14:paraId="63BDA2A9">
      <w:pPr>
        <w:spacing w:line="340" w:lineRule="exact"/>
        <w:ind w:firstLine="420" w:firstLineChars="200"/>
        <w:rPr>
          <w:rFonts w:ascii="Calibri" w:hAnsi="Calibri"/>
          <w:b/>
        </w:rPr>
      </w:pPr>
      <w:r>
        <w:rPr>
          <w:rFonts w:hint="eastAsia" w:ascii="Calibri" w:hAnsi="Calibri"/>
        </w:rPr>
        <w:t>（一）对于从其他主体获取的投标资料，我单位应审慎核查，确保其真实性。</w:t>
      </w:r>
      <w:r>
        <w:rPr>
          <w:rFonts w:hint="eastAsia" w:ascii="Calibri" w:hAnsi="Calibri"/>
          <w:b/>
        </w:rPr>
        <w:t>如主管部门查实投标文件中存在虚假资料的，无论相关资料是否由第三方或本公司员工提供，均不影响主管部门对供应商存在“隐瞒真实情况，提供虚假资料”违法行为的认定。</w:t>
      </w:r>
    </w:p>
    <w:p w14:paraId="6B0DD08E">
      <w:pPr>
        <w:spacing w:line="340" w:lineRule="exact"/>
        <w:ind w:firstLine="420" w:firstLineChars="200"/>
        <w:rPr>
          <w:rFonts w:ascii="Calibri" w:hAnsi="Calibri"/>
        </w:rPr>
      </w:pPr>
      <w:r>
        <w:rPr>
          <w:rFonts w:hint="eastAsia" w:ascii="Calibri" w:hAnsi="Calibri"/>
        </w:rPr>
        <w:t>（二）对于涉及国家机关出具的公文、证件、证明材料等文件，一旦涉嫌虚假，经查实，主管部门将依法从严处理，并移送有关部门追究法律责任；涉嫌犯罪的，移送司法机关处理。</w:t>
      </w:r>
    </w:p>
    <w:p w14:paraId="7E76E6E1">
      <w:pPr>
        <w:spacing w:line="340" w:lineRule="exact"/>
        <w:ind w:firstLine="420" w:firstLineChars="200"/>
        <w:rPr>
          <w:rFonts w:ascii="Calibri" w:hAnsi="Calibri"/>
        </w:rPr>
      </w:pPr>
      <w:r>
        <w:rPr>
          <w:rFonts w:hint="eastAsia" w:ascii="Calibri" w:hAnsi="Calibri"/>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Calibri" w:hAnsi="Calibri"/>
          <w:b/>
          <w:bCs/>
        </w:rPr>
        <w:t>擅自将投标密钥或电子营业执照出借他人使用所造成的法律后果，由我单位自行承担</w:t>
      </w:r>
      <w:r>
        <w:rPr>
          <w:rFonts w:hint="eastAsia" w:ascii="Calibri" w:hAnsi="Calibri"/>
        </w:rPr>
        <w:t>。</w:t>
      </w:r>
    </w:p>
    <w:p w14:paraId="5D1FE0B3">
      <w:pPr>
        <w:spacing w:line="340" w:lineRule="exact"/>
        <w:ind w:firstLine="422" w:firstLineChars="200"/>
        <w:rPr>
          <w:rFonts w:ascii="Calibri" w:hAnsi="Calibri"/>
          <w:b/>
        </w:rPr>
      </w:pPr>
      <w:r>
        <w:rPr>
          <w:rFonts w:hint="eastAsia" w:ascii="Calibri" w:hAnsi="Calibri"/>
          <w:b/>
        </w:rPr>
        <w:t>四、我单位已充分知悉政府采购违法、违规行为的法律后果。</w:t>
      </w:r>
    </w:p>
    <w:p w14:paraId="22EDF93B">
      <w:pPr>
        <w:spacing w:line="340" w:lineRule="exact"/>
        <w:ind w:firstLine="420" w:firstLineChars="200"/>
        <w:rPr>
          <w:rFonts w:ascii="Calibri" w:hAnsi="Calibri"/>
        </w:rPr>
      </w:pPr>
      <w:r>
        <w:rPr>
          <w:rFonts w:hint="eastAsia" w:ascii="Calibri" w:hAnsi="Calibri"/>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7ED58784">
      <w:pPr>
        <w:spacing w:line="340" w:lineRule="exact"/>
        <w:ind w:firstLine="420" w:firstLineChars="200"/>
        <w:rPr>
          <w:rFonts w:ascii="Calibri" w:hAnsi="Calibri"/>
        </w:rPr>
      </w:pPr>
      <w:r>
        <w:rPr>
          <w:rFonts w:hint="eastAsia" w:ascii="Calibri" w:hAnsi="Calibri"/>
        </w:rPr>
        <w:t>以下文字请投标供应商抄写并确认：“我单位已仔细阅读《政府采购违法行为风险知悉确认书》，充分知悉违法行为的法律后果，并承诺将严谨、诚信、依法依规参与政府采购活动”。</w:t>
      </w:r>
    </w:p>
    <w:tbl>
      <w:tblPr>
        <w:tblStyle w:val="96"/>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5D0D3538">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2D8A7D8D">
            <w:pPr>
              <w:autoSpaceDE w:val="0"/>
              <w:autoSpaceDN w:val="0"/>
              <w:spacing w:line="340" w:lineRule="exact"/>
              <w:ind w:firstLine="1866"/>
              <w:rPr>
                <w:rFonts w:ascii="宋体" w:hAnsi="宋体"/>
                <w:spacing w:val="-4"/>
                <w:kern w:val="0"/>
                <w:szCs w:val="21"/>
              </w:rPr>
            </w:pPr>
          </w:p>
        </w:tc>
      </w:tr>
      <w:tr w14:paraId="1AEB3F92">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5E6C42E8">
            <w:pPr>
              <w:autoSpaceDE w:val="0"/>
              <w:autoSpaceDN w:val="0"/>
              <w:spacing w:line="340" w:lineRule="exact"/>
              <w:ind w:firstLine="1866"/>
              <w:rPr>
                <w:rFonts w:ascii="宋体" w:hAnsi="宋体"/>
                <w:spacing w:val="-4"/>
                <w:kern w:val="0"/>
                <w:szCs w:val="21"/>
              </w:rPr>
            </w:pPr>
          </w:p>
        </w:tc>
      </w:tr>
      <w:tr w14:paraId="7BB37D38">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22E693E1">
            <w:pPr>
              <w:autoSpaceDE w:val="0"/>
              <w:autoSpaceDN w:val="0"/>
              <w:spacing w:line="340" w:lineRule="exact"/>
              <w:ind w:firstLine="1866"/>
              <w:rPr>
                <w:rFonts w:ascii="宋体" w:hAnsi="宋体"/>
                <w:spacing w:val="-4"/>
                <w:kern w:val="0"/>
                <w:szCs w:val="21"/>
              </w:rPr>
            </w:pPr>
          </w:p>
        </w:tc>
      </w:tr>
      <w:tr w14:paraId="1316E9E9">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3A28DF47">
            <w:pPr>
              <w:autoSpaceDE w:val="0"/>
              <w:autoSpaceDN w:val="0"/>
              <w:spacing w:line="340" w:lineRule="exact"/>
              <w:ind w:firstLine="1866"/>
              <w:rPr>
                <w:rFonts w:ascii="宋体" w:hAnsi="宋体"/>
                <w:spacing w:val="-4"/>
                <w:kern w:val="0"/>
                <w:szCs w:val="21"/>
              </w:rPr>
            </w:pPr>
          </w:p>
        </w:tc>
      </w:tr>
    </w:tbl>
    <w:p w14:paraId="2941DA04">
      <w:pPr>
        <w:widowControl/>
        <w:wordWrap w:val="0"/>
        <w:autoSpaceDE w:val="0"/>
        <w:autoSpaceDN w:val="0"/>
        <w:spacing w:line="340" w:lineRule="exact"/>
        <w:ind w:right="808" w:firstLine="404" w:firstLineChars="200"/>
        <w:jc w:val="right"/>
        <w:rPr>
          <w:rFonts w:ascii="宋体" w:hAnsi="宋体"/>
          <w:spacing w:val="-4"/>
          <w:kern w:val="0"/>
          <w:szCs w:val="21"/>
        </w:rPr>
      </w:pPr>
    </w:p>
    <w:p w14:paraId="05394219">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highlight w:val="yellow"/>
        </w:rPr>
        <w:t>单位负责人签名：</w:t>
      </w:r>
      <w:r>
        <w:rPr>
          <w:rFonts w:hint="eastAsia" w:ascii="宋体" w:hAnsi="宋体"/>
          <w:spacing w:val="-4"/>
          <w:kern w:val="0"/>
          <w:szCs w:val="21"/>
          <w:u w:val="single"/>
        </w:rPr>
        <w:t xml:space="preserve">              </w:t>
      </w:r>
    </w:p>
    <w:p w14:paraId="4F958C74">
      <w:pPr>
        <w:widowControl/>
        <w:wordWrap w:val="0"/>
        <w:autoSpaceDE w:val="0"/>
        <w:autoSpaceDN w:val="0"/>
        <w:spacing w:line="340" w:lineRule="exact"/>
        <w:ind w:right="808" w:firstLine="404" w:firstLineChars="200"/>
        <w:jc w:val="center"/>
        <w:rPr>
          <w:rFonts w:ascii="宋体" w:hAnsi="宋体"/>
          <w:spacing w:val="-4"/>
          <w:kern w:val="0"/>
          <w:szCs w:val="21"/>
          <w:u w:val="single"/>
        </w:rPr>
      </w:pPr>
      <w:r>
        <w:rPr>
          <w:rFonts w:hint="eastAsia" w:ascii="宋体" w:hAnsi="宋体"/>
          <w:spacing w:val="-4"/>
          <w:kern w:val="0"/>
          <w:szCs w:val="21"/>
        </w:rPr>
        <w:t xml:space="preserve">                                 </w:t>
      </w:r>
      <w:r>
        <w:rPr>
          <w:rFonts w:hint="eastAsia" w:ascii="宋体" w:hAnsi="宋体"/>
          <w:spacing w:val="-4"/>
          <w:kern w:val="0"/>
          <w:szCs w:val="21"/>
          <w:highlight w:val="yellow"/>
        </w:rPr>
        <w:t>（加盖公章）</w:t>
      </w:r>
    </w:p>
    <w:p w14:paraId="77766EA9">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rPr>
        <w:t xml:space="preserve">     日期：</w:t>
      </w:r>
      <w:r>
        <w:rPr>
          <w:rFonts w:hint="eastAsia" w:ascii="宋体" w:hAnsi="宋体"/>
          <w:spacing w:val="-4"/>
          <w:kern w:val="0"/>
          <w:szCs w:val="21"/>
          <w:u w:val="single"/>
        </w:rPr>
        <w:t xml:space="preserve">              </w:t>
      </w:r>
    </w:p>
    <w:p w14:paraId="043295E7">
      <w:pPr>
        <w:widowControl/>
        <w:autoSpaceDE w:val="0"/>
        <w:autoSpaceDN w:val="0"/>
        <w:spacing w:line="340" w:lineRule="exact"/>
        <w:ind w:firstLine="406" w:firstLineChars="200"/>
        <w:jc w:val="left"/>
        <w:rPr>
          <w:rFonts w:ascii="宋体" w:hAnsi="宋体"/>
          <w:b/>
          <w:bCs/>
          <w:spacing w:val="-4"/>
          <w:kern w:val="0"/>
          <w:szCs w:val="21"/>
        </w:rPr>
      </w:pPr>
    </w:p>
    <w:p w14:paraId="20415EFD">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注：</w:t>
      </w:r>
    </w:p>
    <w:p w14:paraId="013D56D0">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1.《政府采购违法行为风险知悉确认书》需由</w:t>
      </w:r>
      <w:r>
        <w:rPr>
          <w:rFonts w:hint="eastAsia" w:ascii="宋体" w:hAnsi="宋体"/>
          <w:b/>
          <w:bCs/>
          <w:color w:val="FF0000"/>
          <w:spacing w:val="-4"/>
          <w:szCs w:val="21"/>
          <w:highlight w:val="yellow"/>
          <w:lang w:bidi="ar"/>
        </w:rPr>
        <w:t>投标供应商负责人签字并加盖单位公章</w:t>
      </w:r>
      <w:r>
        <w:rPr>
          <w:rFonts w:hint="eastAsia" w:ascii="宋体" w:hAnsi="宋体"/>
          <w:b/>
          <w:bCs/>
          <w:color w:val="FF0000"/>
          <w:spacing w:val="-4"/>
          <w:szCs w:val="21"/>
          <w:lang w:bidi="ar"/>
        </w:rPr>
        <w:t>后，扫描上传至投标文件一并提交。</w:t>
      </w:r>
    </w:p>
    <w:p w14:paraId="0C65D383">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47058C0F">
      <w:pPr>
        <w:widowControl/>
        <w:wordWrap w:val="0"/>
        <w:autoSpaceDE w:val="0"/>
        <w:autoSpaceDN w:val="0"/>
        <w:spacing w:line="400" w:lineRule="exact"/>
        <w:ind w:right="1414" w:firstLine="404" w:firstLineChars="200"/>
        <w:jc w:val="right"/>
        <w:rPr>
          <w:rFonts w:eastAsiaTheme="minorEastAsia"/>
          <w:kern w:val="0"/>
          <w:sz w:val="24"/>
        </w:rPr>
      </w:pPr>
      <w:r>
        <w:rPr>
          <w:rFonts w:hint="eastAsia" w:ascii="宋体" w:hAnsi="宋体" w:eastAsiaTheme="minorEastAsia"/>
          <w:spacing w:val="-4"/>
          <w:kern w:val="0"/>
          <w:szCs w:val="21"/>
        </w:rPr>
        <w:t xml:space="preserve">     </w:t>
      </w:r>
    </w:p>
    <w:p w14:paraId="4550C69A">
      <w:pPr>
        <w:pStyle w:val="31"/>
      </w:pPr>
    </w:p>
    <w:p w14:paraId="23C706A8">
      <w:pPr>
        <w:pStyle w:val="31"/>
      </w:pPr>
    </w:p>
    <w:p w14:paraId="42644F71">
      <w:pPr>
        <w:widowControl/>
        <w:jc w:val="center"/>
        <w:rPr>
          <w:rFonts w:ascii="黑体" w:hAnsi="宋体" w:eastAsia="黑体"/>
          <w:kern w:val="0"/>
          <w:sz w:val="24"/>
          <w:szCs w:val="20"/>
        </w:rPr>
      </w:pPr>
      <w:r>
        <w:rPr>
          <w:rFonts w:hint="eastAsia" w:ascii="黑体" w:hAnsi="宋体" w:eastAsia="黑体"/>
          <w:kern w:val="0"/>
          <w:sz w:val="24"/>
          <w:szCs w:val="20"/>
        </w:rPr>
        <w:t>（二）投标供应商认为需要加以说明的其他内容（格式自定）</w:t>
      </w:r>
    </w:p>
    <w:p w14:paraId="2A5F7C87">
      <w:pPr>
        <w:pStyle w:val="31"/>
      </w:pPr>
    </w:p>
    <w:p w14:paraId="014411D3">
      <w:pPr>
        <w:pStyle w:val="31"/>
        <w:ind w:left="0" w:leftChars="0" w:firstLine="0" w:firstLineChars="0"/>
      </w:pPr>
    </w:p>
    <w:p w14:paraId="3780FBDB"/>
    <w:p w14:paraId="349016C8">
      <w:pPr>
        <w:widowControl/>
        <w:jc w:val="left"/>
      </w:pPr>
      <w:r>
        <w:br w:type="page"/>
      </w:r>
    </w:p>
    <w:p w14:paraId="584161E7">
      <w:pPr>
        <w:pStyle w:val="5"/>
        <w:rPr>
          <w:kern w:val="2"/>
        </w:rPr>
      </w:pPr>
      <w:bookmarkStart w:id="29" w:name="_Toc194467284"/>
      <w:r>
        <w:rPr>
          <w:rFonts w:hint="eastAsia"/>
          <w:kern w:val="2"/>
        </w:rPr>
        <w:t>第二章</w:t>
      </w:r>
      <w:r>
        <w:rPr>
          <w:kern w:val="2"/>
        </w:rPr>
        <w:t xml:space="preserve"> </w:t>
      </w:r>
      <w:r>
        <w:rPr>
          <w:rFonts w:hint="eastAsia"/>
          <w:kern w:val="2"/>
        </w:rPr>
        <w:t xml:space="preserve"> 合同格式（详询采购单位）</w:t>
      </w:r>
      <w:bookmarkEnd w:id="29"/>
      <w:r>
        <w:rPr>
          <w:kern w:val="2"/>
        </w:rPr>
        <w:t xml:space="preserve"> </w:t>
      </w:r>
    </w:p>
    <w:p w14:paraId="4CA1FC33">
      <w:pPr>
        <w:widowControl/>
        <w:jc w:val="left"/>
      </w:pPr>
      <w:r>
        <w:br w:type="page"/>
      </w:r>
    </w:p>
    <w:p w14:paraId="55D2622C">
      <w:pPr>
        <w:pStyle w:val="2"/>
      </w:pPr>
      <w:bookmarkStart w:id="30" w:name="bt授予合同"/>
      <w:bookmarkEnd w:id="30"/>
      <w:bookmarkStart w:id="31" w:name="bt投标须知"/>
      <w:bookmarkEnd w:id="31"/>
      <w:bookmarkStart w:id="32" w:name="bt招标文件"/>
      <w:bookmarkEnd w:id="32"/>
      <w:bookmarkStart w:id="33" w:name="bt投标须知前附表"/>
      <w:bookmarkEnd w:id="33"/>
      <w:bookmarkStart w:id="34" w:name="bt总则"/>
      <w:bookmarkEnd w:id="34"/>
      <w:bookmarkStart w:id="35" w:name="bt开标与评标"/>
      <w:bookmarkEnd w:id="35"/>
      <w:bookmarkStart w:id="36" w:name="bt投标文件的编制"/>
      <w:bookmarkEnd w:id="36"/>
      <w:bookmarkStart w:id="37" w:name="bt图纸"/>
      <w:bookmarkEnd w:id="37"/>
      <w:bookmarkStart w:id="38" w:name="OLE_LINK26"/>
      <w:bookmarkStart w:id="39" w:name="_Toc194467300"/>
      <w:bookmarkStart w:id="40" w:name="_Toc73521548"/>
      <w:bookmarkStart w:id="41" w:name="_Toc73518118"/>
      <w:bookmarkStart w:id="42" w:name="_Toc100052365"/>
      <w:bookmarkStart w:id="43" w:name="_Toc73517640"/>
      <w:bookmarkStart w:id="44" w:name="_Toc101074877"/>
      <w:bookmarkStart w:id="45" w:name="_Toc73521636"/>
      <w:r>
        <w:rPr>
          <w:rFonts w:hint="eastAsia"/>
        </w:rPr>
        <w:t>第三册  投标供应商须知</w:t>
      </w:r>
    </w:p>
    <w:bookmarkEnd w:id="38"/>
    <w:p w14:paraId="69BEBD68">
      <w:pPr>
        <w:pStyle w:val="5"/>
      </w:pPr>
      <w:r>
        <w:rPr>
          <w:rFonts w:hint="eastAsia"/>
        </w:rPr>
        <w:t>第一章 总则</w:t>
      </w:r>
      <w:bookmarkEnd w:id="39"/>
      <w:bookmarkEnd w:id="40"/>
      <w:bookmarkEnd w:id="41"/>
      <w:bookmarkEnd w:id="42"/>
      <w:bookmarkEnd w:id="43"/>
      <w:bookmarkEnd w:id="44"/>
      <w:bookmarkEnd w:id="45"/>
    </w:p>
    <w:p w14:paraId="778EBFFB">
      <w:pPr>
        <w:spacing w:line="360" w:lineRule="auto"/>
        <w:rPr>
          <w:rFonts w:ascii="黑体" w:hAnsi="宋体" w:eastAsia="黑体"/>
          <w:sz w:val="24"/>
        </w:rPr>
      </w:pPr>
      <w:bookmarkStart w:id="46" w:name="_Toc73521549"/>
      <w:bookmarkStart w:id="47" w:name="_Toc100052366"/>
      <w:bookmarkStart w:id="48" w:name="_Toc73518119"/>
      <w:bookmarkStart w:id="49" w:name="_Toc73521637"/>
      <w:bookmarkStart w:id="50" w:name="_Toc60560627"/>
      <w:bookmarkStart w:id="51" w:name="_Toc73517641"/>
      <w:bookmarkStart w:id="52" w:name="_Toc60631622"/>
      <w:r>
        <w:rPr>
          <w:rFonts w:ascii="黑体" w:hAnsi="宋体" w:eastAsia="黑体"/>
          <w:sz w:val="24"/>
        </w:rPr>
        <w:t>1．</w:t>
      </w:r>
      <w:r>
        <w:rPr>
          <w:rFonts w:hint="eastAsia" w:ascii="黑体" w:hAnsi="宋体" w:eastAsia="黑体"/>
          <w:sz w:val="24"/>
        </w:rPr>
        <w:t>招标说明</w:t>
      </w:r>
      <w:bookmarkEnd w:id="46"/>
      <w:bookmarkEnd w:id="47"/>
      <w:bookmarkEnd w:id="48"/>
      <w:bookmarkEnd w:id="49"/>
      <w:bookmarkEnd w:id="50"/>
      <w:bookmarkEnd w:id="51"/>
      <w:bookmarkEnd w:id="52"/>
    </w:p>
    <w:p w14:paraId="6BEABBCB">
      <w:pPr>
        <w:ind w:firstLine="411" w:firstLineChars="196"/>
        <w:rPr>
          <w:rFonts w:ascii="宋体" w:hAnsi="宋体"/>
          <w:szCs w:val="21"/>
        </w:rPr>
      </w:pPr>
      <w:r>
        <w:rPr>
          <w:rFonts w:hint="eastAsia" w:ascii="宋体" w:hAnsi="宋体"/>
          <w:szCs w:val="21"/>
        </w:rPr>
        <w:t>本项目参照《深圳经济特区政府采购条例》及其实施细则等有关文件的规定，通过</w:t>
      </w:r>
      <w:r>
        <w:rPr>
          <w:rStyle w:val="45"/>
          <w:rFonts w:hint="eastAsia"/>
        </w:rPr>
        <w:t>评审定标</w:t>
      </w:r>
      <w:r>
        <w:rPr>
          <w:rFonts w:hint="eastAsia"/>
          <w:szCs w:val="21"/>
        </w:rPr>
        <w:t>方式确定成交供应商</w:t>
      </w:r>
      <w:r>
        <w:rPr>
          <w:rStyle w:val="45"/>
          <w:rFonts w:hint="eastAsia"/>
        </w:rPr>
        <w:t>。</w:t>
      </w:r>
    </w:p>
    <w:p w14:paraId="634D5D02">
      <w:pPr>
        <w:spacing w:line="360" w:lineRule="auto"/>
        <w:rPr>
          <w:rFonts w:ascii="黑体" w:hAnsi="宋体" w:eastAsia="黑体"/>
          <w:sz w:val="24"/>
        </w:rPr>
      </w:pPr>
      <w:bookmarkStart w:id="53" w:name="_Toc73517642"/>
      <w:bookmarkStart w:id="54" w:name="_Toc100052367"/>
      <w:bookmarkStart w:id="55" w:name="_Toc60631623"/>
      <w:bookmarkStart w:id="56" w:name="_Toc60560628"/>
      <w:bookmarkStart w:id="57" w:name="_Toc73521638"/>
      <w:bookmarkStart w:id="58" w:name="_Toc73518120"/>
      <w:bookmarkStart w:id="59" w:name="_Toc73521550"/>
      <w:r>
        <w:rPr>
          <w:rFonts w:ascii="黑体" w:hAnsi="宋体" w:eastAsia="黑体"/>
          <w:sz w:val="24"/>
        </w:rPr>
        <w:t>2</w:t>
      </w:r>
      <w:r>
        <w:rPr>
          <w:rFonts w:hint="eastAsia" w:ascii="黑体" w:hAnsi="宋体" w:eastAsia="黑体"/>
          <w:sz w:val="24"/>
        </w:rPr>
        <w:t>．定义</w:t>
      </w:r>
      <w:bookmarkEnd w:id="53"/>
      <w:bookmarkEnd w:id="54"/>
      <w:bookmarkEnd w:id="55"/>
      <w:bookmarkEnd w:id="56"/>
      <w:bookmarkEnd w:id="57"/>
      <w:bookmarkEnd w:id="58"/>
      <w:bookmarkEnd w:id="59"/>
    </w:p>
    <w:p w14:paraId="37252D5C">
      <w:pPr>
        <w:ind w:firstLine="420" w:firstLineChars="200"/>
        <w:rPr>
          <w:rFonts w:ascii="宋体" w:hAnsi="宋体"/>
          <w:szCs w:val="21"/>
        </w:rPr>
      </w:pPr>
      <w:r>
        <w:rPr>
          <w:rFonts w:ascii="宋体" w:hAnsi="宋体"/>
          <w:szCs w:val="21"/>
        </w:rPr>
        <w:t>招标文件中下列术语应解释为：</w:t>
      </w:r>
    </w:p>
    <w:p w14:paraId="06946B44">
      <w:pPr>
        <w:ind w:firstLine="411" w:firstLineChars="196"/>
        <w:rPr>
          <w:rFonts w:ascii="宋体" w:hAnsi="宋体"/>
          <w:szCs w:val="21"/>
        </w:rPr>
      </w:pPr>
      <w:r>
        <w:rPr>
          <w:rFonts w:ascii="宋体" w:hAnsi="宋体"/>
          <w:szCs w:val="21"/>
        </w:rPr>
        <w:t>2</w:t>
      </w:r>
      <w:r>
        <w:rPr>
          <w:rFonts w:hint="eastAsia" w:ascii="宋体" w:hAnsi="宋体"/>
          <w:szCs w:val="21"/>
        </w:rPr>
        <w:t>.1“日期”</w:t>
      </w:r>
      <w:r>
        <w:rPr>
          <w:rFonts w:ascii="宋体" w:hAnsi="宋体"/>
          <w:szCs w:val="21"/>
        </w:rPr>
        <w:t>指</w:t>
      </w:r>
      <w:r>
        <w:rPr>
          <w:rFonts w:hint="eastAsia" w:ascii="宋体" w:hAnsi="宋体"/>
          <w:szCs w:val="21"/>
        </w:rPr>
        <w:t>公历日；</w:t>
      </w:r>
    </w:p>
    <w:p w14:paraId="3E70C7E5">
      <w:pPr>
        <w:ind w:firstLine="411" w:firstLineChars="196"/>
        <w:rPr>
          <w:rFonts w:ascii="宋体" w:hAnsi="宋体"/>
          <w:szCs w:val="21"/>
        </w:rPr>
      </w:pPr>
      <w:r>
        <w:rPr>
          <w:rFonts w:hint="eastAsia" w:ascii="宋体" w:hAnsi="宋体"/>
          <w:szCs w:val="21"/>
        </w:rPr>
        <w:t>2.2“</w:t>
      </w:r>
      <w:r>
        <w:rPr>
          <w:rFonts w:hint="eastAsia"/>
        </w:rPr>
        <w:t>招标文件</w:t>
      </w:r>
      <w:r>
        <w:rPr>
          <w:rFonts w:hint="eastAsia" w:ascii="宋体" w:hAnsi="宋体"/>
          <w:szCs w:val="21"/>
        </w:rPr>
        <w:t>”指采购文件；</w:t>
      </w:r>
    </w:p>
    <w:p w14:paraId="4A70744F">
      <w:pPr>
        <w:ind w:firstLine="411" w:firstLineChars="196"/>
        <w:rPr>
          <w:rFonts w:ascii="宋体" w:hAnsi="宋体"/>
          <w:szCs w:val="21"/>
        </w:rPr>
      </w:pPr>
      <w:r>
        <w:rPr>
          <w:rFonts w:ascii="宋体" w:hAnsi="宋体"/>
          <w:szCs w:val="21"/>
        </w:rPr>
        <w:t>2.</w:t>
      </w:r>
      <w:r>
        <w:rPr>
          <w:rFonts w:hint="eastAsia" w:ascii="宋体" w:hAnsi="宋体"/>
          <w:szCs w:val="21"/>
        </w:rPr>
        <w:t>3“应答文件”指投标文件；</w:t>
      </w:r>
    </w:p>
    <w:p w14:paraId="662CAB8F">
      <w:pPr>
        <w:ind w:firstLine="411" w:firstLineChars="196"/>
        <w:rPr>
          <w:rFonts w:ascii="宋体" w:hAnsi="宋体"/>
          <w:szCs w:val="21"/>
        </w:rPr>
      </w:pPr>
      <w:r>
        <w:rPr>
          <w:rFonts w:hint="eastAsia" w:ascii="宋体" w:hAnsi="宋体"/>
          <w:szCs w:val="21"/>
        </w:rPr>
        <w:t>2.4 “成交”指中标；</w:t>
      </w:r>
    </w:p>
    <w:p w14:paraId="7C26DE99">
      <w:pPr>
        <w:ind w:firstLine="411" w:firstLineChars="196"/>
        <w:rPr>
          <w:rFonts w:ascii="宋体" w:hAnsi="宋体"/>
          <w:szCs w:val="21"/>
        </w:rPr>
      </w:pPr>
      <w:r>
        <w:rPr>
          <w:rFonts w:hint="eastAsia" w:ascii="宋体" w:hAnsi="宋体"/>
          <w:szCs w:val="21"/>
        </w:rPr>
        <w:t>2.5“合同”指由本次招标所产生的合同或合约文件；</w:t>
      </w:r>
    </w:p>
    <w:p w14:paraId="2F3AC3EE">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“网上投标”指按照招标文件的规定并遵循相应的技术要求，通过深圳公共资源交易中心（深圳交易集团有限公司罗湖分公司）网站上传电子投标文件的行为；</w:t>
      </w:r>
    </w:p>
    <w:p w14:paraId="646FC5E1">
      <w:pPr>
        <w:ind w:firstLine="411" w:firstLineChars="196"/>
        <w:rPr>
          <w:rFonts w:ascii="宋体" w:hAnsi="宋体"/>
          <w:szCs w:val="21"/>
        </w:rPr>
      </w:pPr>
      <w:r>
        <w:rPr>
          <w:rFonts w:hint="eastAsia" w:ascii="宋体" w:hAnsi="宋体"/>
          <w:szCs w:val="21"/>
        </w:rPr>
        <w:t>2.7招标文件中的标题或题名仅起引导作用，而不应视为对招标文件内容的理解和解释；</w:t>
      </w:r>
    </w:p>
    <w:p w14:paraId="4EA5EFBC">
      <w:pPr>
        <w:ind w:firstLine="411" w:firstLineChars="196"/>
        <w:rPr>
          <w:rFonts w:ascii="宋体" w:hAnsi="宋体"/>
          <w:szCs w:val="21"/>
        </w:rPr>
      </w:pPr>
      <w:r>
        <w:rPr>
          <w:rFonts w:ascii="宋体" w:hAnsi="宋体"/>
          <w:szCs w:val="21"/>
        </w:rPr>
        <w:t>2.</w:t>
      </w:r>
      <w:r>
        <w:rPr>
          <w:rFonts w:hint="eastAsia" w:ascii="宋体" w:hAnsi="宋体"/>
          <w:szCs w:val="21"/>
        </w:rPr>
        <w:t>8除特别声明外，</w:t>
      </w:r>
      <w:bookmarkStart w:id="60" w:name="OLE_LINK4"/>
      <w:r>
        <w:rPr>
          <w:rFonts w:hint="eastAsia" w:ascii="宋体" w:hAnsi="宋体"/>
          <w:szCs w:val="21"/>
        </w:rPr>
        <w:t>本招标文件所称的网站均指</w:t>
      </w:r>
      <w:bookmarkStart w:id="61" w:name="OLE_LINK2"/>
      <w:r>
        <w:rPr>
          <w:rFonts w:hint="eastAsia" w:ascii="宋体" w:hAnsi="宋体"/>
          <w:szCs w:val="21"/>
        </w:rPr>
        <w:t>深圳交易集团罗湖分公司网站，网址：</w:t>
      </w:r>
      <w:bookmarkStart w:id="62" w:name="OLE_LINK1"/>
      <w:r>
        <w:rPr>
          <w:rFonts w:hint="eastAsia" w:ascii="宋体" w:hAnsi="宋体"/>
          <w:color w:val="FF0000"/>
          <w:szCs w:val="21"/>
        </w:rPr>
        <w:t>https://lh.szexgrp.com/jyfw/zfcg-view.html?id=zfcg</w:t>
      </w:r>
      <w:bookmarkEnd w:id="62"/>
    </w:p>
    <w:bookmarkEnd w:id="60"/>
    <w:bookmarkEnd w:id="61"/>
    <w:p w14:paraId="2DE27BA0">
      <w:pPr>
        <w:spacing w:line="360" w:lineRule="auto"/>
        <w:rPr>
          <w:rFonts w:ascii="黑体" w:hAnsi="宋体" w:eastAsia="黑体"/>
          <w:sz w:val="24"/>
        </w:rPr>
      </w:pPr>
      <w:bookmarkStart w:id="63" w:name="_Toc73517643"/>
      <w:bookmarkStart w:id="64" w:name="_Toc73521639"/>
      <w:bookmarkStart w:id="65" w:name="_Toc60631624"/>
      <w:bookmarkStart w:id="66" w:name="_Toc100052368"/>
      <w:bookmarkStart w:id="67" w:name="_Toc73518121"/>
      <w:bookmarkStart w:id="68" w:name="_Toc60560629"/>
      <w:bookmarkStart w:id="69" w:name="_Toc73521551"/>
      <w:r>
        <w:rPr>
          <w:rFonts w:hint="eastAsia" w:ascii="黑体" w:hAnsi="宋体" w:eastAsia="黑体"/>
          <w:sz w:val="24"/>
        </w:rPr>
        <w:t>3．投标供应商的资质要求</w:t>
      </w:r>
      <w:bookmarkEnd w:id="63"/>
      <w:bookmarkEnd w:id="64"/>
      <w:bookmarkEnd w:id="65"/>
      <w:bookmarkEnd w:id="66"/>
      <w:bookmarkEnd w:id="67"/>
      <w:bookmarkEnd w:id="68"/>
      <w:bookmarkEnd w:id="69"/>
    </w:p>
    <w:p w14:paraId="67355363">
      <w:pPr>
        <w:ind w:firstLine="411" w:firstLineChars="196"/>
        <w:rPr>
          <w:rFonts w:ascii="宋体" w:hAnsi="宋体"/>
          <w:color w:val="auto"/>
          <w:szCs w:val="21"/>
        </w:rPr>
      </w:pPr>
      <w:bookmarkStart w:id="70" w:name="OLE_LINK39"/>
      <w:r>
        <w:rPr>
          <w:rFonts w:hint="eastAsia" w:ascii="宋体" w:hAnsi="宋体"/>
          <w:color w:val="auto"/>
          <w:szCs w:val="21"/>
        </w:rPr>
        <w:t>3</w:t>
      </w:r>
      <w:r>
        <w:rPr>
          <w:rFonts w:ascii="宋体" w:hAnsi="宋体"/>
          <w:color w:val="auto"/>
          <w:szCs w:val="21"/>
        </w:rPr>
        <w:t>.</w:t>
      </w:r>
      <w:r>
        <w:rPr>
          <w:rFonts w:hint="eastAsia" w:ascii="宋体" w:hAnsi="宋体"/>
          <w:color w:val="auto"/>
          <w:szCs w:val="21"/>
        </w:rPr>
        <w:t>1 参加本次投标的投标供应商应满足招标文件规定的资格条件，详</w:t>
      </w:r>
      <w:r>
        <w:rPr>
          <w:rFonts w:hint="eastAsia" w:ascii="宋体" w:hAnsi="宋体"/>
          <w:bCs/>
          <w:color w:val="auto"/>
          <w:szCs w:val="21"/>
        </w:rPr>
        <w:t>见招标公告有关投标供应商资格要求。</w:t>
      </w:r>
    </w:p>
    <w:bookmarkEnd w:id="70"/>
    <w:p w14:paraId="4497D20B">
      <w:pPr>
        <w:spacing w:line="360" w:lineRule="auto"/>
        <w:rPr>
          <w:rFonts w:ascii="黑体" w:hAnsi="宋体" w:eastAsia="黑体"/>
          <w:sz w:val="24"/>
        </w:rPr>
      </w:pPr>
      <w:bookmarkStart w:id="71" w:name="_Toc73518123"/>
      <w:bookmarkStart w:id="72" w:name="_Toc73517645"/>
      <w:bookmarkStart w:id="73" w:name="_Toc60631626"/>
      <w:bookmarkStart w:id="74" w:name="_Toc73521553"/>
      <w:bookmarkStart w:id="75" w:name="_Toc100052370"/>
      <w:bookmarkStart w:id="76" w:name="_Toc73521641"/>
      <w:bookmarkStart w:id="77" w:name="_Toc60560631"/>
      <w:r>
        <w:rPr>
          <w:rFonts w:hint="eastAsia" w:ascii="黑体" w:hAnsi="宋体" w:eastAsia="黑体"/>
          <w:sz w:val="24"/>
        </w:rPr>
        <w:t>4．投标费用</w:t>
      </w:r>
      <w:bookmarkEnd w:id="71"/>
      <w:bookmarkEnd w:id="72"/>
      <w:bookmarkEnd w:id="73"/>
      <w:bookmarkEnd w:id="74"/>
      <w:bookmarkEnd w:id="75"/>
      <w:bookmarkEnd w:id="76"/>
      <w:bookmarkEnd w:id="77"/>
    </w:p>
    <w:p w14:paraId="5EEF6200">
      <w:pPr>
        <w:ind w:firstLine="411" w:firstLineChars="196"/>
        <w:rPr>
          <w:rFonts w:ascii="宋体" w:hAnsi="宋体"/>
          <w:szCs w:val="21"/>
        </w:rPr>
      </w:pPr>
      <w:r>
        <w:rPr>
          <w:rFonts w:hint="eastAsia" w:ascii="宋体" w:hAnsi="宋体"/>
        </w:rPr>
        <w:t>不论投标的结果如何，投标</w:t>
      </w:r>
      <w:r>
        <w:rPr>
          <w:rFonts w:hint="eastAsia" w:ascii="宋体" w:hAnsi="宋体"/>
          <w:color w:val="000000"/>
          <w:szCs w:val="21"/>
        </w:rPr>
        <w:t>供应商</w:t>
      </w:r>
      <w:r>
        <w:rPr>
          <w:rFonts w:hint="eastAsia" w:ascii="宋体" w:hAnsi="宋体"/>
        </w:rPr>
        <w:t>应承担所有与准备和参加投标</w:t>
      </w:r>
      <w:r>
        <w:rPr>
          <w:rFonts w:hint="eastAsia" w:ascii="宋体" w:hAnsi="宋体"/>
          <w:szCs w:val="21"/>
        </w:rPr>
        <w:t>(含实物样品)</w:t>
      </w:r>
      <w:r>
        <w:rPr>
          <w:rFonts w:hint="eastAsia" w:ascii="宋体" w:hAnsi="宋体"/>
        </w:rPr>
        <w:t>有关的费用，深圳公共资源交易中心（深圳交易集团有限公司罗湖分公司）和采购单位均无义务、也无责任承担这些费用。</w:t>
      </w:r>
      <w:bookmarkStart w:id="78" w:name="_Toc78260681"/>
      <w:bookmarkStart w:id="79" w:name="_Toc100052372"/>
    </w:p>
    <w:p w14:paraId="18F59219">
      <w:pPr>
        <w:spacing w:line="360" w:lineRule="auto"/>
        <w:rPr>
          <w:rFonts w:ascii="黑体" w:hAnsi="宋体" w:eastAsia="黑体"/>
          <w:sz w:val="24"/>
        </w:rPr>
      </w:pPr>
      <w:r>
        <w:rPr>
          <w:rFonts w:hint="eastAsia" w:ascii="黑体" w:hAnsi="宋体" w:eastAsia="黑体"/>
          <w:sz w:val="24"/>
        </w:rPr>
        <w:t>5．招标</w:t>
      </w:r>
      <w:bookmarkEnd w:id="78"/>
      <w:r>
        <w:rPr>
          <w:rFonts w:hint="eastAsia" w:ascii="黑体" w:hAnsi="宋体" w:eastAsia="黑体"/>
          <w:sz w:val="24"/>
        </w:rPr>
        <w:t>答疑</w:t>
      </w:r>
      <w:bookmarkEnd w:id="79"/>
      <w:r>
        <w:rPr>
          <w:rFonts w:hint="eastAsia" w:ascii="黑体" w:hAnsi="宋体" w:eastAsia="黑体"/>
          <w:sz w:val="24"/>
        </w:rPr>
        <w:t>、质疑</w:t>
      </w:r>
    </w:p>
    <w:p w14:paraId="7346AA66">
      <w:pPr>
        <w:ind w:firstLine="411" w:firstLineChars="196"/>
        <w:rPr>
          <w:rFonts w:ascii="宋体" w:hAnsi="宋体"/>
          <w:szCs w:val="21"/>
        </w:rPr>
      </w:pPr>
      <w:r>
        <w:rPr>
          <w:rFonts w:hint="eastAsia" w:ascii="宋体" w:hAnsi="宋体"/>
          <w:szCs w:val="21"/>
        </w:rPr>
        <w:t>5.1招标答疑的目的是澄清、解答投标</w:t>
      </w:r>
      <w:r>
        <w:rPr>
          <w:rFonts w:hint="eastAsia" w:ascii="宋体" w:hAnsi="宋体"/>
          <w:color w:val="000000"/>
          <w:szCs w:val="21"/>
        </w:rPr>
        <w:t>供应商</w:t>
      </w:r>
      <w:r>
        <w:rPr>
          <w:rFonts w:hint="eastAsia" w:ascii="宋体" w:hAnsi="宋体"/>
          <w:szCs w:val="21"/>
        </w:rPr>
        <w:t>在查阅招标文件后可能提出的与投标有关的问题；</w:t>
      </w:r>
    </w:p>
    <w:p w14:paraId="25243077">
      <w:pPr>
        <w:ind w:firstLine="411" w:firstLineChars="196"/>
        <w:rPr>
          <w:rFonts w:ascii="宋体" w:hAnsi="宋体"/>
          <w:szCs w:val="21"/>
        </w:rPr>
      </w:pPr>
      <w:r>
        <w:rPr>
          <w:rFonts w:hint="eastAsia" w:ascii="宋体" w:hAnsi="宋体"/>
          <w:szCs w:val="21"/>
        </w:rPr>
        <w:t>5.2投标</w:t>
      </w:r>
      <w:r>
        <w:rPr>
          <w:rFonts w:hint="eastAsia" w:ascii="宋体" w:hAnsi="宋体"/>
          <w:color w:val="000000"/>
          <w:szCs w:val="21"/>
        </w:rPr>
        <w:t>供应商</w:t>
      </w:r>
      <w:r>
        <w:rPr>
          <w:rFonts w:hint="eastAsia" w:ascii="宋体" w:hAnsi="宋体"/>
          <w:szCs w:val="21"/>
        </w:rPr>
        <w:t>提出的与投标有关的问题须在招标文件规定的截止时间前以网上形式提交给深圳公共资源交易中心（深圳交易集团有限公司罗湖分公司）；</w:t>
      </w:r>
    </w:p>
    <w:p w14:paraId="6BD5CCD1">
      <w:pPr>
        <w:ind w:firstLine="420"/>
        <w:rPr>
          <w:rFonts w:ascii="宋体" w:hAnsi="宋体" w:cs="宋体"/>
          <w:kern w:val="0"/>
          <w:szCs w:val="21"/>
        </w:rPr>
      </w:pPr>
      <w:r>
        <w:rPr>
          <w:rFonts w:hint="eastAsia" w:ascii="宋体" w:hAnsi="宋体"/>
          <w:szCs w:val="21"/>
        </w:rPr>
        <w:t>5.3</w:t>
      </w:r>
      <w:r>
        <w:rPr>
          <w:rFonts w:hint="eastAsia" w:ascii="宋体" w:hAnsi="宋体" w:cs="宋体"/>
          <w:kern w:val="0"/>
          <w:szCs w:val="21"/>
        </w:rPr>
        <w:t>供应商如认为招标文件、采购过程、中标或成交结果等采购程序环节存在下列情形使其权益受到损害的，存在限制性、倾向性、其权益受到损害，可以依法向</w:t>
      </w:r>
      <w:r>
        <w:rPr>
          <w:rFonts w:hint="eastAsia" w:ascii="宋体" w:hAnsi="宋体"/>
          <w:szCs w:val="21"/>
        </w:rPr>
        <w:t>深圳公共资源交易中心（深圳交易集团有限公司罗湖分公司）</w:t>
      </w:r>
      <w:r>
        <w:rPr>
          <w:rFonts w:hint="eastAsia" w:ascii="宋体" w:hAnsi="宋体" w:cs="宋体"/>
          <w:kern w:val="0"/>
          <w:szCs w:val="21"/>
        </w:rPr>
        <w:t>以书面形式提出质疑。</w:t>
      </w:r>
    </w:p>
    <w:p w14:paraId="54129CCC">
      <w:pPr>
        <w:ind w:firstLine="420"/>
        <w:rPr>
          <w:rFonts w:ascii="宋体" w:hAnsi="宋体" w:cs="宋体"/>
          <w:kern w:val="0"/>
          <w:szCs w:val="21"/>
        </w:rPr>
      </w:pPr>
      <w:r>
        <w:rPr>
          <w:rFonts w:hint="eastAsia" w:ascii="宋体" w:hAnsi="宋体"/>
          <w:szCs w:val="21"/>
        </w:rPr>
        <w:t>5.3.1</w:t>
      </w:r>
      <w:r>
        <w:rPr>
          <w:rFonts w:hint="eastAsia" w:ascii="宋体" w:hAnsi="宋体" w:cs="宋体"/>
          <w:kern w:val="0"/>
          <w:szCs w:val="21"/>
        </w:rPr>
        <w:t>供应商应按以下规定时限提出质疑：</w:t>
      </w:r>
    </w:p>
    <w:p w14:paraId="6BAC20E3">
      <w:pPr>
        <w:ind w:firstLine="420"/>
        <w:rPr>
          <w:rFonts w:ascii="宋体" w:hAnsi="宋体" w:cs="宋体"/>
          <w:kern w:val="0"/>
          <w:szCs w:val="21"/>
        </w:rPr>
      </w:pPr>
      <w:r>
        <w:rPr>
          <w:rFonts w:hint="eastAsia" w:ascii="宋体" w:hAnsi="宋体" w:cs="宋体"/>
          <w:kern w:val="0"/>
          <w:szCs w:val="21"/>
        </w:rPr>
        <w:t>（1）对招标（采购）文件的质疑，为招标（采购）公告公示期内；</w:t>
      </w:r>
    </w:p>
    <w:p w14:paraId="77CF1782">
      <w:pPr>
        <w:ind w:firstLine="420"/>
        <w:rPr>
          <w:rFonts w:ascii="宋体" w:hAnsi="宋体" w:cs="宋体"/>
          <w:kern w:val="0"/>
          <w:szCs w:val="21"/>
        </w:rPr>
      </w:pPr>
      <w:r>
        <w:rPr>
          <w:rFonts w:hint="eastAsia" w:ascii="宋体" w:hAnsi="宋体" w:cs="宋体"/>
          <w:kern w:val="0"/>
          <w:szCs w:val="21"/>
        </w:rPr>
        <w:t>（2）对中标（成交）结果以及评审委员会、谈判小组组成人员的质疑，为中标（成交）结果公示期内；</w:t>
      </w:r>
    </w:p>
    <w:p w14:paraId="64544E76">
      <w:pPr>
        <w:ind w:firstLine="420"/>
        <w:rPr>
          <w:rFonts w:ascii="宋体" w:hAnsi="宋体" w:cs="宋体"/>
          <w:kern w:val="0"/>
          <w:szCs w:val="21"/>
        </w:rPr>
      </w:pPr>
      <w:r>
        <w:rPr>
          <w:rFonts w:hint="eastAsia" w:ascii="宋体" w:hAnsi="宋体" w:cs="宋体"/>
          <w:kern w:val="0"/>
          <w:szCs w:val="21"/>
        </w:rPr>
        <w:t>（3）对项目发布更正公告的（包括但不限于采购文件的澄清或修改、中标或成交结果的改变）且供应商针对更正事项提出质疑的，为更正公告公示期内。</w:t>
      </w:r>
    </w:p>
    <w:p w14:paraId="11BCE6BF">
      <w:pPr>
        <w:ind w:firstLine="420"/>
        <w:rPr>
          <w:rFonts w:ascii="宋体" w:hAnsi="宋体"/>
          <w:szCs w:val="21"/>
        </w:rPr>
      </w:pPr>
      <w:r>
        <w:rPr>
          <w:rFonts w:hint="eastAsia" w:ascii="宋体" w:hAnsi="宋体"/>
          <w:szCs w:val="21"/>
        </w:rPr>
        <w:t>5.3.2书面质疑函应当包括以下内容：</w:t>
      </w:r>
      <w:r>
        <w:rPr>
          <w:rFonts w:ascii="宋体" w:hAnsi="宋体"/>
          <w:szCs w:val="21"/>
        </w:rPr>
        <w:t xml:space="preserve"> </w:t>
      </w:r>
    </w:p>
    <w:p w14:paraId="549C7000">
      <w:pPr>
        <w:ind w:firstLine="420"/>
        <w:rPr>
          <w:rFonts w:ascii="宋体" w:hAnsi="宋体"/>
          <w:szCs w:val="21"/>
        </w:rPr>
      </w:pPr>
      <w:r>
        <w:rPr>
          <w:rFonts w:hint="eastAsia" w:ascii="宋体" w:hAnsi="宋体"/>
          <w:szCs w:val="21"/>
        </w:rPr>
        <w:t>（1）供应商的名称（或者姓名）、地址、邮编、邮箱、联系人及联系电话；</w:t>
      </w:r>
    </w:p>
    <w:p w14:paraId="37B8CB97">
      <w:pPr>
        <w:ind w:firstLine="420" w:firstLineChars="200"/>
        <w:rPr>
          <w:rFonts w:ascii="宋体" w:hAnsi="宋体"/>
          <w:szCs w:val="21"/>
        </w:rPr>
      </w:pPr>
      <w:r>
        <w:rPr>
          <w:rFonts w:hint="eastAsia" w:ascii="宋体" w:hAnsi="宋体"/>
          <w:szCs w:val="21"/>
        </w:rPr>
        <w:t>（2）质疑项目的名称、编号；</w:t>
      </w:r>
    </w:p>
    <w:p w14:paraId="2F316CC9">
      <w:pPr>
        <w:ind w:firstLine="420" w:firstLineChars="200"/>
        <w:rPr>
          <w:rFonts w:ascii="宋体" w:hAnsi="宋体"/>
          <w:szCs w:val="21"/>
        </w:rPr>
      </w:pPr>
      <w:r>
        <w:rPr>
          <w:rFonts w:hint="eastAsia" w:ascii="宋体" w:hAnsi="宋体"/>
          <w:szCs w:val="21"/>
        </w:rPr>
        <w:t>（3）具体、明确的质疑对象、质疑事项和质疑请求；</w:t>
      </w:r>
    </w:p>
    <w:p w14:paraId="2B30605D">
      <w:pPr>
        <w:ind w:firstLine="420" w:firstLineChars="200"/>
        <w:rPr>
          <w:rFonts w:ascii="宋体" w:hAnsi="宋体"/>
          <w:szCs w:val="21"/>
        </w:rPr>
      </w:pPr>
      <w:r>
        <w:rPr>
          <w:rFonts w:hint="eastAsia" w:ascii="宋体" w:hAnsi="宋体"/>
          <w:szCs w:val="21"/>
        </w:rPr>
        <w:t>（4）因质疑事项而受损害的权益；</w:t>
      </w:r>
    </w:p>
    <w:p w14:paraId="11E3E4B3">
      <w:pPr>
        <w:ind w:firstLine="420" w:firstLineChars="200"/>
        <w:rPr>
          <w:rFonts w:ascii="宋体" w:hAnsi="宋体"/>
          <w:szCs w:val="21"/>
        </w:rPr>
      </w:pPr>
      <w:r>
        <w:rPr>
          <w:rFonts w:hint="eastAsia" w:ascii="宋体" w:hAnsi="宋体"/>
          <w:szCs w:val="21"/>
        </w:rPr>
        <w:t>（5）事实依据；</w:t>
      </w:r>
    </w:p>
    <w:p w14:paraId="59294FAD">
      <w:pPr>
        <w:ind w:firstLine="420" w:firstLineChars="200"/>
        <w:rPr>
          <w:rFonts w:ascii="宋体" w:hAnsi="宋体"/>
          <w:szCs w:val="21"/>
        </w:rPr>
      </w:pPr>
      <w:r>
        <w:rPr>
          <w:rFonts w:hint="eastAsia" w:ascii="宋体" w:hAnsi="宋体"/>
          <w:szCs w:val="21"/>
        </w:rPr>
        <w:t>（6）必要的法律依据；</w:t>
      </w:r>
    </w:p>
    <w:p w14:paraId="64A5CE73">
      <w:pPr>
        <w:ind w:firstLine="420" w:firstLineChars="200"/>
        <w:rPr>
          <w:rFonts w:ascii="宋体" w:hAnsi="宋体"/>
          <w:szCs w:val="21"/>
        </w:rPr>
      </w:pPr>
      <w:r>
        <w:rPr>
          <w:rFonts w:hint="eastAsia" w:ascii="宋体" w:hAnsi="宋体"/>
          <w:szCs w:val="21"/>
        </w:rPr>
        <w:t>（7）提出质疑的日期。</w:t>
      </w:r>
    </w:p>
    <w:p w14:paraId="716EEE8F">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34985D25">
      <w:pPr>
        <w:ind w:firstLine="420" w:firstLineChars="200"/>
        <w:rPr>
          <w:rFonts w:ascii="宋体" w:hAnsi="宋体"/>
          <w:szCs w:val="21"/>
        </w:rPr>
      </w:pPr>
      <w:r>
        <w:rPr>
          <w:rFonts w:hint="eastAsia" w:ascii="宋体" w:hAnsi="宋体"/>
          <w:szCs w:val="21"/>
        </w:rPr>
        <w:t>5.3.3提交</w:t>
      </w:r>
      <w:r>
        <w:rPr>
          <w:rFonts w:ascii="宋体" w:hAnsi="宋体"/>
          <w:szCs w:val="21"/>
        </w:rPr>
        <w:t>材料</w:t>
      </w:r>
    </w:p>
    <w:p w14:paraId="3BA36FAC">
      <w:pPr>
        <w:ind w:firstLine="420" w:firstLineChars="200"/>
        <w:rPr>
          <w:rFonts w:ascii="宋体" w:hAnsi="宋体"/>
          <w:szCs w:val="21"/>
        </w:rPr>
      </w:pPr>
      <w:r>
        <w:rPr>
          <w:rFonts w:hint="eastAsia" w:ascii="宋体" w:hAnsi="宋体"/>
          <w:szCs w:val="21"/>
        </w:rPr>
        <w:t>供应商质疑实行实名制。质疑（投诉）人应保证质疑、投诉的真实性，其在质疑或投诉时应当有具体的事项及证明利益受损的事实根据，实行“谁质疑，谁举证”的原则。</w:t>
      </w:r>
    </w:p>
    <w:p w14:paraId="428D0419">
      <w:pPr>
        <w:ind w:firstLine="420" w:firstLineChars="200"/>
        <w:rPr>
          <w:rFonts w:ascii="宋体" w:hAnsi="宋体"/>
          <w:szCs w:val="21"/>
        </w:rPr>
      </w:pPr>
      <w:r>
        <w:rPr>
          <w:rFonts w:hint="eastAsia" w:ascii="宋体" w:hAnsi="宋体"/>
          <w:szCs w:val="21"/>
        </w:rPr>
        <w:t>供应商为自然人的，应当提交本人身份证复印件；供应商为法人或者其他组织的，应当根据自身性质提交营业执照复印件或者其他证明文件（如事业单位法人证书等）复印件。</w:t>
      </w:r>
    </w:p>
    <w:p w14:paraId="64C94742">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83E1B66">
      <w:pPr>
        <w:ind w:firstLine="420" w:firstLineChars="200"/>
        <w:rPr>
          <w:rFonts w:ascii="宋体" w:hAnsi="宋体"/>
          <w:b/>
          <w:szCs w:val="21"/>
        </w:rPr>
      </w:pPr>
      <w:r>
        <w:rPr>
          <w:rFonts w:hint="eastAsia" w:ascii="宋体" w:hAnsi="宋体"/>
          <w:szCs w:val="21"/>
        </w:rPr>
        <w:t>5.3.4</w:t>
      </w:r>
      <w:r>
        <w:rPr>
          <w:rFonts w:hint="eastAsia" w:ascii="宋体" w:hAnsi="宋体"/>
          <w:b/>
          <w:szCs w:val="21"/>
        </w:rPr>
        <w:t>收文单位、地点</w:t>
      </w:r>
    </w:p>
    <w:p w14:paraId="0411D942">
      <w:pPr>
        <w:ind w:firstLine="420" w:firstLineChars="200"/>
        <w:rPr>
          <w:rFonts w:ascii="宋体" w:hAnsi="宋体"/>
          <w:b/>
          <w:bCs/>
          <w:szCs w:val="21"/>
        </w:rPr>
      </w:pPr>
      <w:r>
        <w:rPr>
          <w:rFonts w:hint="eastAsia" w:ascii="宋体" w:hAnsi="宋体"/>
          <w:szCs w:val="21"/>
        </w:rPr>
        <w:t>提交方式：请质疑供应商根据深圳政府采购智慧平台（https://www.szggzy.com/globalSearch/details.html?contentId=1211037）所发布的质疑指引、质疑函模板填写质疑函并提交质疑材料。</w:t>
      </w:r>
    </w:p>
    <w:p w14:paraId="28F136CC">
      <w:pPr>
        <w:ind w:firstLine="422" w:firstLineChars="200"/>
        <w:rPr>
          <w:rFonts w:ascii="宋体" w:hAnsi="宋体"/>
          <w:b/>
          <w:bCs/>
          <w:szCs w:val="21"/>
        </w:rPr>
      </w:pPr>
      <w:r>
        <w:rPr>
          <w:rFonts w:hint="eastAsia" w:ascii="宋体" w:hAnsi="宋体"/>
          <w:b/>
          <w:bCs/>
          <w:szCs w:val="21"/>
        </w:rPr>
        <w:t>收文单位：深圳公共资源交易中心（深圳交易集团有限公司罗湖分公司），地址：</w:t>
      </w:r>
      <w:r>
        <w:rPr>
          <w:rFonts w:hint="eastAsia" w:ascii="宋体" w:hAnsi="宋体"/>
          <w:b/>
          <w:bCs/>
        </w:rPr>
        <w:t>深圳市罗湖区深南东路1076号党群服务中心4、</w:t>
      </w:r>
      <w:r>
        <w:rPr>
          <w:rFonts w:hint="eastAsia" w:ascii="宋体" w:hAnsi="宋体"/>
          <w:b/>
          <w:bCs/>
          <w:szCs w:val="21"/>
        </w:rPr>
        <w:t>5楼，质疑咨询电话：0755-822</w:t>
      </w:r>
      <w:r>
        <w:rPr>
          <w:rFonts w:hint="eastAsia" w:ascii="宋体" w:hAnsi="宋体"/>
          <w:b/>
          <w:bCs/>
          <w:szCs w:val="21"/>
          <w:lang w:val="en-US" w:eastAsia="zh-CN"/>
        </w:rPr>
        <w:t>23347</w:t>
      </w:r>
      <w:r>
        <w:rPr>
          <w:rFonts w:hint="eastAsia" w:ascii="宋体" w:hAnsi="宋体"/>
          <w:b/>
          <w:bCs/>
          <w:szCs w:val="21"/>
        </w:rPr>
        <w:t>。</w:t>
      </w:r>
    </w:p>
    <w:p w14:paraId="755AB69A">
      <w:pPr>
        <w:ind w:firstLine="411" w:firstLineChars="196"/>
        <w:rPr>
          <w:rFonts w:ascii="宋体" w:hAnsi="宋体"/>
          <w:szCs w:val="21"/>
        </w:rPr>
      </w:pPr>
      <w:r>
        <w:rPr>
          <w:rFonts w:hint="eastAsia" w:ascii="宋体" w:hAnsi="宋体"/>
          <w:szCs w:val="21"/>
        </w:rPr>
        <w:t>5.4深圳公共资源交易中心（深圳交易集团有限公司罗湖分公司）对疑问所做出的澄清和解答，以书面形式（包括网站发布信息）统一答复为准。</w:t>
      </w:r>
    </w:p>
    <w:p w14:paraId="27F023D9">
      <w:pPr>
        <w:ind w:firstLine="411" w:firstLineChars="196"/>
        <w:rPr>
          <w:rFonts w:ascii="宋体" w:hAnsi="宋体"/>
          <w:szCs w:val="21"/>
        </w:rPr>
      </w:pPr>
      <w:r>
        <w:rPr>
          <w:rFonts w:hint="eastAsia" w:ascii="宋体" w:hAnsi="宋体"/>
          <w:szCs w:val="21"/>
        </w:rPr>
        <w:t>5.5如深圳公共资源交易中心（深圳交易集团有限公司罗湖分公司）认为有必要组织现场招标答疑会，投标</w:t>
      </w:r>
      <w:r>
        <w:rPr>
          <w:rFonts w:hint="eastAsia" w:ascii="宋体" w:hAnsi="宋体"/>
          <w:color w:val="000000"/>
          <w:szCs w:val="21"/>
        </w:rPr>
        <w:t>供应商</w:t>
      </w:r>
      <w:r>
        <w:rPr>
          <w:rFonts w:hint="eastAsia" w:ascii="宋体" w:hAnsi="宋体"/>
          <w:szCs w:val="21"/>
        </w:rPr>
        <w:t>应按照招标文件规定的时间或深圳公共资源交易中心（深圳交易集团有限公司罗湖分公司）另行书面通知（包括网站发布信息）的时间和地点，参与招标答疑会；</w:t>
      </w:r>
    </w:p>
    <w:p w14:paraId="76917B09">
      <w:pPr>
        <w:ind w:firstLine="411" w:firstLineChars="196"/>
        <w:rPr>
          <w:rFonts w:ascii="宋体" w:hAnsi="宋体"/>
          <w:szCs w:val="21"/>
        </w:rPr>
      </w:pPr>
      <w:r>
        <w:rPr>
          <w:rFonts w:hint="eastAsia" w:ascii="宋体" w:hAnsi="宋体"/>
          <w:szCs w:val="21"/>
        </w:rPr>
        <w:t>5.6未参与招标答疑不作为否定投标</w:t>
      </w:r>
      <w:r>
        <w:rPr>
          <w:rFonts w:hint="eastAsia" w:ascii="宋体" w:hAnsi="宋体"/>
          <w:color w:val="000000"/>
          <w:szCs w:val="21"/>
        </w:rPr>
        <w:t>供应商</w:t>
      </w:r>
      <w:r>
        <w:rPr>
          <w:rFonts w:hint="eastAsia" w:ascii="宋体" w:hAnsi="宋体"/>
          <w:szCs w:val="21"/>
        </w:rPr>
        <w:t>资格的理由。</w:t>
      </w:r>
    </w:p>
    <w:p w14:paraId="50D5AF65">
      <w:pPr>
        <w:pStyle w:val="31"/>
      </w:pPr>
    </w:p>
    <w:p w14:paraId="4D80F492">
      <w:pPr>
        <w:pStyle w:val="5"/>
      </w:pPr>
      <w:bookmarkStart w:id="80" w:name="_Toc73521644"/>
      <w:bookmarkStart w:id="81" w:name="_Toc101074878"/>
      <w:bookmarkStart w:id="82" w:name="_Toc73517648"/>
      <w:bookmarkStart w:id="83" w:name="_Toc100052373"/>
      <w:bookmarkStart w:id="84" w:name="_Toc73518126"/>
      <w:bookmarkStart w:id="85" w:name="_Toc194467301"/>
      <w:bookmarkStart w:id="86" w:name="_Toc73521556"/>
      <w:r>
        <w:rPr>
          <w:rFonts w:hint="eastAsia"/>
        </w:rPr>
        <w:t>第二章 招标文件</w:t>
      </w:r>
      <w:bookmarkEnd w:id="80"/>
      <w:bookmarkEnd w:id="81"/>
      <w:bookmarkEnd w:id="82"/>
      <w:bookmarkEnd w:id="83"/>
      <w:bookmarkEnd w:id="84"/>
      <w:bookmarkEnd w:id="85"/>
      <w:bookmarkEnd w:id="86"/>
    </w:p>
    <w:p w14:paraId="2AFDDC19">
      <w:pPr>
        <w:spacing w:line="360" w:lineRule="auto"/>
        <w:rPr>
          <w:rFonts w:ascii="黑体" w:hAnsi="宋体" w:eastAsia="黑体"/>
          <w:sz w:val="24"/>
        </w:rPr>
      </w:pPr>
      <w:bookmarkStart w:id="87" w:name="_Toc100052374"/>
      <w:bookmarkStart w:id="88" w:name="_Toc73518127"/>
      <w:bookmarkStart w:id="89" w:name="_Toc73517649"/>
      <w:bookmarkStart w:id="90" w:name="_Toc73521557"/>
      <w:bookmarkStart w:id="91" w:name="_Toc73521645"/>
      <w:r>
        <w:rPr>
          <w:rFonts w:hint="eastAsia" w:ascii="黑体" w:hAnsi="宋体" w:eastAsia="黑体"/>
          <w:sz w:val="24"/>
        </w:rPr>
        <w:t>6．招标文件的组成</w:t>
      </w:r>
      <w:bookmarkEnd w:id="87"/>
      <w:bookmarkEnd w:id="88"/>
      <w:bookmarkEnd w:id="89"/>
      <w:bookmarkEnd w:id="90"/>
      <w:bookmarkEnd w:id="91"/>
    </w:p>
    <w:p w14:paraId="2EBAA35E">
      <w:pPr>
        <w:ind w:firstLine="411" w:firstLineChars="196"/>
        <w:rPr>
          <w:rFonts w:ascii="宋体" w:hAnsi="宋体"/>
          <w:szCs w:val="21"/>
        </w:rPr>
      </w:pPr>
      <w:r>
        <w:rPr>
          <w:rFonts w:hint="eastAsia" w:ascii="宋体" w:hAnsi="宋体"/>
          <w:szCs w:val="21"/>
        </w:rPr>
        <w:t>6.1招标文件除以下内容外，深圳公共资源交易中心（深圳交易集团有限公司罗湖分公司）在招标期间以书面形式（包括网站公开发布的方式）统一发出的答疑纪要和其他补充修改函件，均是招标文件的组成部分，对所有投标</w:t>
      </w:r>
      <w:r>
        <w:rPr>
          <w:rFonts w:hint="eastAsia" w:ascii="宋体" w:hAnsi="宋体"/>
          <w:color w:val="000000"/>
          <w:szCs w:val="21"/>
        </w:rPr>
        <w:t>供应商</w:t>
      </w:r>
      <w:r>
        <w:rPr>
          <w:rFonts w:hint="eastAsia" w:ascii="宋体" w:hAnsi="宋体"/>
          <w:szCs w:val="21"/>
        </w:rPr>
        <w:t>起约束作用；</w:t>
      </w:r>
    </w:p>
    <w:p w14:paraId="06EF4ED4">
      <w:pPr>
        <w:ind w:firstLine="420" w:firstLineChars="200"/>
        <w:rPr>
          <w:rFonts w:ascii="宋体" w:hAnsi="宋体"/>
          <w:szCs w:val="21"/>
        </w:rPr>
      </w:pPr>
      <w:r>
        <w:rPr>
          <w:rFonts w:hint="eastAsia" w:ascii="宋体" w:hAnsi="宋体"/>
          <w:szCs w:val="21"/>
        </w:rPr>
        <w:t>6.2招标文件共分为关键信息和招标文件正文。</w:t>
      </w:r>
    </w:p>
    <w:p w14:paraId="346D7C5E">
      <w:pPr>
        <w:ind w:firstLine="420" w:firstLineChars="200"/>
        <w:rPr>
          <w:rFonts w:ascii="宋体" w:hAnsi="宋体"/>
          <w:szCs w:val="21"/>
        </w:rPr>
      </w:pPr>
      <w:r>
        <w:rPr>
          <w:rFonts w:hint="eastAsia" w:ascii="宋体" w:hAnsi="宋体"/>
          <w:szCs w:val="21"/>
        </w:rPr>
        <w:t>6.3 投标</w:t>
      </w:r>
      <w:r>
        <w:rPr>
          <w:rFonts w:hint="eastAsia" w:ascii="宋体" w:hAnsi="宋体"/>
          <w:color w:val="000000"/>
          <w:szCs w:val="21"/>
        </w:rPr>
        <w:t>供应商</w:t>
      </w:r>
      <w:r>
        <w:rPr>
          <w:rFonts w:hint="eastAsia" w:ascii="宋体" w:hAnsi="宋体"/>
          <w:szCs w:val="21"/>
        </w:rPr>
        <w:t>下载招标文件后，应仔细检查招标文件的所有内容，如有内容缺失应在提出澄清要求截止时间之前向深圳公共资源交易中心（深圳交易集团有限公司罗湖分公司）提出，否则，由此引起的投标损失自负；投标</w:t>
      </w:r>
      <w:r>
        <w:rPr>
          <w:rFonts w:hint="eastAsia" w:ascii="宋体" w:hAnsi="宋体"/>
          <w:color w:val="000000"/>
          <w:szCs w:val="21"/>
        </w:rPr>
        <w:t>供应商</w:t>
      </w:r>
      <w:r>
        <w:rPr>
          <w:rFonts w:hint="eastAsia" w:ascii="宋体" w:hAnsi="宋体"/>
          <w:szCs w:val="21"/>
        </w:rPr>
        <w:t>同时应认真审阅招标文件所有的事项、格式、条款和规范要求等，如果投标</w:t>
      </w:r>
      <w:r>
        <w:rPr>
          <w:rFonts w:hint="eastAsia" w:ascii="宋体" w:hAnsi="宋体"/>
          <w:color w:val="000000"/>
          <w:szCs w:val="21"/>
        </w:rPr>
        <w:t>供应商</w:t>
      </w:r>
      <w:r>
        <w:rPr>
          <w:rFonts w:hint="eastAsia" w:ascii="宋体" w:hAnsi="宋体"/>
          <w:szCs w:val="21"/>
        </w:rPr>
        <w:t>的投标文件没有按招标文件要求提交全部资料或者投标文件没有对招标文件做出实质性响应，其风险应由投标</w:t>
      </w:r>
      <w:r>
        <w:rPr>
          <w:rFonts w:hint="eastAsia" w:ascii="宋体" w:hAnsi="宋体"/>
          <w:color w:val="000000"/>
          <w:szCs w:val="21"/>
        </w:rPr>
        <w:t>供应商</w:t>
      </w:r>
      <w:r>
        <w:rPr>
          <w:rFonts w:hint="eastAsia" w:ascii="宋体" w:hAnsi="宋体"/>
          <w:szCs w:val="21"/>
        </w:rPr>
        <w:t>自行承担，并根据有关条款规定，其投标有可能被拒绝。</w:t>
      </w:r>
    </w:p>
    <w:p w14:paraId="4DBECA03">
      <w:pPr>
        <w:ind w:firstLine="411" w:firstLineChars="196"/>
        <w:rPr>
          <w:rFonts w:ascii="宋体" w:hAnsi="宋体"/>
          <w:szCs w:val="21"/>
        </w:rPr>
      </w:pPr>
      <w:r>
        <w:rPr>
          <w:rFonts w:hint="eastAsia" w:ascii="宋体" w:hAnsi="宋体"/>
          <w:szCs w:val="21"/>
        </w:rPr>
        <w:t>6.4</w:t>
      </w:r>
      <w:r>
        <w:rPr>
          <w:rFonts w:hint="eastAsia" w:ascii="宋体" w:hAnsi="宋体"/>
        </w:rPr>
        <w:t>任何人或任何组织向投标</w:t>
      </w:r>
      <w:r>
        <w:rPr>
          <w:rFonts w:hint="eastAsia" w:ascii="宋体" w:hAnsi="宋体"/>
          <w:color w:val="000000"/>
          <w:szCs w:val="21"/>
        </w:rPr>
        <w:t>供应商</w:t>
      </w:r>
      <w:r>
        <w:rPr>
          <w:rFonts w:hint="eastAsia" w:ascii="宋体" w:hAnsi="宋体"/>
        </w:rPr>
        <w:t>提交的任何书面或口头资料，未经深圳公共资源交易中心（深圳交易集团有限公司罗湖分公司）在网上发布或书面通知，均作无效处理，不得作为招标文件的组成部分。深圳公共资源交易中心（深圳交易集团有限公司罗湖分公司）对投标</w:t>
      </w:r>
      <w:r>
        <w:rPr>
          <w:rFonts w:hint="eastAsia" w:ascii="宋体" w:hAnsi="宋体"/>
          <w:color w:val="000000"/>
          <w:szCs w:val="21"/>
        </w:rPr>
        <w:t>供应商</w:t>
      </w:r>
      <w:r>
        <w:rPr>
          <w:rFonts w:hint="eastAsia" w:ascii="宋体" w:hAnsi="宋体"/>
        </w:rPr>
        <w:t>由此而做出的推论、理解和结论概不负责。</w:t>
      </w:r>
    </w:p>
    <w:p w14:paraId="07D94E74">
      <w:pPr>
        <w:spacing w:line="360" w:lineRule="auto"/>
        <w:rPr>
          <w:rFonts w:ascii="黑体" w:hAnsi="宋体" w:eastAsia="黑体"/>
          <w:sz w:val="24"/>
        </w:rPr>
      </w:pPr>
      <w:bookmarkStart w:id="92" w:name="_Toc60631631"/>
      <w:bookmarkStart w:id="93" w:name="_Toc73518128"/>
      <w:bookmarkStart w:id="94" w:name="_Toc73517650"/>
      <w:bookmarkStart w:id="95" w:name="_Toc60560636"/>
      <w:bookmarkStart w:id="96" w:name="_Toc73521558"/>
      <w:bookmarkStart w:id="97" w:name="_Toc73521646"/>
      <w:bookmarkStart w:id="98" w:name="_Toc100052375"/>
      <w:r>
        <w:rPr>
          <w:rFonts w:hint="eastAsia" w:ascii="黑体" w:hAnsi="宋体" w:eastAsia="黑体"/>
          <w:sz w:val="24"/>
        </w:rPr>
        <w:t>7．招标文件的澄清</w:t>
      </w:r>
      <w:bookmarkEnd w:id="92"/>
      <w:bookmarkEnd w:id="93"/>
      <w:bookmarkEnd w:id="94"/>
      <w:bookmarkEnd w:id="95"/>
      <w:bookmarkEnd w:id="96"/>
      <w:bookmarkEnd w:id="97"/>
      <w:bookmarkEnd w:id="98"/>
    </w:p>
    <w:p w14:paraId="7F707ACE">
      <w:pPr>
        <w:ind w:firstLine="411" w:firstLineChars="196"/>
        <w:rPr>
          <w:rFonts w:ascii="宋体" w:hAnsi="宋体"/>
          <w:szCs w:val="21"/>
        </w:rPr>
      </w:pPr>
      <w:r>
        <w:rPr>
          <w:rFonts w:hint="eastAsia" w:ascii="宋体" w:hAnsi="宋体"/>
          <w:szCs w:val="21"/>
        </w:rPr>
        <w:t>7.1投标</w:t>
      </w:r>
      <w:r>
        <w:rPr>
          <w:rFonts w:hint="eastAsia" w:ascii="宋体" w:hAnsi="宋体"/>
          <w:color w:val="000000"/>
          <w:szCs w:val="21"/>
        </w:rPr>
        <w:t>供应商</w:t>
      </w:r>
      <w:r>
        <w:rPr>
          <w:rFonts w:hint="eastAsia" w:ascii="宋体" w:hAnsi="宋体"/>
          <w:szCs w:val="21"/>
        </w:rPr>
        <w:t>在收到招标文件后，对招标文件任何部分若有任何疑问，或要求澄清招标文件的，均应在招标公告规定的</w:t>
      </w:r>
      <w:r>
        <w:t>提出澄清要求截止时间</w:t>
      </w:r>
      <w:r>
        <w:rPr>
          <w:rFonts w:hint="eastAsia" w:ascii="宋体" w:hAnsi="宋体"/>
          <w:szCs w:val="21"/>
        </w:rPr>
        <w:t>前，按网上提问的形式向深圳公共资源交易中心（深圳交易集团有限公司罗湖分公司）提交。不论是深圳公共资源交易中心（深圳交易集团有限公司罗湖分公司）根据需要主动对招标文件进行必要的澄清或是根据投标</w:t>
      </w:r>
      <w:r>
        <w:rPr>
          <w:rFonts w:hint="eastAsia" w:ascii="宋体" w:hAnsi="宋体"/>
          <w:color w:val="000000"/>
          <w:szCs w:val="21"/>
        </w:rPr>
        <w:t>供应商</w:t>
      </w:r>
      <w:r>
        <w:rPr>
          <w:rFonts w:hint="eastAsia" w:ascii="宋体" w:hAnsi="宋体"/>
          <w:szCs w:val="21"/>
        </w:rPr>
        <w:t>的要求对招标文件做出澄清，深圳公共资源交易中心（深圳交易集团有限公司罗湖分公司）都将在投标截止日期前以书面形式（包括网站公开发布和深圳公共资源交易中心（深圳交易集团有限公司罗湖分公司）采购系统中发布的方式）答复或发送给所有投标</w:t>
      </w:r>
      <w:r>
        <w:rPr>
          <w:rFonts w:hint="eastAsia" w:ascii="宋体" w:hAnsi="宋体"/>
          <w:color w:val="000000"/>
          <w:szCs w:val="21"/>
        </w:rPr>
        <w:t>供应商</w:t>
      </w:r>
      <w:r>
        <w:rPr>
          <w:rFonts w:hint="eastAsia" w:ascii="宋体" w:hAnsi="宋体"/>
          <w:szCs w:val="21"/>
        </w:rPr>
        <w:t>。澄清纪要作为招标文件的组成部分，对投标</w:t>
      </w:r>
      <w:r>
        <w:rPr>
          <w:rFonts w:hint="eastAsia" w:ascii="宋体" w:hAnsi="宋体"/>
          <w:color w:val="000000"/>
          <w:szCs w:val="21"/>
        </w:rPr>
        <w:t>供应商</w:t>
      </w:r>
      <w:r>
        <w:rPr>
          <w:rFonts w:hint="eastAsia" w:ascii="宋体" w:hAnsi="宋体"/>
          <w:szCs w:val="21"/>
        </w:rPr>
        <w:t>起约束作用；</w:t>
      </w:r>
    </w:p>
    <w:p w14:paraId="0239F3CF">
      <w:pPr>
        <w:ind w:firstLine="411" w:firstLineChars="196"/>
        <w:rPr>
          <w:rFonts w:ascii="宋体" w:hAnsi="宋体"/>
          <w:szCs w:val="21"/>
        </w:rPr>
      </w:pPr>
      <w:r>
        <w:rPr>
          <w:rFonts w:hint="eastAsia" w:ascii="宋体" w:hAnsi="宋体"/>
          <w:szCs w:val="21"/>
        </w:rPr>
        <w:t>7.2对于没有提出澄清又参与了该项目投标的供应商将被视为完全认同该招标文件（含澄清纪要），投标截止期后不再受理针对招标文件的相关质疑或投诉。</w:t>
      </w:r>
    </w:p>
    <w:p w14:paraId="3AD60D7D">
      <w:pPr>
        <w:ind w:firstLine="411" w:firstLineChars="196"/>
        <w:rPr>
          <w:rFonts w:ascii="宋体" w:hAnsi="宋体"/>
          <w:szCs w:val="21"/>
        </w:rPr>
      </w:pPr>
      <w:r>
        <w:rPr>
          <w:rFonts w:hint="eastAsia" w:ascii="宋体" w:hAnsi="宋体"/>
          <w:szCs w:val="21"/>
        </w:rPr>
        <w:t>7.3 对招标文件中描述有歧义或前后不一致的地方，评标委员会有权进行评判，但对同一条款的评判应适用于每个投标供应商。</w:t>
      </w:r>
    </w:p>
    <w:p w14:paraId="38CB7648">
      <w:pPr>
        <w:spacing w:line="360" w:lineRule="auto"/>
        <w:rPr>
          <w:rFonts w:ascii="黑体" w:hAnsi="宋体" w:eastAsia="黑体"/>
          <w:sz w:val="24"/>
        </w:rPr>
      </w:pPr>
      <w:bookmarkStart w:id="99" w:name="_Toc100052376"/>
      <w:bookmarkStart w:id="100" w:name="_Toc60560637"/>
      <w:bookmarkStart w:id="101" w:name="_Toc60631632"/>
      <w:bookmarkStart w:id="102" w:name="_Toc73517651"/>
      <w:bookmarkStart w:id="103" w:name="_Toc73518129"/>
      <w:bookmarkStart w:id="104" w:name="_Toc73521559"/>
      <w:bookmarkStart w:id="105" w:name="_Toc73521647"/>
      <w:r>
        <w:rPr>
          <w:rFonts w:hint="eastAsia" w:ascii="黑体" w:hAnsi="宋体" w:eastAsia="黑体"/>
          <w:sz w:val="24"/>
        </w:rPr>
        <w:t>8．招标文件的修改</w:t>
      </w:r>
      <w:bookmarkEnd w:id="99"/>
      <w:bookmarkEnd w:id="100"/>
      <w:bookmarkEnd w:id="101"/>
      <w:bookmarkEnd w:id="102"/>
      <w:bookmarkEnd w:id="103"/>
      <w:bookmarkEnd w:id="104"/>
      <w:bookmarkEnd w:id="105"/>
    </w:p>
    <w:p w14:paraId="27691587">
      <w:pPr>
        <w:ind w:firstLine="411" w:firstLineChars="196"/>
        <w:rPr>
          <w:rFonts w:ascii="宋体" w:hAnsi="宋体"/>
          <w:szCs w:val="21"/>
        </w:rPr>
      </w:pPr>
      <w:r>
        <w:rPr>
          <w:rFonts w:hint="eastAsia" w:ascii="宋体" w:hAnsi="宋体"/>
          <w:szCs w:val="21"/>
        </w:rPr>
        <w:t>8.1招标文件发出后，在投标截止日期前任何时候，确需要变更招标内容的，深圳公共资源交易中心（深圳交易集团有限公司罗湖分公司）可主动地或在解答投标</w:t>
      </w:r>
      <w:r>
        <w:rPr>
          <w:rFonts w:hint="eastAsia" w:ascii="宋体" w:hAnsi="宋体"/>
          <w:color w:val="000000"/>
          <w:szCs w:val="21"/>
        </w:rPr>
        <w:t>供应商</w:t>
      </w:r>
      <w:r>
        <w:rPr>
          <w:rFonts w:hint="eastAsia" w:ascii="宋体" w:hAnsi="宋体"/>
          <w:szCs w:val="21"/>
        </w:rPr>
        <w:t>提出的澄清问题时对招标文件进行修改；</w:t>
      </w:r>
    </w:p>
    <w:p w14:paraId="58AACDCE">
      <w:pPr>
        <w:ind w:firstLine="411" w:firstLineChars="196"/>
        <w:rPr>
          <w:rFonts w:ascii="宋体" w:hAnsi="宋体"/>
          <w:szCs w:val="21"/>
        </w:rPr>
      </w:pPr>
      <w:r>
        <w:rPr>
          <w:rFonts w:hint="eastAsia" w:ascii="宋体" w:hAnsi="宋体"/>
          <w:szCs w:val="21"/>
        </w:rPr>
        <w:t>8.2招标文件的修改以书面形式（包括网站公开发布和深圳公共资源交易中心（深圳交易集团有限公司罗湖分公司）采购系统中发布的方式）发送给所有投标</w:t>
      </w:r>
      <w:r>
        <w:rPr>
          <w:rFonts w:hint="eastAsia" w:ascii="宋体" w:hAnsi="宋体"/>
          <w:color w:val="000000"/>
          <w:szCs w:val="21"/>
        </w:rPr>
        <w:t>供应商</w:t>
      </w:r>
      <w:r>
        <w:rPr>
          <w:rFonts w:hint="eastAsia" w:ascii="宋体" w:hAnsi="宋体"/>
          <w:szCs w:val="21"/>
        </w:rPr>
        <w:t>，招标文件的修改内容作为招标文件的组成部分，并具有约束力。</w:t>
      </w:r>
    </w:p>
    <w:p w14:paraId="3022B3CC">
      <w:pPr>
        <w:ind w:firstLine="411" w:firstLineChars="196"/>
        <w:rPr>
          <w:rFonts w:ascii="宋体" w:hAnsi="宋体"/>
          <w:szCs w:val="21"/>
        </w:rPr>
      </w:pPr>
      <w:r>
        <w:rPr>
          <w:rFonts w:hint="eastAsia" w:ascii="宋体" w:hAnsi="宋体"/>
          <w:szCs w:val="21"/>
        </w:rPr>
        <w:t>8.3招标文件、招标文件澄清（答疑）纪要、招标文件修改补充通知内容均以书面明确的内容为准。当招标文件、修改补充通知、澄清（答疑）纪要内容相互矛盾时，以最后发出的通知（或纪要）或修改的文件为准；</w:t>
      </w:r>
    </w:p>
    <w:p w14:paraId="7FE25B88">
      <w:pPr>
        <w:ind w:firstLine="411" w:firstLineChars="196"/>
        <w:rPr>
          <w:rFonts w:ascii="宋体" w:hAnsi="宋体"/>
          <w:szCs w:val="21"/>
        </w:rPr>
      </w:pPr>
      <w:r>
        <w:rPr>
          <w:rFonts w:hint="eastAsia" w:ascii="宋体" w:hAnsi="宋体"/>
          <w:szCs w:val="21"/>
        </w:rPr>
        <w:t>8.4深圳公共资源交易中心（深圳交易集团有限公司罗湖分公司）保证招标文件澄清（答疑）纪要和招标文件修改补充通知在投标截止时间前以网站公开发布形式或书面形式发送给所有投标</w:t>
      </w:r>
      <w:r>
        <w:rPr>
          <w:rFonts w:hint="eastAsia" w:ascii="宋体" w:hAnsi="宋体"/>
          <w:color w:val="000000"/>
          <w:szCs w:val="21"/>
        </w:rPr>
        <w:t>供应商</w:t>
      </w:r>
      <w:r>
        <w:rPr>
          <w:rFonts w:hint="eastAsia" w:ascii="宋体" w:hAnsi="宋体"/>
          <w:szCs w:val="21"/>
        </w:rPr>
        <w:t>。为使投标</w:t>
      </w:r>
      <w:r>
        <w:rPr>
          <w:rFonts w:hint="eastAsia" w:ascii="宋体" w:hAnsi="宋体"/>
          <w:color w:val="000000"/>
          <w:szCs w:val="21"/>
        </w:rPr>
        <w:t>供应商</w:t>
      </w:r>
      <w:r>
        <w:rPr>
          <w:rFonts w:hint="eastAsia" w:ascii="宋体" w:hAnsi="宋体"/>
          <w:szCs w:val="21"/>
        </w:rPr>
        <w:t>在编写投标文件时有充分时间对招标文件的修改部分进行研究，深圳公共资源交易中心（深圳交易集团有限公司罗湖分公司）可以酌情延长递交投标文件的截止日期，具体时间将在修改补充通知中明确。</w:t>
      </w:r>
    </w:p>
    <w:p w14:paraId="4D048DD5">
      <w:pPr>
        <w:pStyle w:val="5"/>
      </w:pPr>
      <w:bookmarkStart w:id="106" w:name="bt投标文件"/>
      <w:bookmarkEnd w:id="106"/>
      <w:bookmarkStart w:id="107" w:name="_Toc73521561"/>
      <w:bookmarkStart w:id="108" w:name="_Toc60631634"/>
      <w:bookmarkStart w:id="109" w:name="_Toc73518131"/>
      <w:bookmarkStart w:id="110" w:name="_Toc100052378"/>
      <w:bookmarkStart w:id="111" w:name="_Toc60560639"/>
      <w:bookmarkStart w:id="112" w:name="_Toc73517653"/>
      <w:bookmarkStart w:id="113" w:name="_Toc73521649"/>
      <w:r>
        <w:rPr>
          <w:rFonts w:hint="eastAsia"/>
        </w:rPr>
        <w:t>第三章 投标文件</w:t>
      </w:r>
    </w:p>
    <w:p w14:paraId="6DE3D1B1">
      <w:pPr>
        <w:rPr>
          <w:rFonts w:ascii="黑体" w:hAnsi="宋体" w:eastAsia="黑体"/>
          <w:sz w:val="24"/>
        </w:rPr>
      </w:pPr>
      <w:r>
        <w:rPr>
          <w:rFonts w:hint="eastAsia" w:ascii="黑体" w:hAnsi="宋体" w:eastAsia="黑体"/>
          <w:sz w:val="24"/>
        </w:rPr>
        <w:t>9．投标文件的语言及度量单位</w:t>
      </w:r>
      <w:bookmarkEnd w:id="107"/>
      <w:bookmarkEnd w:id="108"/>
      <w:bookmarkEnd w:id="109"/>
      <w:bookmarkEnd w:id="110"/>
      <w:bookmarkEnd w:id="111"/>
      <w:bookmarkEnd w:id="112"/>
      <w:bookmarkEnd w:id="113"/>
    </w:p>
    <w:p w14:paraId="7FDBCAC4">
      <w:pPr>
        <w:ind w:firstLine="411" w:firstLineChars="196"/>
        <w:rPr>
          <w:rFonts w:ascii="宋体" w:hAnsi="宋体"/>
          <w:szCs w:val="21"/>
        </w:rPr>
      </w:pPr>
      <w:r>
        <w:rPr>
          <w:rFonts w:hint="eastAsia" w:ascii="宋体" w:hAnsi="宋体"/>
          <w:szCs w:val="21"/>
        </w:rPr>
        <w:t>9.1投标</w:t>
      </w:r>
      <w:r>
        <w:rPr>
          <w:rFonts w:hint="eastAsia" w:ascii="宋体" w:hAnsi="宋体"/>
          <w:color w:val="000000"/>
          <w:szCs w:val="21"/>
        </w:rPr>
        <w:t>供应商</w:t>
      </w:r>
      <w:r>
        <w:rPr>
          <w:rFonts w:hint="eastAsia" w:ascii="宋体" w:hAnsi="宋体"/>
          <w:szCs w:val="21"/>
        </w:rPr>
        <w:t>与深圳公共资源交易中心（深圳交易集团有限公司罗湖分公司）之间与投标有关的所有往来通知、函件和投标文件均用中文表述。投标</w:t>
      </w:r>
      <w:r>
        <w:rPr>
          <w:rFonts w:hint="eastAsia" w:ascii="宋体" w:hAnsi="宋体"/>
          <w:color w:val="000000"/>
          <w:szCs w:val="21"/>
        </w:rPr>
        <w:t>供应商</w:t>
      </w:r>
      <w:r>
        <w:rPr>
          <w:rFonts w:hint="eastAsia" w:ascii="宋体" w:hAnsi="宋体"/>
          <w:szCs w:val="21"/>
        </w:rPr>
        <w:t>随投标文件提供的证明文件和资料可以为其它语言，但必须附中文译文。在此，为了解释投标文件，应以中文为准；</w:t>
      </w:r>
    </w:p>
    <w:p w14:paraId="17637F16">
      <w:pPr>
        <w:ind w:firstLine="411" w:firstLineChars="196"/>
        <w:rPr>
          <w:rFonts w:ascii="宋体" w:hAnsi="宋体"/>
          <w:szCs w:val="21"/>
        </w:rPr>
      </w:pPr>
      <w:r>
        <w:rPr>
          <w:rFonts w:hint="eastAsia" w:ascii="宋体" w:hAnsi="宋体"/>
          <w:szCs w:val="21"/>
        </w:rPr>
        <w:t>9.2除技术规范另有规定外，投标文件使用的度量单位，均采用中华人民共和国法定计量单位。</w:t>
      </w:r>
    </w:p>
    <w:p w14:paraId="2A6588B1">
      <w:pPr>
        <w:spacing w:line="360" w:lineRule="auto"/>
        <w:rPr>
          <w:rFonts w:ascii="黑体" w:hAnsi="宋体" w:eastAsia="黑体"/>
          <w:sz w:val="24"/>
        </w:rPr>
      </w:pPr>
      <w:bookmarkStart w:id="114" w:name="_Toc73517654"/>
      <w:bookmarkStart w:id="115" w:name="_Toc73521650"/>
      <w:bookmarkStart w:id="116" w:name="_Toc60560640"/>
      <w:bookmarkStart w:id="117" w:name="_Toc60631635"/>
      <w:bookmarkStart w:id="118" w:name="_Toc73521562"/>
      <w:bookmarkStart w:id="119" w:name="_Toc73518132"/>
      <w:bookmarkStart w:id="120" w:name="_Toc100052379"/>
      <w:r>
        <w:rPr>
          <w:rFonts w:hint="eastAsia" w:ascii="黑体" w:hAnsi="宋体" w:eastAsia="黑体"/>
          <w:sz w:val="24"/>
        </w:rPr>
        <w:t>10．投标文件的组成</w:t>
      </w:r>
      <w:bookmarkEnd w:id="114"/>
      <w:bookmarkEnd w:id="115"/>
      <w:bookmarkEnd w:id="116"/>
      <w:bookmarkEnd w:id="117"/>
      <w:bookmarkEnd w:id="118"/>
      <w:bookmarkEnd w:id="119"/>
      <w:bookmarkEnd w:id="120"/>
    </w:p>
    <w:p w14:paraId="3EF341B6">
      <w:pPr>
        <w:ind w:firstLine="413" w:firstLineChars="196"/>
        <w:rPr>
          <w:rFonts w:ascii="宋体" w:hAnsi="宋体"/>
          <w:b/>
          <w:szCs w:val="21"/>
        </w:rPr>
      </w:pPr>
      <w:r>
        <w:rPr>
          <w:rFonts w:hint="eastAsia" w:ascii="宋体" w:hAnsi="宋体"/>
          <w:b/>
          <w:szCs w:val="21"/>
        </w:rPr>
        <w:t>（具体内容请详见招标文件第一册第一章</w:t>
      </w:r>
      <w:bookmarkStart w:id="121" w:name="投标文件的组成"/>
      <w:bookmarkStart w:id="122" w:name="_Toc60560641"/>
      <w:bookmarkStart w:id="123" w:name="_Toc60631636"/>
      <w:bookmarkStart w:id="124" w:name="_Toc73521563"/>
      <w:bookmarkStart w:id="125" w:name="_Toc73517655"/>
      <w:bookmarkStart w:id="126" w:name="_Toc73521651"/>
      <w:bookmarkStart w:id="127" w:name="_Toc73518133"/>
      <w:r>
        <w:rPr>
          <w:rFonts w:hint="eastAsia" w:ascii="宋体" w:hAnsi="宋体"/>
          <w:b/>
          <w:szCs w:val="21"/>
        </w:rPr>
        <w:t>）</w:t>
      </w:r>
    </w:p>
    <w:p w14:paraId="08BC2BD4">
      <w:pPr>
        <w:ind w:firstLine="420" w:firstLineChars="200"/>
        <w:rPr>
          <w:rFonts w:ascii="宋体" w:hAnsi="宋体"/>
          <w:szCs w:val="21"/>
        </w:rPr>
      </w:pPr>
      <w:r>
        <w:rPr>
          <w:rFonts w:hint="eastAsia" w:ascii="宋体" w:hAnsi="宋体"/>
          <w:szCs w:val="21"/>
        </w:rPr>
        <w:t>注意：为保证公平公正，除非另有规定或说明，投标人对同一货物或服务投标时，不得同时提供两套或两套以上的投标方案。</w:t>
      </w:r>
    </w:p>
    <w:bookmarkEnd w:id="121"/>
    <w:p w14:paraId="1CB32656">
      <w:pPr>
        <w:spacing w:line="360" w:lineRule="auto"/>
        <w:rPr>
          <w:rFonts w:ascii="黑体" w:hAnsi="宋体" w:eastAsia="黑体"/>
          <w:sz w:val="24"/>
        </w:rPr>
      </w:pPr>
      <w:bookmarkStart w:id="128" w:name="_Toc100052380"/>
      <w:r>
        <w:rPr>
          <w:rFonts w:hint="eastAsia" w:ascii="黑体" w:hAnsi="宋体" w:eastAsia="黑体"/>
          <w:sz w:val="24"/>
        </w:rPr>
        <w:t>11．投标文件格式</w:t>
      </w:r>
      <w:bookmarkEnd w:id="122"/>
      <w:bookmarkEnd w:id="123"/>
      <w:bookmarkEnd w:id="124"/>
      <w:bookmarkEnd w:id="125"/>
      <w:bookmarkEnd w:id="126"/>
      <w:bookmarkEnd w:id="127"/>
      <w:bookmarkEnd w:id="128"/>
    </w:p>
    <w:p w14:paraId="69A93DB9">
      <w:pPr>
        <w:ind w:firstLine="411" w:firstLineChars="196"/>
        <w:rPr>
          <w:rFonts w:ascii="宋体" w:hAnsi="宋体"/>
          <w:szCs w:val="21"/>
        </w:rPr>
      </w:pPr>
      <w:r>
        <w:rPr>
          <w:rFonts w:hint="eastAsia" w:ascii="宋体" w:hAnsi="宋体"/>
          <w:szCs w:val="21"/>
        </w:rPr>
        <w:t>如招标文件提供了投标文件格式，则投标供应商提交的投标文件必须毫无例外地使用招标文件所提供的相应格式（表格可以按同样格式扩展）。</w:t>
      </w:r>
      <w:bookmarkStart w:id="129" w:name="_Toc73521565"/>
      <w:bookmarkStart w:id="130" w:name="_Toc73518135"/>
      <w:bookmarkStart w:id="131" w:name="_Toc73517657"/>
      <w:bookmarkStart w:id="132" w:name="_Toc73521653"/>
      <w:bookmarkStart w:id="133" w:name="_Toc60560643"/>
      <w:bookmarkStart w:id="134" w:name="_Toc60631638"/>
    </w:p>
    <w:p w14:paraId="2F9A3E77">
      <w:pPr>
        <w:spacing w:line="360" w:lineRule="auto"/>
        <w:rPr>
          <w:rFonts w:ascii="黑体" w:hAnsi="宋体" w:eastAsia="黑体"/>
          <w:sz w:val="24"/>
        </w:rPr>
      </w:pPr>
      <w:bookmarkStart w:id="135" w:name="_Toc100052382"/>
      <w:r>
        <w:rPr>
          <w:rFonts w:hint="eastAsia" w:ascii="黑体" w:hAnsi="宋体" w:eastAsia="黑体"/>
          <w:sz w:val="24"/>
        </w:rPr>
        <w:t>12．投标货币</w:t>
      </w:r>
      <w:bookmarkEnd w:id="129"/>
      <w:bookmarkEnd w:id="130"/>
      <w:bookmarkEnd w:id="131"/>
      <w:bookmarkEnd w:id="132"/>
      <w:bookmarkEnd w:id="133"/>
      <w:bookmarkEnd w:id="134"/>
      <w:bookmarkEnd w:id="135"/>
    </w:p>
    <w:p w14:paraId="1F446AED">
      <w:pPr>
        <w:ind w:firstLine="411" w:firstLineChars="196"/>
        <w:rPr>
          <w:rFonts w:ascii="宋体" w:hAnsi="宋体"/>
          <w:szCs w:val="21"/>
        </w:rPr>
      </w:pPr>
      <w:r>
        <w:rPr>
          <w:rFonts w:hint="eastAsia" w:ascii="宋体" w:hAnsi="宋体"/>
          <w:szCs w:val="21"/>
        </w:rPr>
        <w:t>12.1本项目的投标应以人民币计。</w:t>
      </w:r>
      <w:bookmarkStart w:id="136" w:name="bt递交投标文件"/>
      <w:bookmarkEnd w:id="136"/>
    </w:p>
    <w:p w14:paraId="42962FB2">
      <w:pPr>
        <w:pStyle w:val="31"/>
      </w:pPr>
    </w:p>
    <w:p w14:paraId="6B9512CB">
      <w:pPr>
        <w:pStyle w:val="5"/>
      </w:pPr>
      <w:bookmarkStart w:id="137" w:name="bt开标"/>
      <w:bookmarkEnd w:id="137"/>
      <w:bookmarkStart w:id="138" w:name="_Toc73517666"/>
      <w:bookmarkStart w:id="139" w:name="_Toc194467304"/>
      <w:bookmarkStart w:id="140" w:name="_Toc73521574"/>
      <w:bookmarkStart w:id="141" w:name="_Toc101074881"/>
      <w:bookmarkStart w:id="142" w:name="_Toc73521662"/>
      <w:bookmarkStart w:id="143" w:name="_Toc100052391"/>
      <w:bookmarkStart w:id="144" w:name="_Toc73518144"/>
      <w:r>
        <w:rPr>
          <w:rFonts w:hint="eastAsia"/>
        </w:rPr>
        <w:t>第四章 开标</w:t>
      </w:r>
      <w:bookmarkEnd w:id="138"/>
      <w:bookmarkEnd w:id="139"/>
      <w:bookmarkEnd w:id="140"/>
      <w:bookmarkEnd w:id="141"/>
      <w:bookmarkEnd w:id="142"/>
      <w:bookmarkEnd w:id="143"/>
      <w:bookmarkEnd w:id="144"/>
    </w:p>
    <w:p w14:paraId="71AC8C0E">
      <w:pPr>
        <w:spacing w:line="360" w:lineRule="auto"/>
        <w:rPr>
          <w:rFonts w:ascii="黑体" w:hAnsi="宋体" w:eastAsia="黑体"/>
          <w:sz w:val="24"/>
        </w:rPr>
      </w:pPr>
      <w:bookmarkStart w:id="145" w:name="_Toc60560655"/>
      <w:bookmarkStart w:id="146" w:name="_Toc73517667"/>
      <w:bookmarkStart w:id="147" w:name="_Toc73518145"/>
      <w:bookmarkStart w:id="148" w:name="_Toc60631650"/>
      <w:bookmarkStart w:id="149" w:name="_Toc100052392"/>
      <w:bookmarkStart w:id="150" w:name="_Toc73521575"/>
      <w:bookmarkStart w:id="151" w:name="_Toc73521663"/>
      <w:r>
        <w:rPr>
          <w:rFonts w:hint="eastAsia" w:ascii="黑体" w:hAnsi="宋体" w:eastAsia="黑体"/>
          <w:sz w:val="24"/>
        </w:rPr>
        <w:t>13．开标</w:t>
      </w:r>
      <w:bookmarkEnd w:id="145"/>
      <w:bookmarkEnd w:id="146"/>
      <w:bookmarkEnd w:id="147"/>
      <w:bookmarkEnd w:id="148"/>
      <w:bookmarkEnd w:id="149"/>
      <w:bookmarkEnd w:id="150"/>
      <w:bookmarkEnd w:id="151"/>
    </w:p>
    <w:p w14:paraId="713D1BB9">
      <w:pPr>
        <w:ind w:firstLine="411" w:firstLineChars="196"/>
        <w:rPr>
          <w:rFonts w:ascii="宋体" w:hAnsi="宋体"/>
          <w:szCs w:val="21"/>
        </w:rPr>
      </w:pPr>
      <w:r>
        <w:rPr>
          <w:rFonts w:hint="eastAsia" w:ascii="宋体" w:hAnsi="宋体"/>
          <w:szCs w:val="21"/>
        </w:rPr>
        <w:t>13</w:t>
      </w:r>
      <w:r>
        <w:rPr>
          <w:rFonts w:ascii="宋体" w:hAnsi="宋体"/>
          <w:szCs w:val="21"/>
        </w:rPr>
        <w:t>.</w:t>
      </w:r>
      <w:r>
        <w:rPr>
          <w:rFonts w:hint="eastAsia" w:ascii="宋体" w:hAnsi="宋体"/>
          <w:szCs w:val="21"/>
        </w:rPr>
        <w:t>1深圳公共资源交易中心（深圳交易集团有限公司罗湖分公司）将在投标截止时间后，对投标文件进行开标，并在网上公布开标结果。</w:t>
      </w:r>
      <w:bookmarkStart w:id="152" w:name="bt评标会议"/>
      <w:bookmarkEnd w:id="152"/>
      <w:bookmarkStart w:id="153" w:name="bt评标"/>
      <w:bookmarkEnd w:id="153"/>
      <w:bookmarkStart w:id="154" w:name="_Toc73518147"/>
      <w:bookmarkStart w:id="155" w:name="_Toc73521665"/>
      <w:bookmarkStart w:id="156" w:name="_Toc73521577"/>
      <w:bookmarkStart w:id="157" w:name="_Toc73517669"/>
      <w:bookmarkStart w:id="158" w:name="_Toc100052394"/>
    </w:p>
    <w:p w14:paraId="0B2F1612">
      <w:pPr>
        <w:rPr>
          <w:rFonts w:ascii="黑体" w:hAnsi="宋体" w:eastAsia="黑体"/>
          <w:sz w:val="24"/>
        </w:rPr>
      </w:pPr>
      <w:r>
        <w:rPr>
          <w:rFonts w:hint="eastAsia" w:ascii="黑体" w:hAnsi="宋体" w:eastAsia="黑体"/>
          <w:sz w:val="24"/>
        </w:rPr>
        <w:t>14．评标会议</w:t>
      </w:r>
    </w:p>
    <w:p w14:paraId="53A28E25">
      <w:pPr>
        <w:ind w:firstLine="411" w:firstLineChars="196"/>
        <w:rPr>
          <w:rFonts w:ascii="宋体" w:hAnsi="宋体"/>
        </w:rPr>
      </w:pPr>
      <w:r>
        <w:rPr>
          <w:rFonts w:hint="eastAsia" w:ascii="宋体" w:hAnsi="宋体"/>
        </w:rPr>
        <w:t>14.1评标定标应当遵循公平、公正、科学、择优的原则。</w:t>
      </w:r>
    </w:p>
    <w:p w14:paraId="7BCB515A">
      <w:pPr>
        <w:ind w:firstLine="411" w:firstLineChars="196"/>
        <w:rPr>
          <w:rFonts w:ascii="宋体" w:hAnsi="宋体"/>
        </w:rPr>
      </w:pPr>
      <w:r>
        <w:rPr>
          <w:rFonts w:hint="eastAsia" w:ascii="宋体" w:hAnsi="宋体"/>
        </w:rPr>
        <w:t>14.2评标活动依法进行，任何单位和个人不得非法干预评标过程和结果。</w:t>
      </w:r>
    </w:p>
    <w:p w14:paraId="09740ECF">
      <w:pPr>
        <w:ind w:firstLine="411" w:firstLineChars="196"/>
        <w:rPr>
          <w:rFonts w:ascii="宋体" w:hAnsi="宋体"/>
        </w:rPr>
      </w:pPr>
      <w:r>
        <w:rPr>
          <w:rFonts w:hint="eastAsia" w:ascii="宋体" w:hAnsi="宋体"/>
        </w:rPr>
        <w:t>14.3评标过程中不允许违背评标程序或采用招标文件未载明的评标方法或评标因素进行评标。</w:t>
      </w:r>
    </w:p>
    <w:p w14:paraId="36F46394">
      <w:pPr>
        <w:rPr>
          <w:rFonts w:ascii="宋体" w:hAnsi="宋体"/>
        </w:rPr>
      </w:pPr>
      <w:r>
        <w:rPr>
          <w:rFonts w:hint="eastAsia" w:ascii="黑体" w:hAnsi="宋体" w:eastAsia="黑体"/>
          <w:sz w:val="24"/>
        </w:rPr>
        <w:t>15．独立评标及评标程序</w:t>
      </w:r>
    </w:p>
    <w:p w14:paraId="2941EB29">
      <w:pPr>
        <w:ind w:firstLine="411" w:firstLineChars="196"/>
        <w:rPr>
          <w:rFonts w:ascii="宋体" w:hAnsi="宋体"/>
        </w:rPr>
      </w:pPr>
      <w:r>
        <w:rPr>
          <w:rFonts w:hint="eastAsia" w:ascii="宋体" w:hAnsi="宋体"/>
        </w:rPr>
        <w:t>15.1评标委员会成员的评标活动应当独立进行，并应遵循投标文件初审、澄清有关问题、比较与评价、确定中标供应商、编写评标报告的工作程序。</w:t>
      </w:r>
      <w:bookmarkEnd w:id="154"/>
      <w:bookmarkEnd w:id="155"/>
      <w:bookmarkEnd w:id="156"/>
      <w:bookmarkEnd w:id="157"/>
      <w:bookmarkEnd w:id="158"/>
      <w:bookmarkStart w:id="159" w:name="bt评标过程的保密"/>
      <w:bookmarkEnd w:id="159"/>
      <w:bookmarkStart w:id="160" w:name="bt错误的修正"/>
      <w:bookmarkEnd w:id="160"/>
    </w:p>
    <w:p w14:paraId="63564773">
      <w:pPr>
        <w:spacing w:line="360" w:lineRule="auto"/>
        <w:rPr>
          <w:rFonts w:ascii="黑体" w:hAnsi="宋体" w:eastAsia="黑体"/>
          <w:sz w:val="24"/>
        </w:rPr>
      </w:pPr>
      <w:bookmarkStart w:id="161" w:name="_Toc100052398"/>
      <w:bookmarkStart w:id="162" w:name="_Toc73518149"/>
      <w:bookmarkStart w:id="163" w:name="_Toc73521579"/>
      <w:bookmarkStart w:id="164" w:name="_Toc73521667"/>
      <w:bookmarkStart w:id="165" w:name="_Toc73517671"/>
      <w:r>
        <w:rPr>
          <w:rFonts w:hint="eastAsia" w:ascii="黑体" w:hAnsi="宋体" w:eastAsia="黑体"/>
          <w:sz w:val="24"/>
        </w:rPr>
        <w:t>16．投标文件初审</w:t>
      </w:r>
      <w:bookmarkEnd w:id="161"/>
    </w:p>
    <w:bookmarkEnd w:id="162"/>
    <w:bookmarkEnd w:id="163"/>
    <w:bookmarkEnd w:id="164"/>
    <w:bookmarkEnd w:id="165"/>
    <w:p w14:paraId="2A9E180F">
      <w:pPr>
        <w:ind w:firstLine="411" w:firstLineChars="196"/>
        <w:rPr>
          <w:rFonts w:ascii="宋体" w:hAnsi="宋体"/>
        </w:rPr>
      </w:pPr>
      <w:bookmarkStart w:id="166" w:name="_Toc100052399"/>
      <w:r>
        <w:rPr>
          <w:rFonts w:hint="eastAsia" w:ascii="宋体" w:hAnsi="宋体"/>
        </w:rPr>
        <w:t>16.1投标文件初审包括资格性审查和符合性审查。资格性审查：依据法律法规和招标文件的规定，对投标文件中的资格证明等进行审查，以确定投标供应商是否具备投标资格。符合性审查：依据招标文件的规定，从投标文件的有效性、完整性和对招标文件的响应程度进行审查，以确定是否对招标文件的实质性要求作出响应。</w:t>
      </w:r>
    </w:p>
    <w:p w14:paraId="1FFF2190">
      <w:pPr>
        <w:ind w:firstLine="411" w:firstLineChars="196"/>
        <w:rPr>
          <w:rFonts w:ascii="宋体" w:hAnsi="宋体"/>
        </w:rPr>
      </w:pPr>
      <w:r>
        <w:rPr>
          <w:rFonts w:hint="eastAsia" w:ascii="宋体" w:hAnsi="宋体"/>
        </w:rPr>
        <w:t>16.2投标文件初审内容请详见“关键信息”中的《资格性审查表》和《符合性审查表》部分。投标供应商若有一条审查不通过则按投标无效处理。</w:t>
      </w:r>
    </w:p>
    <w:p w14:paraId="0A4BC047">
      <w:pPr>
        <w:ind w:firstLine="411" w:firstLineChars="196"/>
        <w:rPr>
          <w:rFonts w:ascii="宋体" w:hAnsi="宋体"/>
        </w:rPr>
      </w:pPr>
      <w:r>
        <w:rPr>
          <w:rFonts w:hint="eastAsia" w:ascii="宋体" w:hAnsi="宋体"/>
        </w:rPr>
        <w:t>16.3对不属于《资格性审查表》和《符合性审查表》所列的其他情形，除法律法规另有规定外，不得作为投标无效的理由。</w:t>
      </w:r>
    </w:p>
    <w:p w14:paraId="675F0B91">
      <w:pPr>
        <w:spacing w:line="360" w:lineRule="auto"/>
        <w:rPr>
          <w:rFonts w:ascii="黑体" w:hAnsi="宋体" w:eastAsia="黑体"/>
          <w:sz w:val="24"/>
        </w:rPr>
      </w:pPr>
      <w:r>
        <w:rPr>
          <w:rFonts w:hint="eastAsia" w:ascii="黑体" w:hAnsi="宋体" w:eastAsia="黑体"/>
          <w:sz w:val="24"/>
        </w:rPr>
        <w:t>17．澄清有关问题</w:t>
      </w:r>
      <w:bookmarkEnd w:id="166"/>
    </w:p>
    <w:p w14:paraId="558540E5">
      <w:pPr>
        <w:ind w:firstLine="411" w:firstLineChars="196"/>
        <w:rPr>
          <w:rFonts w:ascii="宋体" w:hAnsi="宋体"/>
        </w:rPr>
      </w:pPr>
      <w:bookmarkStart w:id="167" w:name="bt投标文件的澄清"/>
      <w:bookmarkEnd w:id="167"/>
      <w:bookmarkStart w:id="168" w:name="bt投标文件的评估和比较"/>
      <w:bookmarkEnd w:id="168"/>
      <w:bookmarkStart w:id="169" w:name="bt废标"/>
      <w:bookmarkEnd w:id="169"/>
      <w:bookmarkStart w:id="170" w:name="_Hlk71407321"/>
      <w:bookmarkStart w:id="171" w:name="_Toc100052400"/>
      <w:bookmarkStart w:id="172" w:name="_Toc73518151"/>
      <w:bookmarkStart w:id="173" w:name="_Toc73521669"/>
      <w:bookmarkStart w:id="174" w:name="_Toc73517673"/>
      <w:bookmarkStart w:id="175" w:name="_Toc73521581"/>
      <w:bookmarkStart w:id="176" w:name="_Toc73521671"/>
      <w:bookmarkStart w:id="177" w:name="_Toc73517675"/>
      <w:bookmarkStart w:id="178" w:name="_Toc73521583"/>
      <w:bookmarkStart w:id="179" w:name="_Toc73518153"/>
      <w:r>
        <w:rPr>
          <w:rFonts w:hint="eastAsia" w:ascii="宋体" w:hAnsi="宋体"/>
        </w:rPr>
        <w:t>17</w:t>
      </w:r>
      <w:r>
        <w:rPr>
          <w:rFonts w:ascii="宋体" w:hAnsi="宋体"/>
        </w:rPr>
        <w:t>.1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170"/>
    </w:p>
    <w:p w14:paraId="61B70C57">
      <w:pPr>
        <w:ind w:firstLine="411" w:firstLineChars="196"/>
        <w:rPr>
          <w:rFonts w:ascii="宋体" w:hAnsi="宋体"/>
        </w:rPr>
      </w:pPr>
      <w:r>
        <w:rPr>
          <w:rFonts w:hint="eastAsia" w:ascii="宋体" w:hAnsi="宋体"/>
        </w:rPr>
        <w:t>17</w:t>
      </w:r>
      <w:r>
        <w:rPr>
          <w:rFonts w:ascii="宋体" w:hAnsi="宋体"/>
        </w:rPr>
        <w:t>.</w:t>
      </w:r>
      <w:r>
        <w:rPr>
          <w:rFonts w:hint="eastAsia" w:ascii="宋体" w:hAnsi="宋体"/>
        </w:rPr>
        <w:t>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ascii="宋体" w:hAnsi="宋体"/>
          <w:szCs w:val="21"/>
        </w:rPr>
        <w:t>深圳公共资源交易中心（深圳交易集团有限公司罗湖分公司）</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1ADBBF05">
      <w:pPr>
        <w:ind w:firstLine="411" w:firstLineChars="196"/>
        <w:rPr>
          <w:rFonts w:ascii="宋体" w:hAnsi="宋体"/>
          <w:color w:val="FF0000"/>
        </w:rPr>
      </w:pPr>
      <w:r>
        <w:rPr>
          <w:rFonts w:hint="eastAsia" w:ascii="宋体" w:hAnsi="宋体"/>
        </w:rPr>
        <w:t>17</w:t>
      </w:r>
      <w:r>
        <w:rPr>
          <w:rFonts w:ascii="宋体" w:hAnsi="宋体"/>
        </w:rPr>
        <w:t>.</w:t>
      </w:r>
      <w:r>
        <w:rPr>
          <w:rFonts w:hint="eastAsia" w:ascii="宋体" w:hAnsi="宋体"/>
        </w:rPr>
        <w:t>3</w:t>
      </w:r>
      <w:r>
        <w:rPr>
          <w:rFonts w:hint="eastAsia" w:ascii="宋体" w:hAnsi="宋体"/>
          <w:szCs w:val="21"/>
        </w:rPr>
        <w:t>对于投标文件中含义不明确、同类问题表述不一致或者有明显文字和计算错误的内容，评标委员会应当以书面形式要求投标供应商作出必要的澄清、说明或者补正。</w:t>
      </w:r>
    </w:p>
    <w:p w14:paraId="31DFB388">
      <w:pPr>
        <w:ind w:firstLine="411" w:firstLineChars="196"/>
        <w:rPr>
          <w:rFonts w:ascii="宋体" w:hAnsi="宋体"/>
          <w:szCs w:val="21"/>
        </w:rPr>
      </w:pPr>
      <w:r>
        <w:rPr>
          <w:rFonts w:hint="eastAsia" w:ascii="宋体" w:hAnsi="宋体"/>
          <w:szCs w:val="21"/>
        </w:rPr>
        <w:t>投标供应商的澄清、说明或者补正应当采用书面形式，并加盖公章，或者由法定代表人或其授权的代表签字。投标供应商的澄清、说明或者补正不得超出投标文件的范围或者改变投标文件的实质性内容。</w:t>
      </w:r>
    </w:p>
    <w:p w14:paraId="55BECCEC">
      <w:pPr>
        <w:pStyle w:val="31"/>
        <w:ind w:left="0" w:leftChars="0"/>
      </w:pPr>
      <w:r>
        <w:rPr>
          <w:rFonts w:hint="eastAsia"/>
        </w:rPr>
        <w:t>根据本通用条款第18条，凡属于评审委员会在评审中发现的算术错误进行核实的修改不在此列。</w:t>
      </w:r>
    </w:p>
    <w:p w14:paraId="48ADC12C">
      <w:pPr>
        <w:spacing w:line="360" w:lineRule="auto"/>
        <w:rPr>
          <w:rFonts w:ascii="黑体" w:hAnsi="宋体" w:eastAsia="黑体"/>
          <w:sz w:val="24"/>
        </w:rPr>
      </w:pPr>
      <w:r>
        <w:rPr>
          <w:rFonts w:hint="eastAsia" w:ascii="黑体" w:hAnsi="宋体" w:eastAsia="黑体"/>
          <w:sz w:val="24"/>
        </w:rPr>
        <w:t>18．错误的修正</w:t>
      </w:r>
      <w:bookmarkEnd w:id="171"/>
      <w:bookmarkEnd w:id="172"/>
      <w:bookmarkEnd w:id="173"/>
      <w:bookmarkEnd w:id="174"/>
      <w:bookmarkEnd w:id="175"/>
    </w:p>
    <w:p w14:paraId="2DDB894A">
      <w:pPr>
        <w:ind w:firstLine="411" w:firstLineChars="196"/>
        <w:rPr>
          <w:rFonts w:ascii="宋体" w:hAnsi="宋体"/>
          <w:szCs w:val="21"/>
        </w:rPr>
      </w:pPr>
      <w:r>
        <w:rPr>
          <w:rFonts w:hint="eastAsia" w:ascii="宋体" w:hAnsi="宋体"/>
          <w:szCs w:val="21"/>
        </w:rPr>
        <w:t>投标文件报价出现前后不一致的，除招标文件另有规定外，按照下列规定修正：</w:t>
      </w:r>
    </w:p>
    <w:p w14:paraId="46F289D0">
      <w:pPr>
        <w:ind w:firstLine="411" w:firstLineChars="196"/>
        <w:rPr>
          <w:rFonts w:ascii="宋体" w:hAnsi="宋体"/>
          <w:szCs w:val="21"/>
        </w:rPr>
      </w:pPr>
      <w:r>
        <w:rPr>
          <w:rFonts w:hint="eastAsia" w:ascii="宋体" w:hAnsi="宋体"/>
          <w:szCs w:val="21"/>
        </w:rPr>
        <w:t>18.1投标文件中开标一览表内容与投标文件中相应内容不一致的，以开标一览表为准；</w:t>
      </w:r>
    </w:p>
    <w:p w14:paraId="28433AAA">
      <w:pPr>
        <w:ind w:firstLine="411" w:firstLineChars="196"/>
        <w:rPr>
          <w:rFonts w:ascii="宋体" w:hAnsi="宋体"/>
          <w:szCs w:val="21"/>
        </w:rPr>
      </w:pPr>
      <w:r>
        <w:rPr>
          <w:rFonts w:hint="eastAsia" w:ascii="宋体" w:hAnsi="宋体"/>
          <w:szCs w:val="21"/>
        </w:rPr>
        <w:t>18.2大写金额和小写金额不一致的，以大写金额为准；</w:t>
      </w:r>
    </w:p>
    <w:p w14:paraId="0CAF1389">
      <w:pPr>
        <w:ind w:firstLine="411" w:firstLineChars="196"/>
        <w:rPr>
          <w:rFonts w:ascii="宋体" w:hAnsi="宋体"/>
          <w:szCs w:val="21"/>
        </w:rPr>
      </w:pPr>
      <w:r>
        <w:rPr>
          <w:rFonts w:hint="eastAsia" w:ascii="宋体" w:hAnsi="宋体"/>
          <w:szCs w:val="21"/>
        </w:rPr>
        <w:t>18.3单价金额小数点或者百分比有明显错位，以开标一览表的总价为准，并修改单价；</w:t>
      </w:r>
    </w:p>
    <w:p w14:paraId="206E2879">
      <w:pPr>
        <w:ind w:firstLine="411" w:firstLineChars="196"/>
        <w:rPr>
          <w:rFonts w:ascii="宋体" w:hAnsi="宋体"/>
          <w:szCs w:val="21"/>
        </w:rPr>
      </w:pPr>
      <w:r>
        <w:rPr>
          <w:rFonts w:hint="eastAsia" w:ascii="宋体" w:hAnsi="宋体"/>
          <w:szCs w:val="21"/>
        </w:rPr>
        <w:t>18.4总价金额与按单价汇总金额不一致的，以单价金额计算结果为准。</w:t>
      </w:r>
    </w:p>
    <w:p w14:paraId="3EA25850">
      <w:pPr>
        <w:ind w:firstLine="411" w:firstLineChars="196"/>
        <w:rPr>
          <w:rFonts w:ascii="宋体" w:hAnsi="宋体"/>
          <w:szCs w:val="21"/>
        </w:rPr>
      </w:pPr>
      <w:r>
        <w:rPr>
          <w:rFonts w:hint="eastAsia" w:ascii="宋体" w:hAnsi="宋体"/>
          <w:szCs w:val="21"/>
        </w:rPr>
        <w:t>18.5同时出现两种以上不一致的，按照前款规定的顺序修正。修正后的报价按照第17条规定，经投标供应商确认后产生约束力，投标人不确认的，其投标无效。</w:t>
      </w:r>
      <w:bookmarkEnd w:id="176"/>
      <w:bookmarkEnd w:id="177"/>
      <w:bookmarkEnd w:id="178"/>
      <w:bookmarkEnd w:id="179"/>
      <w:bookmarkStart w:id="180" w:name="_Toc100052402"/>
    </w:p>
    <w:p w14:paraId="0F3DF9EF">
      <w:pPr>
        <w:spacing w:line="360" w:lineRule="auto"/>
        <w:rPr>
          <w:rFonts w:ascii="黑体" w:hAnsi="宋体" w:eastAsia="黑体"/>
          <w:sz w:val="24"/>
        </w:rPr>
      </w:pPr>
      <w:r>
        <w:rPr>
          <w:rFonts w:hint="eastAsia" w:ascii="黑体" w:hAnsi="宋体" w:eastAsia="黑体"/>
          <w:sz w:val="24"/>
        </w:rPr>
        <w:t>19．评标方法</w:t>
      </w:r>
      <w:bookmarkEnd w:id="180"/>
      <w:bookmarkStart w:id="181" w:name="_Toc73521673"/>
      <w:bookmarkStart w:id="182" w:name="_Toc73521585"/>
      <w:bookmarkStart w:id="183" w:name="_Toc100052403"/>
      <w:bookmarkStart w:id="184" w:name="_Toc60560665"/>
      <w:bookmarkStart w:id="185" w:name="_Toc60631660"/>
      <w:bookmarkStart w:id="186" w:name="_Toc73517677"/>
      <w:bookmarkStart w:id="187" w:name="_Toc73518155"/>
    </w:p>
    <w:p w14:paraId="45832707">
      <w:pPr>
        <w:spacing w:line="360" w:lineRule="auto"/>
        <w:ind w:firstLine="420" w:firstLineChars="200"/>
        <w:rPr>
          <w:rFonts w:ascii="宋体" w:hAnsi="宋体"/>
          <w:szCs w:val="21"/>
        </w:rPr>
      </w:pPr>
      <w:r>
        <w:rPr>
          <w:rFonts w:hint="eastAsia" w:ascii="宋体" w:hAnsi="宋体"/>
          <w:szCs w:val="21"/>
        </w:rPr>
        <w:t>本项目采用评标方法详见招标文件中的《评标信息》部分。</w:t>
      </w:r>
    </w:p>
    <w:p w14:paraId="5D574B58">
      <w:pPr>
        <w:spacing w:line="360" w:lineRule="auto"/>
        <w:rPr>
          <w:rFonts w:ascii="黑体" w:hAnsi="宋体" w:eastAsia="黑体"/>
          <w:sz w:val="24"/>
        </w:rPr>
      </w:pPr>
      <w:r>
        <w:rPr>
          <w:rFonts w:hint="eastAsia" w:ascii="黑体" w:hAnsi="宋体" w:eastAsia="黑体"/>
          <w:sz w:val="24"/>
        </w:rPr>
        <w:t>20．定标</w:t>
      </w:r>
      <w:bookmarkEnd w:id="181"/>
      <w:bookmarkEnd w:id="182"/>
      <w:bookmarkEnd w:id="183"/>
      <w:bookmarkEnd w:id="184"/>
      <w:bookmarkEnd w:id="185"/>
      <w:bookmarkEnd w:id="186"/>
      <w:bookmarkEnd w:id="187"/>
    </w:p>
    <w:p w14:paraId="0EE5FF42">
      <w:pPr>
        <w:ind w:firstLine="411" w:firstLineChars="196"/>
        <w:rPr>
          <w:rFonts w:ascii="宋体" w:hAnsi="宋体"/>
          <w:szCs w:val="21"/>
        </w:rPr>
      </w:pPr>
      <w:bookmarkStart w:id="188" w:name="_Toc100052404"/>
      <w:r>
        <w:rPr>
          <w:rFonts w:hint="eastAsia" w:ascii="宋体" w:hAnsi="宋体"/>
          <w:szCs w:val="21"/>
        </w:rPr>
        <w:t>本项目采用定标方法详见招标文件中的《定标方法》部分。</w:t>
      </w:r>
    </w:p>
    <w:p w14:paraId="48F4B6DB">
      <w:pPr>
        <w:spacing w:line="360" w:lineRule="auto"/>
        <w:rPr>
          <w:rFonts w:ascii="黑体" w:hAnsi="宋体" w:eastAsia="黑体"/>
          <w:sz w:val="24"/>
        </w:rPr>
      </w:pPr>
      <w:r>
        <w:rPr>
          <w:rFonts w:hint="eastAsia" w:ascii="黑体" w:hAnsi="宋体" w:eastAsia="黑体"/>
          <w:sz w:val="24"/>
        </w:rPr>
        <w:t>21．编写评标报告</w:t>
      </w:r>
      <w:bookmarkEnd w:id="188"/>
    </w:p>
    <w:p w14:paraId="2428F03C">
      <w:pPr>
        <w:ind w:firstLine="411" w:firstLineChars="196"/>
        <w:rPr>
          <w:rFonts w:ascii="宋体" w:hAnsi="宋体"/>
          <w:szCs w:val="21"/>
        </w:rPr>
      </w:pPr>
      <w:r>
        <w:rPr>
          <w:rFonts w:hint="eastAsia" w:ascii="宋体" w:hAnsi="宋体"/>
          <w:szCs w:val="21"/>
        </w:rPr>
        <w:t>评标报告是评标委员会根据全体评标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714F127D">
      <w:pPr>
        <w:spacing w:line="360" w:lineRule="auto"/>
        <w:rPr>
          <w:rFonts w:ascii="黑体" w:hAnsi="宋体" w:eastAsia="黑体"/>
          <w:sz w:val="24"/>
        </w:rPr>
      </w:pPr>
      <w:bookmarkStart w:id="189" w:name="_Toc73518159"/>
      <w:bookmarkStart w:id="190" w:name="_Toc100052405"/>
      <w:bookmarkStart w:id="191" w:name="_Toc73517681"/>
      <w:bookmarkStart w:id="192" w:name="_Toc73521676"/>
      <w:bookmarkStart w:id="193" w:name="_Toc73521588"/>
      <w:r>
        <w:rPr>
          <w:rFonts w:hint="eastAsia" w:ascii="黑体" w:hAnsi="宋体" w:eastAsia="黑体"/>
          <w:sz w:val="24"/>
        </w:rPr>
        <w:t>22．</w:t>
      </w:r>
      <w:bookmarkEnd w:id="189"/>
      <w:bookmarkEnd w:id="190"/>
      <w:bookmarkEnd w:id="191"/>
      <w:bookmarkEnd w:id="192"/>
      <w:bookmarkEnd w:id="193"/>
      <w:r>
        <w:rPr>
          <w:rFonts w:hint="eastAsia" w:ascii="黑体" w:hAnsi="宋体" w:eastAsia="黑体"/>
          <w:sz w:val="24"/>
        </w:rPr>
        <w:t>中标（成交）公告</w:t>
      </w:r>
    </w:p>
    <w:p w14:paraId="482F84F3">
      <w:pPr>
        <w:ind w:firstLine="411" w:firstLineChars="196"/>
        <w:rPr>
          <w:rFonts w:ascii="宋体" w:hAnsi="宋体"/>
          <w:szCs w:val="21"/>
        </w:rPr>
      </w:pPr>
      <w:r>
        <w:rPr>
          <w:rFonts w:hint="eastAsia" w:ascii="宋体" w:hAnsi="宋体"/>
          <w:szCs w:val="21"/>
        </w:rPr>
        <w:t>22.1</w:t>
      </w:r>
      <w:bookmarkStart w:id="194" w:name="OLE_LINK5"/>
      <w:r>
        <w:rPr>
          <w:rFonts w:hint="eastAsia" w:ascii="宋体" w:hAnsi="宋体"/>
          <w:szCs w:val="21"/>
        </w:rPr>
        <w:t>为体现“公开、公平、公正”的原则，评标结束后，深圳公共资源交易中心（深圳交易集团有限公司罗湖分公司）将在</w:t>
      </w:r>
      <w:r>
        <w:rPr>
          <w:rFonts w:hint="eastAsia" w:ascii="宋体" w:hAnsi="宋体"/>
          <w:color w:val="FF0000"/>
          <w:szCs w:val="21"/>
        </w:rPr>
        <w:t>深圳交易集团罗湖分公司官网（https://lh.szexgrp.com/jyfw/zfcg-view.html?id=zfcg）</w:t>
      </w:r>
      <w:r>
        <w:rPr>
          <w:rFonts w:hint="eastAsia" w:ascii="宋体" w:hAnsi="宋体"/>
          <w:szCs w:val="21"/>
        </w:rPr>
        <w:t>上发布中标（成交）结果公告。</w:t>
      </w:r>
      <w:bookmarkEnd w:id="194"/>
    </w:p>
    <w:p w14:paraId="2339EA63">
      <w:pPr>
        <w:spacing w:line="360" w:lineRule="auto"/>
        <w:rPr>
          <w:rFonts w:ascii="黑体" w:hAnsi="宋体" w:eastAsia="黑体"/>
          <w:sz w:val="24"/>
        </w:rPr>
      </w:pPr>
      <w:bookmarkStart w:id="195" w:name="_Toc100052406"/>
      <w:r>
        <w:rPr>
          <w:rFonts w:hint="eastAsia" w:ascii="黑体" w:hAnsi="宋体" w:eastAsia="黑体"/>
          <w:sz w:val="24"/>
        </w:rPr>
        <w:t>23．中标（成交）通知书</w:t>
      </w:r>
      <w:bookmarkEnd w:id="195"/>
    </w:p>
    <w:p w14:paraId="48393EFF">
      <w:pPr>
        <w:ind w:firstLine="411" w:firstLineChars="196"/>
        <w:rPr>
          <w:rFonts w:ascii="宋体" w:hAnsi="宋体"/>
          <w:szCs w:val="21"/>
        </w:rPr>
      </w:pPr>
      <w:r>
        <w:rPr>
          <w:rFonts w:hint="eastAsia" w:ascii="宋体" w:hAnsi="宋体"/>
          <w:szCs w:val="21"/>
        </w:rPr>
        <w:t>23</w:t>
      </w:r>
      <w:r>
        <w:rPr>
          <w:rFonts w:ascii="宋体" w:hAnsi="宋体"/>
          <w:szCs w:val="21"/>
        </w:rPr>
        <w:t>.</w:t>
      </w:r>
      <w:r>
        <w:rPr>
          <w:rFonts w:hint="eastAsia" w:ascii="宋体" w:hAnsi="宋体"/>
          <w:szCs w:val="21"/>
        </w:rPr>
        <w:t>1</w:t>
      </w:r>
      <w:bookmarkStart w:id="196" w:name="OLE_LINK40"/>
      <w:r>
        <w:rPr>
          <w:rFonts w:hint="eastAsia" w:ascii="宋体" w:hAnsi="宋体" w:cs="宋体"/>
          <w:color w:val="000000"/>
          <w:kern w:val="0"/>
          <w:szCs w:val="21"/>
        </w:rPr>
        <w:t>中标（成交）公告发布并公示1个</w:t>
      </w:r>
      <w:r>
        <w:rPr>
          <w:rFonts w:hint="eastAsia" w:ascii="宋体" w:hAnsi="宋体" w:cs="宋体"/>
          <w:color w:val="000000"/>
          <w:kern w:val="0"/>
          <w:szCs w:val="21"/>
          <w:lang w:val="en-US" w:eastAsia="zh-CN"/>
        </w:rPr>
        <w:t>工作日</w:t>
      </w:r>
      <w:r>
        <w:rPr>
          <w:rFonts w:hint="eastAsia" w:ascii="宋体" w:hAnsi="宋体" w:cs="宋体"/>
          <w:color w:val="000000"/>
          <w:kern w:val="0"/>
          <w:szCs w:val="21"/>
        </w:rPr>
        <w:t>后，</w:t>
      </w:r>
      <w:bookmarkEnd w:id="196"/>
      <w:r>
        <w:rPr>
          <w:rFonts w:hint="eastAsia" w:ascii="宋体" w:hAnsi="宋体" w:cs="宋体"/>
          <w:color w:val="000000"/>
          <w:kern w:val="0"/>
          <w:szCs w:val="21"/>
        </w:rPr>
        <w:t>公示期满无异议或者异议不成立的，中标人向深圳公共资源交易中心（深圳交易集团有限公司罗湖分公司）缴纳代理服务费后</w:t>
      </w:r>
      <w:r>
        <w:rPr>
          <w:rFonts w:hint="eastAsia" w:ascii="宋体" w:hAnsi="宋体" w:cs="宋体"/>
          <w:kern w:val="0"/>
          <w:szCs w:val="21"/>
        </w:rPr>
        <w:t>，</w:t>
      </w:r>
      <w:r>
        <w:rPr>
          <w:rFonts w:hint="eastAsia" w:ascii="宋体" w:hAnsi="宋体" w:cs="宋体"/>
          <w:szCs w:val="21"/>
        </w:rPr>
        <w:t>方可领取《中标（成交）通知书》</w:t>
      </w:r>
      <w:r>
        <w:rPr>
          <w:rFonts w:hint="eastAsia" w:ascii="宋体" w:hAnsi="宋体" w:cs="宋体"/>
          <w:kern w:val="0"/>
          <w:szCs w:val="21"/>
        </w:rPr>
        <w:t>。</w:t>
      </w:r>
    </w:p>
    <w:p w14:paraId="59FC1F01">
      <w:pPr>
        <w:ind w:firstLine="411" w:firstLineChars="196"/>
        <w:rPr>
          <w:rFonts w:ascii="宋体" w:hAnsi="宋体"/>
          <w:szCs w:val="21"/>
        </w:rPr>
      </w:pPr>
      <w:r>
        <w:rPr>
          <w:rFonts w:hint="eastAsia" w:ascii="宋体" w:hAnsi="宋体"/>
          <w:color w:val="FF0000"/>
          <w:szCs w:val="21"/>
        </w:rPr>
        <w:t>2</w:t>
      </w:r>
      <w:r>
        <w:rPr>
          <w:rFonts w:hint="eastAsia" w:ascii="宋体" w:hAnsi="宋体"/>
          <w:color w:val="FF0000"/>
          <w:szCs w:val="21"/>
          <w:lang w:val="en-US" w:eastAsia="zh-CN"/>
        </w:rPr>
        <w:t>3</w:t>
      </w:r>
      <w:r>
        <w:rPr>
          <w:rFonts w:hint="eastAsia" w:ascii="宋体" w:hAnsi="宋体"/>
          <w:color w:val="FF0000"/>
          <w:szCs w:val="21"/>
        </w:rPr>
        <w:t>.2因质疑投诉或其它原因导致项目结果变更或采购终止的，深圳公共资源交易中心（深圳交易集团有限公司罗湖分公司）有权收回中标（成交）通知书。</w:t>
      </w:r>
    </w:p>
    <w:p w14:paraId="446E1D56">
      <w:pPr>
        <w:jc w:val="center"/>
      </w:pPr>
      <w:bookmarkStart w:id="197" w:name="bt合同的授予"/>
      <w:bookmarkEnd w:id="197"/>
      <w:r>
        <w:t>---- END ----</w:t>
      </w:r>
    </w:p>
    <w:p w14:paraId="65BD8A2B"/>
    <w:sectPr>
      <w:footerReference r:id="rId3" w:type="default"/>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ctionIcon ! important">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16691019"/>
    </w:sdtPr>
    <w:sdtContent>
      <w:sdt>
        <w:sdtPr>
          <w:id w:val="-1669238322"/>
        </w:sdtPr>
        <w:sdtContent>
          <w:p w14:paraId="77ABFE3B">
            <w:pPr>
              <w:pStyle w:val="2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38</w:t>
            </w:r>
            <w:r>
              <w:rPr>
                <w:b/>
                <w:bCs/>
                <w:sz w:val="24"/>
                <w:szCs w:val="24"/>
              </w:rPr>
              <w:fldChar w:fldCharType="end"/>
            </w:r>
          </w:p>
        </w:sdtContent>
      </w:sdt>
    </w:sdtContent>
  </w:sdt>
  <w:p w14:paraId="38B9AB8F">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358C2E"/>
    <w:multiLevelType w:val="singleLevel"/>
    <w:tmpl w:val="B9358C2E"/>
    <w:lvl w:ilvl="0" w:tentative="0">
      <w:start w:val="2"/>
      <w:numFmt w:val="decimal"/>
      <w:suff w:val="nothing"/>
      <w:lvlText w:val="%1、"/>
      <w:lvlJc w:val="left"/>
    </w:lvl>
  </w:abstractNum>
  <w:abstractNum w:abstractNumId="1">
    <w:nsid w:val="2CCFBEDA"/>
    <w:multiLevelType w:val="singleLevel"/>
    <w:tmpl w:val="2CCFBEDA"/>
    <w:lvl w:ilvl="0" w:tentative="0">
      <w:start w:val="2"/>
      <w:numFmt w:val="decimal"/>
      <w:suff w:val="nothing"/>
      <w:lvlText w:val="%1、"/>
      <w:lvlJc w:val="left"/>
    </w:lvl>
  </w:abstractNum>
  <w:abstractNum w:abstractNumId="2">
    <w:nsid w:val="7AD18A86"/>
    <w:multiLevelType w:val="singleLevel"/>
    <w:tmpl w:val="7AD18A86"/>
    <w:lvl w:ilvl="0" w:tentative="0">
      <w:start w:val="1"/>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4OGYzZWRkYWFlOTUxNDA2M2UzOTg0MDNkZjZlN2UifQ=="/>
  </w:docVars>
  <w:rsids>
    <w:rsidRoot w:val="008B57C1"/>
    <w:rsid w:val="00006DCC"/>
    <w:rsid w:val="00015FFC"/>
    <w:rsid w:val="000332F9"/>
    <w:rsid w:val="000447CC"/>
    <w:rsid w:val="0004556E"/>
    <w:rsid w:val="00046F51"/>
    <w:rsid w:val="000474BA"/>
    <w:rsid w:val="000553BC"/>
    <w:rsid w:val="00055E0E"/>
    <w:rsid w:val="00060D62"/>
    <w:rsid w:val="00061A75"/>
    <w:rsid w:val="00062B7D"/>
    <w:rsid w:val="00071926"/>
    <w:rsid w:val="00071E9D"/>
    <w:rsid w:val="00072FB9"/>
    <w:rsid w:val="00074C40"/>
    <w:rsid w:val="00085E1B"/>
    <w:rsid w:val="00090BAD"/>
    <w:rsid w:val="0009178A"/>
    <w:rsid w:val="000940F5"/>
    <w:rsid w:val="00097E91"/>
    <w:rsid w:val="000B0720"/>
    <w:rsid w:val="000B5EB0"/>
    <w:rsid w:val="000B7C57"/>
    <w:rsid w:val="000B7EDA"/>
    <w:rsid w:val="000C39D5"/>
    <w:rsid w:val="000C418B"/>
    <w:rsid w:val="000D2A69"/>
    <w:rsid w:val="000E40B0"/>
    <w:rsid w:val="000E6620"/>
    <w:rsid w:val="000F1EAC"/>
    <w:rsid w:val="00101CAE"/>
    <w:rsid w:val="001035DF"/>
    <w:rsid w:val="0010789C"/>
    <w:rsid w:val="00115BE9"/>
    <w:rsid w:val="001228D7"/>
    <w:rsid w:val="00126A9D"/>
    <w:rsid w:val="001366C2"/>
    <w:rsid w:val="00136AA2"/>
    <w:rsid w:val="00141D10"/>
    <w:rsid w:val="001750D1"/>
    <w:rsid w:val="0017658C"/>
    <w:rsid w:val="00181DFB"/>
    <w:rsid w:val="001A55D2"/>
    <w:rsid w:val="001A6BFB"/>
    <w:rsid w:val="001B26F0"/>
    <w:rsid w:val="001B6133"/>
    <w:rsid w:val="001C0B1F"/>
    <w:rsid w:val="001C101D"/>
    <w:rsid w:val="001C74B9"/>
    <w:rsid w:val="001D1C51"/>
    <w:rsid w:val="001D524F"/>
    <w:rsid w:val="001E2B18"/>
    <w:rsid w:val="001E3A48"/>
    <w:rsid w:val="001F0B2F"/>
    <w:rsid w:val="002073F0"/>
    <w:rsid w:val="00213513"/>
    <w:rsid w:val="00220F0B"/>
    <w:rsid w:val="00231FA4"/>
    <w:rsid w:val="00242AED"/>
    <w:rsid w:val="0024346D"/>
    <w:rsid w:val="002535F9"/>
    <w:rsid w:val="00261F71"/>
    <w:rsid w:val="00262EFD"/>
    <w:rsid w:val="0026696C"/>
    <w:rsid w:val="00267157"/>
    <w:rsid w:val="00277B1B"/>
    <w:rsid w:val="0029407B"/>
    <w:rsid w:val="00296FF8"/>
    <w:rsid w:val="002A761B"/>
    <w:rsid w:val="002B09B2"/>
    <w:rsid w:val="002B38A4"/>
    <w:rsid w:val="002B3E9D"/>
    <w:rsid w:val="002B5E7E"/>
    <w:rsid w:val="002B60A9"/>
    <w:rsid w:val="002B6B39"/>
    <w:rsid w:val="002C1BBD"/>
    <w:rsid w:val="002C3220"/>
    <w:rsid w:val="002D2995"/>
    <w:rsid w:val="002F6203"/>
    <w:rsid w:val="0032056A"/>
    <w:rsid w:val="00321CF0"/>
    <w:rsid w:val="00322596"/>
    <w:rsid w:val="003247E6"/>
    <w:rsid w:val="0033274B"/>
    <w:rsid w:val="00332AB5"/>
    <w:rsid w:val="0033530B"/>
    <w:rsid w:val="00336414"/>
    <w:rsid w:val="00342021"/>
    <w:rsid w:val="00342BF0"/>
    <w:rsid w:val="003570DD"/>
    <w:rsid w:val="00363E5C"/>
    <w:rsid w:val="00364DAF"/>
    <w:rsid w:val="00370E1F"/>
    <w:rsid w:val="003719AC"/>
    <w:rsid w:val="00374F61"/>
    <w:rsid w:val="00377A38"/>
    <w:rsid w:val="00377A8E"/>
    <w:rsid w:val="00384DAC"/>
    <w:rsid w:val="00385551"/>
    <w:rsid w:val="003A06F2"/>
    <w:rsid w:val="003A0F7D"/>
    <w:rsid w:val="003B25CB"/>
    <w:rsid w:val="003B415C"/>
    <w:rsid w:val="003C09D0"/>
    <w:rsid w:val="003C1A5A"/>
    <w:rsid w:val="003C23B3"/>
    <w:rsid w:val="003C726E"/>
    <w:rsid w:val="003C7FFD"/>
    <w:rsid w:val="003D36CF"/>
    <w:rsid w:val="003E0D03"/>
    <w:rsid w:val="003E1E7E"/>
    <w:rsid w:val="003E4A7B"/>
    <w:rsid w:val="003E7177"/>
    <w:rsid w:val="003F13B5"/>
    <w:rsid w:val="003F311E"/>
    <w:rsid w:val="003F40FA"/>
    <w:rsid w:val="0040557E"/>
    <w:rsid w:val="00410A72"/>
    <w:rsid w:val="0041701F"/>
    <w:rsid w:val="004220FC"/>
    <w:rsid w:val="00423DAC"/>
    <w:rsid w:val="004335DD"/>
    <w:rsid w:val="0043399E"/>
    <w:rsid w:val="00433DAD"/>
    <w:rsid w:val="00436BCA"/>
    <w:rsid w:val="00436F3B"/>
    <w:rsid w:val="00442F3A"/>
    <w:rsid w:val="004476B8"/>
    <w:rsid w:val="0045488F"/>
    <w:rsid w:val="00461F91"/>
    <w:rsid w:val="00464EAC"/>
    <w:rsid w:val="00470795"/>
    <w:rsid w:val="00472B96"/>
    <w:rsid w:val="004765C2"/>
    <w:rsid w:val="0048288E"/>
    <w:rsid w:val="0048372D"/>
    <w:rsid w:val="00483E24"/>
    <w:rsid w:val="0048695B"/>
    <w:rsid w:val="004878E3"/>
    <w:rsid w:val="00490DAC"/>
    <w:rsid w:val="00491CD6"/>
    <w:rsid w:val="004937AD"/>
    <w:rsid w:val="004A3413"/>
    <w:rsid w:val="004A7E88"/>
    <w:rsid w:val="004B023E"/>
    <w:rsid w:val="004B20CF"/>
    <w:rsid w:val="004B3D4D"/>
    <w:rsid w:val="004B4BB7"/>
    <w:rsid w:val="004B78CB"/>
    <w:rsid w:val="004C0098"/>
    <w:rsid w:val="004D449E"/>
    <w:rsid w:val="004D5B21"/>
    <w:rsid w:val="004F23A6"/>
    <w:rsid w:val="004F3E38"/>
    <w:rsid w:val="00500281"/>
    <w:rsid w:val="005031A0"/>
    <w:rsid w:val="00511D4E"/>
    <w:rsid w:val="00516293"/>
    <w:rsid w:val="00526FC5"/>
    <w:rsid w:val="00527ABB"/>
    <w:rsid w:val="00532F97"/>
    <w:rsid w:val="005461B9"/>
    <w:rsid w:val="00553C76"/>
    <w:rsid w:val="00554174"/>
    <w:rsid w:val="005541CC"/>
    <w:rsid w:val="00555335"/>
    <w:rsid w:val="00556FA0"/>
    <w:rsid w:val="005641B6"/>
    <w:rsid w:val="00567CE1"/>
    <w:rsid w:val="00574065"/>
    <w:rsid w:val="00576476"/>
    <w:rsid w:val="00582F3D"/>
    <w:rsid w:val="00584A41"/>
    <w:rsid w:val="005A0521"/>
    <w:rsid w:val="005A3859"/>
    <w:rsid w:val="005A72CF"/>
    <w:rsid w:val="005C2E8A"/>
    <w:rsid w:val="005C52A7"/>
    <w:rsid w:val="005C6DAA"/>
    <w:rsid w:val="005D0421"/>
    <w:rsid w:val="005D0F06"/>
    <w:rsid w:val="005D3DCC"/>
    <w:rsid w:val="005E075E"/>
    <w:rsid w:val="005E397F"/>
    <w:rsid w:val="005E44F1"/>
    <w:rsid w:val="005E7AF0"/>
    <w:rsid w:val="005F1249"/>
    <w:rsid w:val="005F1C2C"/>
    <w:rsid w:val="005F3D27"/>
    <w:rsid w:val="005F63B3"/>
    <w:rsid w:val="005F6786"/>
    <w:rsid w:val="005F785D"/>
    <w:rsid w:val="00600944"/>
    <w:rsid w:val="00620E17"/>
    <w:rsid w:val="0062351E"/>
    <w:rsid w:val="00630D6A"/>
    <w:rsid w:val="00640119"/>
    <w:rsid w:val="006446B2"/>
    <w:rsid w:val="00644BD6"/>
    <w:rsid w:val="00647436"/>
    <w:rsid w:val="00651C90"/>
    <w:rsid w:val="00657E06"/>
    <w:rsid w:val="006626AF"/>
    <w:rsid w:val="00666D15"/>
    <w:rsid w:val="00676E64"/>
    <w:rsid w:val="006A11F3"/>
    <w:rsid w:val="006A1C7E"/>
    <w:rsid w:val="006B3B4D"/>
    <w:rsid w:val="006B77F0"/>
    <w:rsid w:val="006C3229"/>
    <w:rsid w:val="006D5EA0"/>
    <w:rsid w:val="006E00F4"/>
    <w:rsid w:val="006E0FD8"/>
    <w:rsid w:val="006F1CB8"/>
    <w:rsid w:val="006F30DB"/>
    <w:rsid w:val="006F644C"/>
    <w:rsid w:val="006F7133"/>
    <w:rsid w:val="006F7EC1"/>
    <w:rsid w:val="007006BF"/>
    <w:rsid w:val="00700E83"/>
    <w:rsid w:val="00713D6B"/>
    <w:rsid w:val="0071532B"/>
    <w:rsid w:val="0072018B"/>
    <w:rsid w:val="007313DB"/>
    <w:rsid w:val="0073343E"/>
    <w:rsid w:val="0074088A"/>
    <w:rsid w:val="00743ADF"/>
    <w:rsid w:val="00760951"/>
    <w:rsid w:val="00761F17"/>
    <w:rsid w:val="00764C94"/>
    <w:rsid w:val="007664C6"/>
    <w:rsid w:val="007704DD"/>
    <w:rsid w:val="00775236"/>
    <w:rsid w:val="00782DA2"/>
    <w:rsid w:val="00783DE1"/>
    <w:rsid w:val="007919E5"/>
    <w:rsid w:val="0079727E"/>
    <w:rsid w:val="007972F4"/>
    <w:rsid w:val="007A13A8"/>
    <w:rsid w:val="007A3794"/>
    <w:rsid w:val="007A3B38"/>
    <w:rsid w:val="007A6768"/>
    <w:rsid w:val="007B0104"/>
    <w:rsid w:val="007B0426"/>
    <w:rsid w:val="007B07B8"/>
    <w:rsid w:val="007B283B"/>
    <w:rsid w:val="007B7D74"/>
    <w:rsid w:val="007C34AB"/>
    <w:rsid w:val="007D2A41"/>
    <w:rsid w:val="007D3F35"/>
    <w:rsid w:val="007E0E98"/>
    <w:rsid w:val="007E4543"/>
    <w:rsid w:val="007F75BF"/>
    <w:rsid w:val="00810818"/>
    <w:rsid w:val="00824E74"/>
    <w:rsid w:val="0083634D"/>
    <w:rsid w:val="00846914"/>
    <w:rsid w:val="00864CD6"/>
    <w:rsid w:val="00871D97"/>
    <w:rsid w:val="008724D1"/>
    <w:rsid w:val="008752D7"/>
    <w:rsid w:val="0088110B"/>
    <w:rsid w:val="0088203F"/>
    <w:rsid w:val="0088699C"/>
    <w:rsid w:val="008877FB"/>
    <w:rsid w:val="00887BEB"/>
    <w:rsid w:val="008900F7"/>
    <w:rsid w:val="00895686"/>
    <w:rsid w:val="008A22EF"/>
    <w:rsid w:val="008A2C84"/>
    <w:rsid w:val="008A3430"/>
    <w:rsid w:val="008B0C86"/>
    <w:rsid w:val="008B28A5"/>
    <w:rsid w:val="008B57C1"/>
    <w:rsid w:val="008B7FC3"/>
    <w:rsid w:val="008C6C60"/>
    <w:rsid w:val="008D0AD4"/>
    <w:rsid w:val="008D2771"/>
    <w:rsid w:val="008D489A"/>
    <w:rsid w:val="008D5D21"/>
    <w:rsid w:val="008E293D"/>
    <w:rsid w:val="008E58DD"/>
    <w:rsid w:val="008F1DD2"/>
    <w:rsid w:val="00910FF2"/>
    <w:rsid w:val="00912B34"/>
    <w:rsid w:val="00914754"/>
    <w:rsid w:val="009151E7"/>
    <w:rsid w:val="009238A9"/>
    <w:rsid w:val="00923953"/>
    <w:rsid w:val="009246B3"/>
    <w:rsid w:val="009316C1"/>
    <w:rsid w:val="0093237D"/>
    <w:rsid w:val="00945616"/>
    <w:rsid w:val="00951225"/>
    <w:rsid w:val="0095588D"/>
    <w:rsid w:val="009724DA"/>
    <w:rsid w:val="0097491F"/>
    <w:rsid w:val="00977ED6"/>
    <w:rsid w:val="00983644"/>
    <w:rsid w:val="009869B0"/>
    <w:rsid w:val="009919D7"/>
    <w:rsid w:val="009A6FE8"/>
    <w:rsid w:val="009C3A8D"/>
    <w:rsid w:val="009D49CC"/>
    <w:rsid w:val="009F1D2D"/>
    <w:rsid w:val="009F36A7"/>
    <w:rsid w:val="009F4A67"/>
    <w:rsid w:val="009F53F4"/>
    <w:rsid w:val="00A0386F"/>
    <w:rsid w:val="00A11A0A"/>
    <w:rsid w:val="00A11E70"/>
    <w:rsid w:val="00A1259E"/>
    <w:rsid w:val="00A12818"/>
    <w:rsid w:val="00A20CC6"/>
    <w:rsid w:val="00A23D95"/>
    <w:rsid w:val="00A250C0"/>
    <w:rsid w:val="00A25810"/>
    <w:rsid w:val="00A30B58"/>
    <w:rsid w:val="00A3230F"/>
    <w:rsid w:val="00A47F8B"/>
    <w:rsid w:val="00A53088"/>
    <w:rsid w:val="00A53413"/>
    <w:rsid w:val="00A57B10"/>
    <w:rsid w:val="00A705E6"/>
    <w:rsid w:val="00A82AE7"/>
    <w:rsid w:val="00A8537A"/>
    <w:rsid w:val="00A86F7E"/>
    <w:rsid w:val="00A905AD"/>
    <w:rsid w:val="00A9698B"/>
    <w:rsid w:val="00AB1511"/>
    <w:rsid w:val="00AB19F5"/>
    <w:rsid w:val="00AB7D2F"/>
    <w:rsid w:val="00AC26BF"/>
    <w:rsid w:val="00AC2C57"/>
    <w:rsid w:val="00AC5E47"/>
    <w:rsid w:val="00AD65CA"/>
    <w:rsid w:val="00AD6DDB"/>
    <w:rsid w:val="00AE4301"/>
    <w:rsid w:val="00AE6BEE"/>
    <w:rsid w:val="00AE78C6"/>
    <w:rsid w:val="00AE7EB8"/>
    <w:rsid w:val="00AF39C9"/>
    <w:rsid w:val="00AF677B"/>
    <w:rsid w:val="00B02442"/>
    <w:rsid w:val="00B07913"/>
    <w:rsid w:val="00B226A5"/>
    <w:rsid w:val="00B24B5B"/>
    <w:rsid w:val="00B262ED"/>
    <w:rsid w:val="00B303FA"/>
    <w:rsid w:val="00B30AA7"/>
    <w:rsid w:val="00B3544A"/>
    <w:rsid w:val="00B41358"/>
    <w:rsid w:val="00B420C8"/>
    <w:rsid w:val="00B42A8E"/>
    <w:rsid w:val="00B531C1"/>
    <w:rsid w:val="00B8646B"/>
    <w:rsid w:val="00B9196A"/>
    <w:rsid w:val="00B971AE"/>
    <w:rsid w:val="00B9722D"/>
    <w:rsid w:val="00B97965"/>
    <w:rsid w:val="00BA1F9F"/>
    <w:rsid w:val="00BC498B"/>
    <w:rsid w:val="00BD29DA"/>
    <w:rsid w:val="00BD44D9"/>
    <w:rsid w:val="00BD6895"/>
    <w:rsid w:val="00BD6A87"/>
    <w:rsid w:val="00BD7D8A"/>
    <w:rsid w:val="00BE38F1"/>
    <w:rsid w:val="00BE558C"/>
    <w:rsid w:val="00C03D43"/>
    <w:rsid w:val="00C107C5"/>
    <w:rsid w:val="00C17E73"/>
    <w:rsid w:val="00C20213"/>
    <w:rsid w:val="00C2044A"/>
    <w:rsid w:val="00C2097E"/>
    <w:rsid w:val="00C243BA"/>
    <w:rsid w:val="00C2627F"/>
    <w:rsid w:val="00C34B02"/>
    <w:rsid w:val="00C41AD2"/>
    <w:rsid w:val="00C426D3"/>
    <w:rsid w:val="00C50B23"/>
    <w:rsid w:val="00C552BB"/>
    <w:rsid w:val="00C57A2D"/>
    <w:rsid w:val="00C643DE"/>
    <w:rsid w:val="00C727F2"/>
    <w:rsid w:val="00C738AE"/>
    <w:rsid w:val="00C760A5"/>
    <w:rsid w:val="00C805BC"/>
    <w:rsid w:val="00C8261C"/>
    <w:rsid w:val="00C82620"/>
    <w:rsid w:val="00C90BB3"/>
    <w:rsid w:val="00C9462F"/>
    <w:rsid w:val="00C95A4F"/>
    <w:rsid w:val="00C96D2C"/>
    <w:rsid w:val="00CC21D3"/>
    <w:rsid w:val="00CD12D4"/>
    <w:rsid w:val="00CD400D"/>
    <w:rsid w:val="00CE367B"/>
    <w:rsid w:val="00CE712F"/>
    <w:rsid w:val="00CF1A15"/>
    <w:rsid w:val="00CF257A"/>
    <w:rsid w:val="00CF38B9"/>
    <w:rsid w:val="00D00587"/>
    <w:rsid w:val="00D01618"/>
    <w:rsid w:val="00D03BE0"/>
    <w:rsid w:val="00D06282"/>
    <w:rsid w:val="00D21E72"/>
    <w:rsid w:val="00D23922"/>
    <w:rsid w:val="00D42356"/>
    <w:rsid w:val="00D56CB0"/>
    <w:rsid w:val="00D57709"/>
    <w:rsid w:val="00D60A72"/>
    <w:rsid w:val="00D613E8"/>
    <w:rsid w:val="00D63DE7"/>
    <w:rsid w:val="00D70074"/>
    <w:rsid w:val="00D82C20"/>
    <w:rsid w:val="00D850E9"/>
    <w:rsid w:val="00DA00E7"/>
    <w:rsid w:val="00DA08A6"/>
    <w:rsid w:val="00DA61D8"/>
    <w:rsid w:val="00DA64DE"/>
    <w:rsid w:val="00DA7D9B"/>
    <w:rsid w:val="00DB14AA"/>
    <w:rsid w:val="00DB2EA7"/>
    <w:rsid w:val="00DB310C"/>
    <w:rsid w:val="00DB449C"/>
    <w:rsid w:val="00DB6F92"/>
    <w:rsid w:val="00DB7E96"/>
    <w:rsid w:val="00DC0525"/>
    <w:rsid w:val="00DC2C6D"/>
    <w:rsid w:val="00DD205E"/>
    <w:rsid w:val="00DD75DA"/>
    <w:rsid w:val="00DE3CCC"/>
    <w:rsid w:val="00DE4DD1"/>
    <w:rsid w:val="00DE5805"/>
    <w:rsid w:val="00DF5157"/>
    <w:rsid w:val="00DF6CA0"/>
    <w:rsid w:val="00E02ED8"/>
    <w:rsid w:val="00E032D4"/>
    <w:rsid w:val="00E060EA"/>
    <w:rsid w:val="00E071BD"/>
    <w:rsid w:val="00E13137"/>
    <w:rsid w:val="00E33257"/>
    <w:rsid w:val="00E36272"/>
    <w:rsid w:val="00E462EC"/>
    <w:rsid w:val="00E6231A"/>
    <w:rsid w:val="00E64E7C"/>
    <w:rsid w:val="00E664DE"/>
    <w:rsid w:val="00E66776"/>
    <w:rsid w:val="00E72912"/>
    <w:rsid w:val="00E8032B"/>
    <w:rsid w:val="00E808A3"/>
    <w:rsid w:val="00E816C2"/>
    <w:rsid w:val="00E828B0"/>
    <w:rsid w:val="00E93783"/>
    <w:rsid w:val="00E96D09"/>
    <w:rsid w:val="00EA34A9"/>
    <w:rsid w:val="00EB066B"/>
    <w:rsid w:val="00EB1D26"/>
    <w:rsid w:val="00EC3819"/>
    <w:rsid w:val="00EC7433"/>
    <w:rsid w:val="00EE1945"/>
    <w:rsid w:val="00EE2A1D"/>
    <w:rsid w:val="00EE633E"/>
    <w:rsid w:val="00EE770F"/>
    <w:rsid w:val="00EF05F5"/>
    <w:rsid w:val="00F00071"/>
    <w:rsid w:val="00F01561"/>
    <w:rsid w:val="00F02E14"/>
    <w:rsid w:val="00F052FF"/>
    <w:rsid w:val="00F0782C"/>
    <w:rsid w:val="00F10EC2"/>
    <w:rsid w:val="00F12362"/>
    <w:rsid w:val="00F132F5"/>
    <w:rsid w:val="00F15F59"/>
    <w:rsid w:val="00F209C6"/>
    <w:rsid w:val="00F32C91"/>
    <w:rsid w:val="00F36AA7"/>
    <w:rsid w:val="00F40743"/>
    <w:rsid w:val="00F5068E"/>
    <w:rsid w:val="00F556CD"/>
    <w:rsid w:val="00F574EB"/>
    <w:rsid w:val="00F62071"/>
    <w:rsid w:val="00F63F81"/>
    <w:rsid w:val="00F65365"/>
    <w:rsid w:val="00F670AC"/>
    <w:rsid w:val="00F675E7"/>
    <w:rsid w:val="00F74898"/>
    <w:rsid w:val="00F76775"/>
    <w:rsid w:val="00F8034B"/>
    <w:rsid w:val="00F85668"/>
    <w:rsid w:val="00F956C3"/>
    <w:rsid w:val="00FA0DC8"/>
    <w:rsid w:val="00FA482B"/>
    <w:rsid w:val="00FB1038"/>
    <w:rsid w:val="00FB2DA2"/>
    <w:rsid w:val="00FB4A04"/>
    <w:rsid w:val="00FB613A"/>
    <w:rsid w:val="00FC1FDE"/>
    <w:rsid w:val="00FC4E7D"/>
    <w:rsid w:val="00FD6A44"/>
    <w:rsid w:val="00FE23F0"/>
    <w:rsid w:val="00FE5A5F"/>
    <w:rsid w:val="00FE6EA7"/>
    <w:rsid w:val="00FE7357"/>
    <w:rsid w:val="01B41961"/>
    <w:rsid w:val="057212CF"/>
    <w:rsid w:val="0A384B3E"/>
    <w:rsid w:val="0A5E559E"/>
    <w:rsid w:val="0CE3544F"/>
    <w:rsid w:val="0D146ECC"/>
    <w:rsid w:val="0D94585D"/>
    <w:rsid w:val="0E7C05F5"/>
    <w:rsid w:val="112920F6"/>
    <w:rsid w:val="11600F8C"/>
    <w:rsid w:val="130C4392"/>
    <w:rsid w:val="1527360F"/>
    <w:rsid w:val="15AA65C3"/>
    <w:rsid w:val="18430BA5"/>
    <w:rsid w:val="19506412"/>
    <w:rsid w:val="1A127670"/>
    <w:rsid w:val="1C6A5EE2"/>
    <w:rsid w:val="20460D45"/>
    <w:rsid w:val="20692B75"/>
    <w:rsid w:val="206C46C2"/>
    <w:rsid w:val="22273221"/>
    <w:rsid w:val="27701868"/>
    <w:rsid w:val="278527E0"/>
    <w:rsid w:val="2A175AC9"/>
    <w:rsid w:val="2A672719"/>
    <w:rsid w:val="2CAF6062"/>
    <w:rsid w:val="2D470CD7"/>
    <w:rsid w:val="315C7741"/>
    <w:rsid w:val="31772D05"/>
    <w:rsid w:val="31D61D85"/>
    <w:rsid w:val="34787C09"/>
    <w:rsid w:val="351A4C9F"/>
    <w:rsid w:val="35380BBF"/>
    <w:rsid w:val="359D71DB"/>
    <w:rsid w:val="35C45EAA"/>
    <w:rsid w:val="36F6663C"/>
    <w:rsid w:val="37B76BD5"/>
    <w:rsid w:val="3A3D507A"/>
    <w:rsid w:val="3C5B6ABA"/>
    <w:rsid w:val="3C783EDA"/>
    <w:rsid w:val="3CF457D3"/>
    <w:rsid w:val="3D957BA8"/>
    <w:rsid w:val="3E79553D"/>
    <w:rsid w:val="3FA12FCF"/>
    <w:rsid w:val="41330EEC"/>
    <w:rsid w:val="42E47326"/>
    <w:rsid w:val="454175A3"/>
    <w:rsid w:val="45CB4903"/>
    <w:rsid w:val="471C3104"/>
    <w:rsid w:val="492007D8"/>
    <w:rsid w:val="49B250F5"/>
    <w:rsid w:val="4CBD1C7E"/>
    <w:rsid w:val="4FB55B51"/>
    <w:rsid w:val="50EB6955"/>
    <w:rsid w:val="50FA74D8"/>
    <w:rsid w:val="55CB1115"/>
    <w:rsid w:val="57D21E90"/>
    <w:rsid w:val="57E3056F"/>
    <w:rsid w:val="59A44D82"/>
    <w:rsid w:val="59DD4FFD"/>
    <w:rsid w:val="5D1D6453"/>
    <w:rsid w:val="5DA13918"/>
    <w:rsid w:val="5E573252"/>
    <w:rsid w:val="5F04653A"/>
    <w:rsid w:val="5FE061DD"/>
    <w:rsid w:val="60B77209"/>
    <w:rsid w:val="60C92CD4"/>
    <w:rsid w:val="61266B17"/>
    <w:rsid w:val="64403B24"/>
    <w:rsid w:val="664252A5"/>
    <w:rsid w:val="676747AD"/>
    <w:rsid w:val="678C6A58"/>
    <w:rsid w:val="6A963B9E"/>
    <w:rsid w:val="6BA87917"/>
    <w:rsid w:val="6DDE5690"/>
    <w:rsid w:val="6F411E14"/>
    <w:rsid w:val="704F7345"/>
    <w:rsid w:val="716C6931"/>
    <w:rsid w:val="725635C4"/>
    <w:rsid w:val="75F75DE3"/>
    <w:rsid w:val="76541108"/>
    <w:rsid w:val="7689005C"/>
    <w:rsid w:val="775C50B8"/>
    <w:rsid w:val="78575546"/>
    <w:rsid w:val="7A0A656F"/>
    <w:rsid w:val="7B4038F6"/>
    <w:rsid w:val="7B5752AF"/>
    <w:rsid w:val="7CE50341"/>
    <w:rsid w:val="7E341F64"/>
    <w:rsid w:val="7EE36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51"/>
    <w:qFormat/>
    <w:uiPriority w:val="0"/>
    <w:pPr>
      <w:spacing w:before="340" w:after="330" w:line="360" w:lineRule="auto"/>
      <w:jc w:val="center"/>
      <w:outlineLvl w:val="0"/>
    </w:pPr>
    <w:rPr>
      <w:rFonts w:eastAsia="黑体"/>
      <w:bCs/>
      <w:kern w:val="44"/>
      <w:szCs w:val="44"/>
    </w:rPr>
  </w:style>
  <w:style w:type="paragraph" w:styleId="5">
    <w:name w:val="heading 2"/>
    <w:basedOn w:val="3"/>
    <w:next w:val="4"/>
    <w:link w:val="50"/>
    <w:qFormat/>
    <w:uiPriority w:val="0"/>
    <w:pPr>
      <w:adjustRightInd w:val="0"/>
      <w:jc w:val="center"/>
      <w:outlineLvl w:val="1"/>
    </w:pPr>
    <w:rPr>
      <w:bCs/>
      <w:kern w:val="0"/>
      <w:sz w:val="24"/>
      <w:szCs w:val="20"/>
    </w:rPr>
  </w:style>
  <w:style w:type="paragraph" w:styleId="3">
    <w:name w:val="heading 3"/>
    <w:basedOn w:val="4"/>
    <w:next w:val="1"/>
    <w:link w:val="52"/>
    <w:qFormat/>
    <w:uiPriority w:val="0"/>
    <w:pPr>
      <w:spacing w:before="260" w:after="260" w:line="240" w:lineRule="auto"/>
      <w:outlineLvl w:val="2"/>
    </w:pPr>
    <w:rPr>
      <w:rFonts w:ascii="宋体" w:hAnsi="宋体" w:eastAsia="宋体" w:cs="宋体"/>
      <w:bCs w:val="0"/>
      <w:szCs w:val="32"/>
    </w:rPr>
  </w:style>
  <w:style w:type="paragraph" w:styleId="4">
    <w:name w:val="heading 4"/>
    <w:basedOn w:val="1"/>
    <w:next w:val="1"/>
    <w:link w:val="53"/>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7"/>
    <w:link w:val="54"/>
    <w:qFormat/>
    <w:uiPriority w:val="0"/>
    <w:pPr>
      <w:keepNext/>
      <w:keepLines/>
      <w:spacing w:before="280" w:after="290" w:line="374" w:lineRule="auto"/>
      <w:outlineLvl w:val="4"/>
    </w:pPr>
    <w:rPr>
      <w:b/>
      <w:sz w:val="28"/>
      <w:szCs w:val="20"/>
    </w:rPr>
  </w:style>
  <w:style w:type="paragraph" w:styleId="8">
    <w:name w:val="heading 6"/>
    <w:basedOn w:val="1"/>
    <w:next w:val="7"/>
    <w:link w:val="55"/>
    <w:qFormat/>
    <w:uiPriority w:val="0"/>
    <w:pPr>
      <w:keepNext/>
      <w:keepLines/>
      <w:spacing w:before="240" w:after="64" w:line="319" w:lineRule="auto"/>
      <w:outlineLvl w:val="5"/>
    </w:pPr>
    <w:rPr>
      <w:rFonts w:ascii="Arial" w:hAnsi="Arial" w:eastAsia="黑体"/>
      <w:b/>
      <w:sz w:val="24"/>
      <w:szCs w:val="20"/>
    </w:rPr>
  </w:style>
  <w:style w:type="paragraph" w:styleId="9">
    <w:name w:val="heading 7"/>
    <w:basedOn w:val="1"/>
    <w:next w:val="7"/>
    <w:link w:val="56"/>
    <w:qFormat/>
    <w:uiPriority w:val="0"/>
    <w:pPr>
      <w:keepNext/>
      <w:keepLines/>
      <w:spacing w:before="240" w:after="64" w:line="319" w:lineRule="auto"/>
      <w:outlineLvl w:val="6"/>
    </w:pPr>
    <w:rPr>
      <w:b/>
      <w:sz w:val="24"/>
      <w:szCs w:val="20"/>
    </w:rPr>
  </w:style>
  <w:style w:type="paragraph" w:styleId="10">
    <w:name w:val="heading 8"/>
    <w:basedOn w:val="1"/>
    <w:next w:val="7"/>
    <w:link w:val="57"/>
    <w:qFormat/>
    <w:uiPriority w:val="0"/>
    <w:pPr>
      <w:keepNext/>
      <w:keepLines/>
      <w:spacing w:before="240" w:after="64" w:line="319" w:lineRule="auto"/>
      <w:outlineLvl w:val="7"/>
    </w:pPr>
    <w:rPr>
      <w:rFonts w:ascii="Arial" w:hAnsi="Arial" w:eastAsia="黑体"/>
      <w:sz w:val="24"/>
      <w:szCs w:val="20"/>
    </w:rPr>
  </w:style>
  <w:style w:type="paragraph" w:styleId="11">
    <w:name w:val="heading 9"/>
    <w:basedOn w:val="1"/>
    <w:next w:val="7"/>
    <w:link w:val="58"/>
    <w:qFormat/>
    <w:uiPriority w:val="0"/>
    <w:pPr>
      <w:keepNext/>
      <w:keepLines/>
      <w:spacing w:before="240" w:after="64" w:line="319" w:lineRule="auto"/>
      <w:outlineLvl w:val="8"/>
    </w:pPr>
    <w:rPr>
      <w:rFonts w:ascii="Arial" w:hAnsi="Arial" w:eastAsia="黑体"/>
      <w:szCs w:val="20"/>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0"/>
    <w:qFormat/>
    <w:uiPriority w:val="0"/>
    <w:pPr>
      <w:ind w:firstLine="420"/>
    </w:pPr>
    <w:rPr>
      <w:rFonts w:asciiTheme="minorHAnsi" w:hAnsiTheme="minorHAnsi" w:eastAsiaTheme="minorEastAsia" w:cstheme="minorBidi"/>
      <w:szCs w:val="22"/>
    </w:rPr>
  </w:style>
  <w:style w:type="paragraph" w:styleId="12">
    <w:name w:val="List Bullet"/>
    <w:basedOn w:val="1"/>
    <w:qFormat/>
    <w:uiPriority w:val="0"/>
    <w:pPr>
      <w:tabs>
        <w:tab w:val="left" w:pos="360"/>
      </w:tabs>
      <w:ind w:left="360" w:hanging="360"/>
    </w:pPr>
    <w:rPr>
      <w:szCs w:val="20"/>
    </w:rPr>
  </w:style>
  <w:style w:type="paragraph" w:styleId="13">
    <w:name w:val="Document Map"/>
    <w:basedOn w:val="1"/>
    <w:link w:val="74"/>
    <w:semiHidden/>
    <w:qFormat/>
    <w:uiPriority w:val="0"/>
    <w:pPr>
      <w:shd w:val="clear" w:color="auto" w:fill="000080"/>
    </w:pPr>
  </w:style>
  <w:style w:type="paragraph" w:styleId="14">
    <w:name w:val="annotation text"/>
    <w:basedOn w:val="1"/>
    <w:link w:val="71"/>
    <w:qFormat/>
    <w:uiPriority w:val="99"/>
    <w:pPr>
      <w:jc w:val="left"/>
    </w:pPr>
  </w:style>
  <w:style w:type="paragraph" w:styleId="15">
    <w:name w:val="Body Text 3"/>
    <w:basedOn w:val="1"/>
    <w:link w:val="73"/>
    <w:qFormat/>
    <w:uiPriority w:val="0"/>
    <w:pPr>
      <w:spacing w:after="120"/>
    </w:pPr>
    <w:rPr>
      <w:sz w:val="16"/>
      <w:szCs w:val="16"/>
    </w:rPr>
  </w:style>
  <w:style w:type="paragraph" w:styleId="16">
    <w:name w:val="Body Text"/>
    <w:basedOn w:val="1"/>
    <w:next w:val="17"/>
    <w:link w:val="87"/>
    <w:qFormat/>
    <w:uiPriority w:val="0"/>
    <w:pPr>
      <w:spacing w:line="360" w:lineRule="auto"/>
    </w:pPr>
    <w:rPr>
      <w:b/>
      <w:bCs/>
      <w:sz w:val="24"/>
    </w:rPr>
  </w:style>
  <w:style w:type="paragraph" w:styleId="17">
    <w:name w:val="Body Text 2"/>
    <w:basedOn w:val="1"/>
    <w:link w:val="85"/>
    <w:qFormat/>
    <w:uiPriority w:val="0"/>
    <w:pPr>
      <w:spacing w:line="360" w:lineRule="auto"/>
    </w:pPr>
    <w:rPr>
      <w:sz w:val="24"/>
    </w:rPr>
  </w:style>
  <w:style w:type="paragraph" w:styleId="18">
    <w:name w:val="Body Text Indent"/>
    <w:basedOn w:val="1"/>
    <w:link w:val="83"/>
    <w:qFormat/>
    <w:uiPriority w:val="0"/>
    <w:pPr>
      <w:spacing w:line="360" w:lineRule="auto"/>
      <w:ind w:firstLine="420" w:firstLineChars="200"/>
    </w:pPr>
  </w:style>
  <w:style w:type="paragraph" w:styleId="19">
    <w:name w:val="Plain Text"/>
    <w:basedOn w:val="1"/>
    <w:link w:val="82"/>
    <w:qFormat/>
    <w:uiPriority w:val="0"/>
    <w:rPr>
      <w:rFonts w:ascii="宋体" w:hAnsi="Courier New"/>
      <w:szCs w:val="20"/>
    </w:rPr>
  </w:style>
  <w:style w:type="paragraph" w:styleId="20">
    <w:name w:val="Date"/>
    <w:basedOn w:val="1"/>
    <w:next w:val="1"/>
    <w:link w:val="69"/>
    <w:qFormat/>
    <w:uiPriority w:val="0"/>
    <w:rPr>
      <w:rFonts w:ascii="宋体" w:hAnsi="Courier New"/>
      <w:sz w:val="32"/>
      <w:szCs w:val="20"/>
    </w:rPr>
  </w:style>
  <w:style w:type="paragraph" w:styleId="21">
    <w:name w:val="Body Text Indent 2"/>
    <w:basedOn w:val="1"/>
    <w:link w:val="72"/>
    <w:qFormat/>
    <w:uiPriority w:val="0"/>
    <w:pPr>
      <w:spacing w:beforeLines="50" w:afterLines="50" w:line="120" w:lineRule="auto"/>
      <w:ind w:firstLine="840" w:firstLineChars="400"/>
      <w:jc w:val="left"/>
    </w:pPr>
    <w:rPr>
      <w:rFonts w:ascii="宋体" w:hAnsi="宋体"/>
    </w:rPr>
  </w:style>
  <w:style w:type="paragraph" w:styleId="22">
    <w:name w:val="Balloon Text"/>
    <w:basedOn w:val="1"/>
    <w:link w:val="70"/>
    <w:semiHidden/>
    <w:qFormat/>
    <w:uiPriority w:val="0"/>
    <w:rPr>
      <w:sz w:val="18"/>
      <w:szCs w:val="18"/>
    </w:rPr>
  </w:style>
  <w:style w:type="paragraph" w:styleId="23">
    <w:name w:val="footer"/>
    <w:basedOn w:val="1"/>
    <w:link w:val="86"/>
    <w:qFormat/>
    <w:uiPriority w:val="99"/>
    <w:pPr>
      <w:tabs>
        <w:tab w:val="center" w:pos="4153"/>
        <w:tab w:val="right" w:pos="8306"/>
      </w:tabs>
      <w:snapToGrid w:val="0"/>
      <w:jc w:val="left"/>
    </w:pPr>
    <w:rPr>
      <w:sz w:val="18"/>
      <w:szCs w:val="18"/>
    </w:rPr>
  </w:style>
  <w:style w:type="paragraph" w:styleId="24">
    <w:name w:val="header"/>
    <w:basedOn w:val="1"/>
    <w:link w:val="65"/>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0"/>
    <w:pPr>
      <w:spacing w:before="120" w:after="120"/>
      <w:ind w:firstLine="359" w:firstLineChars="171"/>
      <w:jc w:val="left"/>
    </w:pPr>
    <w:rPr>
      <w:caps/>
    </w:rPr>
  </w:style>
  <w:style w:type="paragraph" w:styleId="26">
    <w:name w:val="Body Text Indent 3"/>
    <w:basedOn w:val="1"/>
    <w:link w:val="79"/>
    <w:qFormat/>
    <w:uiPriority w:val="0"/>
    <w:pPr>
      <w:spacing w:line="360" w:lineRule="auto"/>
      <w:ind w:firstLine="482" w:firstLineChars="200"/>
    </w:pPr>
    <w:rPr>
      <w:rFonts w:ascii="宋体"/>
      <w:b/>
      <w:bCs/>
      <w:sz w:val="24"/>
    </w:rPr>
  </w:style>
  <w:style w:type="paragraph" w:styleId="27">
    <w:name w:val="HTML Preformatted"/>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28">
    <w:name w:val="Normal (Web)"/>
    <w:basedOn w:val="1"/>
    <w:qFormat/>
    <w:uiPriority w:val="0"/>
    <w:rPr>
      <w:sz w:val="24"/>
    </w:rPr>
  </w:style>
  <w:style w:type="paragraph" w:styleId="29">
    <w:name w:val="Title"/>
    <w:basedOn w:val="1"/>
    <w:link w:val="88"/>
    <w:qFormat/>
    <w:uiPriority w:val="0"/>
    <w:pPr>
      <w:spacing w:before="240" w:after="60"/>
      <w:jc w:val="center"/>
      <w:outlineLvl w:val="0"/>
    </w:pPr>
    <w:rPr>
      <w:rFonts w:ascii="Arial" w:hAnsi="Arial" w:eastAsia="隶书" w:cs="Arial"/>
      <w:b/>
      <w:bCs/>
      <w:sz w:val="32"/>
      <w:szCs w:val="32"/>
    </w:rPr>
  </w:style>
  <w:style w:type="paragraph" w:styleId="30">
    <w:name w:val="annotation subject"/>
    <w:basedOn w:val="14"/>
    <w:next w:val="14"/>
    <w:link w:val="80"/>
    <w:semiHidden/>
    <w:qFormat/>
    <w:uiPriority w:val="0"/>
    <w:rPr>
      <w:b/>
      <w:bCs/>
    </w:rPr>
  </w:style>
  <w:style w:type="paragraph" w:styleId="31">
    <w:name w:val="Body Text First Indent 2"/>
    <w:basedOn w:val="18"/>
    <w:qFormat/>
    <w:uiPriority w:val="0"/>
    <w:pPr>
      <w:spacing w:after="120" w:line="240" w:lineRule="auto"/>
      <w:ind w:left="420" w:leftChars="20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bCs/>
    </w:rPr>
  </w:style>
  <w:style w:type="character" w:styleId="36">
    <w:name w:val="page number"/>
    <w:basedOn w:val="34"/>
    <w:qFormat/>
    <w:uiPriority w:val="0"/>
  </w:style>
  <w:style w:type="character" w:styleId="37">
    <w:name w:val="FollowedHyperlink"/>
    <w:qFormat/>
    <w:uiPriority w:val="0"/>
    <w:rPr>
      <w:color w:val="800080"/>
      <w:u w:val="single"/>
    </w:rPr>
  </w:style>
  <w:style w:type="character" w:styleId="38">
    <w:name w:val="Emphasis"/>
    <w:basedOn w:val="34"/>
    <w:qFormat/>
    <w:uiPriority w:val="20"/>
    <w:rPr>
      <w:b/>
      <w:bCs/>
    </w:rPr>
  </w:style>
  <w:style w:type="character" w:styleId="39">
    <w:name w:val="HTML Definition"/>
    <w:basedOn w:val="34"/>
    <w:semiHidden/>
    <w:unhideWhenUsed/>
    <w:uiPriority w:val="99"/>
  </w:style>
  <w:style w:type="character" w:styleId="40">
    <w:name w:val="HTML Typewriter"/>
    <w:basedOn w:val="34"/>
    <w:semiHidden/>
    <w:unhideWhenUsed/>
    <w:uiPriority w:val="99"/>
    <w:rPr>
      <w:rFonts w:hint="default" w:ascii="monospace" w:hAnsi="monospace" w:eastAsia="monospace" w:cs="monospace"/>
      <w:sz w:val="20"/>
    </w:rPr>
  </w:style>
  <w:style w:type="character" w:styleId="41">
    <w:name w:val="HTML Acronym"/>
    <w:basedOn w:val="34"/>
    <w:semiHidden/>
    <w:unhideWhenUsed/>
    <w:uiPriority w:val="99"/>
    <w:rPr>
      <w:bdr w:val="none" w:color="auto" w:sz="0" w:space="0"/>
    </w:rPr>
  </w:style>
  <w:style w:type="character" w:styleId="42">
    <w:name w:val="HTML Variable"/>
    <w:basedOn w:val="34"/>
    <w:semiHidden/>
    <w:unhideWhenUsed/>
    <w:uiPriority w:val="99"/>
    <w:rPr>
      <w:rFonts w:ascii="ActionIcon ! important" w:hAnsi="ActionIcon ! important" w:eastAsia="ActionIcon ! important" w:cs="ActionIcon ! important"/>
      <w:vanish/>
      <w:color w:val="DE2A2A"/>
      <w:sz w:val="24"/>
      <w:szCs w:val="24"/>
    </w:rPr>
  </w:style>
  <w:style w:type="character" w:styleId="43">
    <w:name w:val="Hyperlink"/>
    <w:qFormat/>
    <w:uiPriority w:val="0"/>
    <w:rPr>
      <w:color w:val="0000FF"/>
      <w:u w:val="single"/>
    </w:rPr>
  </w:style>
  <w:style w:type="character" w:styleId="44">
    <w:name w:val="HTML Code"/>
    <w:basedOn w:val="34"/>
    <w:semiHidden/>
    <w:unhideWhenUsed/>
    <w:uiPriority w:val="99"/>
    <w:rPr>
      <w:rFonts w:hint="default" w:ascii="monospace" w:hAnsi="monospace" w:eastAsia="monospace" w:cs="monospace"/>
      <w:sz w:val="20"/>
      <w:bdr w:val="none" w:color="auto" w:sz="0" w:space="0"/>
    </w:rPr>
  </w:style>
  <w:style w:type="character" w:styleId="45">
    <w:name w:val="annotation reference"/>
    <w:basedOn w:val="34"/>
    <w:qFormat/>
    <w:uiPriority w:val="99"/>
    <w:rPr>
      <w:sz w:val="21"/>
      <w:szCs w:val="21"/>
    </w:rPr>
  </w:style>
  <w:style w:type="character" w:styleId="46">
    <w:name w:val="HTML Cite"/>
    <w:basedOn w:val="34"/>
    <w:semiHidden/>
    <w:unhideWhenUsed/>
    <w:uiPriority w:val="99"/>
    <w:rPr>
      <w:bdr w:val="none" w:color="auto" w:sz="0" w:space="0"/>
    </w:rPr>
  </w:style>
  <w:style w:type="character" w:styleId="47">
    <w:name w:val="HTML Keyboard"/>
    <w:basedOn w:val="34"/>
    <w:semiHidden/>
    <w:unhideWhenUsed/>
    <w:uiPriority w:val="99"/>
    <w:rPr>
      <w:rFonts w:ascii="monospace" w:hAnsi="monospace" w:eastAsia="monospace" w:cs="monospace"/>
      <w:sz w:val="20"/>
    </w:rPr>
  </w:style>
  <w:style w:type="character" w:styleId="48">
    <w:name w:val="HTML Sample"/>
    <w:basedOn w:val="34"/>
    <w:semiHidden/>
    <w:unhideWhenUsed/>
    <w:uiPriority w:val="99"/>
    <w:rPr>
      <w:rFonts w:hint="default" w:ascii="monospace" w:hAnsi="monospace" w:eastAsia="monospace" w:cs="monospace"/>
    </w:rPr>
  </w:style>
  <w:style w:type="paragraph" w:styleId="49">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50">
    <w:name w:val="标题 2 Char"/>
    <w:basedOn w:val="34"/>
    <w:link w:val="5"/>
    <w:qFormat/>
    <w:uiPriority w:val="0"/>
    <w:rPr>
      <w:rFonts w:ascii="宋体" w:hAnsi="宋体" w:eastAsia="宋体" w:cs="宋体"/>
      <w:b/>
      <w:bCs/>
      <w:kern w:val="0"/>
      <w:sz w:val="24"/>
      <w:szCs w:val="20"/>
    </w:rPr>
  </w:style>
  <w:style w:type="character" w:customStyle="1" w:styleId="51">
    <w:name w:val="标题 1 Char"/>
    <w:basedOn w:val="34"/>
    <w:link w:val="2"/>
    <w:qFormat/>
    <w:uiPriority w:val="0"/>
    <w:rPr>
      <w:rFonts w:ascii="宋体" w:hAnsi="宋体" w:eastAsia="黑体" w:cs="宋体"/>
      <w:b/>
      <w:bCs/>
      <w:kern w:val="44"/>
      <w:sz w:val="28"/>
      <w:szCs w:val="44"/>
    </w:rPr>
  </w:style>
  <w:style w:type="character" w:customStyle="1" w:styleId="52">
    <w:name w:val="标题 3 Char"/>
    <w:basedOn w:val="34"/>
    <w:link w:val="3"/>
    <w:qFormat/>
    <w:uiPriority w:val="0"/>
    <w:rPr>
      <w:rFonts w:ascii="宋体" w:hAnsi="宋体" w:eastAsia="宋体" w:cs="宋体"/>
      <w:b/>
      <w:sz w:val="28"/>
      <w:szCs w:val="32"/>
    </w:rPr>
  </w:style>
  <w:style w:type="character" w:customStyle="1" w:styleId="53">
    <w:name w:val="标题 4 Char"/>
    <w:basedOn w:val="34"/>
    <w:link w:val="4"/>
    <w:qFormat/>
    <w:uiPriority w:val="0"/>
    <w:rPr>
      <w:rFonts w:ascii="Arial" w:hAnsi="Arial" w:eastAsia="黑体" w:cs="Times New Roman"/>
      <w:b/>
      <w:bCs/>
      <w:sz w:val="28"/>
      <w:szCs w:val="28"/>
    </w:rPr>
  </w:style>
  <w:style w:type="character" w:customStyle="1" w:styleId="54">
    <w:name w:val="标题 5 Char"/>
    <w:basedOn w:val="34"/>
    <w:link w:val="6"/>
    <w:qFormat/>
    <w:uiPriority w:val="0"/>
    <w:rPr>
      <w:rFonts w:ascii="Times New Roman" w:hAnsi="Times New Roman" w:eastAsia="宋体" w:cs="Times New Roman"/>
      <w:b/>
      <w:sz w:val="28"/>
      <w:szCs w:val="20"/>
    </w:rPr>
  </w:style>
  <w:style w:type="character" w:customStyle="1" w:styleId="55">
    <w:name w:val="标题 6 Char"/>
    <w:basedOn w:val="34"/>
    <w:link w:val="8"/>
    <w:qFormat/>
    <w:uiPriority w:val="0"/>
    <w:rPr>
      <w:rFonts w:ascii="Arial" w:hAnsi="Arial" w:eastAsia="黑体" w:cs="Times New Roman"/>
      <w:b/>
      <w:sz w:val="24"/>
      <w:szCs w:val="20"/>
    </w:rPr>
  </w:style>
  <w:style w:type="character" w:customStyle="1" w:styleId="56">
    <w:name w:val="标题 7 Char"/>
    <w:basedOn w:val="34"/>
    <w:link w:val="9"/>
    <w:qFormat/>
    <w:uiPriority w:val="0"/>
    <w:rPr>
      <w:rFonts w:ascii="Times New Roman" w:hAnsi="Times New Roman" w:eastAsia="宋体" w:cs="Times New Roman"/>
      <w:b/>
      <w:sz w:val="24"/>
      <w:szCs w:val="20"/>
    </w:rPr>
  </w:style>
  <w:style w:type="character" w:customStyle="1" w:styleId="57">
    <w:name w:val="标题 8 Char"/>
    <w:basedOn w:val="34"/>
    <w:link w:val="10"/>
    <w:qFormat/>
    <w:uiPriority w:val="0"/>
    <w:rPr>
      <w:rFonts w:ascii="Arial" w:hAnsi="Arial" w:eastAsia="黑体" w:cs="Times New Roman"/>
      <w:sz w:val="24"/>
      <w:szCs w:val="20"/>
    </w:rPr>
  </w:style>
  <w:style w:type="character" w:customStyle="1" w:styleId="58">
    <w:name w:val="标题 9 Char"/>
    <w:basedOn w:val="34"/>
    <w:link w:val="11"/>
    <w:qFormat/>
    <w:uiPriority w:val="0"/>
    <w:rPr>
      <w:rFonts w:ascii="Arial" w:hAnsi="Arial" w:eastAsia="黑体" w:cs="Times New Roman"/>
      <w:szCs w:val="20"/>
    </w:rPr>
  </w:style>
  <w:style w:type="character" w:customStyle="1" w:styleId="59">
    <w:name w:val="标题 3 Char1"/>
    <w:qFormat/>
    <w:uiPriority w:val="0"/>
    <w:rPr>
      <w:rFonts w:hint="eastAsia" w:ascii="宋体" w:hAnsi="宋体" w:eastAsia="宋体" w:cs="Arial"/>
      <w:b/>
      <w:bCs/>
      <w:kern w:val="2"/>
      <w:sz w:val="28"/>
      <w:szCs w:val="32"/>
      <w:lang w:val="en-US" w:eastAsia="zh-CN" w:bidi="ar-SA"/>
    </w:rPr>
  </w:style>
  <w:style w:type="character" w:customStyle="1" w:styleId="60">
    <w:name w:val="正文缩进 Char"/>
    <w:link w:val="7"/>
    <w:qFormat/>
    <w:locked/>
    <w:uiPriority w:val="0"/>
  </w:style>
  <w:style w:type="paragraph" w:customStyle="1" w:styleId="61">
    <w:name w:val="Char5 Char Char Char Char Char Char"/>
    <w:basedOn w:val="1"/>
    <w:qFormat/>
    <w:uiPriority w:val="0"/>
    <w:pPr>
      <w:widowControl/>
      <w:spacing w:after="160" w:line="320" w:lineRule="exact"/>
      <w:ind w:firstLine="480"/>
      <w:jc w:val="center"/>
    </w:pPr>
    <w:rPr>
      <w:rFonts w:ascii="宋体" w:hAnsi="宋体"/>
      <w:kern w:val="0"/>
      <w:sz w:val="24"/>
      <w:lang w:eastAsia="en-US"/>
    </w:rPr>
  </w:style>
  <w:style w:type="paragraph" w:customStyle="1" w:styleId="62">
    <w:name w:val="_Style 33"/>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63">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4">
    <w:name w:val="图"/>
    <w:basedOn w:val="1"/>
    <w:qFormat/>
    <w:uiPriority w:val="0"/>
    <w:pPr>
      <w:keepNext/>
      <w:adjustRightInd w:val="0"/>
      <w:snapToGrid w:val="0"/>
      <w:spacing w:before="60" w:after="60" w:line="300" w:lineRule="auto"/>
      <w:jc w:val="center"/>
    </w:pPr>
    <w:rPr>
      <w:spacing w:val="20"/>
      <w:kern w:val="0"/>
      <w:sz w:val="24"/>
      <w:szCs w:val="20"/>
    </w:rPr>
  </w:style>
  <w:style w:type="character" w:customStyle="1" w:styleId="65">
    <w:name w:val="页眉 Char"/>
    <w:basedOn w:val="34"/>
    <w:link w:val="24"/>
    <w:qFormat/>
    <w:uiPriority w:val="0"/>
    <w:rPr>
      <w:rFonts w:ascii="Times New Roman" w:hAnsi="Times New Roman" w:eastAsia="宋体" w:cs="Times New Roman"/>
      <w:sz w:val="18"/>
      <w:szCs w:val="18"/>
    </w:rPr>
  </w:style>
  <w:style w:type="paragraph" w:customStyle="1" w:styleId="66">
    <w:name w:val="Char Char Char2 Char"/>
    <w:basedOn w:val="1"/>
    <w:qFormat/>
    <w:uiPriority w:val="0"/>
    <w:pPr>
      <w:widowControl/>
      <w:spacing w:after="160" w:line="240" w:lineRule="exact"/>
      <w:jc w:val="left"/>
    </w:pPr>
    <w:rPr>
      <w:rFonts w:ascii="Verdana" w:hAnsi="Verdana"/>
      <w:kern w:val="0"/>
      <w:szCs w:val="20"/>
      <w:lang w:eastAsia="en-US"/>
    </w:rPr>
  </w:style>
  <w:style w:type="paragraph" w:customStyle="1" w:styleId="67">
    <w:name w:val="正文1"/>
    <w:qFormat/>
    <w:uiPriority w:val="0"/>
    <w:pPr>
      <w:widowControl w:val="0"/>
      <w:adjustRightInd w:val="0"/>
      <w:spacing w:line="360" w:lineRule="atLeast"/>
    </w:pPr>
    <w:rPr>
      <w:rFonts w:ascii="宋体" w:hAnsi="Times New Roman" w:eastAsia="宋体" w:cs="Times New Roman"/>
      <w:b/>
      <w:position w:val="-10"/>
      <w:sz w:val="24"/>
      <w:lang w:val="en-US" w:eastAsia="zh-CN" w:bidi="ar-SA"/>
    </w:rPr>
  </w:style>
  <w:style w:type="paragraph" w:customStyle="1" w:styleId="68">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9">
    <w:name w:val="日期 Char"/>
    <w:basedOn w:val="34"/>
    <w:link w:val="20"/>
    <w:qFormat/>
    <w:uiPriority w:val="0"/>
    <w:rPr>
      <w:rFonts w:ascii="宋体" w:hAnsi="Courier New" w:eastAsia="宋体" w:cs="Times New Roman"/>
      <w:sz w:val="32"/>
      <w:szCs w:val="20"/>
    </w:rPr>
  </w:style>
  <w:style w:type="character" w:customStyle="1" w:styleId="70">
    <w:name w:val="批注框文本 Char"/>
    <w:basedOn w:val="34"/>
    <w:link w:val="22"/>
    <w:semiHidden/>
    <w:qFormat/>
    <w:uiPriority w:val="0"/>
    <w:rPr>
      <w:rFonts w:ascii="Times New Roman" w:hAnsi="Times New Roman" w:eastAsia="宋体" w:cs="Times New Roman"/>
      <w:sz w:val="18"/>
      <w:szCs w:val="18"/>
    </w:rPr>
  </w:style>
  <w:style w:type="character" w:customStyle="1" w:styleId="71">
    <w:name w:val="批注文字 Char"/>
    <w:basedOn w:val="34"/>
    <w:link w:val="14"/>
    <w:qFormat/>
    <w:uiPriority w:val="99"/>
    <w:rPr>
      <w:rFonts w:ascii="Times New Roman" w:hAnsi="Times New Roman" w:eastAsia="宋体" w:cs="Times New Roman"/>
      <w:szCs w:val="24"/>
    </w:rPr>
  </w:style>
  <w:style w:type="character" w:customStyle="1" w:styleId="72">
    <w:name w:val="正文文本缩进 2 Char"/>
    <w:basedOn w:val="34"/>
    <w:link w:val="21"/>
    <w:qFormat/>
    <w:uiPriority w:val="0"/>
    <w:rPr>
      <w:rFonts w:ascii="宋体" w:hAnsi="宋体" w:eastAsia="宋体" w:cs="Times New Roman"/>
      <w:szCs w:val="24"/>
    </w:rPr>
  </w:style>
  <w:style w:type="character" w:customStyle="1" w:styleId="73">
    <w:name w:val="正文文本 3 Char"/>
    <w:basedOn w:val="34"/>
    <w:link w:val="15"/>
    <w:qFormat/>
    <w:uiPriority w:val="0"/>
    <w:rPr>
      <w:rFonts w:ascii="Times New Roman" w:hAnsi="Times New Roman" w:eastAsia="宋体" w:cs="Times New Roman"/>
      <w:sz w:val="16"/>
      <w:szCs w:val="16"/>
    </w:rPr>
  </w:style>
  <w:style w:type="character" w:customStyle="1" w:styleId="74">
    <w:name w:val="文档结构图 Char"/>
    <w:basedOn w:val="34"/>
    <w:link w:val="13"/>
    <w:semiHidden/>
    <w:qFormat/>
    <w:uiPriority w:val="0"/>
    <w:rPr>
      <w:rFonts w:ascii="Times New Roman" w:hAnsi="Times New Roman" w:eastAsia="宋体" w:cs="Times New Roman"/>
      <w:szCs w:val="24"/>
      <w:shd w:val="clear" w:color="auto" w:fill="000080"/>
    </w:rPr>
  </w:style>
  <w:style w:type="paragraph" w:customStyle="1" w:styleId="75">
    <w:name w:val="列出段落1"/>
    <w:basedOn w:val="1"/>
    <w:qFormat/>
    <w:uiPriority w:val="0"/>
    <w:pPr>
      <w:ind w:firstLine="420" w:firstLineChars="200"/>
    </w:pPr>
    <w:rPr>
      <w:rFonts w:ascii="Calibri" w:hAnsi="Calibri"/>
      <w:szCs w:val="22"/>
    </w:rPr>
  </w:style>
  <w:style w:type="paragraph" w:customStyle="1" w:styleId="76">
    <w:name w:val="_Style 331"/>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77">
    <w:name w:val="样式3"/>
    <w:basedOn w:val="16"/>
    <w:qFormat/>
    <w:uiPriority w:val="0"/>
    <w:pPr>
      <w:spacing w:after="120"/>
    </w:pPr>
    <w:rPr>
      <w:rFonts w:ascii="宋体"/>
      <w:b w:val="0"/>
      <w:bCs w:val="0"/>
      <w:sz w:val="21"/>
    </w:rPr>
  </w:style>
  <w:style w:type="character" w:customStyle="1" w:styleId="78">
    <w:name w:val="HTML 预设格式 Char"/>
    <w:basedOn w:val="34"/>
    <w:link w:val="27"/>
    <w:qFormat/>
    <w:uiPriority w:val="0"/>
    <w:rPr>
      <w:rFonts w:ascii="Arial Unicode MS" w:hAnsi="Arial Unicode MS" w:eastAsia="Arial Unicode MS" w:cs="Times New Roman"/>
      <w:color w:val="000000"/>
      <w:kern w:val="0"/>
      <w:sz w:val="20"/>
      <w:szCs w:val="20"/>
    </w:rPr>
  </w:style>
  <w:style w:type="character" w:customStyle="1" w:styleId="79">
    <w:name w:val="正文文本缩进 3 Char"/>
    <w:basedOn w:val="34"/>
    <w:link w:val="26"/>
    <w:qFormat/>
    <w:uiPriority w:val="0"/>
    <w:rPr>
      <w:rFonts w:ascii="宋体" w:hAnsi="Times New Roman" w:eastAsia="宋体" w:cs="Times New Roman"/>
      <w:b/>
      <w:bCs/>
      <w:sz w:val="24"/>
      <w:szCs w:val="24"/>
    </w:rPr>
  </w:style>
  <w:style w:type="character" w:customStyle="1" w:styleId="80">
    <w:name w:val="批注主题 Char"/>
    <w:basedOn w:val="71"/>
    <w:link w:val="30"/>
    <w:semiHidden/>
    <w:qFormat/>
    <w:uiPriority w:val="0"/>
    <w:rPr>
      <w:rFonts w:ascii="Times New Roman" w:hAnsi="Times New Roman" w:eastAsia="宋体" w:cs="Times New Roman"/>
      <w:b/>
      <w:bCs/>
      <w:szCs w:val="24"/>
    </w:rPr>
  </w:style>
  <w:style w:type="paragraph" w:customStyle="1" w:styleId="81">
    <w:name w:val="默认段落字体 Para Char Char Char Char Char Char Char"/>
    <w:basedOn w:val="1"/>
    <w:qFormat/>
    <w:uiPriority w:val="0"/>
    <w:pPr>
      <w:adjustRightInd w:val="0"/>
      <w:spacing w:line="360" w:lineRule="auto"/>
    </w:pPr>
    <w:rPr>
      <w:kern w:val="0"/>
      <w:sz w:val="24"/>
      <w:szCs w:val="20"/>
    </w:rPr>
  </w:style>
  <w:style w:type="character" w:customStyle="1" w:styleId="82">
    <w:name w:val="纯文本 Char"/>
    <w:basedOn w:val="34"/>
    <w:link w:val="19"/>
    <w:qFormat/>
    <w:uiPriority w:val="0"/>
    <w:rPr>
      <w:rFonts w:ascii="宋体" w:hAnsi="Courier New" w:eastAsia="宋体" w:cs="Times New Roman"/>
      <w:szCs w:val="20"/>
    </w:rPr>
  </w:style>
  <w:style w:type="character" w:customStyle="1" w:styleId="83">
    <w:name w:val="正文文本缩进 Char"/>
    <w:basedOn w:val="34"/>
    <w:link w:val="18"/>
    <w:qFormat/>
    <w:uiPriority w:val="0"/>
    <w:rPr>
      <w:rFonts w:ascii="Times New Roman" w:hAnsi="Times New Roman" w:eastAsia="宋体" w:cs="Times New Roman"/>
      <w:szCs w:val="24"/>
    </w:rPr>
  </w:style>
  <w:style w:type="paragraph" w:customStyle="1" w:styleId="84">
    <w:name w:val="无间隔1"/>
    <w:qFormat/>
    <w:uiPriority w:val="0"/>
    <w:pPr>
      <w:adjustRightInd w:val="0"/>
      <w:snapToGrid w:val="0"/>
    </w:pPr>
    <w:rPr>
      <w:rFonts w:ascii="Tahoma" w:hAnsi="Tahoma" w:eastAsia="微软雅黑" w:cs="Tahoma"/>
      <w:sz w:val="22"/>
      <w:szCs w:val="22"/>
      <w:lang w:val="en-US" w:eastAsia="zh-CN" w:bidi="ar-SA"/>
    </w:rPr>
  </w:style>
  <w:style w:type="character" w:customStyle="1" w:styleId="85">
    <w:name w:val="正文文本 2 Char"/>
    <w:basedOn w:val="34"/>
    <w:link w:val="17"/>
    <w:qFormat/>
    <w:uiPriority w:val="0"/>
    <w:rPr>
      <w:rFonts w:ascii="Times New Roman" w:hAnsi="Times New Roman" w:eastAsia="宋体" w:cs="Times New Roman"/>
      <w:sz w:val="24"/>
      <w:szCs w:val="24"/>
    </w:rPr>
  </w:style>
  <w:style w:type="character" w:customStyle="1" w:styleId="86">
    <w:name w:val="页脚 Char"/>
    <w:basedOn w:val="34"/>
    <w:link w:val="23"/>
    <w:qFormat/>
    <w:uiPriority w:val="99"/>
    <w:rPr>
      <w:rFonts w:ascii="Times New Roman" w:hAnsi="Times New Roman" w:eastAsia="宋体" w:cs="Times New Roman"/>
      <w:sz w:val="18"/>
      <w:szCs w:val="18"/>
    </w:rPr>
  </w:style>
  <w:style w:type="character" w:customStyle="1" w:styleId="87">
    <w:name w:val="正文文本 Char"/>
    <w:basedOn w:val="34"/>
    <w:link w:val="16"/>
    <w:qFormat/>
    <w:uiPriority w:val="0"/>
    <w:rPr>
      <w:rFonts w:ascii="Times New Roman" w:hAnsi="Times New Roman" w:eastAsia="宋体" w:cs="Times New Roman"/>
      <w:b/>
      <w:bCs/>
      <w:sz w:val="24"/>
      <w:szCs w:val="24"/>
    </w:rPr>
  </w:style>
  <w:style w:type="character" w:customStyle="1" w:styleId="88">
    <w:name w:val="标题 Char"/>
    <w:basedOn w:val="34"/>
    <w:link w:val="29"/>
    <w:qFormat/>
    <w:uiPriority w:val="0"/>
    <w:rPr>
      <w:rFonts w:ascii="Arial" w:hAnsi="Arial" w:eastAsia="隶书" w:cs="Arial"/>
      <w:b/>
      <w:bCs/>
      <w:sz w:val="32"/>
      <w:szCs w:val="32"/>
    </w:rPr>
  </w:style>
  <w:style w:type="paragraph" w:customStyle="1" w:styleId="89">
    <w:name w:val="样式41"/>
    <w:basedOn w:val="1"/>
    <w:qFormat/>
    <w:uiPriority w:val="0"/>
    <w:pPr>
      <w:tabs>
        <w:tab w:val="left" w:pos="420"/>
        <w:tab w:val="left" w:pos="945"/>
      </w:tabs>
      <w:spacing w:line="360" w:lineRule="auto"/>
      <w:ind w:left="420" w:hanging="420"/>
    </w:pPr>
    <w:rPr>
      <w:b/>
      <w:color w:val="000000"/>
      <w:sz w:val="24"/>
      <w:szCs w:val="20"/>
    </w:rPr>
  </w:style>
  <w:style w:type="paragraph" w:customStyle="1" w:styleId="90">
    <w:name w:val="文档正文"/>
    <w:basedOn w:val="1"/>
    <w:qFormat/>
    <w:uiPriority w:val="0"/>
    <w:pPr>
      <w:adjustRightInd w:val="0"/>
      <w:spacing w:line="480" w:lineRule="atLeast"/>
      <w:ind w:firstLine="567" w:firstLineChars="200"/>
    </w:pPr>
    <w:rPr>
      <w:rFonts w:ascii="长城仿宋"/>
      <w:kern w:val="0"/>
      <w:szCs w:val="20"/>
    </w:rPr>
  </w:style>
  <w:style w:type="paragraph" w:styleId="91">
    <w:name w:val="List Paragraph"/>
    <w:basedOn w:val="1"/>
    <w:qFormat/>
    <w:uiPriority w:val="34"/>
    <w:pPr>
      <w:ind w:firstLine="420" w:firstLineChars="200"/>
    </w:pPr>
  </w:style>
  <w:style w:type="character" w:customStyle="1" w:styleId="92">
    <w:name w:val="批注文字 Char1"/>
    <w:basedOn w:val="34"/>
    <w:semiHidden/>
    <w:qFormat/>
    <w:uiPriority w:val="99"/>
    <w:rPr>
      <w:rFonts w:ascii="Times New Roman" w:hAnsi="Times New Roman" w:eastAsia="宋体" w:cs="Times New Roman"/>
      <w:szCs w:val="24"/>
    </w:rPr>
  </w:style>
  <w:style w:type="paragraph" w:customStyle="1" w:styleId="93">
    <w:name w:val="修订1"/>
    <w:hidden/>
    <w:unhideWhenUsed/>
    <w:qFormat/>
    <w:uiPriority w:val="99"/>
    <w:rPr>
      <w:rFonts w:ascii="Times New Roman" w:hAnsi="Times New Roman" w:eastAsia="宋体" w:cs="Times New Roman"/>
      <w:kern w:val="2"/>
      <w:sz w:val="21"/>
      <w:szCs w:val="24"/>
      <w:lang w:val="en-US" w:eastAsia="zh-CN" w:bidi="ar-SA"/>
    </w:rPr>
  </w:style>
  <w:style w:type="table" w:customStyle="1" w:styleId="94">
    <w:name w:val="网格型1"/>
    <w:basedOn w:val="32"/>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5">
    <w:name w:val="网格型2"/>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
    <w:name w:val="网格型11"/>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
    <w:name w:val="网格型3"/>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8">
    <w:name w:val="fontstyle01"/>
    <w:basedOn w:val="34"/>
    <w:qFormat/>
    <w:uiPriority w:val="0"/>
    <w:rPr>
      <w:rFonts w:ascii="仿宋_GB2312" w:eastAsia="仿宋_GB2312" w:cs="仿宋_GB2312"/>
      <w:color w:val="000000"/>
      <w:sz w:val="32"/>
      <w:szCs w:val="32"/>
    </w:rPr>
  </w:style>
  <w:style w:type="character" w:customStyle="1" w:styleId="99">
    <w:name w:val="hover"/>
    <w:basedOn w:val="34"/>
    <w:uiPriority w:val="0"/>
    <w:rPr>
      <w:bdr w:val="none" w:color="AFD1EE" w:sz="0" w:space="0"/>
    </w:rPr>
  </w:style>
  <w:style w:type="character" w:customStyle="1" w:styleId="100">
    <w:name w:val="hover1"/>
    <w:basedOn w:val="34"/>
    <w:uiPriority w:val="0"/>
    <w:rPr>
      <w:color w:val="2590EB"/>
      <w:shd w:val="clear" w:fill="E9F4FD"/>
    </w:rPr>
  </w:style>
  <w:style w:type="character" w:customStyle="1" w:styleId="101">
    <w:name w:val="hover2"/>
    <w:basedOn w:val="34"/>
    <w:uiPriority w:val="0"/>
    <w:rPr>
      <w:color w:val="2590EB"/>
    </w:rPr>
  </w:style>
  <w:style w:type="character" w:customStyle="1" w:styleId="102">
    <w:name w:val="hover3"/>
    <w:basedOn w:val="34"/>
    <w:uiPriority w:val="0"/>
    <w:rPr>
      <w:color w:val="2590E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44</Pages>
  <Words>18276</Words>
  <Characters>19285</Characters>
  <Lines>202</Lines>
  <Paragraphs>56</Paragraphs>
  <TotalTime>0</TotalTime>
  <ScaleCrop>false</ScaleCrop>
  <LinksUpToDate>false</LinksUpToDate>
  <CharactersWithSpaces>19640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2022-01-17T03:41:00Z</dcterms:created>
  <dc:creator>陈思成</dc:creator>
  <cp:lastModifiedBy>桑旭</cp:lastModifiedBy>
  <cp:lastPrinted>2022-01-18T03:04:00Z</cp:lastPrinted>
  <dcterms:modified xsi:type="dcterms:W3CDTF">2026-07-24T09:02:43Z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FB71F467A8494F7AA94363381FCB9668_13</vt:lpwstr>
  </property>
  <property fmtid="{D5CDD505-2E9C-101B-9397-08002B2CF9AE}" pid="4" name="KSOTemplateDocerSaveRecord">
    <vt:lpwstr>eyJoZGlkIjoiNDhhYjRlMTlkOWU5MGMyZjJiODNjMGQ4MzIzZTk2YjUiLCJ1c2VySWQiOiIxNTQ2MDUxMjc5In0=</vt:lpwstr>
  </property>
</Properties>
</file>