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F51FB">
      <w:pPr>
        <w:jc w:val="center"/>
        <w:rPr>
          <w:rFonts w:hint="eastAsia" w:ascii="黑体" w:eastAsia="黑体"/>
          <w:b/>
          <w:bCs/>
          <w:sz w:val="44"/>
          <w:szCs w:val="44"/>
          <w:lang w:val="en-GB"/>
        </w:rPr>
      </w:pPr>
      <w:r>
        <w:rPr>
          <w:rFonts w:hint="eastAsia" w:ascii="黑体" w:eastAsia="黑体"/>
          <w:b/>
          <w:bCs/>
          <w:sz w:val="44"/>
          <w:szCs w:val="44"/>
          <w:lang w:val="en-GB"/>
        </w:rPr>
        <w:t>补充协议</w:t>
      </w:r>
    </w:p>
    <w:p w14:paraId="1CCCE492">
      <w:pPr>
        <w:spacing w:line="440" w:lineRule="exact"/>
        <w:ind w:firstLine="5700" w:firstLineChars="1900"/>
        <w:rPr>
          <w:rFonts w:hint="eastAsia" w:ascii="仿宋_GB2312" w:hAnsi="Gungsuh" w:eastAsia="仿宋_GB2312"/>
          <w:sz w:val="30"/>
          <w:szCs w:val="30"/>
          <w:lang w:val="en-GB"/>
        </w:rPr>
      </w:pPr>
    </w:p>
    <w:p w14:paraId="0249E1EE">
      <w:pPr>
        <w:spacing w:line="440" w:lineRule="exact"/>
        <w:ind w:firstLine="2100" w:firstLineChars="700"/>
        <w:jc w:val="right"/>
        <w:rPr>
          <w:rFonts w:hint="eastAsia" w:ascii="仿宋" w:hAnsi="仿宋" w:eastAsia="仿宋"/>
          <w:sz w:val="30"/>
          <w:szCs w:val="30"/>
          <w:u w:val="single"/>
          <w:lang w:val="en-GB"/>
        </w:rPr>
      </w:pPr>
      <w:r>
        <w:rPr>
          <w:rFonts w:hint="eastAsia" w:ascii="仿宋" w:hAnsi="仿宋" w:eastAsia="仿宋"/>
          <w:sz w:val="30"/>
          <w:szCs w:val="30"/>
          <w:lang w:val="en-GB"/>
        </w:rPr>
        <w:t>合同编号</w:t>
      </w:r>
      <w:r>
        <w:rPr>
          <w:rFonts w:hint="eastAsia" w:ascii="仿宋" w:hAnsi="仿宋" w:eastAsia="仿宋"/>
          <w:sz w:val="30"/>
          <w:szCs w:val="30"/>
          <w:lang w:val="en-GB" w:eastAsia="zh-CN"/>
        </w:rPr>
        <w:t>：</w:t>
      </w:r>
      <w:r>
        <w:rPr>
          <w:rFonts w:hint="eastAsia" w:ascii="仿宋" w:hAnsi="仿宋" w:eastAsia="仿宋"/>
          <w:sz w:val="30"/>
          <w:szCs w:val="30"/>
          <w:u w:val="single"/>
          <w:lang w:val="en-US" w:eastAsia="zh-CN"/>
        </w:rPr>
        <w:t>202605-02</w:t>
      </w:r>
    </w:p>
    <w:p w14:paraId="5856651E">
      <w:pPr>
        <w:spacing w:line="440" w:lineRule="exact"/>
        <w:rPr>
          <w:rFonts w:hint="eastAsia" w:ascii="仿宋_GB2312" w:hAnsi="Gungsuh" w:eastAsia="仿宋_GB2312"/>
          <w:b/>
          <w:sz w:val="30"/>
          <w:szCs w:val="30"/>
          <w:lang w:val="en-GB"/>
        </w:rPr>
      </w:pPr>
    </w:p>
    <w:p w14:paraId="3DB38791">
      <w:pPr>
        <w:spacing w:line="440" w:lineRule="exact"/>
        <w:rPr>
          <w:rFonts w:hint="eastAsia" w:ascii="仿宋_GB2312" w:hAnsi="Gungsuh" w:eastAsia="仿宋_GB2312"/>
          <w:sz w:val="30"/>
          <w:szCs w:val="30"/>
          <w:lang w:val="en-GB"/>
        </w:rPr>
      </w:pPr>
      <w:r>
        <w:rPr>
          <w:rFonts w:hint="eastAsia" w:ascii="仿宋_GB2312" w:hAnsi="Gungsuh" w:eastAsia="仿宋_GB2312"/>
          <w:b/>
          <w:sz w:val="30"/>
          <w:szCs w:val="30"/>
          <w:lang w:val="en-GB"/>
        </w:rPr>
        <w:t>甲方：</w:t>
      </w:r>
      <w:r>
        <w:rPr>
          <w:rFonts w:hint="eastAsia" w:ascii="仿宋_GB2312" w:hAnsi="Gungsuh" w:eastAsia="仿宋_GB2312"/>
          <w:sz w:val="30"/>
          <w:szCs w:val="30"/>
          <w:u w:val="single"/>
          <w:lang w:val="en-GB"/>
        </w:rPr>
        <w:t xml:space="preserve"> </w:t>
      </w:r>
      <w:r>
        <w:rPr>
          <w:rFonts w:hint="eastAsia" w:ascii="仿宋_GB2312" w:hAnsi="Gungsuh" w:eastAsia="仿宋_GB2312"/>
          <w:sz w:val="30"/>
          <w:szCs w:val="30"/>
          <w:u w:val="single"/>
          <w:lang w:val="en-GB" w:eastAsia="zh-CN"/>
        </w:rPr>
        <w:t>深圳市南山区公园管理中心</w:t>
      </w:r>
      <w:r>
        <w:rPr>
          <w:rFonts w:hint="eastAsia" w:ascii="仿宋_GB2312" w:hAnsi="Gungsuh" w:eastAsia="仿宋_GB2312"/>
          <w:sz w:val="30"/>
          <w:szCs w:val="30"/>
          <w:u w:val="single"/>
          <w:lang w:val="en-GB"/>
        </w:rPr>
        <w:t xml:space="preserve">                                     </w:t>
      </w:r>
    </w:p>
    <w:p w14:paraId="05AB19EE">
      <w:pPr>
        <w:spacing w:line="440" w:lineRule="exact"/>
        <w:ind w:firstLine="600" w:firstLineChars="200"/>
        <w:rPr>
          <w:rFonts w:hint="eastAsia" w:ascii="仿宋_GB2312" w:hAnsi="Gungsuh" w:eastAsia="仿宋_GB2312"/>
          <w:sz w:val="30"/>
          <w:szCs w:val="30"/>
          <w:lang w:val="en-GB"/>
        </w:rPr>
      </w:pPr>
      <w:r>
        <w:rPr>
          <w:rFonts w:hint="eastAsia" w:ascii="仿宋_GB2312" w:hAnsi="Gungsuh" w:eastAsia="仿宋_GB2312"/>
          <w:sz w:val="30"/>
          <w:szCs w:val="30"/>
          <w:lang w:val="en-GB"/>
        </w:rPr>
        <w:t>法定代表人（负责人）：</w:t>
      </w:r>
      <w:r>
        <w:rPr>
          <w:rFonts w:hint="eastAsia" w:ascii="仿宋_GB2312" w:hAnsi="Gungsuh" w:eastAsia="仿宋_GB2312"/>
          <w:sz w:val="30"/>
          <w:szCs w:val="30"/>
          <w:u w:val="single"/>
          <w:lang w:val="en-GB"/>
        </w:rPr>
        <w:t xml:space="preserve">  </w:t>
      </w:r>
      <w:r>
        <w:rPr>
          <w:rFonts w:hint="eastAsia" w:ascii="仿宋_GB2312" w:hAnsi="Gungsuh" w:eastAsia="仿宋_GB2312"/>
          <w:sz w:val="30"/>
          <w:szCs w:val="30"/>
          <w:u w:val="single"/>
          <w:lang w:val="en-GB" w:eastAsia="zh-CN"/>
        </w:rPr>
        <w:t>温洁</w:t>
      </w:r>
      <w:r>
        <w:rPr>
          <w:rFonts w:hint="eastAsia" w:ascii="仿宋_GB2312" w:hAnsi="Gungsuh" w:eastAsia="仿宋_GB2312"/>
          <w:sz w:val="30"/>
          <w:szCs w:val="30"/>
          <w:u w:val="single"/>
          <w:lang w:val="en-GB"/>
        </w:rPr>
        <w:t xml:space="preserve">                            </w:t>
      </w:r>
    </w:p>
    <w:p w14:paraId="1528C051">
      <w:pPr>
        <w:spacing w:line="440" w:lineRule="exact"/>
        <w:rPr>
          <w:rFonts w:hint="eastAsia" w:ascii="仿宋_GB2312" w:hAnsi="Gungsuh" w:eastAsia="仿宋_GB2312"/>
          <w:sz w:val="30"/>
          <w:szCs w:val="30"/>
          <w:lang w:val="en-GB"/>
        </w:rPr>
      </w:pPr>
      <w:r>
        <w:rPr>
          <w:rFonts w:hint="eastAsia" w:ascii="仿宋_GB2312" w:hAnsi="Gungsuh" w:eastAsia="仿宋_GB2312"/>
          <w:sz w:val="30"/>
          <w:szCs w:val="30"/>
          <w:lang w:val="en-GB"/>
        </w:rPr>
        <w:t xml:space="preserve">    地址：</w:t>
      </w:r>
      <w:r>
        <w:rPr>
          <w:rFonts w:hint="eastAsia" w:ascii="仿宋_GB2312" w:hAnsi="Gungsuh" w:eastAsia="仿宋_GB2312"/>
          <w:sz w:val="30"/>
          <w:szCs w:val="30"/>
          <w:u w:val="single"/>
          <w:lang w:val="en-GB"/>
        </w:rPr>
        <w:t xml:space="preserve">  </w:t>
      </w:r>
      <w:r>
        <w:rPr>
          <w:rFonts w:hint="eastAsia" w:ascii="仿宋" w:hAnsi="仿宋" w:eastAsia="仿宋" w:cs="仿宋"/>
          <w:bCs/>
          <w:sz w:val="28"/>
          <w:szCs w:val="28"/>
          <w:u w:val="single"/>
        </w:rPr>
        <w:t>深圳市南山区南头街道南光路2</w:t>
      </w:r>
      <w:r>
        <w:rPr>
          <w:rFonts w:ascii="仿宋" w:hAnsi="仿宋" w:eastAsia="仿宋" w:cs="仿宋"/>
          <w:bCs/>
          <w:sz w:val="28"/>
          <w:szCs w:val="28"/>
          <w:u w:val="single"/>
        </w:rPr>
        <w:t>88号</w:t>
      </w:r>
      <w:r>
        <w:rPr>
          <w:rFonts w:hint="eastAsia" w:ascii="仿宋_GB2312" w:hAnsi="Gungsuh" w:eastAsia="仿宋_GB2312"/>
          <w:sz w:val="30"/>
          <w:szCs w:val="30"/>
          <w:u w:val="single"/>
          <w:lang w:val="en-GB"/>
        </w:rPr>
        <w:t xml:space="preserve">                                           </w:t>
      </w:r>
    </w:p>
    <w:p w14:paraId="7769FE9B">
      <w:pPr>
        <w:spacing w:line="440" w:lineRule="exact"/>
        <w:rPr>
          <w:rFonts w:hint="eastAsia" w:ascii="仿宋_GB2312" w:hAnsi="Gungsuh" w:eastAsia="仿宋_GB2312"/>
          <w:sz w:val="30"/>
          <w:szCs w:val="30"/>
          <w:lang w:val="en-GB"/>
        </w:rPr>
      </w:pPr>
      <w:r>
        <w:rPr>
          <w:rFonts w:hint="eastAsia" w:ascii="仿宋_GB2312" w:hAnsi="Gungsuh" w:eastAsia="仿宋_GB2312"/>
          <w:sz w:val="30"/>
          <w:szCs w:val="30"/>
          <w:lang w:val="en-GB"/>
        </w:rPr>
        <w:t xml:space="preserve">    电话：</w:t>
      </w:r>
      <w:r>
        <w:rPr>
          <w:rFonts w:hint="eastAsia" w:ascii="仿宋_GB2312" w:hAnsi="Gungsuh" w:eastAsia="仿宋_GB2312"/>
          <w:sz w:val="30"/>
          <w:szCs w:val="30"/>
          <w:u w:val="single"/>
          <w:lang w:val="en-GB"/>
        </w:rPr>
        <w:t xml:space="preserve">   </w:t>
      </w:r>
      <w:r>
        <w:rPr>
          <w:rFonts w:hint="eastAsia" w:ascii="仿宋_GB2312" w:hAnsi="Gungsuh" w:eastAsia="仿宋_GB2312"/>
          <w:sz w:val="30"/>
          <w:szCs w:val="30"/>
          <w:u w:val="single"/>
        </w:rPr>
        <w:t>0755-86566172</w:t>
      </w:r>
      <w:r>
        <w:rPr>
          <w:rFonts w:hint="eastAsia" w:ascii="仿宋_GB2312" w:hAnsi="Gungsuh" w:eastAsia="仿宋_GB2312"/>
          <w:sz w:val="30"/>
          <w:szCs w:val="30"/>
          <w:u w:val="single"/>
          <w:lang w:val="en-GB"/>
        </w:rPr>
        <w:t xml:space="preserve">                                          </w:t>
      </w:r>
    </w:p>
    <w:p w14:paraId="6E83F8F7">
      <w:pPr>
        <w:spacing w:line="440" w:lineRule="exact"/>
        <w:rPr>
          <w:rFonts w:hint="eastAsia" w:ascii="仿宋_GB2312" w:hAnsi="Gungsuh" w:eastAsia="仿宋_GB2312"/>
          <w:sz w:val="30"/>
          <w:szCs w:val="30"/>
          <w:lang w:val="en-GB"/>
        </w:rPr>
      </w:pPr>
      <w:r>
        <w:rPr>
          <w:rFonts w:hint="eastAsia" w:ascii="仿宋_GB2312" w:hAnsi="Gungsuh" w:eastAsia="仿宋_GB2312"/>
          <w:sz w:val="30"/>
          <w:szCs w:val="30"/>
          <w:lang w:val="en-GB"/>
        </w:rPr>
        <w:t xml:space="preserve">  </w:t>
      </w:r>
    </w:p>
    <w:p w14:paraId="567B792B">
      <w:pPr>
        <w:spacing w:line="440" w:lineRule="exact"/>
        <w:rPr>
          <w:rFonts w:hint="eastAsia" w:ascii="仿宋_GB2312" w:hAnsi="Gungsuh" w:eastAsia="仿宋_GB2312"/>
          <w:sz w:val="30"/>
          <w:szCs w:val="30"/>
          <w:lang w:val="en-GB"/>
        </w:rPr>
      </w:pPr>
      <w:r>
        <w:rPr>
          <w:rFonts w:hint="eastAsia" w:ascii="仿宋_GB2312" w:hAnsi="Gungsuh" w:eastAsia="仿宋_GB2312"/>
          <w:b/>
          <w:sz w:val="30"/>
          <w:szCs w:val="30"/>
          <w:lang w:val="en-GB"/>
        </w:rPr>
        <w:t>乙方：</w:t>
      </w:r>
      <w:r>
        <w:rPr>
          <w:rFonts w:hint="eastAsia" w:ascii="仿宋_GB2312" w:hAnsi="Gungsuh" w:eastAsia="仿宋_GB2312"/>
          <w:sz w:val="30"/>
          <w:szCs w:val="30"/>
          <w:u w:val="single"/>
          <w:lang w:val="en-GB"/>
        </w:rPr>
        <w:t xml:space="preserve">  </w:t>
      </w:r>
      <w:r>
        <w:rPr>
          <w:rFonts w:hint="eastAsia" w:ascii="仿宋_GB2312" w:hAnsi="Gungsuh" w:eastAsia="仿宋_GB2312"/>
          <w:sz w:val="30"/>
          <w:szCs w:val="30"/>
          <w:u w:val="single"/>
          <w:lang w:val="en-GB" w:eastAsia="zh-CN"/>
        </w:rPr>
        <w:t>润加物业服务（深圳）有限公司</w:t>
      </w:r>
      <w:r>
        <w:rPr>
          <w:rFonts w:hint="eastAsia" w:ascii="仿宋_GB2312" w:hAnsi="Gungsuh" w:eastAsia="仿宋_GB2312"/>
          <w:sz w:val="30"/>
          <w:szCs w:val="30"/>
          <w:u w:val="single"/>
          <w:lang w:val="en-GB"/>
        </w:rPr>
        <w:t xml:space="preserve">                                    </w:t>
      </w:r>
    </w:p>
    <w:p w14:paraId="28A76A01">
      <w:pPr>
        <w:spacing w:line="440" w:lineRule="exact"/>
        <w:ind w:firstLine="600" w:firstLineChars="200"/>
        <w:rPr>
          <w:rFonts w:hint="eastAsia" w:ascii="仿宋_GB2312" w:hAnsi="Gungsuh" w:eastAsia="仿宋_GB2312"/>
          <w:sz w:val="30"/>
          <w:szCs w:val="30"/>
          <w:lang w:val="en-GB"/>
        </w:rPr>
      </w:pPr>
      <w:r>
        <w:rPr>
          <w:rFonts w:hint="eastAsia" w:ascii="仿宋_GB2312" w:hAnsi="Gungsuh" w:eastAsia="仿宋_GB2312"/>
          <w:sz w:val="30"/>
          <w:szCs w:val="30"/>
          <w:lang w:val="en-GB"/>
        </w:rPr>
        <w:t>法定代表人（负责人）：</w:t>
      </w:r>
      <w:r>
        <w:rPr>
          <w:rFonts w:hint="eastAsia" w:ascii="仿宋_GB2312" w:hAnsi="Gungsuh" w:eastAsia="仿宋_GB2312"/>
          <w:sz w:val="30"/>
          <w:szCs w:val="30"/>
          <w:u w:val="single"/>
          <w:lang w:val="en-GB"/>
        </w:rPr>
        <w:t xml:space="preserve">  </w:t>
      </w:r>
      <w:r>
        <w:rPr>
          <w:rFonts w:hint="default" w:ascii="仿宋_GB2312" w:hAnsi="Gungsuh" w:eastAsia="仿宋_GB2312"/>
          <w:sz w:val="30"/>
          <w:szCs w:val="30"/>
          <w:u w:val="single"/>
          <w:lang w:val="en"/>
        </w:rPr>
        <w:t>贺敏</w:t>
      </w:r>
      <w:r>
        <w:rPr>
          <w:rFonts w:hint="eastAsia" w:ascii="仿宋_GB2312" w:hAnsi="Gungsuh" w:eastAsia="仿宋_GB2312"/>
          <w:sz w:val="30"/>
          <w:szCs w:val="30"/>
          <w:u w:val="single"/>
          <w:lang w:val="en-GB"/>
        </w:rPr>
        <w:t xml:space="preserve">                             </w:t>
      </w:r>
    </w:p>
    <w:p w14:paraId="62B4074E">
      <w:pPr>
        <w:spacing w:line="440" w:lineRule="exact"/>
        <w:ind w:firstLine="600" w:firstLineChars="200"/>
        <w:rPr>
          <w:rFonts w:hint="eastAsia" w:ascii="仿宋_GB2312" w:hAnsi="Gungsuh" w:eastAsia="仿宋_GB2312"/>
          <w:sz w:val="30"/>
          <w:szCs w:val="30"/>
          <w:lang w:val="en-GB"/>
        </w:rPr>
      </w:pPr>
      <w:r>
        <w:rPr>
          <w:rFonts w:hint="eastAsia" w:ascii="仿宋_GB2312" w:hAnsi="Gungsuh" w:eastAsia="仿宋_GB2312"/>
          <w:sz w:val="30"/>
          <w:szCs w:val="30"/>
          <w:lang w:val="en-GB"/>
        </w:rPr>
        <w:t>地址：</w:t>
      </w:r>
      <w:r>
        <w:rPr>
          <w:rFonts w:hint="eastAsia" w:ascii="仿宋_GB2312" w:hAnsi="Gungsuh" w:eastAsia="仿宋_GB2312"/>
          <w:sz w:val="30"/>
          <w:szCs w:val="30"/>
          <w:u w:val="single"/>
          <w:lang w:val="en-GB"/>
        </w:rPr>
        <w:t xml:space="preserve"> </w:t>
      </w:r>
      <w:r>
        <w:rPr>
          <w:rFonts w:hint="default" w:ascii="仿宋_GB2312" w:hAnsi="Gungsuh" w:eastAsia="仿宋_GB2312"/>
          <w:sz w:val="30"/>
          <w:szCs w:val="30"/>
          <w:u w:val="single"/>
          <w:lang w:val="en"/>
        </w:rPr>
        <w:t>深圳市南山区大冲一路华润置地大厦E座24楼</w:t>
      </w:r>
      <w:r>
        <w:rPr>
          <w:rFonts w:hint="eastAsia" w:ascii="仿宋_GB2312" w:hAnsi="Gungsuh" w:eastAsia="仿宋_GB2312"/>
          <w:sz w:val="30"/>
          <w:szCs w:val="30"/>
          <w:u w:val="single"/>
          <w:lang w:val="en-GB"/>
        </w:rPr>
        <w:t xml:space="preserve">                                            </w:t>
      </w:r>
    </w:p>
    <w:p w14:paraId="7D0E421F">
      <w:pPr>
        <w:spacing w:line="440" w:lineRule="exact"/>
        <w:ind w:firstLine="600" w:firstLineChars="200"/>
        <w:rPr>
          <w:rFonts w:hint="eastAsia" w:ascii="仿宋_GB2312" w:hAnsi="Gungsuh" w:eastAsia="仿宋_GB2312"/>
          <w:sz w:val="30"/>
          <w:szCs w:val="30"/>
          <w:lang w:val="en-GB"/>
        </w:rPr>
      </w:pPr>
      <w:r>
        <w:rPr>
          <w:rFonts w:hint="eastAsia" w:ascii="仿宋_GB2312" w:hAnsi="Gungsuh" w:eastAsia="仿宋_GB2312"/>
          <w:sz w:val="30"/>
          <w:szCs w:val="30"/>
          <w:lang w:val="en-GB"/>
        </w:rPr>
        <w:t>电话：</w:t>
      </w:r>
      <w:r>
        <w:rPr>
          <w:rFonts w:hint="eastAsia" w:ascii="仿宋_GB2312" w:hAnsi="Gungsuh" w:eastAsia="仿宋_GB2312"/>
          <w:sz w:val="30"/>
          <w:szCs w:val="30"/>
          <w:u w:val="single"/>
          <w:lang w:val="en-GB"/>
        </w:rPr>
        <w:t xml:space="preserve">   </w:t>
      </w:r>
      <w:r>
        <w:rPr>
          <w:rFonts w:hint="default" w:ascii="仿宋_GB2312" w:hAnsi="Gungsuh" w:eastAsia="仿宋_GB2312"/>
          <w:sz w:val="30"/>
          <w:szCs w:val="30"/>
          <w:u w:val="single"/>
          <w:lang w:val="en"/>
        </w:rPr>
        <w:t>0755-82668666</w:t>
      </w:r>
      <w:r>
        <w:rPr>
          <w:rFonts w:hint="eastAsia" w:ascii="仿宋_GB2312" w:hAnsi="Gungsuh" w:eastAsia="仿宋_GB2312"/>
          <w:sz w:val="30"/>
          <w:szCs w:val="30"/>
          <w:u w:val="single"/>
          <w:lang w:val="en-GB"/>
        </w:rPr>
        <w:t xml:space="preserve">                                            </w:t>
      </w:r>
    </w:p>
    <w:p w14:paraId="7B48D76B">
      <w:pPr>
        <w:spacing w:line="440" w:lineRule="exact"/>
        <w:ind w:firstLine="600" w:firstLineChars="200"/>
        <w:rPr>
          <w:rFonts w:hint="eastAsia" w:ascii="仿宋" w:hAnsi="仿宋" w:eastAsia="仿宋"/>
          <w:sz w:val="30"/>
          <w:szCs w:val="30"/>
          <w:lang w:val="en-GB"/>
        </w:rPr>
      </w:pPr>
    </w:p>
    <w:p w14:paraId="14063B8E">
      <w:pPr>
        <w:spacing w:line="560" w:lineRule="exact"/>
        <w:ind w:firstLine="640" w:firstLineChars="200"/>
        <w:rPr>
          <w:rFonts w:hint="eastAsia" w:ascii="仿宋" w:hAnsi="仿宋" w:eastAsia="仿宋" w:cs="仿宋"/>
          <w:color w:val="auto"/>
          <w:sz w:val="32"/>
          <w:szCs w:val="32"/>
          <w:lang w:val="en-GB" w:eastAsia="zh-CN"/>
        </w:rPr>
      </w:pPr>
      <w:r>
        <w:rPr>
          <w:rFonts w:hint="eastAsia" w:ascii="仿宋" w:hAnsi="仿宋" w:eastAsia="仿宋" w:cs="仿宋"/>
          <w:color w:val="auto"/>
          <w:sz w:val="32"/>
          <w:szCs w:val="32"/>
          <w:lang w:val="en-GB"/>
        </w:rPr>
        <w:t>甲乙双方于</w:t>
      </w:r>
      <w:r>
        <w:rPr>
          <w:rFonts w:ascii="仿宋" w:hAnsi="仿宋" w:eastAsia="仿宋" w:cs="仿宋"/>
          <w:color w:val="auto"/>
          <w:sz w:val="32"/>
          <w:szCs w:val="32"/>
          <w:lang w:val="en-GB"/>
        </w:rPr>
        <w:t>202</w:t>
      </w:r>
      <w:r>
        <w:rPr>
          <w:rFonts w:hint="eastAsia" w:ascii="仿宋" w:hAnsi="仿宋" w:eastAsia="仿宋" w:cs="仿宋"/>
          <w:color w:val="auto"/>
          <w:sz w:val="32"/>
          <w:szCs w:val="32"/>
          <w:lang w:val="en-US" w:eastAsia="zh-CN"/>
        </w:rPr>
        <w:t>6</w:t>
      </w:r>
      <w:r>
        <w:rPr>
          <w:rFonts w:ascii="仿宋" w:hAnsi="仿宋" w:eastAsia="仿宋" w:cs="仿宋"/>
          <w:color w:val="auto"/>
          <w:sz w:val="32"/>
          <w:szCs w:val="32"/>
          <w:lang w:val="en-GB"/>
        </w:rPr>
        <w:t>年</w:t>
      </w:r>
      <w:r>
        <w:rPr>
          <w:rFonts w:hint="eastAsia" w:ascii="仿宋" w:hAnsi="仿宋" w:eastAsia="仿宋" w:cs="仿宋"/>
          <w:color w:val="auto"/>
          <w:sz w:val="32"/>
          <w:szCs w:val="32"/>
          <w:lang w:val="en-US" w:eastAsia="zh-CN"/>
        </w:rPr>
        <w:t>6</w:t>
      </w:r>
      <w:r>
        <w:rPr>
          <w:rFonts w:hint="eastAsia" w:ascii="仿宋" w:hAnsi="仿宋" w:eastAsia="仿宋" w:cs="仿宋"/>
          <w:color w:val="auto"/>
          <w:sz w:val="32"/>
          <w:szCs w:val="32"/>
          <w:lang w:val="en-GB"/>
        </w:rPr>
        <w:t>月</w:t>
      </w:r>
      <w:r>
        <w:rPr>
          <w:rFonts w:hint="eastAsia" w:ascii="仿宋" w:hAnsi="仿宋" w:eastAsia="仿宋" w:cs="仿宋"/>
          <w:color w:val="auto"/>
          <w:sz w:val="32"/>
          <w:szCs w:val="32"/>
          <w:lang w:val="en-US" w:eastAsia="zh-CN"/>
        </w:rPr>
        <w:t>1</w:t>
      </w:r>
      <w:r>
        <w:rPr>
          <w:rFonts w:hint="eastAsia" w:ascii="仿宋" w:hAnsi="仿宋" w:eastAsia="仿宋" w:cs="仿宋"/>
          <w:color w:val="auto"/>
          <w:sz w:val="32"/>
          <w:szCs w:val="32"/>
          <w:lang w:val="en-GB"/>
        </w:rPr>
        <w:t>日</w:t>
      </w:r>
      <w:r>
        <w:rPr>
          <w:rFonts w:hint="eastAsia" w:ascii="仿宋" w:hAnsi="仿宋" w:eastAsia="仿宋" w:cs="仿宋"/>
          <w:color w:val="auto"/>
          <w:sz w:val="32"/>
          <w:szCs w:val="32"/>
          <w:lang w:val="en-US" w:eastAsia="zh-CN"/>
        </w:rPr>
        <w:t>第一次续</w:t>
      </w:r>
      <w:r>
        <w:rPr>
          <w:rFonts w:hint="eastAsia" w:ascii="仿宋" w:hAnsi="仿宋" w:eastAsia="仿宋" w:cs="仿宋"/>
          <w:color w:val="auto"/>
          <w:sz w:val="32"/>
          <w:szCs w:val="32"/>
          <w:lang w:val="en-GB"/>
        </w:rPr>
        <w:t>签《深圳市南山区公园管理中心</w:t>
      </w:r>
      <w:r>
        <w:rPr>
          <w:rFonts w:hint="eastAsia" w:ascii="仿宋" w:hAnsi="仿宋" w:eastAsia="仿宋" w:cs="仿宋"/>
          <w:color w:val="auto"/>
          <w:sz w:val="32"/>
          <w:szCs w:val="32"/>
          <w:lang w:val="en-GB" w:eastAsia="zh-CN"/>
        </w:rPr>
        <w:t>大学城绿道示范段综合管养</w:t>
      </w:r>
      <w:r>
        <w:rPr>
          <w:rFonts w:hint="eastAsia" w:ascii="仿宋" w:hAnsi="仿宋" w:eastAsia="仿宋" w:cs="仿宋"/>
          <w:color w:val="auto"/>
          <w:sz w:val="32"/>
          <w:szCs w:val="32"/>
          <w:lang w:val="en-GB"/>
        </w:rPr>
        <w:t>物业服务合同》（合同编号为</w:t>
      </w:r>
      <w:r>
        <w:rPr>
          <w:rFonts w:hint="eastAsia" w:ascii="仿宋" w:hAnsi="仿宋" w:eastAsia="仿宋" w:cs="仿宋"/>
          <w:color w:val="auto"/>
          <w:sz w:val="32"/>
          <w:szCs w:val="32"/>
          <w:lang w:val="en-US" w:eastAsia="zh-CN"/>
        </w:rPr>
        <w:t>202605-025</w:t>
      </w:r>
      <w:r>
        <w:rPr>
          <w:rFonts w:hint="eastAsia" w:ascii="仿宋" w:hAnsi="仿宋" w:eastAsia="仿宋" w:cs="仿宋"/>
          <w:color w:val="auto"/>
          <w:sz w:val="32"/>
          <w:szCs w:val="32"/>
          <w:lang w:val="en-GB"/>
        </w:rPr>
        <w:t>）（以下简称原合同），</w:t>
      </w:r>
      <w:r>
        <w:rPr>
          <w:rFonts w:hint="eastAsia" w:ascii="仿宋" w:hAnsi="仿宋" w:eastAsia="仿宋" w:cs="仿宋"/>
          <w:color w:val="auto"/>
          <w:sz w:val="32"/>
          <w:szCs w:val="32"/>
          <w:highlight w:val="none"/>
          <w:lang w:val="en-GB"/>
        </w:rPr>
        <w:t>在保证原合同综合管养物业服务项目质量不变的情况下对合同费用进行</w:t>
      </w:r>
      <w:r>
        <w:rPr>
          <w:rFonts w:hint="eastAsia" w:ascii="仿宋" w:hAnsi="仿宋" w:eastAsia="仿宋" w:cs="仿宋"/>
          <w:color w:val="auto"/>
          <w:sz w:val="32"/>
          <w:szCs w:val="32"/>
          <w:highlight w:val="none"/>
          <w:lang w:val="en-GB" w:eastAsia="zh-CN"/>
        </w:rPr>
        <w:t>变更</w:t>
      </w:r>
      <w:r>
        <w:rPr>
          <w:rFonts w:hint="eastAsia" w:ascii="仿宋" w:hAnsi="仿宋" w:eastAsia="仿宋" w:cs="仿宋"/>
          <w:color w:val="auto"/>
          <w:sz w:val="32"/>
          <w:szCs w:val="32"/>
          <w:highlight w:val="none"/>
          <w:lang w:val="en-GB"/>
        </w:rPr>
        <w:t>，</w:t>
      </w:r>
      <w:r>
        <w:rPr>
          <w:rFonts w:ascii="仿宋" w:hAnsi="仿宋" w:eastAsia="仿宋" w:cs="仿宋"/>
          <w:color w:val="auto"/>
          <w:sz w:val="32"/>
          <w:szCs w:val="32"/>
          <w:lang w:val="en-GB"/>
        </w:rPr>
        <w:t>经双方协商一致，达成补充协议如下</w:t>
      </w:r>
      <w:r>
        <w:rPr>
          <w:rFonts w:hint="eastAsia" w:ascii="仿宋" w:hAnsi="仿宋" w:eastAsia="仿宋" w:cs="仿宋"/>
          <w:color w:val="auto"/>
          <w:sz w:val="32"/>
          <w:szCs w:val="32"/>
          <w:lang w:val="en-GB" w:eastAsia="zh-CN"/>
        </w:rPr>
        <w:t>：</w:t>
      </w:r>
    </w:p>
    <w:p w14:paraId="236F2C65">
      <w:pPr>
        <w:spacing w:line="440" w:lineRule="exact"/>
        <w:ind w:firstLine="602" w:firstLineChars="200"/>
        <w:rPr>
          <w:rFonts w:hint="eastAsia" w:ascii="仿宋" w:hAnsi="仿宋" w:eastAsia="仿宋"/>
          <w:b/>
          <w:sz w:val="30"/>
          <w:szCs w:val="30"/>
        </w:rPr>
      </w:pPr>
      <w:r>
        <w:rPr>
          <w:rFonts w:hint="eastAsia" w:ascii="仿宋" w:hAnsi="仿宋" w:eastAsia="仿宋"/>
          <w:b/>
          <w:sz w:val="30"/>
          <w:szCs w:val="30"/>
        </w:rPr>
        <w:t>第一条  补充内容</w:t>
      </w:r>
    </w:p>
    <w:p w14:paraId="15B936FF">
      <w:pPr>
        <w:spacing w:line="560" w:lineRule="exact"/>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GB"/>
        </w:rPr>
        <w:t>一、</w:t>
      </w:r>
      <w:r>
        <w:rPr>
          <w:rFonts w:hint="eastAsia" w:ascii="仿宋" w:hAnsi="仿宋" w:eastAsia="仿宋" w:cs="仿宋"/>
          <w:color w:val="auto"/>
          <w:sz w:val="32"/>
          <w:szCs w:val="32"/>
          <w:lang w:val="en-GB" w:eastAsia="zh-CN"/>
        </w:rPr>
        <w:t>将</w:t>
      </w:r>
      <w:r>
        <w:rPr>
          <w:rFonts w:hint="eastAsia" w:ascii="仿宋" w:hAnsi="仿宋" w:eastAsia="仿宋" w:cs="仿宋"/>
          <w:color w:val="auto"/>
          <w:sz w:val="32"/>
          <w:szCs w:val="32"/>
          <w:lang w:val="en-GB"/>
        </w:rPr>
        <w:t>原合同条款第</w:t>
      </w:r>
      <w:r>
        <w:rPr>
          <w:rFonts w:hint="eastAsia" w:ascii="仿宋" w:hAnsi="仿宋" w:eastAsia="仿宋" w:cs="仿宋"/>
          <w:color w:val="auto"/>
          <w:sz w:val="32"/>
          <w:szCs w:val="32"/>
          <w:lang w:val="en-US" w:eastAsia="zh-CN"/>
        </w:rPr>
        <w:t>五</w:t>
      </w:r>
      <w:r>
        <w:rPr>
          <w:rFonts w:hint="eastAsia" w:ascii="仿宋" w:hAnsi="仿宋" w:eastAsia="仿宋" w:cs="仿宋"/>
          <w:color w:val="auto"/>
          <w:sz w:val="32"/>
          <w:szCs w:val="32"/>
          <w:lang w:val="en-GB"/>
        </w:rPr>
        <w:t>条</w:t>
      </w:r>
      <w:r>
        <w:rPr>
          <w:rFonts w:hint="eastAsia" w:ascii="仿宋" w:hAnsi="仿宋" w:eastAsia="仿宋" w:cs="仿宋"/>
          <w:color w:val="auto"/>
          <w:sz w:val="32"/>
          <w:szCs w:val="32"/>
          <w:lang w:val="en-US" w:eastAsia="zh-CN"/>
        </w:rPr>
        <w:t>执行的标准、规范和办法的第四款《深圳市农业地方标准：园林绿化管养规范》改为《深圳市地方标准：园林绿化管养规范（DB4403/T87-2020）》。</w:t>
      </w:r>
      <w:bookmarkStart w:id="0" w:name="_GoBack"/>
      <w:bookmarkEnd w:id="0"/>
    </w:p>
    <w:p w14:paraId="6F58EA8D">
      <w:pPr>
        <w:spacing w:line="560" w:lineRule="exact"/>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二、将原合同条款中的第二条项目管理要求中水电费划扣：“本项目涉及的所有水电费均由甲方定期支付，乙方无需另行支付（项目服务要求中第9小项管养维护除外）。”修改为“乙方承担园区内所有用水（不含景观用水、外接用水及游园服务用水等非生产用水）及养护作业用电的费用，借用水电由借用单位承担相关费用。所有水电由甲方先行支付，后由甲方在月度管养费用支付时予以扣除”。</w:t>
      </w:r>
    </w:p>
    <w:p w14:paraId="7D62F4F5">
      <w:pPr>
        <w:pStyle w:val="2"/>
        <w:tabs>
          <w:tab w:val="left" w:pos="9240"/>
        </w:tabs>
        <w:spacing w:line="360" w:lineRule="auto"/>
        <w:ind w:left="0" w:right="-84" w:rightChars="-40" w:firstLine="640" w:firstLineChars="0"/>
        <w:jc w:val="both"/>
        <w:outlineLvl w:val="9"/>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三、将第四条付款方式中“</w:t>
      </w:r>
      <w:r>
        <w:rPr>
          <w:rFonts w:hint="eastAsia" w:cs="仿宋"/>
          <w:color w:val="auto"/>
          <w:sz w:val="32"/>
          <w:szCs w:val="32"/>
          <w:lang w:val="en-US" w:eastAsia="zh-CN"/>
        </w:rPr>
        <w:t>一、</w:t>
      </w:r>
      <w:r>
        <w:rPr>
          <w:rFonts w:ascii="仿宋" w:hAnsi="仿宋" w:eastAsia="仿宋" w:cs="仿宋"/>
          <w:color w:val="auto"/>
          <w:sz w:val="32"/>
          <w:szCs w:val="32"/>
          <w:lang w:val="en-US"/>
        </w:rPr>
        <w:t>合同生效后，甲方按月支付物业管养服务费</w:t>
      </w:r>
      <w:r>
        <w:rPr>
          <w:rFonts w:hint="default" w:ascii="仿宋" w:hAnsi="仿宋" w:eastAsia="仿宋" w:cs="仿宋"/>
          <w:color w:val="auto"/>
          <w:sz w:val="32"/>
          <w:szCs w:val="32"/>
          <w:lang w:val="en-US"/>
        </w:rPr>
        <w:t>。自第二个月起每月【</w:t>
      </w:r>
      <w:r>
        <w:rPr>
          <w:rFonts w:ascii="仿宋" w:hAnsi="仿宋" w:eastAsia="仿宋" w:cs="仿宋"/>
          <w:color w:val="auto"/>
          <w:sz w:val="32"/>
          <w:szCs w:val="32"/>
          <w:lang w:val="en-US"/>
        </w:rPr>
        <w:t>10</w:t>
      </w:r>
      <w:r>
        <w:rPr>
          <w:rFonts w:hint="default" w:ascii="仿宋" w:hAnsi="仿宋" w:eastAsia="仿宋" w:cs="仿宋"/>
          <w:color w:val="auto"/>
          <w:sz w:val="32"/>
          <w:szCs w:val="32"/>
          <w:lang w:val="en-US"/>
        </w:rPr>
        <w:t>】日前，由甲方组织检查考核，并根据月度的综合考核结果核算当月物业管养服务费，于次月【</w:t>
      </w:r>
      <w:r>
        <w:rPr>
          <w:rFonts w:ascii="仿宋" w:hAnsi="仿宋" w:eastAsia="仿宋" w:cs="仿宋"/>
          <w:color w:val="auto"/>
          <w:sz w:val="32"/>
          <w:szCs w:val="32"/>
          <w:lang w:val="en-US"/>
        </w:rPr>
        <w:t>20</w:t>
      </w:r>
      <w:r>
        <w:rPr>
          <w:rFonts w:hint="default" w:ascii="仿宋" w:hAnsi="仿宋" w:eastAsia="仿宋" w:cs="仿宋"/>
          <w:color w:val="auto"/>
          <w:sz w:val="32"/>
          <w:szCs w:val="32"/>
          <w:lang w:val="en-US"/>
        </w:rPr>
        <w:t>】日前支付，不足一月按当月支付费用除以当月天数乘以实际工作天数为依据进行结算</w:t>
      </w:r>
      <w:r>
        <w:rPr>
          <w:rFonts w:hint="eastAsia" w:ascii="仿宋" w:hAnsi="仿宋" w:eastAsia="仿宋" w:cs="仿宋"/>
          <w:color w:val="auto"/>
          <w:sz w:val="32"/>
          <w:szCs w:val="32"/>
          <w:lang w:val="en-US" w:eastAsia="zh-CN"/>
        </w:rPr>
        <w:t>”改为“合同生效后，甲方按月支付物业管养服务费。经甲方有关管理部门现场检查合格后(如有扣除款项，应扣除后余额支付)且收到乙方开具的合法有效发票之日起，由甲方于次月向己方支付上月服务费”。</w:t>
      </w:r>
    </w:p>
    <w:p w14:paraId="4ED8562C">
      <w:pPr>
        <w:pStyle w:val="3"/>
        <w:ind w:firstLine="640" w:firstLineChars="200"/>
        <w:rPr>
          <w:rFonts w:hint="default"/>
          <w:lang w:val="en-US" w:eastAsia="zh-CN"/>
        </w:rPr>
      </w:pPr>
      <w:r>
        <w:rPr>
          <w:rFonts w:hint="eastAsia" w:ascii="仿宋" w:hAnsi="仿宋" w:eastAsia="仿宋" w:cs="仿宋"/>
          <w:color w:val="auto"/>
          <w:sz w:val="32"/>
          <w:szCs w:val="32"/>
          <w:lang w:val="en-US" w:eastAsia="zh-CN"/>
        </w:rPr>
        <w:t>四、将第四条付款方式中“四、乙方</w:t>
      </w:r>
      <w:r>
        <w:rPr>
          <w:rFonts w:hint="eastAsia" w:ascii="仿宋" w:hAnsi="仿宋" w:eastAsia="仿宋" w:cs="仿宋"/>
          <w:color w:val="auto"/>
          <w:sz w:val="32"/>
          <w:szCs w:val="32"/>
          <w:lang w:val="en-US"/>
        </w:rPr>
        <w:t>须在合同签订后【</w:t>
      </w:r>
      <w:r>
        <w:rPr>
          <w:rFonts w:hint="eastAsia" w:ascii="仿宋" w:hAnsi="仿宋" w:eastAsia="仿宋" w:cs="仿宋"/>
          <w:color w:val="auto"/>
          <w:sz w:val="32"/>
          <w:szCs w:val="32"/>
          <w:lang w:val="en-US" w:eastAsia="zh-CN"/>
        </w:rPr>
        <w:t>30</w:t>
      </w:r>
      <w:r>
        <w:rPr>
          <w:rFonts w:hint="eastAsia" w:ascii="仿宋" w:hAnsi="仿宋" w:eastAsia="仿宋" w:cs="仿宋"/>
          <w:color w:val="auto"/>
          <w:sz w:val="32"/>
          <w:szCs w:val="32"/>
          <w:lang w:val="en-US"/>
        </w:rPr>
        <w:t>】个工作日内向</w:t>
      </w:r>
      <w:r>
        <w:rPr>
          <w:rFonts w:hint="eastAsia" w:ascii="仿宋" w:hAnsi="仿宋" w:eastAsia="仿宋" w:cs="仿宋"/>
          <w:color w:val="auto"/>
          <w:sz w:val="32"/>
          <w:szCs w:val="32"/>
          <w:lang w:val="en-US" w:eastAsia="zh-CN"/>
        </w:rPr>
        <w:t>甲方</w:t>
      </w:r>
      <w:r>
        <w:rPr>
          <w:rFonts w:hint="eastAsia" w:ascii="仿宋" w:hAnsi="仿宋" w:eastAsia="仿宋" w:cs="仿宋"/>
          <w:color w:val="auto"/>
          <w:sz w:val="32"/>
          <w:szCs w:val="32"/>
          <w:lang w:val="en-US"/>
        </w:rPr>
        <w:t>提供合同金额的5%的金额作为本服务项目的履约保证金，</w:t>
      </w:r>
      <w:r>
        <w:rPr>
          <w:rFonts w:hint="eastAsia" w:ascii="仿宋" w:hAnsi="仿宋" w:eastAsia="仿宋" w:cs="仿宋"/>
          <w:color w:val="auto"/>
          <w:sz w:val="32"/>
          <w:szCs w:val="32"/>
          <w:lang w:val="en-US" w:eastAsia="zh-CN"/>
        </w:rPr>
        <w:t>乙方</w:t>
      </w:r>
      <w:r>
        <w:rPr>
          <w:rFonts w:hint="eastAsia" w:ascii="仿宋" w:hAnsi="仿宋" w:eastAsia="仿宋" w:cs="仿宋"/>
          <w:color w:val="auto"/>
          <w:sz w:val="32"/>
          <w:szCs w:val="32"/>
          <w:lang w:val="en-US"/>
        </w:rPr>
        <w:t>可以自主选择以支票、汇票、本票、保函等非现金形式缴纳或提交的方式提供</w:t>
      </w:r>
      <w:r>
        <w:rPr>
          <w:rFonts w:hint="eastAsia" w:ascii="仿宋" w:hAnsi="仿宋" w:eastAsia="仿宋" w:cs="仿宋"/>
          <w:color w:val="auto"/>
          <w:sz w:val="32"/>
          <w:szCs w:val="32"/>
          <w:lang w:val="en-US" w:eastAsia="zh-CN"/>
        </w:rPr>
        <w:t>”改为“合同签订后，乙方需向甲方提供履约担保，履约担保金额为合同金额的5%，担保方式为银行保函”。</w:t>
      </w:r>
    </w:p>
    <w:p w14:paraId="698FD693">
      <w:pPr>
        <w:spacing w:line="360" w:lineRule="auto"/>
        <w:ind w:firstLine="643" w:firstLineChars="200"/>
        <w:rPr>
          <w:rFonts w:hint="eastAsia" w:ascii="仿宋" w:hAnsi="仿宋" w:eastAsia="仿宋"/>
          <w:b/>
          <w:sz w:val="32"/>
          <w:szCs w:val="32"/>
        </w:rPr>
      </w:pPr>
      <w:r>
        <w:rPr>
          <w:rFonts w:hint="eastAsia" w:ascii="仿宋" w:hAnsi="仿宋" w:eastAsia="仿宋"/>
          <w:b/>
          <w:sz w:val="32"/>
          <w:szCs w:val="32"/>
        </w:rPr>
        <w:t>第</w:t>
      </w:r>
      <w:r>
        <w:rPr>
          <w:rFonts w:hint="eastAsia" w:ascii="仿宋" w:hAnsi="仿宋" w:eastAsia="仿宋"/>
          <w:b/>
          <w:sz w:val="32"/>
          <w:szCs w:val="32"/>
          <w:lang w:eastAsia="zh-CN"/>
        </w:rPr>
        <w:t>二</w:t>
      </w:r>
      <w:r>
        <w:rPr>
          <w:rFonts w:hint="eastAsia" w:ascii="仿宋" w:hAnsi="仿宋" w:eastAsia="仿宋"/>
          <w:b/>
          <w:sz w:val="32"/>
          <w:szCs w:val="32"/>
        </w:rPr>
        <w:t>条   协议生效</w:t>
      </w:r>
    </w:p>
    <w:p w14:paraId="44A0C095">
      <w:pPr>
        <w:spacing w:line="360" w:lineRule="auto"/>
        <w:ind w:firstLine="570"/>
        <w:rPr>
          <w:rFonts w:hint="eastAsia" w:ascii="仿宋" w:hAnsi="仿宋" w:eastAsia="仿宋"/>
          <w:sz w:val="32"/>
          <w:szCs w:val="32"/>
        </w:rPr>
      </w:pPr>
      <w:r>
        <w:rPr>
          <w:rFonts w:hint="eastAsia" w:ascii="仿宋" w:hAnsi="仿宋" w:eastAsia="仿宋"/>
          <w:color w:val="auto"/>
          <w:sz w:val="32"/>
          <w:szCs w:val="32"/>
          <w:lang w:val="en-US" w:eastAsia="zh-CN"/>
        </w:rPr>
        <w:t>本协议经双方盖章且法定代表人（或授权代表）签字后生效，</w:t>
      </w:r>
      <w:r>
        <w:rPr>
          <w:rFonts w:hint="eastAsia" w:ascii="仿宋" w:hAnsi="仿宋" w:eastAsia="仿宋"/>
          <w:color w:val="auto"/>
          <w:sz w:val="32"/>
          <w:szCs w:val="32"/>
          <w:lang w:eastAsia="zh-CN"/>
        </w:rPr>
        <w:t>原合同已履行的部分根据本补充协议作相应变更。</w:t>
      </w:r>
      <w:r>
        <w:rPr>
          <w:rFonts w:hint="eastAsia" w:ascii="仿宋" w:hAnsi="仿宋" w:eastAsia="仿宋"/>
          <w:sz w:val="32"/>
          <w:szCs w:val="32"/>
          <w:lang w:eastAsia="zh-CN"/>
        </w:rPr>
        <w:t>本</w:t>
      </w:r>
      <w:r>
        <w:rPr>
          <w:rFonts w:hint="eastAsia" w:ascii="仿宋" w:hAnsi="仿宋" w:eastAsia="仿宋"/>
          <w:sz w:val="32"/>
          <w:szCs w:val="32"/>
        </w:rPr>
        <w:t>补充协议与原合同具有同等法律效力。</w:t>
      </w:r>
    </w:p>
    <w:p w14:paraId="755E65A2">
      <w:pPr>
        <w:spacing w:line="360" w:lineRule="auto"/>
        <w:ind w:firstLine="643" w:firstLineChars="200"/>
        <w:rPr>
          <w:rFonts w:hint="eastAsia" w:ascii="仿宋" w:hAnsi="仿宋" w:eastAsia="仿宋"/>
          <w:b/>
          <w:sz w:val="32"/>
          <w:szCs w:val="32"/>
          <w:lang w:val="en-GB"/>
        </w:rPr>
      </w:pPr>
      <w:r>
        <w:rPr>
          <w:rFonts w:hint="eastAsia" w:ascii="仿宋" w:hAnsi="仿宋" w:eastAsia="仿宋"/>
          <w:b/>
          <w:sz w:val="32"/>
          <w:szCs w:val="32"/>
          <w:lang w:val="en-GB"/>
        </w:rPr>
        <w:t>第</w:t>
      </w:r>
      <w:r>
        <w:rPr>
          <w:rFonts w:hint="eastAsia" w:ascii="仿宋" w:hAnsi="仿宋" w:eastAsia="仿宋"/>
          <w:b/>
          <w:sz w:val="32"/>
          <w:szCs w:val="32"/>
          <w:lang w:val="en-GB" w:eastAsia="zh-CN"/>
        </w:rPr>
        <w:t>三</w:t>
      </w:r>
      <w:r>
        <w:rPr>
          <w:rFonts w:hint="eastAsia" w:ascii="仿宋" w:hAnsi="仿宋" w:eastAsia="仿宋"/>
          <w:b/>
          <w:sz w:val="32"/>
          <w:szCs w:val="32"/>
          <w:lang w:val="en-GB"/>
        </w:rPr>
        <w:t xml:space="preserve">条  </w:t>
      </w:r>
      <w:r>
        <w:rPr>
          <w:rFonts w:hint="eastAsia" w:ascii="仿宋" w:hAnsi="仿宋" w:eastAsia="仿宋"/>
          <w:b/>
          <w:sz w:val="32"/>
          <w:szCs w:val="32"/>
          <w:lang w:val="en-US" w:eastAsia="zh-CN"/>
        </w:rPr>
        <w:t xml:space="preserve"> </w:t>
      </w:r>
      <w:r>
        <w:rPr>
          <w:rFonts w:hint="eastAsia" w:ascii="仿宋" w:hAnsi="仿宋" w:eastAsia="仿宋"/>
          <w:b/>
          <w:sz w:val="32"/>
          <w:szCs w:val="32"/>
          <w:lang w:val="en-GB" w:eastAsia="zh-CN"/>
        </w:rPr>
        <w:t>协议</w:t>
      </w:r>
      <w:r>
        <w:rPr>
          <w:rFonts w:hint="eastAsia" w:ascii="仿宋" w:hAnsi="仿宋" w:eastAsia="仿宋"/>
          <w:b/>
          <w:sz w:val="32"/>
          <w:szCs w:val="32"/>
          <w:lang w:val="en-GB"/>
        </w:rPr>
        <w:t>份数</w:t>
      </w:r>
    </w:p>
    <w:p w14:paraId="67FF3CE8">
      <w:pPr>
        <w:spacing w:line="360" w:lineRule="auto"/>
        <w:ind w:firstLine="627" w:firstLineChars="196"/>
        <w:rPr>
          <w:rFonts w:ascii="仿宋" w:hAnsi="仿宋" w:eastAsia="仿宋"/>
          <w:bCs/>
          <w:sz w:val="32"/>
          <w:szCs w:val="32"/>
          <w:lang w:val="en-GB"/>
        </w:rPr>
      </w:pPr>
      <w:r>
        <w:rPr>
          <w:rFonts w:hint="eastAsia" w:ascii="仿宋" w:hAnsi="仿宋" w:eastAsia="仿宋"/>
          <w:bCs/>
          <w:sz w:val="32"/>
          <w:szCs w:val="32"/>
          <w:lang w:val="en-GB"/>
        </w:rPr>
        <w:t>本</w:t>
      </w:r>
      <w:r>
        <w:rPr>
          <w:rFonts w:hint="eastAsia" w:ascii="仿宋" w:hAnsi="仿宋" w:eastAsia="仿宋"/>
          <w:bCs/>
          <w:sz w:val="32"/>
          <w:szCs w:val="32"/>
          <w:lang w:val="en-GB" w:eastAsia="zh-CN"/>
        </w:rPr>
        <w:t>协议</w:t>
      </w:r>
      <w:r>
        <w:rPr>
          <w:rFonts w:hint="eastAsia" w:ascii="仿宋" w:hAnsi="仿宋" w:eastAsia="仿宋"/>
          <w:bCs/>
          <w:sz w:val="32"/>
          <w:szCs w:val="32"/>
          <w:lang w:val="en-GB"/>
        </w:rPr>
        <w:t>一式</w:t>
      </w:r>
      <w:r>
        <w:rPr>
          <w:rFonts w:hint="eastAsia" w:ascii="仿宋" w:hAnsi="仿宋" w:eastAsia="仿宋"/>
          <w:bCs/>
          <w:sz w:val="32"/>
          <w:szCs w:val="32"/>
          <w:lang w:val="en-GB" w:eastAsia="zh-CN"/>
        </w:rPr>
        <w:t>五</w:t>
      </w:r>
      <w:r>
        <w:rPr>
          <w:rFonts w:hint="eastAsia" w:ascii="仿宋" w:hAnsi="仿宋" w:eastAsia="仿宋"/>
          <w:bCs/>
          <w:sz w:val="32"/>
          <w:szCs w:val="32"/>
          <w:lang w:val="en-GB"/>
        </w:rPr>
        <w:t>份，其中甲方执四份，乙方执</w:t>
      </w:r>
      <w:r>
        <w:rPr>
          <w:rFonts w:hint="eastAsia" w:ascii="仿宋" w:hAnsi="仿宋" w:eastAsia="仿宋"/>
          <w:bCs/>
          <w:sz w:val="32"/>
          <w:szCs w:val="32"/>
          <w:lang w:val="en-GB" w:eastAsia="zh-CN"/>
        </w:rPr>
        <w:t>一</w:t>
      </w:r>
      <w:r>
        <w:rPr>
          <w:rFonts w:hint="eastAsia" w:ascii="仿宋" w:hAnsi="仿宋" w:eastAsia="仿宋"/>
          <w:bCs/>
          <w:sz w:val="32"/>
          <w:szCs w:val="32"/>
          <w:lang w:val="en-GB"/>
        </w:rPr>
        <w:t>份，各份均具有同等效力。</w:t>
      </w:r>
    </w:p>
    <w:p w14:paraId="55EAB168">
      <w:pPr>
        <w:spacing w:line="440" w:lineRule="exact"/>
        <w:ind w:firstLine="643" w:firstLineChars="200"/>
        <w:rPr>
          <w:rFonts w:hint="eastAsia" w:ascii="仿宋" w:hAnsi="仿宋" w:eastAsia="仿宋"/>
          <w:b/>
          <w:sz w:val="32"/>
          <w:szCs w:val="32"/>
          <w:lang w:val="en-GB"/>
        </w:rPr>
      </w:pPr>
      <w:r>
        <w:rPr>
          <w:rFonts w:hint="eastAsia" w:ascii="仿宋" w:hAnsi="仿宋" w:eastAsia="仿宋"/>
          <w:b/>
          <w:sz w:val="32"/>
          <w:szCs w:val="32"/>
          <w:lang w:val="en-GB"/>
        </w:rPr>
        <w:t>第</w:t>
      </w:r>
      <w:r>
        <w:rPr>
          <w:rFonts w:hint="eastAsia" w:ascii="仿宋" w:hAnsi="仿宋" w:eastAsia="仿宋"/>
          <w:b/>
          <w:sz w:val="32"/>
          <w:szCs w:val="32"/>
          <w:lang w:val="en-GB" w:eastAsia="zh-CN"/>
        </w:rPr>
        <w:t>四</w:t>
      </w:r>
      <w:r>
        <w:rPr>
          <w:rFonts w:hint="eastAsia" w:ascii="仿宋" w:hAnsi="仿宋" w:eastAsia="仿宋"/>
          <w:b/>
          <w:sz w:val="32"/>
          <w:szCs w:val="32"/>
          <w:lang w:val="en-GB"/>
        </w:rPr>
        <w:t xml:space="preserve">条  </w:t>
      </w:r>
      <w:r>
        <w:rPr>
          <w:rFonts w:hint="eastAsia" w:ascii="仿宋" w:hAnsi="仿宋" w:eastAsia="仿宋"/>
          <w:b/>
          <w:sz w:val="32"/>
          <w:szCs w:val="32"/>
          <w:lang w:val="en-US" w:eastAsia="zh-CN"/>
        </w:rPr>
        <w:t xml:space="preserve"> </w:t>
      </w:r>
      <w:r>
        <w:rPr>
          <w:rFonts w:hint="eastAsia" w:ascii="仿宋" w:hAnsi="仿宋" w:eastAsia="仿宋"/>
          <w:b/>
          <w:sz w:val="32"/>
          <w:szCs w:val="32"/>
          <w:lang w:val="en-GB"/>
        </w:rPr>
        <w:t>双方约定的其他事项</w:t>
      </w:r>
    </w:p>
    <w:p w14:paraId="38178F6B">
      <w:pPr>
        <w:spacing w:line="360" w:lineRule="auto"/>
        <w:ind w:firstLine="640" w:firstLineChars="200"/>
        <w:rPr>
          <w:rFonts w:hint="eastAsia" w:ascii="仿宋" w:hAnsi="仿宋" w:eastAsia="仿宋"/>
          <w:sz w:val="32"/>
          <w:szCs w:val="32"/>
          <w:u w:val="none"/>
          <w:lang w:val="en-GB"/>
        </w:rPr>
      </w:pPr>
      <w:r>
        <w:rPr>
          <w:rFonts w:hint="eastAsia" w:ascii="仿宋" w:hAnsi="仿宋" w:eastAsia="仿宋" w:cs="Times New Roman"/>
          <w:i w:val="0"/>
          <w:iCs w:val="0"/>
          <w:caps w:val="0"/>
          <w:spacing w:val="0"/>
          <w:kern w:val="2"/>
          <w:sz w:val="32"/>
          <w:szCs w:val="32"/>
          <w:u w:val="none"/>
          <w:lang w:val="en-US" w:eastAsia="zh-CN" w:bidi="ar"/>
        </w:rPr>
        <w:t>双方确认本协议对2026年6月1日至本协议签署之日期间的合同行为具有追溯力</w:t>
      </w:r>
      <w:r>
        <w:rPr>
          <w:rFonts w:hint="eastAsia" w:ascii="仿宋" w:hAnsi="仿宋" w:eastAsia="仿宋"/>
          <w:sz w:val="32"/>
          <w:szCs w:val="32"/>
          <w:u w:val="none"/>
        </w:rPr>
        <w:t>，除本协议约定变更的内容外，原合同其他条款继续有效。</w:t>
      </w:r>
    </w:p>
    <w:p w14:paraId="6F616217">
      <w:pPr>
        <w:spacing w:line="440" w:lineRule="exact"/>
        <w:rPr>
          <w:rFonts w:hint="eastAsia" w:ascii="仿宋" w:hAnsi="仿宋" w:eastAsia="仿宋"/>
          <w:sz w:val="32"/>
          <w:szCs w:val="32"/>
          <w:lang w:val="en-GB"/>
        </w:rPr>
      </w:pPr>
    </w:p>
    <w:p w14:paraId="5AD91DDA">
      <w:pPr>
        <w:spacing w:line="440" w:lineRule="exact"/>
        <w:rPr>
          <w:rFonts w:hint="eastAsia" w:ascii="仿宋" w:hAnsi="仿宋" w:eastAsia="仿宋"/>
          <w:sz w:val="32"/>
          <w:szCs w:val="32"/>
          <w:lang w:val="en-GB"/>
        </w:rPr>
      </w:pPr>
    </w:p>
    <w:p w14:paraId="51336063">
      <w:pPr>
        <w:spacing w:line="440" w:lineRule="exact"/>
        <w:rPr>
          <w:rFonts w:hint="eastAsia" w:ascii="仿宋" w:hAnsi="仿宋" w:eastAsia="仿宋"/>
          <w:sz w:val="32"/>
          <w:szCs w:val="32"/>
          <w:lang w:val="en-GB"/>
        </w:rPr>
      </w:pPr>
    </w:p>
    <w:p w14:paraId="67923C1A">
      <w:pPr>
        <w:spacing w:line="440" w:lineRule="exact"/>
        <w:rPr>
          <w:rFonts w:hint="eastAsia" w:ascii="仿宋" w:hAnsi="仿宋" w:eastAsia="仿宋"/>
          <w:sz w:val="32"/>
          <w:szCs w:val="32"/>
          <w:lang w:val="en-GB"/>
        </w:rPr>
      </w:pPr>
      <w:r>
        <w:rPr>
          <w:rFonts w:hint="eastAsia" w:ascii="仿宋" w:hAnsi="仿宋" w:eastAsia="仿宋"/>
          <w:sz w:val="32"/>
          <w:szCs w:val="32"/>
          <w:lang w:val="en-GB"/>
        </w:rPr>
        <w:t>甲方：（公章）                乙方：（公章）</w:t>
      </w:r>
    </w:p>
    <w:p w14:paraId="2B0D1F0E">
      <w:pPr>
        <w:spacing w:line="440" w:lineRule="exact"/>
        <w:ind w:firstLine="320" w:firstLineChars="100"/>
        <w:rPr>
          <w:rFonts w:hint="eastAsia" w:ascii="仿宋" w:hAnsi="仿宋" w:eastAsia="仿宋"/>
          <w:sz w:val="32"/>
          <w:szCs w:val="32"/>
          <w:lang w:val="en-GB"/>
        </w:rPr>
      </w:pPr>
    </w:p>
    <w:p w14:paraId="6B88DCF9">
      <w:pPr>
        <w:spacing w:line="440" w:lineRule="exact"/>
        <w:jc w:val="both"/>
        <w:rPr>
          <w:rFonts w:hint="default" w:ascii="仿宋" w:hAnsi="仿宋" w:eastAsia="仿宋"/>
          <w:sz w:val="32"/>
          <w:szCs w:val="32"/>
          <w:lang w:val="en-US"/>
        </w:rPr>
      </w:pPr>
      <w:r>
        <w:rPr>
          <w:rFonts w:hint="eastAsia" w:ascii="仿宋" w:hAnsi="仿宋" w:eastAsia="仿宋"/>
          <w:sz w:val="32"/>
          <w:szCs w:val="32"/>
          <w:lang w:val="en-GB"/>
        </w:rPr>
        <w:t>法定代表人</w:t>
      </w:r>
      <w:r>
        <w:rPr>
          <w:rFonts w:hint="eastAsia" w:ascii="仿宋" w:hAnsi="仿宋" w:eastAsia="仿宋"/>
          <w:sz w:val="32"/>
          <w:szCs w:val="32"/>
          <w:lang w:val="en-GB" w:eastAsia="zh-CN"/>
        </w:rPr>
        <w:t>（</w:t>
      </w:r>
      <w:r>
        <w:rPr>
          <w:rFonts w:hint="eastAsia" w:ascii="仿宋" w:hAnsi="仿宋" w:eastAsia="仿宋"/>
          <w:sz w:val="32"/>
          <w:szCs w:val="32"/>
          <w:lang w:val="en-US" w:eastAsia="zh-CN"/>
        </w:rPr>
        <w:t>或授权代表</w:t>
      </w:r>
      <w:r>
        <w:rPr>
          <w:rFonts w:hint="eastAsia" w:ascii="仿宋" w:hAnsi="仿宋" w:eastAsia="仿宋"/>
          <w:sz w:val="32"/>
          <w:szCs w:val="32"/>
          <w:lang w:val="en-GB" w:eastAsia="zh-CN"/>
        </w:rPr>
        <w:t>）</w:t>
      </w:r>
      <w:r>
        <w:rPr>
          <w:rFonts w:hint="eastAsia" w:ascii="仿宋" w:hAnsi="仿宋" w:eastAsia="仿宋"/>
          <w:sz w:val="32"/>
          <w:szCs w:val="32"/>
          <w:lang w:val="en-US" w:eastAsia="zh-CN"/>
        </w:rPr>
        <w:t xml:space="preserve">     </w:t>
      </w:r>
      <w:r>
        <w:rPr>
          <w:rFonts w:hint="eastAsia" w:ascii="仿宋" w:hAnsi="仿宋" w:eastAsia="仿宋"/>
          <w:sz w:val="32"/>
          <w:szCs w:val="32"/>
          <w:lang w:val="en-GB"/>
        </w:rPr>
        <w:t>法定代表人</w:t>
      </w:r>
      <w:r>
        <w:rPr>
          <w:rFonts w:hint="eastAsia" w:ascii="仿宋" w:hAnsi="仿宋" w:eastAsia="仿宋"/>
          <w:sz w:val="32"/>
          <w:szCs w:val="32"/>
          <w:lang w:val="en-US" w:eastAsia="zh-CN"/>
        </w:rPr>
        <w:t>(或授权代表）</w:t>
      </w:r>
    </w:p>
    <w:p w14:paraId="6B7B0251">
      <w:pPr>
        <w:spacing w:line="440" w:lineRule="exact"/>
        <w:rPr>
          <w:rFonts w:hint="eastAsia" w:ascii="仿宋" w:hAnsi="仿宋" w:eastAsia="仿宋"/>
          <w:sz w:val="32"/>
          <w:szCs w:val="32"/>
          <w:lang w:val="en-GB"/>
        </w:rPr>
      </w:pPr>
      <w:r>
        <w:rPr>
          <w:rFonts w:hint="eastAsia" w:ascii="仿宋" w:hAnsi="仿宋" w:eastAsia="仿宋"/>
          <w:sz w:val="32"/>
          <w:szCs w:val="32"/>
          <w:lang w:val="en-US" w:eastAsia="zh-CN"/>
        </w:rPr>
        <w:t>签字：                       签字：</w:t>
      </w:r>
      <w:r>
        <w:rPr>
          <w:rFonts w:hint="eastAsia" w:ascii="仿宋" w:hAnsi="仿宋" w:eastAsia="仿宋"/>
          <w:sz w:val="32"/>
          <w:szCs w:val="32"/>
          <w:lang w:val="en-GB"/>
        </w:rPr>
        <w:t xml:space="preserve">  </w:t>
      </w:r>
    </w:p>
    <w:p w14:paraId="417EFA51">
      <w:pPr>
        <w:spacing w:line="440" w:lineRule="exact"/>
        <w:rPr>
          <w:rFonts w:hint="eastAsia" w:ascii="仿宋" w:hAnsi="仿宋" w:eastAsia="仿宋"/>
          <w:sz w:val="32"/>
          <w:szCs w:val="32"/>
          <w:lang w:val="en-GB"/>
        </w:rPr>
      </w:pPr>
      <w:r>
        <w:rPr>
          <w:rFonts w:hint="eastAsia" w:ascii="仿宋" w:hAnsi="仿宋" w:eastAsia="仿宋"/>
          <w:sz w:val="32"/>
          <w:szCs w:val="32"/>
        </w:rPr>
        <w:t xml:space="preserve">             </w:t>
      </w:r>
    </w:p>
    <w:p w14:paraId="4E300D5F">
      <w:pPr>
        <w:spacing w:line="440" w:lineRule="exact"/>
        <w:ind w:firstLine="320" w:firstLineChars="100"/>
        <w:rPr>
          <w:rFonts w:hint="eastAsia" w:ascii="仿宋" w:hAnsi="仿宋" w:eastAsia="仿宋"/>
          <w:sz w:val="32"/>
          <w:szCs w:val="32"/>
          <w:lang w:val="en-GB"/>
        </w:rPr>
      </w:pPr>
      <w:r>
        <w:rPr>
          <w:rFonts w:hint="eastAsia" w:ascii="仿宋" w:hAnsi="仿宋" w:eastAsia="仿宋"/>
          <w:sz w:val="32"/>
          <w:szCs w:val="32"/>
          <w:lang w:val="en-GB"/>
        </w:rPr>
        <w:t>　　　　　　</w:t>
      </w:r>
    </w:p>
    <w:p w14:paraId="15014FE6">
      <w:pPr>
        <w:spacing w:line="440" w:lineRule="exact"/>
        <w:ind w:firstLine="320" w:firstLineChars="100"/>
        <w:rPr>
          <w:rFonts w:hint="eastAsia" w:ascii="仿宋" w:hAnsi="仿宋" w:eastAsia="仿宋"/>
          <w:sz w:val="30"/>
          <w:szCs w:val="30"/>
          <w:lang w:val="en-GB"/>
        </w:rPr>
      </w:pPr>
      <w:r>
        <w:rPr>
          <w:rFonts w:hint="eastAsia" w:ascii="仿宋" w:hAnsi="仿宋" w:eastAsia="仿宋"/>
          <w:sz w:val="32"/>
          <w:szCs w:val="32"/>
          <w:lang w:val="en-GB"/>
        </w:rPr>
        <w:t>　年  月  日                        年  月  日</w:t>
      </w:r>
      <w:r>
        <w:rPr>
          <w:rFonts w:hint="eastAsia" w:ascii="仿宋" w:hAnsi="仿宋" w:eastAsia="仿宋"/>
          <w:sz w:val="30"/>
          <w:szCs w:val="30"/>
          <w:lang w:val="en-GB"/>
        </w:rPr>
        <w:t xml:space="preserve"> </w:t>
      </w:r>
    </w:p>
    <w:p w14:paraId="5AB60780">
      <w:pPr>
        <w:spacing w:line="440" w:lineRule="exact"/>
        <w:ind w:firstLine="300" w:firstLineChars="100"/>
        <w:rPr>
          <w:rFonts w:hint="eastAsia" w:ascii="仿宋" w:hAnsi="仿宋" w:eastAsia="仿宋"/>
          <w:sz w:val="30"/>
          <w:szCs w:val="30"/>
          <w:lang w:val="en-GB"/>
        </w:rPr>
      </w:pPr>
    </w:p>
    <w:p w14:paraId="2B1206B1">
      <w:pPr>
        <w:spacing w:line="440" w:lineRule="exact"/>
        <w:ind w:firstLine="300" w:firstLineChars="100"/>
        <w:rPr>
          <w:rFonts w:hint="eastAsia" w:ascii="仿宋" w:hAnsi="仿宋" w:eastAsia="仿宋"/>
          <w:sz w:val="30"/>
          <w:szCs w:val="30"/>
          <w:lang w:val="en-GB"/>
        </w:rPr>
      </w:pPr>
    </w:p>
    <w:p w14:paraId="03EB825A">
      <w:pPr>
        <w:spacing w:line="440" w:lineRule="exact"/>
        <w:ind w:firstLine="300" w:firstLineChars="100"/>
        <w:rPr>
          <w:rFonts w:hint="eastAsia" w:ascii="仿宋" w:hAnsi="仿宋" w:eastAsia="仿宋"/>
          <w:sz w:val="30"/>
          <w:szCs w:val="30"/>
          <w:lang w:val="en-GB"/>
        </w:rPr>
      </w:pPr>
    </w:p>
    <w:p w14:paraId="15E54628">
      <w:pPr>
        <w:spacing w:line="440" w:lineRule="exact"/>
        <w:ind w:firstLine="300" w:firstLineChars="100"/>
        <w:rPr>
          <w:rFonts w:hint="eastAsia" w:ascii="仿宋" w:hAnsi="仿宋" w:eastAsia="仿宋"/>
          <w:sz w:val="30"/>
          <w:szCs w:val="30"/>
          <w:lang w:val="en-GB"/>
        </w:rPr>
      </w:pPr>
    </w:p>
    <w:p w14:paraId="44D8900E">
      <w:pPr>
        <w:spacing w:line="440" w:lineRule="exact"/>
        <w:ind w:firstLine="300" w:firstLineChars="100"/>
        <w:rPr>
          <w:rFonts w:hint="eastAsia" w:ascii="仿宋" w:hAnsi="仿宋" w:eastAsia="仿宋"/>
          <w:sz w:val="30"/>
          <w:szCs w:val="30"/>
          <w:lang w:val="en-GB"/>
        </w:rPr>
      </w:pPr>
    </w:p>
    <w:p w14:paraId="7303925D">
      <w:pPr>
        <w:spacing w:line="440" w:lineRule="exact"/>
        <w:ind w:firstLine="300" w:firstLineChars="100"/>
        <w:rPr>
          <w:rFonts w:hint="eastAsia" w:ascii="仿宋" w:hAnsi="仿宋" w:eastAsia="仿宋"/>
          <w:sz w:val="30"/>
          <w:szCs w:val="30"/>
          <w:lang w:val="en-GB"/>
        </w:rPr>
      </w:pPr>
    </w:p>
    <w:p w14:paraId="68C1A7EA">
      <w:pPr>
        <w:spacing w:line="440" w:lineRule="exact"/>
        <w:rPr>
          <w:rFonts w:hint="eastAsia" w:ascii="仿宋_GB2312" w:hAnsi="仿宋_GB2312" w:eastAsia="仿宋_GB2312" w:cs="仿宋_GB2312"/>
          <w:color w:val="auto"/>
          <w:sz w:val="32"/>
          <w:szCs w:val="32"/>
          <w:lang w:val="en-GB" w:eastAsia="zh-CN"/>
        </w:rPr>
      </w:pPr>
    </w:p>
    <w:sectPr>
      <w:headerReference r:id="rId4" w:type="first"/>
      <w:footerReference r:id="rId7" w:type="first"/>
      <w:footerReference r:id="rId5" w:type="default"/>
      <w:headerReference r:id="rId3" w:type="even"/>
      <w:footerReference r:id="rId6"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Gungsuh">
    <w:altName w:val="Segoe Print"/>
    <w:panose1 w:val="02030600000101010101"/>
    <w:charset w:val="00"/>
    <w:family w:val="roman"/>
    <w:pitch w:val="default"/>
    <w:sig w:usb0="00000000" w:usb1="00000000" w:usb2="00000030" w:usb3="00000000" w:csb0="4008009F" w:csb1="DFD70000"/>
  </w:font>
  <w:font w:name="Noto Serif CJK JP SemiBold">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CA5C9">
    <w:pPr>
      <w:pStyle w:val="8"/>
      <w:framePr w:wrap="around" w:vAnchor="text" w:hAnchor="margin" w:xAlign="center" w:y="1"/>
      <w:rPr>
        <w:rStyle w:val="13"/>
      </w:rPr>
    </w:pPr>
    <w:r>
      <w:fldChar w:fldCharType="begin"/>
    </w:r>
    <w:r>
      <w:rPr>
        <w:rStyle w:val="13"/>
      </w:rPr>
      <w:instrText xml:space="preserve">PAGE  </w:instrText>
    </w:r>
    <w:r>
      <w:fldChar w:fldCharType="separate"/>
    </w:r>
    <w:r>
      <w:rPr>
        <w:rStyle w:val="13"/>
      </w:rPr>
      <w:t>2</w:t>
    </w:r>
    <w:r>
      <w:fldChar w:fldCharType="end"/>
    </w:r>
  </w:p>
  <w:p w14:paraId="2221120E">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8AA72">
    <w:pPr>
      <w:pStyle w:val="8"/>
      <w:framePr w:wrap="around" w:vAnchor="text" w:hAnchor="margin" w:xAlign="center" w:y="1"/>
      <w:rPr>
        <w:rStyle w:val="13"/>
      </w:rPr>
    </w:pPr>
    <w:r>
      <w:fldChar w:fldCharType="begin"/>
    </w:r>
    <w:r>
      <w:rPr>
        <w:rStyle w:val="13"/>
      </w:rPr>
      <w:instrText xml:space="preserve">PAGE  </w:instrText>
    </w:r>
    <w:r>
      <w:fldChar w:fldCharType="end"/>
    </w:r>
  </w:p>
  <w:p w14:paraId="77E792F4">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D0B72">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FD445">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AC641">
    <w:pPr>
      <w:pStyle w:val="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776"/>
    <w:rsid w:val="00052649"/>
    <w:rsid w:val="00091852"/>
    <w:rsid w:val="000B1B07"/>
    <w:rsid w:val="000B6A1C"/>
    <w:rsid w:val="000E41E0"/>
    <w:rsid w:val="000F0BE8"/>
    <w:rsid w:val="0011407F"/>
    <w:rsid w:val="00122E02"/>
    <w:rsid w:val="00130CBE"/>
    <w:rsid w:val="001441D9"/>
    <w:rsid w:val="00154FBB"/>
    <w:rsid w:val="00155045"/>
    <w:rsid w:val="00163E2C"/>
    <w:rsid w:val="001661C8"/>
    <w:rsid w:val="00175AE5"/>
    <w:rsid w:val="001D3776"/>
    <w:rsid w:val="001D67A1"/>
    <w:rsid w:val="001E0B78"/>
    <w:rsid w:val="002007EA"/>
    <w:rsid w:val="00212D49"/>
    <w:rsid w:val="00221ECD"/>
    <w:rsid w:val="00245701"/>
    <w:rsid w:val="00247BF8"/>
    <w:rsid w:val="00255C86"/>
    <w:rsid w:val="002778C7"/>
    <w:rsid w:val="00281C8B"/>
    <w:rsid w:val="00283546"/>
    <w:rsid w:val="00283872"/>
    <w:rsid w:val="002861BF"/>
    <w:rsid w:val="00297450"/>
    <w:rsid w:val="002A4DD3"/>
    <w:rsid w:val="002E3814"/>
    <w:rsid w:val="00310D33"/>
    <w:rsid w:val="00311763"/>
    <w:rsid w:val="00321432"/>
    <w:rsid w:val="003646FE"/>
    <w:rsid w:val="00367E83"/>
    <w:rsid w:val="00390E4B"/>
    <w:rsid w:val="003B3D39"/>
    <w:rsid w:val="003B3F4B"/>
    <w:rsid w:val="003D3B14"/>
    <w:rsid w:val="0042076D"/>
    <w:rsid w:val="00443625"/>
    <w:rsid w:val="004878B2"/>
    <w:rsid w:val="004947F8"/>
    <w:rsid w:val="004C1083"/>
    <w:rsid w:val="004E5468"/>
    <w:rsid w:val="004F0C5B"/>
    <w:rsid w:val="00523A2F"/>
    <w:rsid w:val="005346EB"/>
    <w:rsid w:val="0055149D"/>
    <w:rsid w:val="00566537"/>
    <w:rsid w:val="00595823"/>
    <w:rsid w:val="00597399"/>
    <w:rsid w:val="005A34D7"/>
    <w:rsid w:val="005B77F8"/>
    <w:rsid w:val="005F4933"/>
    <w:rsid w:val="0060464A"/>
    <w:rsid w:val="00643740"/>
    <w:rsid w:val="0064656E"/>
    <w:rsid w:val="006556B2"/>
    <w:rsid w:val="006833D6"/>
    <w:rsid w:val="006C19AD"/>
    <w:rsid w:val="006D6ED4"/>
    <w:rsid w:val="006F593F"/>
    <w:rsid w:val="00714765"/>
    <w:rsid w:val="00721803"/>
    <w:rsid w:val="00730996"/>
    <w:rsid w:val="0073797A"/>
    <w:rsid w:val="00742FC7"/>
    <w:rsid w:val="0075236C"/>
    <w:rsid w:val="00762768"/>
    <w:rsid w:val="0076410D"/>
    <w:rsid w:val="0076541C"/>
    <w:rsid w:val="00775969"/>
    <w:rsid w:val="007908EA"/>
    <w:rsid w:val="007A3200"/>
    <w:rsid w:val="007C665A"/>
    <w:rsid w:val="008250D4"/>
    <w:rsid w:val="00830AE1"/>
    <w:rsid w:val="00865F6C"/>
    <w:rsid w:val="008754A0"/>
    <w:rsid w:val="008A5F70"/>
    <w:rsid w:val="008B0EBA"/>
    <w:rsid w:val="008D21AF"/>
    <w:rsid w:val="008E3B08"/>
    <w:rsid w:val="00904999"/>
    <w:rsid w:val="00934C47"/>
    <w:rsid w:val="00952FDD"/>
    <w:rsid w:val="00955CE4"/>
    <w:rsid w:val="009636F9"/>
    <w:rsid w:val="009A7E88"/>
    <w:rsid w:val="009B5ABF"/>
    <w:rsid w:val="009D09BC"/>
    <w:rsid w:val="00A23EE7"/>
    <w:rsid w:val="00A71049"/>
    <w:rsid w:val="00A72B96"/>
    <w:rsid w:val="00A779E6"/>
    <w:rsid w:val="00AA2191"/>
    <w:rsid w:val="00AA5D53"/>
    <w:rsid w:val="00AF5E18"/>
    <w:rsid w:val="00B15370"/>
    <w:rsid w:val="00B157EB"/>
    <w:rsid w:val="00B217B3"/>
    <w:rsid w:val="00B23885"/>
    <w:rsid w:val="00B32B15"/>
    <w:rsid w:val="00B41E47"/>
    <w:rsid w:val="00B50881"/>
    <w:rsid w:val="00B60927"/>
    <w:rsid w:val="00B650ED"/>
    <w:rsid w:val="00B8413C"/>
    <w:rsid w:val="00BA3971"/>
    <w:rsid w:val="00BB04BB"/>
    <w:rsid w:val="00BD2B12"/>
    <w:rsid w:val="00BD2F58"/>
    <w:rsid w:val="00BE2A26"/>
    <w:rsid w:val="00BF67F7"/>
    <w:rsid w:val="00BF7FBE"/>
    <w:rsid w:val="00C06A0B"/>
    <w:rsid w:val="00C234EF"/>
    <w:rsid w:val="00C27045"/>
    <w:rsid w:val="00C3639D"/>
    <w:rsid w:val="00C46512"/>
    <w:rsid w:val="00C61BFD"/>
    <w:rsid w:val="00C83BB6"/>
    <w:rsid w:val="00C938EC"/>
    <w:rsid w:val="00CB088E"/>
    <w:rsid w:val="00CD10E9"/>
    <w:rsid w:val="00CE7719"/>
    <w:rsid w:val="00D322AE"/>
    <w:rsid w:val="00D5286F"/>
    <w:rsid w:val="00D574D9"/>
    <w:rsid w:val="00D81821"/>
    <w:rsid w:val="00D96045"/>
    <w:rsid w:val="00DD2732"/>
    <w:rsid w:val="00DE0450"/>
    <w:rsid w:val="00DE45BB"/>
    <w:rsid w:val="00DF312F"/>
    <w:rsid w:val="00E10A33"/>
    <w:rsid w:val="00E1492E"/>
    <w:rsid w:val="00E33B5E"/>
    <w:rsid w:val="00E60E3C"/>
    <w:rsid w:val="00E854CD"/>
    <w:rsid w:val="00EA7362"/>
    <w:rsid w:val="00EB126E"/>
    <w:rsid w:val="00EB266F"/>
    <w:rsid w:val="00F01336"/>
    <w:rsid w:val="00F241A9"/>
    <w:rsid w:val="00F446B2"/>
    <w:rsid w:val="00F44CE3"/>
    <w:rsid w:val="00F60C67"/>
    <w:rsid w:val="00F7243B"/>
    <w:rsid w:val="00FB2447"/>
    <w:rsid w:val="00FC6304"/>
    <w:rsid w:val="00FD2AB2"/>
    <w:rsid w:val="076F0FFD"/>
    <w:rsid w:val="0B63620B"/>
    <w:rsid w:val="0EF72119"/>
    <w:rsid w:val="0F233A52"/>
    <w:rsid w:val="0FEF7CEC"/>
    <w:rsid w:val="254D16A2"/>
    <w:rsid w:val="258F2BC9"/>
    <w:rsid w:val="2A2E0C3A"/>
    <w:rsid w:val="379D53AF"/>
    <w:rsid w:val="39BD6FC6"/>
    <w:rsid w:val="47FF5E28"/>
    <w:rsid w:val="545B0330"/>
    <w:rsid w:val="54990441"/>
    <w:rsid w:val="5639D674"/>
    <w:rsid w:val="57232E54"/>
    <w:rsid w:val="5EFF0FDC"/>
    <w:rsid w:val="5FFDAF47"/>
    <w:rsid w:val="65BE6443"/>
    <w:rsid w:val="68001F70"/>
    <w:rsid w:val="6C7BC3A7"/>
    <w:rsid w:val="6EFD2BE1"/>
    <w:rsid w:val="71D95C59"/>
    <w:rsid w:val="739D4ADA"/>
    <w:rsid w:val="77CD5D29"/>
    <w:rsid w:val="77FA6220"/>
    <w:rsid w:val="78FFB4D2"/>
    <w:rsid w:val="7AFBC0DC"/>
    <w:rsid w:val="7B66A8CD"/>
    <w:rsid w:val="7BE9B829"/>
    <w:rsid w:val="7CAE39D7"/>
    <w:rsid w:val="7D7374D3"/>
    <w:rsid w:val="7D9B769F"/>
    <w:rsid w:val="7FEE5CCA"/>
    <w:rsid w:val="AB9E393C"/>
    <w:rsid w:val="BFFD451E"/>
    <w:rsid w:val="D8DB611D"/>
    <w:rsid w:val="DDFD153E"/>
    <w:rsid w:val="E9DBD803"/>
    <w:rsid w:val="EBBFA1DA"/>
    <w:rsid w:val="EE4D7D20"/>
    <w:rsid w:val="F67EF848"/>
    <w:rsid w:val="F7F35DF6"/>
    <w:rsid w:val="FDEA202F"/>
    <w:rsid w:val="FEADA444"/>
    <w:rsid w:val="FF7F2AFF"/>
    <w:rsid w:val="FFAEB79A"/>
    <w:rsid w:val="FFBF10C2"/>
    <w:rsid w:val="FFDB978E"/>
    <w:rsid w:val="FFFF913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1"/>
    <w:pPr>
      <w:ind w:left="501"/>
    </w:pPr>
    <w:rPr>
      <w:sz w:val="32"/>
      <w:szCs w:val="32"/>
    </w:rPr>
  </w:style>
  <w:style w:type="paragraph" w:styleId="3">
    <w:name w:val="Body Text 2"/>
    <w:basedOn w:val="1"/>
    <w:qFormat/>
    <w:uiPriority w:val="0"/>
    <w:pPr>
      <w:spacing w:line="360" w:lineRule="auto"/>
    </w:pPr>
    <w:rPr>
      <w:rFonts w:ascii="Times New Roman" w:hAnsi="Times New Roman" w:cs="Times New Roman"/>
      <w:sz w:val="24"/>
      <w:szCs w:val="24"/>
    </w:rPr>
  </w:style>
  <w:style w:type="paragraph" w:styleId="4">
    <w:name w:val="annotation text"/>
    <w:basedOn w:val="1"/>
    <w:qFormat/>
    <w:uiPriority w:val="0"/>
    <w:pPr>
      <w:jc w:val="left"/>
    </w:pPr>
  </w:style>
  <w:style w:type="paragraph" w:styleId="5">
    <w:name w:val="Body Text Indent"/>
    <w:basedOn w:val="1"/>
    <w:qFormat/>
    <w:uiPriority w:val="0"/>
    <w:pPr>
      <w:ind w:left="559" w:leftChars="266"/>
    </w:pPr>
    <w:rPr>
      <w:rFonts w:ascii="仿宋_GB2312" w:hAnsi="Gungsuh" w:eastAsia="仿宋_GB2312"/>
      <w:sz w:val="28"/>
      <w:u w:val="single"/>
      <w:lang w:val="en-GB"/>
    </w:rPr>
  </w:style>
  <w:style w:type="paragraph" w:styleId="6">
    <w:name w:val="Body Text Indent 2"/>
    <w:basedOn w:val="1"/>
    <w:qFormat/>
    <w:uiPriority w:val="0"/>
    <w:pPr>
      <w:spacing w:after="120" w:line="480" w:lineRule="auto"/>
      <w:ind w:left="420" w:leftChars="200"/>
    </w:pPr>
  </w:style>
  <w:style w:type="paragraph" w:styleId="7">
    <w:name w:val="Balloon Text"/>
    <w:basedOn w:val="1"/>
    <w:semiHidden/>
    <w:qFormat/>
    <w:uiPriority w:val="0"/>
    <w:rPr>
      <w:sz w:val="18"/>
      <w:szCs w:val="1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Indent 3"/>
    <w:basedOn w:val="1"/>
    <w:qFormat/>
    <w:uiPriority w:val="0"/>
    <w:pPr>
      <w:spacing w:after="120"/>
      <w:ind w:left="420" w:leftChars="200"/>
    </w:pPr>
    <w:rPr>
      <w:sz w:val="16"/>
      <w:szCs w:val="16"/>
    </w:rPr>
  </w:style>
  <w:style w:type="character" w:styleId="13">
    <w:name w:val="page number"/>
    <w:basedOn w:val="12"/>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1089</Words>
  <Characters>1158</Characters>
  <Lines>6</Lines>
  <Paragraphs>1</Paragraphs>
  <TotalTime>22</TotalTime>
  <ScaleCrop>false</ScaleCrop>
  <LinksUpToDate>false</LinksUpToDate>
  <CharactersWithSpaces>1597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2025-01-17T00:26:00Z</dcterms:created>
  <dc:creator>Billgates</dc:creator>
  <cp:lastModifiedBy>Kc</cp:lastModifiedBy>
  <cp:lastPrinted>2025-01-22T01:51:00Z</cp:lastPrinted>
  <dcterms:modified xsi:type="dcterms:W3CDTF">2026-07-22T01:41:53Z</dcterms:modified>
  <dc:title>工程名称：</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EB6FE16AC3464CC49383CE818164C0E5_13</vt:lpwstr>
  </property>
  <property fmtid="{D5CDD505-2E9C-101B-9397-08002B2CF9AE}" pid="4" name="KSOTemplateDocerSaveRecord">
    <vt:lpwstr>eyJoZGlkIjoiZGE3Y2I3OTRlNTA1NjUwZGY1NGI3NTM4NWZhMGI4N2IiLCJ1c2VySWQiOiI5OTk1OTQwMDcifQ==</vt:lpwstr>
  </property>
</Properties>
</file>