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2B0DA8">
      <w:pPr>
        <w:pStyle w:val="39"/>
        <w:widowControl/>
        <w:spacing w:before="454" w:beforeAutospacing="0" w:after="454" w:afterAutospacing="0"/>
        <w:ind w:left="454" w:right="454"/>
        <w:jc w:val="center"/>
        <w:outlineLvl w:val="0"/>
        <w:rPr>
          <w:rFonts w:hint="eastAsia" w:eastAsia="宋体"/>
          <w:b/>
          <w:bCs/>
          <w:sz w:val="40"/>
          <w:szCs w:val="40"/>
          <w:lang w:eastAsia="zh-CN"/>
        </w:rPr>
      </w:pPr>
      <w:bookmarkStart w:id="0" w:name="_Hlk71456902"/>
      <w:r>
        <w:rPr>
          <w:rFonts w:hint="eastAsia"/>
          <w:b/>
          <w:bCs/>
          <w:sz w:val="40"/>
          <w:szCs w:val="40"/>
          <w:lang w:val="en-US" w:eastAsia="zh-CN"/>
        </w:rPr>
        <w:t>2025-2026年度深圳市</w:t>
      </w:r>
      <w:r>
        <w:rPr>
          <w:rFonts w:hint="eastAsia"/>
          <w:b/>
          <w:bCs/>
          <w:sz w:val="40"/>
          <w:szCs w:val="40"/>
          <w:lang w:eastAsia="zh-CN"/>
        </w:rPr>
        <w:t>足球重点城市建设项目</w:t>
      </w:r>
    </w:p>
    <w:p w14:paraId="0B73593A">
      <w:pPr>
        <w:pStyle w:val="39"/>
        <w:widowControl/>
        <w:jc w:val="center"/>
        <w:outlineLvl w:val="1"/>
        <w:rPr>
          <w:rFonts w:ascii="黑体" w:hAnsi="宋体" w:eastAsia="黑体" w:cs="黑体"/>
          <w:sz w:val="40"/>
          <w:szCs w:val="40"/>
        </w:rPr>
      </w:pPr>
      <w:r>
        <w:rPr>
          <w:rFonts w:hint="eastAsia" w:ascii="黑体" w:hAnsi="宋体" w:eastAsia="黑体" w:cs="黑体"/>
          <w:sz w:val="40"/>
          <w:szCs w:val="40"/>
        </w:rPr>
        <w:t>谈判文件信息</w:t>
      </w:r>
    </w:p>
    <w:p w14:paraId="7FFE99FA">
      <w:pPr>
        <w:pStyle w:val="39"/>
        <w:widowControl/>
        <w:jc w:val="center"/>
        <w:outlineLvl w:val="1"/>
        <w:rPr>
          <w:rFonts w:ascii="黑体" w:hAnsi="宋体" w:eastAsia="黑体" w:cs="黑体"/>
          <w:sz w:val="40"/>
          <w:szCs w:val="40"/>
        </w:rPr>
      </w:pPr>
    </w:p>
    <w:tbl>
      <w:tblPr>
        <w:tblStyle w:val="45"/>
        <w:tblW w:w="7943" w:type="dxa"/>
        <w:jc w:val="center"/>
        <w:tblCellSpacing w:w="0" w:type="dxa"/>
        <w:tblLayout w:type="fixed"/>
        <w:tblCellMar>
          <w:top w:w="45" w:type="dxa"/>
          <w:left w:w="45" w:type="dxa"/>
          <w:bottom w:w="45" w:type="dxa"/>
          <w:right w:w="45" w:type="dxa"/>
        </w:tblCellMar>
      </w:tblPr>
      <w:tblGrid>
        <w:gridCol w:w="2723"/>
        <w:gridCol w:w="5220"/>
      </w:tblGrid>
      <w:tr w14:paraId="79A92BE2">
        <w:tblPrEx>
          <w:tblCellMar>
            <w:top w:w="45" w:type="dxa"/>
            <w:left w:w="45" w:type="dxa"/>
            <w:bottom w:w="45" w:type="dxa"/>
            <w:right w:w="45" w:type="dxa"/>
          </w:tblCellMar>
        </w:tblPrEx>
        <w:trPr>
          <w:trHeight w:val="738" w:hRule="atLeast"/>
          <w:tblCellSpacing w:w="0" w:type="dxa"/>
          <w:jc w:val="center"/>
        </w:trPr>
        <w:tc>
          <w:tcPr>
            <w:tcW w:w="2723" w:type="dxa"/>
            <w:vAlign w:val="center"/>
          </w:tcPr>
          <w:p w14:paraId="14E700E3">
            <w:pPr>
              <w:widowControl/>
              <w:jc w:val="right"/>
              <w:rPr>
                <w:sz w:val="30"/>
                <w:szCs w:val="30"/>
              </w:rPr>
            </w:pPr>
            <w:r>
              <w:rPr>
                <w:rFonts w:hint="eastAsia" w:ascii="宋体" w:hAnsi="宋体" w:cs="宋体"/>
                <w:kern w:val="0"/>
                <w:sz w:val="30"/>
                <w:szCs w:val="30"/>
              </w:rPr>
              <w:t>项目编号：</w:t>
            </w:r>
          </w:p>
        </w:tc>
        <w:tc>
          <w:tcPr>
            <w:tcW w:w="5220" w:type="dxa"/>
            <w:vAlign w:val="center"/>
          </w:tcPr>
          <w:p w14:paraId="4928DD74">
            <w:pPr>
              <w:widowControl/>
              <w:jc w:val="left"/>
              <w:rPr>
                <w:rFonts w:hint="default" w:eastAsia="宋体"/>
                <w:sz w:val="30"/>
                <w:szCs w:val="30"/>
                <w:lang w:val="en-US" w:eastAsia="zh-CN"/>
              </w:rPr>
            </w:pPr>
            <w:r>
              <w:rPr>
                <w:rFonts w:hint="eastAsia" w:ascii="宋体" w:hAnsi="宋体" w:cs="宋体"/>
                <w:kern w:val="0"/>
                <w:sz w:val="30"/>
                <w:szCs w:val="30"/>
                <w:lang w:val="en-US" w:eastAsia="zh-CN"/>
              </w:rPr>
              <w:t>3324-DH2531F1252（SZDL2025001765）</w:t>
            </w:r>
          </w:p>
        </w:tc>
      </w:tr>
      <w:tr w14:paraId="3553A628">
        <w:tblPrEx>
          <w:tblCellMar>
            <w:top w:w="45" w:type="dxa"/>
            <w:left w:w="45" w:type="dxa"/>
            <w:bottom w:w="45" w:type="dxa"/>
            <w:right w:w="45" w:type="dxa"/>
          </w:tblCellMar>
        </w:tblPrEx>
        <w:trPr>
          <w:trHeight w:val="738" w:hRule="atLeast"/>
          <w:tblCellSpacing w:w="0" w:type="dxa"/>
          <w:jc w:val="center"/>
        </w:trPr>
        <w:tc>
          <w:tcPr>
            <w:tcW w:w="2723" w:type="dxa"/>
            <w:vAlign w:val="center"/>
          </w:tcPr>
          <w:p w14:paraId="42C401AD">
            <w:pPr>
              <w:widowControl/>
              <w:jc w:val="right"/>
              <w:rPr>
                <w:sz w:val="30"/>
                <w:szCs w:val="30"/>
              </w:rPr>
            </w:pPr>
            <w:r>
              <w:rPr>
                <w:rFonts w:hint="eastAsia" w:ascii="宋体" w:hAnsi="宋体" w:cs="宋体"/>
                <w:kern w:val="0"/>
                <w:sz w:val="30"/>
                <w:szCs w:val="30"/>
              </w:rPr>
              <w:t>项目名称：</w:t>
            </w:r>
          </w:p>
        </w:tc>
        <w:tc>
          <w:tcPr>
            <w:tcW w:w="5220" w:type="dxa"/>
            <w:vAlign w:val="center"/>
          </w:tcPr>
          <w:p w14:paraId="61AD8494">
            <w:pPr>
              <w:widowControl/>
              <w:jc w:val="left"/>
              <w:rPr>
                <w:rFonts w:hint="eastAsia" w:eastAsia="宋体"/>
                <w:sz w:val="30"/>
                <w:szCs w:val="30"/>
                <w:lang w:eastAsia="zh-CN"/>
              </w:rPr>
            </w:pPr>
            <w:r>
              <w:rPr>
                <w:rFonts w:hint="eastAsia" w:ascii="宋体" w:hAnsi="宋体" w:cs="宋体"/>
                <w:bCs/>
                <w:kern w:val="0"/>
                <w:sz w:val="30"/>
                <w:szCs w:val="30"/>
                <w:lang w:val="en-US" w:eastAsia="zh-CN"/>
              </w:rPr>
              <w:t>2025-2026年度深圳市</w:t>
            </w:r>
            <w:r>
              <w:rPr>
                <w:rFonts w:hint="eastAsia" w:ascii="宋体" w:hAnsi="宋体" w:cs="宋体"/>
                <w:bCs/>
                <w:kern w:val="0"/>
                <w:sz w:val="30"/>
                <w:szCs w:val="30"/>
                <w:lang w:eastAsia="zh-CN"/>
              </w:rPr>
              <w:t>足球重点城市建设项目</w:t>
            </w:r>
          </w:p>
        </w:tc>
      </w:tr>
      <w:tr w14:paraId="7F314123">
        <w:tblPrEx>
          <w:tblCellMar>
            <w:top w:w="45" w:type="dxa"/>
            <w:left w:w="45" w:type="dxa"/>
            <w:bottom w:w="45" w:type="dxa"/>
            <w:right w:w="45" w:type="dxa"/>
          </w:tblCellMar>
        </w:tblPrEx>
        <w:trPr>
          <w:trHeight w:val="738" w:hRule="atLeast"/>
          <w:tblCellSpacing w:w="0" w:type="dxa"/>
          <w:jc w:val="center"/>
        </w:trPr>
        <w:tc>
          <w:tcPr>
            <w:tcW w:w="2723" w:type="dxa"/>
            <w:vAlign w:val="center"/>
          </w:tcPr>
          <w:p w14:paraId="61A1B259">
            <w:pPr>
              <w:widowControl/>
              <w:jc w:val="right"/>
              <w:rPr>
                <w:sz w:val="30"/>
                <w:szCs w:val="30"/>
              </w:rPr>
            </w:pPr>
            <w:r>
              <w:rPr>
                <w:rFonts w:hint="eastAsia" w:ascii="宋体" w:hAnsi="宋体" w:cs="宋体"/>
                <w:kern w:val="0"/>
                <w:sz w:val="30"/>
                <w:szCs w:val="30"/>
              </w:rPr>
              <w:t>包</w:t>
            </w:r>
            <w:r>
              <w:rPr>
                <w:rFonts w:ascii="宋体" w:hAnsi="宋体" w:cs="宋体"/>
                <w:kern w:val="0"/>
                <w:sz w:val="30"/>
                <w:szCs w:val="30"/>
              </w:rPr>
              <w:t xml:space="preserve"> </w:t>
            </w:r>
            <w:r>
              <w:rPr>
                <w:rFonts w:hint="eastAsia" w:ascii="宋体" w:hAnsi="宋体" w:cs="宋体"/>
                <w:kern w:val="0"/>
                <w:sz w:val="30"/>
                <w:szCs w:val="30"/>
              </w:rPr>
              <w:t>号：</w:t>
            </w:r>
          </w:p>
        </w:tc>
        <w:tc>
          <w:tcPr>
            <w:tcW w:w="5220" w:type="dxa"/>
            <w:vAlign w:val="center"/>
          </w:tcPr>
          <w:p w14:paraId="207EBF23">
            <w:pPr>
              <w:widowControl/>
              <w:jc w:val="left"/>
              <w:rPr>
                <w:sz w:val="30"/>
                <w:szCs w:val="30"/>
              </w:rPr>
            </w:pPr>
            <w:r>
              <w:rPr>
                <w:rFonts w:ascii="宋体" w:hAnsi="宋体" w:cs="宋体"/>
                <w:kern w:val="0"/>
                <w:sz w:val="30"/>
                <w:szCs w:val="30"/>
              </w:rPr>
              <w:t>A</w:t>
            </w:r>
          </w:p>
        </w:tc>
      </w:tr>
      <w:tr w14:paraId="0460226C">
        <w:tblPrEx>
          <w:tblCellMar>
            <w:top w:w="45" w:type="dxa"/>
            <w:left w:w="45" w:type="dxa"/>
            <w:bottom w:w="45" w:type="dxa"/>
            <w:right w:w="45" w:type="dxa"/>
          </w:tblCellMar>
        </w:tblPrEx>
        <w:trPr>
          <w:trHeight w:val="738" w:hRule="atLeast"/>
          <w:tblCellSpacing w:w="0" w:type="dxa"/>
          <w:jc w:val="center"/>
        </w:trPr>
        <w:tc>
          <w:tcPr>
            <w:tcW w:w="2723" w:type="dxa"/>
            <w:vAlign w:val="center"/>
          </w:tcPr>
          <w:p w14:paraId="15DB6F3F">
            <w:pPr>
              <w:widowControl/>
              <w:jc w:val="right"/>
              <w:rPr>
                <w:sz w:val="30"/>
                <w:szCs w:val="30"/>
              </w:rPr>
            </w:pPr>
            <w:r>
              <w:rPr>
                <w:rFonts w:hint="eastAsia" w:ascii="宋体" w:hAnsi="宋体" w:cs="宋体"/>
                <w:kern w:val="0"/>
                <w:sz w:val="30"/>
                <w:szCs w:val="30"/>
              </w:rPr>
              <w:t>项目类型：</w:t>
            </w:r>
          </w:p>
        </w:tc>
        <w:tc>
          <w:tcPr>
            <w:tcW w:w="5220" w:type="dxa"/>
            <w:vAlign w:val="center"/>
          </w:tcPr>
          <w:p w14:paraId="08F5EB5C">
            <w:pPr>
              <w:widowControl/>
              <w:jc w:val="left"/>
              <w:rPr>
                <w:sz w:val="30"/>
                <w:szCs w:val="30"/>
              </w:rPr>
            </w:pPr>
            <w:r>
              <w:rPr>
                <w:rFonts w:hint="eastAsia" w:ascii="宋体" w:hAnsi="宋体" w:cs="宋体"/>
                <w:kern w:val="0"/>
                <w:sz w:val="30"/>
                <w:szCs w:val="30"/>
                <w:lang w:val="en-US" w:eastAsia="zh-CN"/>
              </w:rPr>
              <w:t>服务</w:t>
            </w:r>
            <w:r>
              <w:rPr>
                <w:rFonts w:hint="eastAsia" w:ascii="宋体" w:hAnsi="宋体" w:cs="宋体"/>
                <w:kern w:val="0"/>
                <w:sz w:val="30"/>
                <w:szCs w:val="30"/>
              </w:rPr>
              <w:t>类</w:t>
            </w:r>
          </w:p>
        </w:tc>
      </w:tr>
      <w:tr w14:paraId="6308BC67">
        <w:tblPrEx>
          <w:tblCellMar>
            <w:top w:w="45" w:type="dxa"/>
            <w:left w:w="45" w:type="dxa"/>
            <w:bottom w:w="45" w:type="dxa"/>
            <w:right w:w="45" w:type="dxa"/>
          </w:tblCellMar>
        </w:tblPrEx>
        <w:trPr>
          <w:trHeight w:val="738" w:hRule="atLeast"/>
          <w:tblCellSpacing w:w="0" w:type="dxa"/>
          <w:jc w:val="center"/>
        </w:trPr>
        <w:tc>
          <w:tcPr>
            <w:tcW w:w="2723" w:type="dxa"/>
            <w:vAlign w:val="center"/>
          </w:tcPr>
          <w:p w14:paraId="451B62B8">
            <w:pPr>
              <w:widowControl/>
              <w:jc w:val="right"/>
              <w:rPr>
                <w:sz w:val="30"/>
                <w:szCs w:val="30"/>
              </w:rPr>
            </w:pPr>
            <w:r>
              <w:rPr>
                <w:rFonts w:hint="eastAsia" w:ascii="宋体" w:hAnsi="宋体" w:cs="宋体"/>
                <w:kern w:val="0"/>
                <w:sz w:val="30"/>
                <w:szCs w:val="30"/>
              </w:rPr>
              <w:t>采购方式：</w:t>
            </w:r>
          </w:p>
        </w:tc>
        <w:tc>
          <w:tcPr>
            <w:tcW w:w="5220" w:type="dxa"/>
            <w:vAlign w:val="center"/>
          </w:tcPr>
          <w:p w14:paraId="15E1C999">
            <w:pPr>
              <w:widowControl/>
              <w:jc w:val="left"/>
              <w:rPr>
                <w:rFonts w:hint="default" w:eastAsia="宋体"/>
                <w:sz w:val="30"/>
                <w:szCs w:val="30"/>
                <w:lang w:val="en-US" w:eastAsia="zh-CN"/>
              </w:rPr>
            </w:pPr>
            <w:r>
              <w:rPr>
                <w:rFonts w:hint="eastAsia"/>
                <w:sz w:val="30"/>
                <w:szCs w:val="30"/>
                <w:lang w:val="en-US" w:eastAsia="zh-CN"/>
              </w:rPr>
              <w:t>单一来源采购</w:t>
            </w:r>
          </w:p>
        </w:tc>
      </w:tr>
      <w:tr w14:paraId="12E74B98">
        <w:tblPrEx>
          <w:tblCellMar>
            <w:top w:w="45" w:type="dxa"/>
            <w:left w:w="45" w:type="dxa"/>
            <w:bottom w:w="45" w:type="dxa"/>
            <w:right w:w="45" w:type="dxa"/>
          </w:tblCellMar>
        </w:tblPrEx>
        <w:trPr>
          <w:trHeight w:val="738" w:hRule="atLeast"/>
          <w:tblCellSpacing w:w="0" w:type="dxa"/>
          <w:jc w:val="center"/>
        </w:trPr>
        <w:tc>
          <w:tcPr>
            <w:tcW w:w="2723" w:type="dxa"/>
            <w:vAlign w:val="center"/>
          </w:tcPr>
          <w:p w14:paraId="3279DE70">
            <w:pPr>
              <w:widowControl/>
              <w:jc w:val="right"/>
              <w:rPr>
                <w:sz w:val="30"/>
                <w:szCs w:val="30"/>
              </w:rPr>
            </w:pPr>
            <w:r>
              <w:rPr>
                <w:rFonts w:hint="eastAsia" w:ascii="宋体" w:hAnsi="宋体" w:cs="宋体"/>
                <w:kern w:val="0"/>
                <w:sz w:val="30"/>
                <w:szCs w:val="30"/>
              </w:rPr>
              <w:t>货币类型：</w:t>
            </w:r>
          </w:p>
        </w:tc>
        <w:tc>
          <w:tcPr>
            <w:tcW w:w="5220" w:type="dxa"/>
            <w:vAlign w:val="center"/>
          </w:tcPr>
          <w:p w14:paraId="4F42B363">
            <w:pPr>
              <w:widowControl/>
              <w:jc w:val="left"/>
              <w:rPr>
                <w:sz w:val="30"/>
                <w:szCs w:val="30"/>
              </w:rPr>
            </w:pPr>
            <w:r>
              <w:rPr>
                <w:rFonts w:hint="eastAsia" w:ascii="宋体" w:hAnsi="宋体" w:cs="宋体"/>
                <w:kern w:val="0"/>
                <w:sz w:val="30"/>
                <w:szCs w:val="30"/>
              </w:rPr>
              <w:t>人民币</w:t>
            </w:r>
          </w:p>
        </w:tc>
      </w:tr>
      <w:tr w14:paraId="347DC984">
        <w:tblPrEx>
          <w:tblCellMar>
            <w:top w:w="45" w:type="dxa"/>
            <w:left w:w="45" w:type="dxa"/>
            <w:bottom w:w="45" w:type="dxa"/>
            <w:right w:w="45" w:type="dxa"/>
          </w:tblCellMar>
        </w:tblPrEx>
        <w:trPr>
          <w:trHeight w:val="738" w:hRule="atLeast"/>
          <w:tblCellSpacing w:w="0" w:type="dxa"/>
          <w:jc w:val="center"/>
        </w:trPr>
        <w:tc>
          <w:tcPr>
            <w:tcW w:w="2723" w:type="dxa"/>
            <w:vAlign w:val="center"/>
          </w:tcPr>
          <w:p w14:paraId="181323A4">
            <w:pPr>
              <w:widowControl/>
              <w:jc w:val="right"/>
              <w:rPr>
                <w:sz w:val="30"/>
                <w:szCs w:val="30"/>
              </w:rPr>
            </w:pPr>
            <w:r>
              <w:rPr>
                <w:rFonts w:hint="eastAsia" w:ascii="宋体" w:hAnsi="宋体" w:cs="宋体"/>
                <w:kern w:val="0"/>
                <w:sz w:val="30"/>
                <w:szCs w:val="30"/>
              </w:rPr>
              <w:t>评标方法：</w:t>
            </w:r>
          </w:p>
        </w:tc>
        <w:tc>
          <w:tcPr>
            <w:tcW w:w="5220" w:type="dxa"/>
            <w:vAlign w:val="center"/>
          </w:tcPr>
          <w:p w14:paraId="485692B5">
            <w:pPr>
              <w:widowControl/>
              <w:jc w:val="left"/>
              <w:rPr>
                <w:sz w:val="30"/>
                <w:szCs w:val="30"/>
              </w:rPr>
            </w:pPr>
            <w:r>
              <w:rPr>
                <w:rFonts w:hint="eastAsia" w:ascii="宋体" w:hAnsi="宋体" w:cs="宋体"/>
                <w:kern w:val="0"/>
                <w:sz w:val="30"/>
                <w:szCs w:val="30"/>
              </w:rPr>
              <w:t>最低价法</w:t>
            </w:r>
          </w:p>
        </w:tc>
      </w:tr>
      <w:bookmarkEnd w:id="0"/>
    </w:tbl>
    <w:p w14:paraId="2785C40B">
      <w:pPr>
        <w:jc w:val="center"/>
        <w:rPr>
          <w:rFonts w:ascii="黑体" w:hAnsi="宋体" w:eastAsia="黑体" w:cs="黑体"/>
          <w:sz w:val="40"/>
          <w:szCs w:val="40"/>
        </w:rPr>
      </w:pPr>
      <w:r>
        <w:rPr>
          <w:rFonts w:ascii="黑体" w:hAnsi="宋体" w:eastAsia="黑体" w:cs="黑体"/>
          <w:sz w:val="40"/>
          <w:szCs w:val="40"/>
        </w:rPr>
        <w:br w:type="page"/>
      </w:r>
      <w:r>
        <w:rPr>
          <w:rFonts w:hint="eastAsia" w:ascii="黑体" w:hAnsi="宋体" w:eastAsia="黑体" w:cs="黑体"/>
          <w:sz w:val="40"/>
          <w:szCs w:val="40"/>
        </w:rPr>
        <w:t>资格性审查表</w:t>
      </w:r>
    </w:p>
    <w:tbl>
      <w:tblPr>
        <w:tblStyle w:val="45"/>
        <w:tblW w:w="907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84"/>
      </w:tblGrid>
      <w:tr w14:paraId="68730FE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565A93F5">
            <w:pPr>
              <w:widowControl/>
              <w:jc w:val="center"/>
              <w:rPr>
                <w:sz w:val="28"/>
                <w:szCs w:val="28"/>
              </w:rPr>
            </w:pPr>
            <w:r>
              <w:rPr>
                <w:rFonts w:hint="eastAsia" w:ascii="宋体" w:hAnsi="宋体" w:cs="宋体"/>
                <w:kern w:val="0"/>
                <w:sz w:val="28"/>
                <w:szCs w:val="28"/>
              </w:rPr>
              <w:t>序号</w:t>
            </w:r>
          </w:p>
        </w:tc>
        <w:tc>
          <w:tcPr>
            <w:tcW w:w="828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28D33BE3">
            <w:pPr>
              <w:widowControl/>
              <w:jc w:val="center"/>
              <w:rPr>
                <w:sz w:val="28"/>
                <w:szCs w:val="28"/>
              </w:rPr>
            </w:pPr>
            <w:r>
              <w:rPr>
                <w:rFonts w:hint="eastAsia" w:ascii="宋体" w:hAnsi="宋体" w:cs="宋体"/>
                <w:kern w:val="0"/>
                <w:sz w:val="28"/>
                <w:szCs w:val="28"/>
              </w:rPr>
              <w:t>内容</w:t>
            </w:r>
          </w:p>
        </w:tc>
      </w:tr>
      <w:tr w14:paraId="3C7BC6B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271B04C1">
            <w:pPr>
              <w:widowControl/>
              <w:jc w:val="center"/>
              <w:textAlignment w:val="top"/>
              <w:rPr>
                <w:sz w:val="22"/>
                <w:szCs w:val="22"/>
              </w:rPr>
            </w:pPr>
            <w:r>
              <w:rPr>
                <w:rFonts w:ascii="宋体" w:hAnsi="宋体" w:cs="宋体"/>
                <w:kern w:val="0"/>
                <w:sz w:val="22"/>
                <w:szCs w:val="22"/>
              </w:rPr>
              <w:t>1</w:t>
            </w:r>
          </w:p>
        </w:tc>
        <w:tc>
          <w:tcPr>
            <w:tcW w:w="8284" w:type="dxa"/>
            <w:tcBorders>
              <w:top w:val="single" w:color="000000" w:sz="8" w:space="0"/>
              <w:left w:val="single" w:color="000000" w:sz="8" w:space="0"/>
              <w:bottom w:val="single" w:color="000000" w:sz="8" w:space="0"/>
              <w:right w:val="single" w:color="000000" w:sz="8" w:space="0"/>
            </w:tcBorders>
          </w:tcPr>
          <w:p w14:paraId="281B0F41">
            <w:pPr>
              <w:widowControl/>
              <w:jc w:val="left"/>
              <w:textAlignment w:val="top"/>
              <w:rPr>
                <w:sz w:val="22"/>
                <w:szCs w:val="22"/>
              </w:rPr>
            </w:pPr>
            <w:r>
              <w:rPr>
                <w:rFonts w:hint="eastAsia"/>
                <w:sz w:val="22"/>
                <w:szCs w:val="22"/>
              </w:rPr>
              <w:t>供应商不符合项目资格要求，或未提交相应的资格证明资料</w:t>
            </w:r>
            <w:r>
              <w:rPr>
                <w:rFonts w:hint="eastAsia"/>
                <w:sz w:val="22"/>
                <w:szCs w:val="22"/>
                <w:lang w:eastAsia="zh-CN"/>
              </w:rPr>
              <w:t>，</w:t>
            </w:r>
            <w:r>
              <w:rPr>
                <w:rFonts w:hint="eastAsia"/>
                <w:sz w:val="22"/>
                <w:szCs w:val="22"/>
              </w:rPr>
              <w:t>且无法按照谈判小组要求及时补充的</w:t>
            </w:r>
            <w:r>
              <w:rPr>
                <w:rFonts w:hint="eastAsia" w:ascii="宋体" w:hAnsi="宋体" w:cs="宋体"/>
                <w:kern w:val="0"/>
                <w:sz w:val="22"/>
                <w:szCs w:val="22"/>
              </w:rPr>
              <w:t>（详见公告</w:t>
            </w:r>
            <w:r>
              <w:rPr>
                <w:rFonts w:hint="eastAsia" w:ascii="宋体" w:hAnsi="宋体" w:cs="宋体"/>
                <w:sz w:val="22"/>
                <w:szCs w:val="22"/>
              </w:rPr>
              <w:t>供应商</w:t>
            </w:r>
            <w:r>
              <w:rPr>
                <w:rFonts w:hint="eastAsia" w:ascii="宋体" w:hAnsi="宋体"/>
                <w:sz w:val="22"/>
                <w:szCs w:val="22"/>
              </w:rPr>
              <w:t>资格要求，即申请人的资格要求</w:t>
            </w:r>
            <w:r>
              <w:rPr>
                <w:rFonts w:hint="eastAsia" w:ascii="宋体" w:hAnsi="宋体" w:cs="宋体"/>
                <w:kern w:val="0"/>
                <w:sz w:val="22"/>
                <w:szCs w:val="22"/>
              </w:rPr>
              <w:t>）</w:t>
            </w:r>
            <w:r>
              <w:rPr>
                <w:rFonts w:hint="eastAsia"/>
                <w:sz w:val="22"/>
                <w:szCs w:val="22"/>
              </w:rPr>
              <w:t>；</w:t>
            </w:r>
          </w:p>
        </w:tc>
      </w:tr>
      <w:tr w14:paraId="2021A37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2F3DC247">
            <w:pPr>
              <w:widowControl/>
              <w:jc w:val="center"/>
              <w:textAlignment w:val="top"/>
              <w:rPr>
                <w:rFonts w:ascii="宋体" w:cs="宋体"/>
                <w:kern w:val="0"/>
                <w:sz w:val="22"/>
                <w:szCs w:val="22"/>
              </w:rPr>
            </w:pPr>
            <w:r>
              <w:rPr>
                <w:rFonts w:ascii="宋体" w:hAnsi="宋体" w:cs="宋体"/>
                <w:kern w:val="0"/>
                <w:sz w:val="22"/>
                <w:szCs w:val="22"/>
              </w:rPr>
              <w:t>2</w:t>
            </w:r>
          </w:p>
        </w:tc>
        <w:tc>
          <w:tcPr>
            <w:tcW w:w="8284" w:type="dxa"/>
            <w:tcBorders>
              <w:top w:val="single" w:color="000000" w:sz="8" w:space="0"/>
              <w:left w:val="single" w:color="000000" w:sz="8" w:space="0"/>
              <w:bottom w:val="single" w:color="000000" w:sz="8" w:space="0"/>
              <w:right w:val="single" w:color="000000" w:sz="8" w:space="0"/>
            </w:tcBorders>
          </w:tcPr>
          <w:p w14:paraId="579026AC">
            <w:pPr>
              <w:widowControl/>
              <w:jc w:val="left"/>
              <w:textAlignment w:val="top"/>
              <w:rPr>
                <w:rFonts w:hint="eastAsia" w:ascii="宋体" w:eastAsia="宋体" w:cs="宋体"/>
                <w:kern w:val="0"/>
                <w:sz w:val="22"/>
                <w:szCs w:val="22"/>
                <w:lang w:eastAsia="zh-CN"/>
              </w:rPr>
            </w:pPr>
            <w:r>
              <w:rPr>
                <w:rFonts w:hint="eastAsia" w:ascii="宋体" w:hAnsi="宋体" w:cs="宋体"/>
                <w:kern w:val="0"/>
                <w:sz w:val="22"/>
                <w:szCs w:val="22"/>
              </w:rPr>
              <w:t>供应商缺席谈判的</w:t>
            </w:r>
            <w:r>
              <w:rPr>
                <w:rFonts w:hint="eastAsia" w:ascii="宋体" w:hAnsi="宋体" w:cs="宋体"/>
                <w:kern w:val="0"/>
                <w:sz w:val="22"/>
                <w:szCs w:val="22"/>
                <w:lang w:eastAsia="zh-CN"/>
              </w:rPr>
              <w:t>。</w:t>
            </w:r>
          </w:p>
        </w:tc>
      </w:tr>
    </w:tbl>
    <w:p w14:paraId="7CB5F5AD">
      <w:pPr>
        <w:pStyle w:val="39"/>
        <w:widowControl/>
        <w:spacing w:before="280" w:beforeAutospacing="0"/>
        <w:jc w:val="center"/>
        <w:outlineLvl w:val="1"/>
        <w:rPr>
          <w:rFonts w:ascii="黑体" w:hAnsi="宋体" w:eastAsia="黑体" w:cs="黑体"/>
          <w:sz w:val="40"/>
          <w:szCs w:val="40"/>
        </w:rPr>
      </w:pPr>
      <w:r>
        <w:rPr>
          <w:rFonts w:hint="eastAsia" w:ascii="黑体" w:hAnsi="宋体" w:eastAsia="黑体" w:cs="黑体"/>
          <w:sz w:val="40"/>
          <w:szCs w:val="40"/>
        </w:rPr>
        <w:t>符合性审查表</w:t>
      </w:r>
    </w:p>
    <w:tbl>
      <w:tblPr>
        <w:tblStyle w:val="45"/>
        <w:tblW w:w="907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84"/>
      </w:tblGrid>
      <w:tr w14:paraId="07A192F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0EEAD49C">
            <w:pPr>
              <w:widowControl/>
              <w:jc w:val="center"/>
              <w:rPr>
                <w:sz w:val="28"/>
                <w:szCs w:val="28"/>
              </w:rPr>
            </w:pPr>
            <w:r>
              <w:rPr>
                <w:rFonts w:hint="eastAsia" w:ascii="宋体" w:hAnsi="宋体" w:cs="宋体"/>
                <w:kern w:val="0"/>
                <w:sz w:val="28"/>
                <w:szCs w:val="28"/>
              </w:rPr>
              <w:t>序号</w:t>
            </w:r>
          </w:p>
        </w:tc>
        <w:tc>
          <w:tcPr>
            <w:tcW w:w="828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2E7D11F5">
            <w:pPr>
              <w:widowControl/>
              <w:jc w:val="center"/>
              <w:rPr>
                <w:sz w:val="28"/>
                <w:szCs w:val="28"/>
              </w:rPr>
            </w:pPr>
            <w:r>
              <w:rPr>
                <w:rFonts w:hint="eastAsia" w:ascii="宋体" w:hAnsi="宋体" w:cs="宋体"/>
                <w:kern w:val="0"/>
                <w:sz w:val="28"/>
                <w:szCs w:val="28"/>
              </w:rPr>
              <w:t>内容</w:t>
            </w:r>
          </w:p>
        </w:tc>
      </w:tr>
      <w:tr w14:paraId="0F6754B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44710015">
            <w:pPr>
              <w:widowControl/>
              <w:jc w:val="center"/>
              <w:textAlignment w:val="top"/>
              <w:rPr>
                <w:rFonts w:hint="eastAsia" w:ascii="宋体" w:hAnsi="宋体" w:eastAsia="宋体" w:cs="宋体"/>
                <w:sz w:val="22"/>
                <w:szCs w:val="22"/>
              </w:rPr>
            </w:pPr>
            <w:r>
              <w:rPr>
                <w:rFonts w:hint="eastAsia" w:ascii="宋体" w:hAnsi="宋体" w:eastAsia="宋体" w:cs="宋体"/>
                <w:kern w:val="0"/>
                <w:sz w:val="22"/>
                <w:szCs w:val="22"/>
              </w:rPr>
              <w:t>1</w:t>
            </w:r>
          </w:p>
        </w:tc>
        <w:tc>
          <w:tcPr>
            <w:tcW w:w="8284" w:type="dxa"/>
            <w:tcBorders>
              <w:top w:val="single" w:color="000000" w:sz="8" w:space="0"/>
              <w:left w:val="single" w:color="000000" w:sz="8" w:space="0"/>
              <w:bottom w:val="single" w:color="000000" w:sz="8" w:space="0"/>
              <w:right w:val="single" w:color="000000" w:sz="8" w:space="0"/>
            </w:tcBorders>
          </w:tcPr>
          <w:p w14:paraId="4DEF04A4">
            <w:pPr>
              <w:widowControl/>
              <w:jc w:val="left"/>
              <w:textAlignment w:val="top"/>
              <w:rPr>
                <w:rFonts w:hint="eastAsia" w:ascii="Times New Roman" w:hAnsi="Times New Roman" w:cs="Times New Roman"/>
                <w:sz w:val="22"/>
                <w:szCs w:val="22"/>
              </w:rPr>
            </w:pPr>
            <w:r>
              <w:rPr>
                <w:rFonts w:hint="eastAsia" w:ascii="Times New Roman" w:hAnsi="Times New Roman" w:cs="Times New Roman"/>
                <w:sz w:val="22"/>
                <w:szCs w:val="22"/>
              </w:rPr>
              <w:t>不得将一个包内容拆开进行应答；</w:t>
            </w:r>
          </w:p>
        </w:tc>
      </w:tr>
      <w:tr w14:paraId="1D18A13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0D14DC19">
            <w:pPr>
              <w:widowControl/>
              <w:jc w:val="center"/>
              <w:textAlignment w:val="top"/>
              <w:rPr>
                <w:rFonts w:hint="eastAsia" w:ascii="宋体" w:hAnsi="宋体" w:eastAsia="宋体" w:cs="宋体"/>
                <w:kern w:val="0"/>
                <w:sz w:val="22"/>
                <w:szCs w:val="22"/>
              </w:rPr>
            </w:pPr>
            <w:r>
              <w:rPr>
                <w:rFonts w:hint="eastAsia" w:ascii="宋体" w:hAnsi="宋体" w:eastAsia="宋体" w:cs="宋体"/>
                <w:kern w:val="0"/>
                <w:sz w:val="22"/>
                <w:szCs w:val="22"/>
              </w:rPr>
              <w:t>2</w:t>
            </w:r>
          </w:p>
        </w:tc>
        <w:tc>
          <w:tcPr>
            <w:tcW w:w="8284" w:type="dxa"/>
            <w:tcBorders>
              <w:top w:val="single" w:color="000000" w:sz="8" w:space="0"/>
              <w:left w:val="single" w:color="000000" w:sz="8" w:space="0"/>
              <w:bottom w:val="single" w:color="000000" w:sz="8" w:space="0"/>
              <w:right w:val="single" w:color="000000" w:sz="8" w:space="0"/>
            </w:tcBorders>
          </w:tcPr>
          <w:p w14:paraId="0263E428">
            <w:pPr>
              <w:widowControl/>
              <w:jc w:val="left"/>
              <w:textAlignment w:val="top"/>
              <w:rPr>
                <w:rFonts w:hint="eastAsia" w:ascii="Times New Roman" w:hAnsi="Times New Roman" w:cs="Times New Roman"/>
                <w:sz w:val="22"/>
                <w:szCs w:val="22"/>
              </w:rPr>
            </w:pPr>
            <w:r>
              <w:rPr>
                <w:rFonts w:hint="eastAsia" w:ascii="Times New Roman" w:hAnsi="Times New Roman" w:cs="Times New Roman"/>
                <w:sz w:val="22"/>
                <w:szCs w:val="22"/>
              </w:rPr>
              <w:t>不得以他人的名义参与谈判、相互串通进行谈判、以行贿手段谋取成交或者以其他弄虚作假方式参与谈判；</w:t>
            </w:r>
          </w:p>
        </w:tc>
      </w:tr>
      <w:tr w14:paraId="78B978C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7885B2BA">
            <w:pPr>
              <w:widowControl/>
              <w:jc w:val="center"/>
              <w:textAlignment w:val="top"/>
              <w:rPr>
                <w:rFonts w:hint="eastAsia" w:ascii="宋体" w:hAnsi="宋体" w:eastAsia="宋体" w:cs="宋体"/>
                <w:sz w:val="22"/>
                <w:szCs w:val="22"/>
              </w:rPr>
            </w:pPr>
            <w:r>
              <w:rPr>
                <w:rFonts w:hint="eastAsia" w:ascii="宋体" w:hAnsi="宋体" w:eastAsia="宋体" w:cs="宋体"/>
                <w:sz w:val="22"/>
                <w:szCs w:val="22"/>
              </w:rPr>
              <w:t>3</w:t>
            </w:r>
          </w:p>
        </w:tc>
        <w:tc>
          <w:tcPr>
            <w:tcW w:w="8284" w:type="dxa"/>
            <w:tcBorders>
              <w:top w:val="single" w:color="000000" w:sz="8" w:space="0"/>
              <w:left w:val="single" w:color="000000" w:sz="8" w:space="0"/>
              <w:bottom w:val="single" w:color="000000" w:sz="8" w:space="0"/>
              <w:right w:val="single" w:color="000000" w:sz="8" w:space="0"/>
            </w:tcBorders>
          </w:tcPr>
          <w:p w14:paraId="3C6DAA5E">
            <w:pPr>
              <w:widowControl/>
              <w:jc w:val="left"/>
              <w:textAlignment w:val="top"/>
              <w:rPr>
                <w:rFonts w:hint="eastAsia" w:ascii="Times New Roman" w:hAnsi="Times New Roman" w:cs="Times New Roman"/>
                <w:sz w:val="22"/>
                <w:szCs w:val="22"/>
              </w:rPr>
            </w:pPr>
            <w:r>
              <w:rPr>
                <w:rFonts w:hint="eastAsia" w:ascii="Times New Roman" w:hAnsi="Times New Roman" w:cs="Times New Roman"/>
                <w:sz w:val="22"/>
                <w:szCs w:val="22"/>
              </w:rPr>
              <w:t>对同一项目不得提供两套以上的应答方案（谈判文件另有规定的除外）；</w:t>
            </w:r>
          </w:p>
        </w:tc>
      </w:tr>
      <w:tr w14:paraId="51AA337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7D076E9E">
            <w:pPr>
              <w:widowControl/>
              <w:jc w:val="center"/>
              <w:textAlignment w:val="top"/>
              <w:rPr>
                <w:rFonts w:hint="eastAsia" w:ascii="宋体" w:hAnsi="宋体" w:eastAsia="宋体" w:cs="宋体"/>
                <w:sz w:val="22"/>
                <w:szCs w:val="22"/>
              </w:rPr>
            </w:pPr>
            <w:r>
              <w:rPr>
                <w:rFonts w:hint="eastAsia" w:ascii="宋体" w:hAnsi="宋体" w:eastAsia="宋体" w:cs="宋体"/>
                <w:sz w:val="22"/>
                <w:szCs w:val="22"/>
              </w:rPr>
              <w:t>4</w:t>
            </w:r>
          </w:p>
        </w:tc>
        <w:tc>
          <w:tcPr>
            <w:tcW w:w="8284" w:type="dxa"/>
            <w:tcBorders>
              <w:top w:val="single" w:color="000000" w:sz="8" w:space="0"/>
              <w:left w:val="single" w:color="000000" w:sz="8" w:space="0"/>
              <w:bottom w:val="single" w:color="000000" w:sz="8" w:space="0"/>
              <w:right w:val="single" w:color="000000" w:sz="8" w:space="0"/>
            </w:tcBorders>
          </w:tcPr>
          <w:p w14:paraId="135FE662">
            <w:pPr>
              <w:widowControl/>
              <w:jc w:val="left"/>
              <w:textAlignment w:val="top"/>
              <w:rPr>
                <w:rFonts w:hint="eastAsia" w:ascii="Times New Roman" w:hAnsi="Times New Roman" w:cs="Times New Roman"/>
                <w:sz w:val="22"/>
                <w:szCs w:val="22"/>
              </w:rPr>
            </w:pPr>
            <w:r>
              <w:rPr>
                <w:rFonts w:hint="eastAsia" w:ascii="Times New Roman" w:hAnsi="Times New Roman" w:cs="Times New Roman"/>
                <w:sz w:val="22"/>
                <w:szCs w:val="22"/>
              </w:rPr>
              <w:t>分项报价或谈判应答总价不得高于相应的预算金额（或设定的预算金额下的最高限价）；</w:t>
            </w:r>
          </w:p>
        </w:tc>
      </w:tr>
      <w:tr w14:paraId="39D4B11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242E8130">
            <w:pPr>
              <w:widowControl/>
              <w:jc w:val="center"/>
              <w:textAlignment w:val="top"/>
              <w:rPr>
                <w:rFonts w:hint="eastAsia" w:ascii="宋体" w:hAnsi="宋体" w:eastAsia="宋体" w:cs="宋体"/>
                <w:sz w:val="22"/>
                <w:szCs w:val="22"/>
              </w:rPr>
            </w:pPr>
            <w:r>
              <w:rPr>
                <w:rFonts w:hint="eastAsia" w:ascii="宋体" w:hAnsi="宋体" w:eastAsia="宋体" w:cs="宋体"/>
                <w:sz w:val="22"/>
                <w:szCs w:val="22"/>
              </w:rPr>
              <w:t>5</w:t>
            </w:r>
          </w:p>
        </w:tc>
        <w:tc>
          <w:tcPr>
            <w:tcW w:w="8284" w:type="dxa"/>
            <w:tcBorders>
              <w:top w:val="single" w:color="000000" w:sz="8" w:space="0"/>
              <w:left w:val="single" w:color="000000" w:sz="8" w:space="0"/>
              <w:bottom w:val="single" w:color="000000" w:sz="8" w:space="0"/>
              <w:right w:val="single" w:color="000000" w:sz="8" w:space="0"/>
            </w:tcBorders>
          </w:tcPr>
          <w:p w14:paraId="5515B77A">
            <w:pPr>
              <w:widowControl/>
              <w:jc w:val="left"/>
              <w:textAlignment w:val="top"/>
              <w:rPr>
                <w:rFonts w:hint="eastAsia" w:ascii="Times New Roman" w:hAnsi="Times New Roman" w:cs="Times New Roman"/>
                <w:sz w:val="22"/>
                <w:szCs w:val="22"/>
              </w:rPr>
            </w:pPr>
            <w:r>
              <w:rPr>
                <w:rFonts w:hint="eastAsia" w:ascii="Times New Roman" w:hAnsi="Times New Roman" w:cs="Times New Roman"/>
                <w:sz w:val="22"/>
                <w:szCs w:val="22"/>
              </w:rPr>
              <w:t>供应商的报价低于其成本，且又不能做出合理说明；</w:t>
            </w:r>
          </w:p>
        </w:tc>
      </w:tr>
      <w:tr w14:paraId="3F24D3D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2119E3F0">
            <w:pPr>
              <w:widowControl/>
              <w:jc w:val="center"/>
              <w:textAlignment w:val="top"/>
              <w:rPr>
                <w:rFonts w:hint="eastAsia" w:ascii="宋体" w:hAnsi="宋体" w:eastAsia="宋体" w:cs="宋体"/>
                <w:sz w:val="22"/>
                <w:szCs w:val="22"/>
              </w:rPr>
            </w:pPr>
            <w:r>
              <w:rPr>
                <w:rFonts w:hint="eastAsia" w:ascii="宋体" w:hAnsi="宋体" w:eastAsia="宋体" w:cs="宋体"/>
                <w:sz w:val="22"/>
                <w:szCs w:val="22"/>
              </w:rPr>
              <w:t>6</w:t>
            </w:r>
          </w:p>
        </w:tc>
        <w:tc>
          <w:tcPr>
            <w:tcW w:w="8284" w:type="dxa"/>
            <w:tcBorders>
              <w:top w:val="single" w:color="000000" w:sz="8" w:space="0"/>
              <w:left w:val="single" w:color="000000" w:sz="8" w:space="0"/>
              <w:bottom w:val="single" w:color="000000" w:sz="8" w:space="0"/>
              <w:right w:val="single" w:color="000000" w:sz="8" w:space="0"/>
            </w:tcBorders>
          </w:tcPr>
          <w:p w14:paraId="53EA6EAB">
            <w:pPr>
              <w:widowControl/>
              <w:jc w:val="left"/>
              <w:textAlignment w:val="top"/>
              <w:rPr>
                <w:rFonts w:hint="eastAsia" w:ascii="Times New Roman" w:hAnsi="Times New Roman" w:cs="Times New Roman"/>
                <w:sz w:val="22"/>
                <w:szCs w:val="22"/>
              </w:rPr>
            </w:pPr>
            <w:r>
              <w:rPr>
                <w:rFonts w:hint="eastAsia" w:ascii="Times New Roman" w:hAnsi="Times New Roman" w:cs="Times New Roman"/>
                <w:sz w:val="22"/>
                <w:szCs w:val="22"/>
              </w:rPr>
              <w:t>所投货物、服务在技术、商务等方面没有实质性满足采购文件要求的（是否实质性满足谈判文件要求，由谈判小组根据《实质性条款响应情况表</w:t>
            </w:r>
            <w:r>
              <w:rPr>
                <w:rFonts w:hint="eastAsia" w:ascii="Times New Roman" w:hAnsi="Times New Roman" w:cs="Times New Roman"/>
                <w:sz w:val="22"/>
                <w:szCs w:val="22"/>
                <w:lang w:eastAsia="zh-CN"/>
              </w:rPr>
              <w:t>（实质性条款响应情况表）</w:t>
            </w:r>
            <w:r>
              <w:rPr>
                <w:rFonts w:hint="eastAsia" w:ascii="Times New Roman" w:hAnsi="Times New Roman" w:cs="Times New Roman"/>
                <w:sz w:val="22"/>
                <w:szCs w:val="22"/>
              </w:rPr>
              <w:t>》做出评判）；</w:t>
            </w:r>
          </w:p>
        </w:tc>
      </w:tr>
      <w:tr w14:paraId="5FDEB52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221C19C0">
            <w:pPr>
              <w:widowControl/>
              <w:jc w:val="center"/>
              <w:textAlignment w:val="top"/>
              <w:rPr>
                <w:rFonts w:hint="eastAsia" w:ascii="宋体" w:hAnsi="宋体" w:eastAsia="宋体" w:cs="宋体"/>
                <w:sz w:val="22"/>
                <w:szCs w:val="22"/>
              </w:rPr>
            </w:pPr>
            <w:r>
              <w:rPr>
                <w:rFonts w:hint="eastAsia" w:ascii="宋体" w:hAnsi="宋体" w:eastAsia="宋体" w:cs="宋体"/>
                <w:sz w:val="22"/>
                <w:szCs w:val="22"/>
              </w:rPr>
              <w:t>7</w:t>
            </w:r>
          </w:p>
        </w:tc>
        <w:tc>
          <w:tcPr>
            <w:tcW w:w="8284" w:type="dxa"/>
            <w:tcBorders>
              <w:top w:val="single" w:color="000000" w:sz="8" w:space="0"/>
              <w:left w:val="single" w:color="000000" w:sz="8" w:space="0"/>
              <w:bottom w:val="single" w:color="000000" w:sz="8" w:space="0"/>
              <w:right w:val="single" w:color="000000" w:sz="8" w:space="0"/>
            </w:tcBorders>
          </w:tcPr>
          <w:p w14:paraId="50AA77D9">
            <w:pPr>
              <w:widowControl/>
              <w:jc w:val="left"/>
              <w:textAlignment w:val="top"/>
              <w:rPr>
                <w:rFonts w:hint="eastAsia" w:ascii="Times New Roman" w:hAnsi="Times New Roman" w:cs="Times New Roman"/>
                <w:sz w:val="22"/>
                <w:szCs w:val="22"/>
              </w:rPr>
            </w:pPr>
            <w:r>
              <w:rPr>
                <w:rFonts w:hint="eastAsia" w:ascii="Times New Roman" w:hAnsi="Times New Roman" w:cs="Times New Roman"/>
                <w:sz w:val="22"/>
                <w:szCs w:val="22"/>
              </w:rPr>
              <w:t>未按采购文件所提供的样式填写《应答书》；未按</w:t>
            </w:r>
            <w:r>
              <w:rPr>
                <w:rFonts w:hint="eastAsia" w:ascii="Times New Roman" w:hAnsi="Times New Roman" w:cs="Times New Roman"/>
                <w:sz w:val="22"/>
                <w:szCs w:val="22"/>
                <w:lang w:val="en-US" w:eastAsia="zh-CN"/>
              </w:rPr>
              <w:t>谈判</w:t>
            </w:r>
            <w:r>
              <w:rPr>
                <w:rFonts w:hint="eastAsia" w:ascii="Times New Roman" w:hAnsi="Times New Roman" w:cs="Times New Roman"/>
                <w:sz w:val="22"/>
                <w:szCs w:val="22"/>
              </w:rPr>
              <w:t>文件所提供的《</w:t>
            </w:r>
            <w:r>
              <w:rPr>
                <w:rFonts w:hint="eastAsia" w:ascii="Times New Roman" w:hAnsi="Times New Roman" w:cs="Times New Roman"/>
                <w:sz w:val="22"/>
                <w:szCs w:val="22"/>
                <w:lang w:eastAsia="zh-CN"/>
              </w:rPr>
              <w:t>政府采购应答及履约承诺函</w:t>
            </w:r>
            <w:r>
              <w:rPr>
                <w:rFonts w:hint="eastAsia" w:ascii="Times New Roman" w:hAnsi="Times New Roman" w:cs="Times New Roman"/>
                <w:sz w:val="22"/>
                <w:szCs w:val="22"/>
              </w:rPr>
              <w:t>》进行承诺或不符合承诺的；未按谈判文件对应答文件组成的要求提供应答文件；</w:t>
            </w:r>
          </w:p>
        </w:tc>
      </w:tr>
      <w:tr w14:paraId="4E6CC6F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5EB0B1B0">
            <w:pPr>
              <w:widowControl/>
              <w:jc w:val="center"/>
              <w:textAlignment w:val="top"/>
              <w:rPr>
                <w:rFonts w:hint="eastAsia" w:ascii="宋体" w:hAnsi="宋体" w:eastAsia="宋体" w:cs="宋体"/>
                <w:sz w:val="22"/>
                <w:szCs w:val="22"/>
              </w:rPr>
            </w:pPr>
            <w:r>
              <w:rPr>
                <w:rFonts w:hint="eastAsia" w:ascii="宋体" w:hAnsi="宋体" w:eastAsia="宋体" w:cs="宋体"/>
                <w:sz w:val="22"/>
                <w:szCs w:val="22"/>
              </w:rPr>
              <w:t>8</w:t>
            </w:r>
          </w:p>
        </w:tc>
        <w:tc>
          <w:tcPr>
            <w:tcW w:w="8284" w:type="dxa"/>
            <w:tcBorders>
              <w:top w:val="single" w:color="000000" w:sz="8" w:space="0"/>
              <w:left w:val="single" w:color="000000" w:sz="8" w:space="0"/>
              <w:bottom w:val="single" w:color="000000" w:sz="8" w:space="0"/>
              <w:right w:val="single" w:color="000000" w:sz="8" w:space="0"/>
            </w:tcBorders>
          </w:tcPr>
          <w:p w14:paraId="44E9CDE8">
            <w:pPr>
              <w:widowControl/>
              <w:jc w:val="left"/>
              <w:textAlignment w:val="top"/>
              <w:rPr>
                <w:rFonts w:hint="eastAsia" w:ascii="Times New Roman" w:hAnsi="Times New Roman" w:cs="Times New Roman"/>
                <w:sz w:val="22"/>
                <w:szCs w:val="22"/>
              </w:rPr>
            </w:pPr>
            <w:r>
              <w:rPr>
                <w:rFonts w:hint="eastAsia" w:ascii="Times New Roman" w:hAnsi="Times New Roman" w:cs="Times New Roman"/>
                <w:sz w:val="22"/>
                <w:szCs w:val="22"/>
              </w:rPr>
              <w:t>采购标的/服务清单/报价等任意一类有缺漏项或响应不全</w:t>
            </w:r>
            <w:r>
              <w:rPr>
                <w:rFonts w:hint="eastAsia" w:ascii="Times New Roman" w:hAnsi="Times New Roman" w:cs="Times New Roman"/>
                <w:sz w:val="22"/>
                <w:szCs w:val="22"/>
                <w:lang w:val="en-US" w:eastAsia="zh-CN"/>
              </w:rPr>
              <w:t>，</w:t>
            </w:r>
            <w:r>
              <w:rPr>
                <w:rFonts w:hint="eastAsia" w:ascii="Times New Roman" w:hAnsi="Times New Roman" w:cs="Times New Roman"/>
                <w:sz w:val="22"/>
                <w:szCs w:val="22"/>
              </w:rPr>
              <w:t>或者对采购文件规定的项目需求内容或者需求数量进行修改，谈判小组判定谈判响应不满足采购需求；</w:t>
            </w:r>
          </w:p>
        </w:tc>
      </w:tr>
      <w:tr w14:paraId="42018D5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top"/>
          </w:tcPr>
          <w:p w14:paraId="1DE0AB86">
            <w:pPr>
              <w:widowControl/>
              <w:jc w:val="center"/>
              <w:textAlignment w:val="top"/>
              <w:rPr>
                <w:rFonts w:hint="eastAsia" w:ascii="宋体" w:hAnsi="宋体" w:eastAsia="宋体" w:cs="宋体"/>
                <w:kern w:val="2"/>
                <w:sz w:val="22"/>
                <w:szCs w:val="22"/>
                <w:lang w:val="en-US" w:eastAsia="zh-CN" w:bidi="ar-SA"/>
              </w:rPr>
            </w:pPr>
            <w:r>
              <w:rPr>
                <w:rFonts w:hint="eastAsia" w:ascii="宋体" w:hAnsi="宋体" w:eastAsia="宋体" w:cs="宋体"/>
                <w:sz w:val="22"/>
                <w:szCs w:val="22"/>
              </w:rPr>
              <w:t>9</w:t>
            </w:r>
          </w:p>
        </w:tc>
        <w:tc>
          <w:tcPr>
            <w:tcW w:w="8284" w:type="dxa"/>
            <w:tcBorders>
              <w:top w:val="single" w:color="000000" w:sz="8" w:space="0"/>
              <w:left w:val="single" w:color="000000" w:sz="8" w:space="0"/>
              <w:bottom w:val="single" w:color="000000" w:sz="8" w:space="0"/>
              <w:right w:val="single" w:color="000000" w:sz="8" w:space="0"/>
            </w:tcBorders>
            <w:shd w:val="clear" w:color="auto" w:fill="auto"/>
            <w:vAlign w:val="top"/>
          </w:tcPr>
          <w:p w14:paraId="788EE315">
            <w:pPr>
              <w:widowControl/>
              <w:jc w:val="left"/>
              <w:textAlignment w:val="top"/>
              <w:rPr>
                <w:rFonts w:hint="eastAsia" w:ascii="Times New Roman" w:hAnsi="Times New Roman" w:cs="Times New Roman"/>
                <w:sz w:val="22"/>
                <w:szCs w:val="22"/>
                <w:lang w:val="en-US" w:eastAsia="zh-CN"/>
              </w:rPr>
            </w:pPr>
            <w:r>
              <w:rPr>
                <w:rFonts w:hint="eastAsia" w:ascii="Times New Roman" w:hAnsi="Times New Roman" w:cs="Times New Roman"/>
                <w:sz w:val="22"/>
                <w:szCs w:val="22"/>
              </w:rPr>
              <w:t>应答文件存在列放位置错误，导致属于信息公开情形的没有被公开；</w:t>
            </w:r>
          </w:p>
        </w:tc>
      </w:tr>
      <w:tr w14:paraId="1A2853C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top"/>
          </w:tcPr>
          <w:p w14:paraId="4B45A2C5">
            <w:pPr>
              <w:widowControl/>
              <w:jc w:val="center"/>
              <w:textAlignment w:val="top"/>
              <w:rPr>
                <w:rFonts w:hint="eastAsia" w:ascii="宋体" w:hAnsi="宋体" w:eastAsia="宋体" w:cs="宋体"/>
                <w:kern w:val="2"/>
                <w:sz w:val="22"/>
                <w:szCs w:val="22"/>
                <w:lang w:val="en-US" w:eastAsia="zh-CN" w:bidi="ar-SA"/>
              </w:rPr>
            </w:pPr>
            <w:r>
              <w:rPr>
                <w:rFonts w:hint="eastAsia" w:ascii="宋体" w:hAnsi="宋体" w:eastAsia="宋体" w:cs="宋体"/>
                <w:sz w:val="22"/>
                <w:szCs w:val="22"/>
              </w:rPr>
              <w:t>10</w:t>
            </w:r>
          </w:p>
        </w:tc>
        <w:tc>
          <w:tcPr>
            <w:tcW w:w="8284" w:type="dxa"/>
            <w:tcBorders>
              <w:top w:val="single" w:color="000000" w:sz="8" w:space="0"/>
              <w:left w:val="single" w:color="000000" w:sz="8" w:space="0"/>
              <w:bottom w:val="single" w:color="000000" w:sz="8" w:space="0"/>
              <w:right w:val="single" w:color="000000" w:sz="8" w:space="0"/>
            </w:tcBorders>
          </w:tcPr>
          <w:p w14:paraId="3A40F062">
            <w:pPr>
              <w:widowControl/>
              <w:jc w:val="left"/>
              <w:textAlignment w:val="top"/>
              <w:rPr>
                <w:rFonts w:hint="eastAsia" w:ascii="Times New Roman" w:hAnsi="Times New Roman" w:cs="Times New Roman"/>
                <w:sz w:val="22"/>
                <w:szCs w:val="22"/>
              </w:rPr>
            </w:pPr>
            <w:r>
              <w:rPr>
                <w:rFonts w:hint="eastAsia" w:ascii="Times New Roman" w:hAnsi="Times New Roman" w:cs="Times New Roman"/>
                <w:sz w:val="22"/>
                <w:szCs w:val="22"/>
              </w:rPr>
              <w:t>谈判应答附有采购人或谈判小组不能接受的条件；</w:t>
            </w:r>
          </w:p>
        </w:tc>
      </w:tr>
      <w:tr w14:paraId="56028BA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top"/>
          </w:tcPr>
          <w:p w14:paraId="5B3592CF">
            <w:pPr>
              <w:widowControl/>
              <w:jc w:val="center"/>
              <w:textAlignment w:val="top"/>
              <w:rPr>
                <w:rFonts w:hint="eastAsia" w:ascii="宋体" w:hAnsi="宋体" w:eastAsia="宋体" w:cs="宋体"/>
                <w:kern w:val="2"/>
                <w:sz w:val="22"/>
                <w:szCs w:val="22"/>
                <w:lang w:val="en-US" w:eastAsia="zh-CN" w:bidi="ar-SA"/>
              </w:rPr>
            </w:pPr>
            <w:r>
              <w:rPr>
                <w:rFonts w:hint="eastAsia" w:ascii="宋体" w:hAnsi="宋体" w:eastAsia="宋体" w:cs="宋体"/>
                <w:kern w:val="0"/>
                <w:sz w:val="22"/>
                <w:szCs w:val="22"/>
              </w:rPr>
              <w:t>11</w:t>
            </w:r>
          </w:p>
        </w:tc>
        <w:tc>
          <w:tcPr>
            <w:tcW w:w="8284" w:type="dxa"/>
            <w:tcBorders>
              <w:top w:val="single" w:color="000000" w:sz="8" w:space="0"/>
              <w:left w:val="single" w:color="000000" w:sz="8" w:space="0"/>
              <w:bottom w:val="single" w:color="000000" w:sz="8" w:space="0"/>
              <w:right w:val="single" w:color="000000" w:sz="8" w:space="0"/>
            </w:tcBorders>
          </w:tcPr>
          <w:p w14:paraId="3C5D884A">
            <w:pPr>
              <w:widowControl/>
              <w:jc w:val="left"/>
              <w:textAlignment w:val="top"/>
              <w:rPr>
                <w:rFonts w:hint="eastAsia" w:ascii="Times New Roman" w:hAnsi="Times New Roman" w:cs="Times New Roman"/>
                <w:sz w:val="22"/>
                <w:szCs w:val="22"/>
              </w:rPr>
            </w:pPr>
            <w:r>
              <w:rPr>
                <w:rFonts w:hint="eastAsia" w:ascii="Times New Roman" w:hAnsi="Times New Roman" w:cs="Times New Roman"/>
                <w:sz w:val="22"/>
                <w:szCs w:val="22"/>
              </w:rPr>
              <w:t>应答文件电子文档不得带病毒；</w:t>
            </w:r>
          </w:p>
        </w:tc>
      </w:tr>
      <w:tr w14:paraId="72B8A23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top"/>
          </w:tcPr>
          <w:p w14:paraId="7CD80E81">
            <w:pPr>
              <w:widowControl/>
              <w:jc w:val="center"/>
              <w:textAlignment w:val="top"/>
              <w:rPr>
                <w:rFonts w:hint="eastAsia" w:ascii="宋体" w:hAnsi="宋体" w:eastAsia="宋体" w:cs="宋体"/>
                <w:kern w:val="2"/>
                <w:sz w:val="22"/>
                <w:szCs w:val="22"/>
                <w:lang w:val="en-US" w:eastAsia="zh-CN" w:bidi="ar-SA"/>
              </w:rPr>
            </w:pPr>
            <w:r>
              <w:rPr>
                <w:rFonts w:hint="eastAsia" w:ascii="宋体" w:hAnsi="宋体" w:eastAsia="宋体" w:cs="宋体"/>
                <w:kern w:val="0"/>
                <w:sz w:val="22"/>
                <w:szCs w:val="22"/>
              </w:rPr>
              <w:t>12</w:t>
            </w:r>
          </w:p>
        </w:tc>
        <w:tc>
          <w:tcPr>
            <w:tcW w:w="8284" w:type="dxa"/>
            <w:tcBorders>
              <w:top w:val="single" w:color="000000" w:sz="8" w:space="0"/>
              <w:left w:val="single" w:color="000000" w:sz="8" w:space="0"/>
              <w:bottom w:val="single" w:color="000000" w:sz="8" w:space="0"/>
              <w:right w:val="single" w:color="000000" w:sz="8" w:space="0"/>
            </w:tcBorders>
          </w:tcPr>
          <w:p w14:paraId="5B3AE168">
            <w:pPr>
              <w:widowControl/>
              <w:jc w:val="left"/>
              <w:textAlignment w:val="top"/>
              <w:rPr>
                <w:rFonts w:hint="eastAsia" w:ascii="Times New Roman" w:hAnsi="Times New Roman" w:cs="Times New Roman"/>
                <w:sz w:val="22"/>
                <w:szCs w:val="22"/>
              </w:rPr>
            </w:pPr>
            <w:r>
              <w:rPr>
                <w:rFonts w:hint="eastAsia" w:ascii="Times New Roman" w:hAnsi="Times New Roman" w:cs="Times New Roman"/>
                <w:sz w:val="22"/>
                <w:szCs w:val="22"/>
              </w:rPr>
              <w:t>应答文件用不属于本公司的电子密钥进行加密的；</w:t>
            </w:r>
          </w:p>
        </w:tc>
      </w:tr>
      <w:tr w14:paraId="107B810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top"/>
          </w:tcPr>
          <w:p w14:paraId="065753DF">
            <w:pPr>
              <w:widowControl/>
              <w:jc w:val="center"/>
              <w:textAlignment w:val="top"/>
              <w:rPr>
                <w:rFonts w:hint="eastAsia" w:ascii="宋体" w:hAnsi="宋体" w:eastAsia="宋体" w:cs="宋体"/>
                <w:kern w:val="2"/>
                <w:sz w:val="22"/>
                <w:szCs w:val="22"/>
                <w:lang w:val="en-US" w:eastAsia="zh-CN" w:bidi="ar-SA"/>
              </w:rPr>
            </w:pPr>
            <w:r>
              <w:rPr>
                <w:rFonts w:hint="eastAsia" w:ascii="宋体" w:hAnsi="宋体" w:eastAsia="宋体" w:cs="宋体"/>
                <w:kern w:val="0"/>
                <w:sz w:val="22"/>
                <w:szCs w:val="22"/>
              </w:rPr>
              <w:t>13</w:t>
            </w:r>
          </w:p>
        </w:tc>
        <w:tc>
          <w:tcPr>
            <w:tcW w:w="8284" w:type="dxa"/>
            <w:tcBorders>
              <w:top w:val="single" w:color="000000" w:sz="8" w:space="0"/>
              <w:left w:val="single" w:color="000000" w:sz="8" w:space="0"/>
              <w:bottom w:val="single" w:color="000000" w:sz="8" w:space="0"/>
              <w:right w:val="single" w:color="000000" w:sz="8" w:space="0"/>
            </w:tcBorders>
          </w:tcPr>
          <w:p w14:paraId="49B4E375">
            <w:pPr>
              <w:widowControl/>
              <w:jc w:val="left"/>
              <w:textAlignment w:val="top"/>
              <w:rPr>
                <w:rFonts w:hint="eastAsia" w:ascii="Times New Roman" w:hAnsi="Times New Roman" w:cs="Times New Roman"/>
                <w:sz w:val="22"/>
                <w:szCs w:val="22"/>
              </w:rPr>
            </w:pPr>
            <w:r>
              <w:rPr>
                <w:rFonts w:hint="eastAsia" w:ascii="Times New Roman" w:hAnsi="Times New Roman" w:cs="Times New Roman"/>
                <w:sz w:val="22"/>
                <w:szCs w:val="22"/>
              </w:rPr>
              <w:t>误选了非本项目的最新加密规则文件，导致</w:t>
            </w:r>
            <w:r>
              <w:rPr>
                <w:rFonts w:hint="eastAsia" w:ascii="Times New Roman" w:hAnsi="Times New Roman" w:cs="Times New Roman"/>
                <w:sz w:val="22"/>
                <w:szCs w:val="22"/>
                <w:lang w:eastAsia="zh-CN"/>
              </w:rPr>
              <w:t>应答文件</w:t>
            </w:r>
            <w:r>
              <w:rPr>
                <w:rFonts w:hint="eastAsia" w:ascii="Times New Roman" w:hAnsi="Times New Roman" w:cs="Times New Roman"/>
                <w:sz w:val="22"/>
                <w:szCs w:val="22"/>
              </w:rPr>
              <w:t>不能在开标时解密；</w:t>
            </w:r>
          </w:p>
        </w:tc>
      </w:tr>
      <w:tr w14:paraId="6B6CDC8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2B0AF13D">
            <w:pPr>
              <w:widowControl/>
              <w:jc w:val="center"/>
              <w:textAlignment w:val="top"/>
              <w:rPr>
                <w:rFonts w:hint="default" w:ascii="宋体" w:hAnsi="宋体" w:eastAsia="宋体" w:cs="宋体"/>
                <w:sz w:val="22"/>
                <w:szCs w:val="22"/>
                <w:lang w:val="en-US" w:eastAsia="zh-CN"/>
              </w:rPr>
            </w:pPr>
            <w:r>
              <w:rPr>
                <w:rFonts w:hint="eastAsia" w:ascii="宋体" w:hAnsi="宋体" w:cs="宋体"/>
                <w:sz w:val="22"/>
                <w:szCs w:val="22"/>
                <w:lang w:val="en-US" w:eastAsia="zh-CN"/>
              </w:rPr>
              <w:t>14</w:t>
            </w:r>
          </w:p>
        </w:tc>
        <w:tc>
          <w:tcPr>
            <w:tcW w:w="8284" w:type="dxa"/>
            <w:tcBorders>
              <w:top w:val="single" w:color="000000" w:sz="8" w:space="0"/>
              <w:left w:val="single" w:color="000000" w:sz="8" w:space="0"/>
              <w:bottom w:val="single" w:color="000000" w:sz="8" w:space="0"/>
              <w:right w:val="single" w:color="000000" w:sz="8" w:space="0"/>
            </w:tcBorders>
          </w:tcPr>
          <w:p w14:paraId="008C6349">
            <w:pPr>
              <w:widowControl/>
              <w:jc w:val="left"/>
              <w:textAlignment w:val="top"/>
              <w:rPr>
                <w:rFonts w:hint="eastAsia" w:ascii="Times New Roman" w:hAnsi="Times New Roman" w:cs="Times New Roman"/>
                <w:sz w:val="22"/>
                <w:szCs w:val="22"/>
              </w:rPr>
            </w:pPr>
            <w:r>
              <w:rPr>
                <w:rFonts w:hint="eastAsia" w:ascii="Times New Roman" w:hAnsi="Times New Roman" w:cs="Times New Roman"/>
                <w:sz w:val="22"/>
                <w:szCs w:val="22"/>
              </w:rPr>
              <w:t>法律、法规、规章、规范性文件规定的其他情形。</w:t>
            </w:r>
          </w:p>
        </w:tc>
      </w:tr>
    </w:tbl>
    <w:p w14:paraId="5745AD34">
      <w:pPr>
        <w:jc w:val="center"/>
        <w:rPr>
          <w:rFonts w:ascii="黑体" w:hAnsi="宋体" w:eastAsia="黑体" w:cs="黑体"/>
          <w:sz w:val="40"/>
          <w:szCs w:val="40"/>
        </w:rPr>
      </w:pPr>
      <w:r>
        <w:rPr>
          <w:rFonts w:ascii="黑体" w:hAnsi="宋体" w:eastAsia="黑体" w:cs="黑体"/>
          <w:sz w:val="40"/>
          <w:szCs w:val="40"/>
        </w:rPr>
        <w:br w:type="page"/>
      </w:r>
      <w:r>
        <w:rPr>
          <w:rFonts w:hint="eastAsia" w:ascii="黑体" w:hAnsi="宋体" w:eastAsia="黑体" w:cs="黑体"/>
          <w:sz w:val="40"/>
          <w:szCs w:val="40"/>
        </w:rPr>
        <w:t>评</w:t>
      </w:r>
      <w:r>
        <w:rPr>
          <w:rFonts w:hint="eastAsia" w:ascii="黑体" w:hAnsi="宋体" w:eastAsia="黑体" w:cs="黑体"/>
          <w:sz w:val="40"/>
          <w:szCs w:val="40"/>
          <w:lang w:val="en-US" w:eastAsia="zh-CN"/>
        </w:rPr>
        <w:t>审</w:t>
      </w:r>
      <w:r>
        <w:rPr>
          <w:rFonts w:hint="eastAsia" w:ascii="黑体" w:hAnsi="宋体" w:eastAsia="黑体" w:cs="黑体"/>
          <w:sz w:val="40"/>
          <w:szCs w:val="40"/>
        </w:rPr>
        <w:t>信息</w:t>
      </w:r>
    </w:p>
    <w:tbl>
      <w:tblPr>
        <w:tblStyle w:val="45"/>
        <w:tblW w:w="9078" w:type="dxa"/>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45" w:type="dxa"/>
          <w:left w:w="45" w:type="dxa"/>
          <w:bottom w:w="45" w:type="dxa"/>
          <w:right w:w="45" w:type="dxa"/>
        </w:tblCellMar>
      </w:tblPr>
      <w:tblGrid>
        <w:gridCol w:w="8708"/>
        <w:gridCol w:w="370"/>
      </w:tblGrid>
      <w:tr w14:paraId="46B6CB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blCellSpacing w:w="0" w:type="dxa"/>
          <w:jc w:val="center"/>
        </w:trPr>
        <w:tc>
          <w:tcPr>
            <w:tcW w:w="8708" w:type="dxa"/>
            <w:vAlign w:val="center"/>
          </w:tcPr>
          <w:p w14:paraId="0E67A4A9">
            <w:pPr>
              <w:widowControl/>
              <w:spacing w:line="360" w:lineRule="auto"/>
              <w:jc w:val="left"/>
              <w:rPr>
                <w:b/>
                <w:bCs/>
                <w:sz w:val="24"/>
              </w:rPr>
            </w:pPr>
            <w:r>
              <w:rPr>
                <w:rFonts w:hint="eastAsia" w:ascii="宋体" w:hAnsi="宋体" w:cs="宋体"/>
                <w:b/>
                <w:bCs/>
                <w:kern w:val="0"/>
                <w:sz w:val="24"/>
              </w:rPr>
              <w:t>评标方法：最低价法</w:t>
            </w:r>
          </w:p>
        </w:tc>
        <w:tc>
          <w:tcPr>
            <w:tcW w:w="370" w:type="dxa"/>
            <w:vAlign w:val="center"/>
          </w:tcPr>
          <w:p w14:paraId="60E96E35">
            <w:pPr>
              <w:jc w:val="right"/>
              <w:rPr>
                <w:rFonts w:ascii="宋体"/>
                <w:b/>
                <w:bCs/>
                <w:sz w:val="24"/>
              </w:rPr>
            </w:pPr>
          </w:p>
        </w:tc>
      </w:tr>
      <w:tr w14:paraId="46CEBD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45" w:type="dxa"/>
            <w:left w:w="45" w:type="dxa"/>
            <w:bottom w:w="45" w:type="dxa"/>
            <w:right w:w="45" w:type="dxa"/>
          </w:tblCellMar>
        </w:tblPrEx>
        <w:trPr>
          <w:tblCellSpacing w:w="0" w:type="dxa"/>
          <w:jc w:val="center"/>
        </w:trPr>
        <w:tc>
          <w:tcPr>
            <w:tcW w:w="8708" w:type="dxa"/>
            <w:vAlign w:val="center"/>
          </w:tcPr>
          <w:p w14:paraId="082C8556">
            <w:pPr>
              <w:widowControl/>
              <w:ind w:firstLine="420" w:firstLineChars="200"/>
              <w:jc w:val="left"/>
              <w:rPr>
                <w:rFonts w:hint="eastAsia"/>
                <w:szCs w:val="21"/>
              </w:rPr>
            </w:pPr>
            <w:r>
              <w:rPr>
                <w:rFonts w:hint="eastAsia"/>
                <w:szCs w:val="21"/>
              </w:rPr>
              <w:t>最低价法，是指应答文件满足谈判文件实质性要求，按照报价由低到高的顺序，以报价最低的供应商作为成交供应商的评审方法。</w:t>
            </w:r>
          </w:p>
          <w:p w14:paraId="20A9A37C">
            <w:pPr>
              <w:widowControl/>
              <w:ind w:firstLine="420" w:firstLineChars="200"/>
              <w:jc w:val="left"/>
              <w:rPr>
                <w:rFonts w:hint="eastAsia" w:ascii="宋体" w:hAnsi="宋体" w:cs="宋体"/>
                <w:b/>
                <w:bCs/>
                <w:kern w:val="0"/>
                <w:sz w:val="24"/>
              </w:rPr>
            </w:pPr>
            <w:r>
              <w:rPr>
                <w:rFonts w:hint="eastAsia"/>
                <w:szCs w:val="21"/>
              </w:rPr>
              <w:t>采用最低价法评审时，除了算术修正和落实政府采购政策需进行的价格扣除外，不能对供应商的应答价格进行任何调整。</w:t>
            </w:r>
          </w:p>
        </w:tc>
        <w:tc>
          <w:tcPr>
            <w:tcW w:w="370" w:type="dxa"/>
            <w:vAlign w:val="center"/>
          </w:tcPr>
          <w:p w14:paraId="10FA16B4">
            <w:pPr>
              <w:jc w:val="right"/>
              <w:rPr>
                <w:rFonts w:ascii="宋体"/>
                <w:b/>
                <w:bCs/>
                <w:sz w:val="24"/>
              </w:rPr>
            </w:pPr>
          </w:p>
        </w:tc>
      </w:tr>
    </w:tbl>
    <w:p w14:paraId="31BF19DA">
      <w:pPr>
        <w:pStyle w:val="18"/>
        <w:sectPr>
          <w:footerReference r:id="rId3" w:type="default"/>
          <w:footerReference r:id="rId4" w:type="even"/>
          <w:pgSz w:w="11907" w:h="16840"/>
          <w:pgMar w:top="1440" w:right="1418" w:bottom="1440" w:left="1418" w:header="851" w:footer="992" w:gutter="0"/>
          <w:pgBorders>
            <w:top w:val="none" w:sz="0" w:space="0"/>
            <w:left w:val="none" w:sz="0" w:space="0"/>
            <w:bottom w:val="none" w:sz="0" w:space="0"/>
            <w:right w:val="none" w:sz="0" w:space="0"/>
          </w:pgBorders>
          <w:cols w:space="425" w:num="1"/>
          <w:titlePg/>
          <w:docGrid w:linePitch="462" w:charSpace="0"/>
        </w:sectPr>
      </w:pPr>
    </w:p>
    <w:p w14:paraId="3D185BEA">
      <w:pPr>
        <w:pStyle w:val="44"/>
        <w:spacing w:line="1300" w:lineRule="exact"/>
        <w:ind w:firstLine="0" w:firstLineChars="0"/>
        <w:jc w:val="center"/>
        <w:rPr>
          <w:rFonts w:hint="eastAsia" w:ascii="Times New Roman" w:hAnsi="Times New Roman"/>
          <w:b/>
          <w:bCs/>
          <w:sz w:val="96"/>
          <w:szCs w:val="96"/>
        </w:rPr>
      </w:pPr>
      <w:r>
        <w:rPr>
          <w:rFonts w:hint="eastAsia" w:ascii="Times New Roman" w:hAnsi="Times New Roman"/>
          <w:b/>
          <w:bCs/>
          <w:sz w:val="96"/>
          <w:szCs w:val="96"/>
        </w:rPr>
        <w:t>政府采购</w:t>
      </w:r>
    </w:p>
    <w:p w14:paraId="311CCBED">
      <w:pPr>
        <w:pStyle w:val="44"/>
        <w:spacing w:line="1300" w:lineRule="exact"/>
        <w:ind w:firstLine="0" w:firstLineChars="0"/>
        <w:jc w:val="center"/>
        <w:rPr>
          <w:rFonts w:ascii="Times New Roman" w:hAnsi="Times New Roman"/>
          <w:b/>
          <w:bCs/>
          <w:sz w:val="96"/>
          <w:szCs w:val="96"/>
        </w:rPr>
      </w:pPr>
      <w:r>
        <w:rPr>
          <w:rFonts w:hint="eastAsia" w:ascii="Times New Roman" w:hAnsi="Times New Roman"/>
          <w:b/>
          <w:bCs/>
          <w:sz w:val="96"/>
          <w:szCs w:val="96"/>
        </w:rPr>
        <w:t>谈判文件</w:t>
      </w:r>
    </w:p>
    <w:p w14:paraId="76E83925">
      <w:pPr>
        <w:jc w:val="center"/>
        <w:rPr>
          <w:sz w:val="52"/>
          <w:szCs w:val="52"/>
        </w:rPr>
      </w:pPr>
      <w:r>
        <w:rPr>
          <w:rFonts w:hint="eastAsia"/>
          <w:sz w:val="52"/>
          <w:szCs w:val="52"/>
        </w:rPr>
        <w:t>【</w:t>
      </w:r>
      <w:r>
        <w:rPr>
          <w:rFonts w:hint="eastAsia"/>
          <w:sz w:val="52"/>
          <w:szCs w:val="52"/>
          <w:lang w:val="en-US" w:eastAsia="zh-CN"/>
        </w:rPr>
        <w:t>服务</w:t>
      </w:r>
      <w:r>
        <w:rPr>
          <w:rFonts w:hint="eastAsia"/>
          <w:sz w:val="52"/>
          <w:szCs w:val="52"/>
        </w:rPr>
        <w:t>类】</w:t>
      </w:r>
    </w:p>
    <w:p w14:paraId="142CD9DE">
      <w:pPr>
        <w:pStyle w:val="44"/>
        <w:ind w:firstLine="0" w:firstLineChars="0"/>
        <w:rPr>
          <w:rFonts w:ascii="Times New Roman" w:hAnsi="Times New Roman"/>
        </w:rPr>
      </w:pPr>
    </w:p>
    <w:p w14:paraId="167F89E3">
      <w:pPr>
        <w:jc w:val="center"/>
        <w:rPr>
          <w:rFonts w:hint="default"/>
          <w:b/>
          <w:sz w:val="44"/>
          <w:szCs w:val="44"/>
          <w:lang w:val="en-US" w:eastAsia="zh-CN"/>
        </w:rPr>
      </w:pPr>
      <w:r>
        <w:rPr>
          <w:rFonts w:hint="eastAsia"/>
          <w:b/>
          <w:sz w:val="44"/>
          <w:szCs w:val="44"/>
        </w:rPr>
        <w:t>项目编号：</w:t>
      </w:r>
      <w:r>
        <w:rPr>
          <w:rFonts w:hint="eastAsia"/>
          <w:b/>
          <w:sz w:val="44"/>
          <w:szCs w:val="44"/>
          <w:lang w:val="en-US" w:eastAsia="zh-CN"/>
        </w:rPr>
        <w:t>3324-DH2531F1252（SZDL2025001765）</w:t>
      </w:r>
    </w:p>
    <w:p w14:paraId="6C0D7A80">
      <w:pPr>
        <w:jc w:val="center"/>
        <w:rPr>
          <w:rFonts w:hint="eastAsia"/>
          <w:b/>
          <w:sz w:val="44"/>
          <w:szCs w:val="44"/>
          <w:lang w:eastAsia="zh-CN"/>
        </w:rPr>
      </w:pPr>
      <w:r>
        <w:rPr>
          <w:rFonts w:hint="eastAsia"/>
          <w:b/>
          <w:sz w:val="44"/>
          <w:szCs w:val="44"/>
        </w:rPr>
        <w:t>项目名称：</w:t>
      </w:r>
      <w:r>
        <w:rPr>
          <w:rFonts w:hint="eastAsia"/>
          <w:b/>
          <w:sz w:val="44"/>
          <w:szCs w:val="44"/>
          <w:lang w:val="en-US" w:eastAsia="zh-CN"/>
        </w:rPr>
        <w:t>2025-2026年度深圳市</w:t>
      </w:r>
      <w:r>
        <w:rPr>
          <w:rFonts w:hint="eastAsia"/>
          <w:b/>
          <w:sz w:val="44"/>
          <w:szCs w:val="44"/>
          <w:lang w:eastAsia="zh-CN"/>
        </w:rPr>
        <w:t>足球重点城市建设项目</w:t>
      </w:r>
    </w:p>
    <w:p w14:paraId="2F77700B">
      <w:pPr>
        <w:jc w:val="center"/>
      </w:pPr>
      <w:r>
        <w:drawing>
          <wp:anchor distT="0" distB="0" distL="114300" distR="114300" simplePos="0" relativeHeight="251661312" behindDoc="0" locked="0" layoutInCell="1" allowOverlap="1">
            <wp:simplePos x="0" y="0"/>
            <wp:positionH relativeFrom="column">
              <wp:posOffset>1315085</wp:posOffset>
            </wp:positionH>
            <wp:positionV relativeFrom="paragraph">
              <wp:posOffset>125730</wp:posOffset>
            </wp:positionV>
            <wp:extent cx="2633980" cy="2094230"/>
            <wp:effectExtent l="0" t="0" r="13970" b="1270"/>
            <wp:wrapTopAndBottom/>
            <wp:docPr id="1" name="图片 7" descr="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7" descr="公司logo"/>
                    <pic:cNvPicPr>
                      <a:picLocks noChangeAspect="1"/>
                    </pic:cNvPicPr>
                  </pic:nvPicPr>
                  <pic:blipFill>
                    <a:blip r:embed="rId6"/>
                    <a:stretch>
                      <a:fillRect/>
                    </a:stretch>
                  </pic:blipFill>
                  <pic:spPr>
                    <a:xfrm>
                      <a:off x="0" y="0"/>
                      <a:ext cx="2633980" cy="2094230"/>
                    </a:xfrm>
                    <a:prstGeom prst="rect">
                      <a:avLst/>
                    </a:prstGeom>
                    <a:noFill/>
                    <a:ln>
                      <a:noFill/>
                    </a:ln>
                  </pic:spPr>
                </pic:pic>
              </a:graphicData>
            </a:graphic>
          </wp:anchor>
        </w:drawing>
      </w:r>
    </w:p>
    <w:p w14:paraId="2CDA9D62">
      <w:pPr>
        <w:jc w:val="center"/>
        <w:rPr>
          <w:b/>
          <w:sz w:val="44"/>
          <w:szCs w:val="44"/>
        </w:rPr>
      </w:pPr>
      <w:r>
        <w:rPr>
          <w:rFonts w:hint="eastAsia"/>
          <w:b/>
          <w:sz w:val="44"/>
          <w:szCs w:val="44"/>
        </w:rPr>
        <w:t>深圳市东海国际招标有限公司</w:t>
      </w:r>
    </w:p>
    <w:p w14:paraId="4AC8E23B">
      <w:pPr>
        <w:jc w:val="center"/>
        <w:rPr>
          <w:rFonts w:hint="eastAsia"/>
          <w:b/>
          <w:snapToGrid w:val="0"/>
          <w:sz w:val="44"/>
          <w:szCs w:val="44"/>
        </w:rPr>
      </w:pPr>
      <w:r>
        <w:rPr>
          <w:rFonts w:hint="eastAsia"/>
          <w:b/>
          <w:bCs/>
          <w:sz w:val="44"/>
          <w:szCs w:val="44"/>
        </w:rPr>
        <w:t>二〇二</w:t>
      </w:r>
      <w:r>
        <w:rPr>
          <w:rFonts w:hint="eastAsia"/>
          <w:b/>
          <w:bCs/>
          <w:sz w:val="44"/>
          <w:szCs w:val="44"/>
          <w:lang w:val="en-US" w:eastAsia="zh-CN"/>
        </w:rPr>
        <w:t>五</w:t>
      </w:r>
      <w:r>
        <w:rPr>
          <w:rFonts w:hint="eastAsia"/>
          <w:b/>
          <w:bCs/>
          <w:sz w:val="44"/>
          <w:szCs w:val="44"/>
        </w:rPr>
        <w:t>年</w:t>
      </w:r>
      <w:r>
        <w:rPr>
          <w:b/>
          <w:snapToGrid w:val="0"/>
          <w:sz w:val="44"/>
          <w:szCs w:val="44"/>
        </w:rPr>
        <w:t xml:space="preserve">· </w:t>
      </w:r>
      <w:r>
        <w:rPr>
          <w:rFonts w:hint="eastAsia"/>
          <w:b/>
          <w:snapToGrid w:val="0"/>
          <w:sz w:val="44"/>
          <w:szCs w:val="44"/>
        </w:rPr>
        <w:t>中国深圳</w:t>
      </w:r>
    </w:p>
    <w:p w14:paraId="286A3C7E">
      <w:pPr>
        <w:pStyle w:val="2"/>
        <w:rPr>
          <w:rFonts w:hint="eastAsia" w:ascii="宋体" w:hAnsi="宋体" w:cs="Times New Roman"/>
          <w:color w:val="FF0000"/>
          <w:sz w:val="32"/>
          <w:szCs w:val="32"/>
        </w:rPr>
      </w:pPr>
      <w:r>
        <w:rPr>
          <w:rFonts w:hint="eastAsia"/>
          <w:b/>
          <w:snapToGrid w:val="0"/>
          <w:sz w:val="44"/>
          <w:szCs w:val="44"/>
        </w:rPr>
        <w:br w:type="page"/>
      </w:r>
      <w:bookmarkStart w:id="1" w:name="_Hlk72218009"/>
      <w:r>
        <w:rPr>
          <w:rFonts w:hint="eastAsia" w:ascii="宋体" w:hAnsi="宋体" w:cs="黑体"/>
          <w:color w:val="FF0000"/>
          <w:sz w:val="32"/>
          <w:szCs w:val="32"/>
          <w:lang w:val="en-US" w:eastAsia="zh-CN"/>
        </w:rPr>
        <w:t>特别</w:t>
      </w:r>
      <w:r>
        <w:rPr>
          <w:rFonts w:hint="eastAsia" w:ascii="宋体" w:hAnsi="宋体" w:cs="黑体"/>
          <w:color w:val="FF0000"/>
          <w:sz w:val="32"/>
          <w:szCs w:val="32"/>
        </w:rPr>
        <w:t>警示条款</w:t>
      </w:r>
    </w:p>
    <w:p w14:paraId="64761557">
      <w:pPr>
        <w:pBdr>
          <w:top w:val="none" w:color="auto" w:sz="0" w:space="0"/>
          <w:left w:val="none" w:color="auto" w:sz="0" w:space="0"/>
          <w:bottom w:val="none" w:color="auto" w:sz="0" w:space="0"/>
          <w:right w:val="none" w:color="auto" w:sz="0" w:space="0"/>
        </w:pBdr>
        <w:spacing w:after="462" w:afterLines="100" w:line="400" w:lineRule="exact"/>
        <w:ind w:firstLine="422" w:firstLineChars="200"/>
        <w:rPr>
          <w:rFonts w:hint="eastAsia" w:ascii="宋体" w:hAnsi="宋体" w:eastAsia="宋体" w:cs="宋体"/>
          <w:b/>
          <w:bCs/>
          <w:color w:val="FF0000"/>
          <w:szCs w:val="21"/>
          <w:highlight w:val="yellow"/>
        </w:rPr>
      </w:pPr>
      <w:r>
        <w:rPr>
          <w:rFonts w:hint="eastAsia" w:ascii="宋体" w:hAnsi="宋体" w:eastAsia="宋体" w:cs="宋体"/>
          <w:b/>
          <w:bCs/>
          <w:color w:val="FF0000"/>
          <w:szCs w:val="21"/>
          <w:highlight w:val="yellow"/>
        </w:rPr>
        <w:t>参与本项目政府采购活动的供应商应认真阅读以下特别警示条款，不得存在以下所列禁止情形，一旦发现，将被处以记入供应商诚信档案、罚款、取消参与政府采购资格、吊销营业执照等处罚；构成犯罪的，依法追究刑事责任。</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1"/>
        <w:gridCol w:w="7711"/>
      </w:tblGrid>
      <w:tr w14:paraId="1963E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811" w:type="dxa"/>
            <w:tcBorders>
              <w:tl2br w:val="nil"/>
              <w:tr2bl w:val="nil"/>
            </w:tcBorders>
            <w:vAlign w:val="center"/>
          </w:tcPr>
          <w:p w14:paraId="7EF45995">
            <w:pPr>
              <w:pBdr>
                <w:top w:val="none" w:color="auto" w:sz="0" w:space="0"/>
                <w:left w:val="none" w:color="auto" w:sz="0" w:space="0"/>
                <w:bottom w:val="none" w:color="auto" w:sz="0" w:space="0"/>
                <w:right w:val="none" w:color="auto" w:sz="0" w:space="0"/>
              </w:pBdr>
              <w:spacing w:line="400" w:lineRule="exact"/>
              <w:jc w:val="center"/>
              <w:rPr>
                <w:rFonts w:hint="eastAsia" w:ascii="宋体" w:hAnsi="宋体" w:eastAsia="宋体" w:cs="宋体"/>
                <w:color w:val="FF0000"/>
                <w:szCs w:val="21"/>
              </w:rPr>
            </w:pPr>
            <w:r>
              <w:rPr>
                <w:rFonts w:hint="eastAsia" w:ascii="宋体" w:hAnsi="宋体" w:eastAsia="宋体" w:cs="宋体"/>
                <w:color w:val="FF0000"/>
                <w:szCs w:val="21"/>
              </w:rPr>
              <w:t>序号</w:t>
            </w:r>
          </w:p>
        </w:tc>
        <w:tc>
          <w:tcPr>
            <w:tcW w:w="7711" w:type="dxa"/>
            <w:tcBorders>
              <w:tl2br w:val="nil"/>
              <w:tr2bl w:val="nil"/>
            </w:tcBorders>
            <w:vAlign w:val="center"/>
          </w:tcPr>
          <w:p w14:paraId="56EDEE90">
            <w:pPr>
              <w:pBdr>
                <w:top w:val="none" w:color="auto" w:sz="0" w:space="0"/>
                <w:left w:val="none" w:color="auto" w:sz="0" w:space="0"/>
                <w:bottom w:val="none" w:color="auto" w:sz="0" w:space="0"/>
                <w:right w:val="none" w:color="auto" w:sz="0" w:space="0"/>
              </w:pBdr>
              <w:spacing w:line="400" w:lineRule="exact"/>
              <w:jc w:val="center"/>
              <w:rPr>
                <w:rFonts w:hint="eastAsia" w:ascii="宋体" w:hAnsi="宋体" w:eastAsia="宋体" w:cs="宋体"/>
                <w:color w:val="FF0000"/>
                <w:szCs w:val="21"/>
              </w:rPr>
            </w:pPr>
            <w:r>
              <w:rPr>
                <w:rFonts w:hint="eastAsia" w:ascii="宋体" w:hAnsi="宋体" w:eastAsia="宋体" w:cs="宋体"/>
                <w:b/>
                <w:bCs/>
                <w:color w:val="FF0000"/>
                <w:szCs w:val="21"/>
              </w:rPr>
              <w:t>供应商参与投标禁止情形</w:t>
            </w:r>
          </w:p>
        </w:tc>
      </w:tr>
      <w:tr w14:paraId="7C060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tcBorders>
              <w:tl2br w:val="nil"/>
              <w:tr2bl w:val="nil"/>
            </w:tcBorders>
            <w:vAlign w:val="center"/>
          </w:tcPr>
          <w:p w14:paraId="18E1ED01">
            <w:pPr>
              <w:pBdr>
                <w:top w:val="none" w:color="auto" w:sz="0" w:space="0"/>
                <w:left w:val="none" w:color="auto" w:sz="0" w:space="0"/>
                <w:bottom w:val="none" w:color="auto" w:sz="0" w:space="0"/>
                <w:right w:val="none" w:color="auto" w:sz="0" w:space="0"/>
              </w:pBdr>
              <w:spacing w:line="400" w:lineRule="exact"/>
              <w:jc w:val="center"/>
              <w:rPr>
                <w:rFonts w:hint="eastAsia" w:ascii="宋体" w:hAnsi="宋体" w:eastAsia="宋体" w:cs="宋体"/>
                <w:color w:val="FF0000"/>
                <w:szCs w:val="21"/>
              </w:rPr>
            </w:pPr>
            <w:r>
              <w:rPr>
                <w:rFonts w:hint="eastAsia" w:ascii="宋体" w:hAnsi="宋体" w:eastAsia="宋体" w:cs="宋体"/>
                <w:color w:val="FF0000"/>
                <w:szCs w:val="21"/>
              </w:rPr>
              <w:t>1</w:t>
            </w:r>
          </w:p>
        </w:tc>
        <w:tc>
          <w:tcPr>
            <w:tcW w:w="7711" w:type="dxa"/>
            <w:tcBorders>
              <w:tl2br w:val="nil"/>
              <w:tr2bl w:val="nil"/>
            </w:tcBorders>
            <w:vAlign w:val="center"/>
          </w:tcPr>
          <w:p w14:paraId="4911211D">
            <w:pPr>
              <w:pBdr>
                <w:top w:val="none" w:color="auto" w:sz="0" w:space="0"/>
                <w:left w:val="none" w:color="auto" w:sz="0" w:space="0"/>
                <w:bottom w:val="none" w:color="auto" w:sz="0" w:space="0"/>
                <w:right w:val="none" w:color="auto" w:sz="0" w:space="0"/>
              </w:pBdr>
              <w:spacing w:line="400" w:lineRule="exact"/>
              <w:jc w:val="left"/>
              <w:rPr>
                <w:rFonts w:hint="eastAsia" w:ascii="宋体" w:hAnsi="宋体" w:eastAsia="宋体" w:cs="宋体"/>
                <w:color w:val="FF0000"/>
                <w:szCs w:val="21"/>
              </w:rPr>
            </w:pPr>
            <w:r>
              <w:rPr>
                <w:rFonts w:hint="eastAsia" w:ascii="宋体" w:hAnsi="宋体" w:eastAsia="宋体" w:cs="宋体"/>
                <w:color w:val="FF0000"/>
                <w:szCs w:val="21"/>
              </w:rPr>
              <w:t>与其他投标供应商的法定代表人、主要经营负责人、投标授权代表人、项目负责人、主要技术人员为</w:t>
            </w:r>
            <w:r>
              <w:rPr>
                <w:rFonts w:hint="eastAsia" w:ascii="宋体" w:hAnsi="宋体" w:eastAsia="宋体" w:cs="宋体"/>
                <w:b/>
                <w:bCs/>
                <w:color w:val="FF0000"/>
                <w:szCs w:val="21"/>
              </w:rPr>
              <w:t>同一人、属同一单位或者在同一单位缴纳社会保险</w:t>
            </w:r>
            <w:r>
              <w:rPr>
                <w:rFonts w:hint="eastAsia" w:ascii="宋体" w:hAnsi="宋体" w:eastAsia="宋体" w:cs="宋体"/>
                <w:color w:val="FF0000"/>
                <w:szCs w:val="21"/>
              </w:rPr>
              <w:t>。</w:t>
            </w:r>
          </w:p>
        </w:tc>
      </w:tr>
      <w:tr w14:paraId="0C9B4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1" w:type="dxa"/>
            <w:tcBorders>
              <w:tl2br w:val="nil"/>
              <w:tr2bl w:val="nil"/>
            </w:tcBorders>
            <w:vAlign w:val="center"/>
          </w:tcPr>
          <w:p w14:paraId="10EE8BE5">
            <w:pPr>
              <w:pBdr>
                <w:top w:val="none" w:color="auto" w:sz="0" w:space="0"/>
                <w:left w:val="none" w:color="auto" w:sz="0" w:space="0"/>
                <w:bottom w:val="none" w:color="auto" w:sz="0" w:space="0"/>
                <w:right w:val="none" w:color="auto" w:sz="0" w:space="0"/>
              </w:pBdr>
              <w:spacing w:line="400" w:lineRule="exact"/>
              <w:jc w:val="center"/>
              <w:rPr>
                <w:rFonts w:hint="eastAsia" w:ascii="宋体" w:hAnsi="宋体" w:eastAsia="宋体" w:cs="宋体"/>
                <w:color w:val="FF0000"/>
                <w:szCs w:val="21"/>
              </w:rPr>
            </w:pPr>
            <w:r>
              <w:rPr>
                <w:rFonts w:hint="eastAsia" w:ascii="宋体" w:hAnsi="宋体" w:eastAsia="宋体" w:cs="宋体"/>
                <w:color w:val="FF0000"/>
                <w:szCs w:val="21"/>
              </w:rPr>
              <w:t>2</w:t>
            </w:r>
          </w:p>
        </w:tc>
        <w:tc>
          <w:tcPr>
            <w:tcW w:w="7711" w:type="dxa"/>
            <w:tcBorders>
              <w:tl2br w:val="nil"/>
              <w:tr2bl w:val="nil"/>
            </w:tcBorders>
            <w:vAlign w:val="center"/>
          </w:tcPr>
          <w:p w14:paraId="12A91EF8">
            <w:pPr>
              <w:pBdr>
                <w:top w:val="none" w:color="auto" w:sz="0" w:space="0"/>
                <w:left w:val="none" w:color="auto" w:sz="0" w:space="0"/>
                <w:bottom w:val="none" w:color="auto" w:sz="0" w:space="0"/>
                <w:right w:val="none" w:color="auto" w:sz="0" w:space="0"/>
              </w:pBdr>
              <w:spacing w:line="400" w:lineRule="exact"/>
              <w:jc w:val="left"/>
              <w:rPr>
                <w:rFonts w:hint="eastAsia" w:ascii="宋体" w:hAnsi="宋体" w:eastAsia="宋体" w:cs="宋体"/>
                <w:color w:val="FF0000"/>
                <w:szCs w:val="21"/>
              </w:rPr>
            </w:pPr>
            <w:r>
              <w:rPr>
                <w:rFonts w:hint="eastAsia" w:ascii="宋体" w:hAnsi="宋体" w:eastAsia="宋体" w:cs="宋体"/>
                <w:color w:val="FF0000"/>
                <w:szCs w:val="21"/>
              </w:rPr>
              <w:t>参与本项目政府采购活动时，与其他投标供应商存在单位负责人为</w:t>
            </w:r>
            <w:r>
              <w:rPr>
                <w:rFonts w:hint="eastAsia" w:ascii="宋体" w:hAnsi="宋体" w:eastAsia="宋体" w:cs="宋体"/>
                <w:b/>
                <w:bCs/>
                <w:color w:val="FF0000"/>
                <w:szCs w:val="21"/>
              </w:rPr>
              <w:t>同一人或直接控股、管理关系</w:t>
            </w:r>
            <w:r>
              <w:rPr>
                <w:rFonts w:hint="eastAsia" w:ascii="宋体" w:hAnsi="宋体" w:eastAsia="宋体" w:cs="宋体"/>
                <w:color w:val="FF0000"/>
                <w:szCs w:val="21"/>
              </w:rPr>
              <w:t>。</w:t>
            </w:r>
          </w:p>
        </w:tc>
      </w:tr>
      <w:tr w14:paraId="7E1EA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tcBorders>
              <w:tl2br w:val="nil"/>
              <w:tr2bl w:val="nil"/>
            </w:tcBorders>
            <w:vAlign w:val="center"/>
          </w:tcPr>
          <w:p w14:paraId="5CBD5012">
            <w:pPr>
              <w:pBdr>
                <w:top w:val="none" w:color="auto" w:sz="0" w:space="0"/>
                <w:left w:val="none" w:color="auto" w:sz="0" w:space="0"/>
                <w:bottom w:val="none" w:color="auto" w:sz="0" w:space="0"/>
                <w:right w:val="none" w:color="auto" w:sz="0" w:space="0"/>
              </w:pBdr>
              <w:spacing w:line="400" w:lineRule="exact"/>
              <w:jc w:val="center"/>
              <w:rPr>
                <w:rFonts w:hint="eastAsia" w:ascii="宋体" w:hAnsi="宋体" w:eastAsia="宋体" w:cs="宋体"/>
                <w:color w:val="FF0000"/>
                <w:szCs w:val="21"/>
              </w:rPr>
            </w:pPr>
            <w:r>
              <w:rPr>
                <w:rFonts w:hint="eastAsia" w:ascii="宋体" w:hAnsi="宋体" w:eastAsia="宋体" w:cs="宋体"/>
                <w:color w:val="FF0000"/>
                <w:szCs w:val="21"/>
              </w:rPr>
              <w:t>3</w:t>
            </w:r>
          </w:p>
        </w:tc>
        <w:tc>
          <w:tcPr>
            <w:tcW w:w="7711" w:type="dxa"/>
            <w:tcBorders>
              <w:tl2br w:val="nil"/>
              <w:tr2bl w:val="nil"/>
            </w:tcBorders>
            <w:vAlign w:val="center"/>
          </w:tcPr>
          <w:p w14:paraId="736985F6">
            <w:pPr>
              <w:pBdr>
                <w:top w:val="none" w:color="auto" w:sz="0" w:space="0"/>
                <w:left w:val="none" w:color="auto" w:sz="0" w:space="0"/>
                <w:bottom w:val="none" w:color="auto" w:sz="0" w:space="0"/>
                <w:right w:val="none" w:color="auto" w:sz="0" w:space="0"/>
              </w:pBdr>
              <w:spacing w:line="400" w:lineRule="exact"/>
              <w:jc w:val="left"/>
              <w:rPr>
                <w:rFonts w:hint="eastAsia" w:ascii="宋体" w:hAnsi="宋体" w:eastAsia="宋体" w:cs="宋体"/>
                <w:color w:val="FF0000"/>
                <w:szCs w:val="21"/>
              </w:rPr>
            </w:pPr>
            <w:r>
              <w:rPr>
                <w:rFonts w:hint="eastAsia" w:ascii="宋体" w:hAnsi="宋体" w:eastAsia="宋体" w:cs="宋体"/>
                <w:color w:val="FF0000"/>
                <w:szCs w:val="21"/>
              </w:rPr>
              <w:t>与其他投标供应商的</w:t>
            </w:r>
            <w:r>
              <w:rPr>
                <w:rFonts w:hint="eastAsia" w:ascii="宋体" w:hAnsi="宋体" w:cs="宋体"/>
                <w:color w:val="FF0000"/>
                <w:szCs w:val="21"/>
                <w:lang w:eastAsia="zh-CN"/>
              </w:rPr>
              <w:t>应答文件</w:t>
            </w:r>
            <w:r>
              <w:rPr>
                <w:rFonts w:hint="eastAsia" w:ascii="宋体" w:hAnsi="宋体" w:eastAsia="宋体" w:cs="宋体"/>
                <w:color w:val="FF0000"/>
                <w:szCs w:val="21"/>
              </w:rPr>
              <w:t>或部分</w:t>
            </w:r>
            <w:r>
              <w:rPr>
                <w:rFonts w:hint="eastAsia" w:ascii="宋体" w:hAnsi="宋体" w:cs="宋体"/>
                <w:color w:val="FF0000"/>
                <w:szCs w:val="21"/>
                <w:lang w:eastAsia="zh-CN"/>
              </w:rPr>
              <w:t>应答文件</w:t>
            </w:r>
            <w:r>
              <w:rPr>
                <w:rFonts w:hint="eastAsia" w:ascii="宋体" w:hAnsi="宋体" w:eastAsia="宋体" w:cs="宋体"/>
                <w:b/>
                <w:bCs/>
                <w:color w:val="FF0000"/>
                <w:szCs w:val="21"/>
              </w:rPr>
              <w:t>相互混装或存在非正常一致</w:t>
            </w:r>
            <w:r>
              <w:rPr>
                <w:rFonts w:hint="eastAsia" w:ascii="宋体" w:hAnsi="宋体" w:eastAsia="宋体" w:cs="宋体"/>
                <w:color w:val="FF0000"/>
                <w:szCs w:val="21"/>
              </w:rPr>
              <w:t>。</w:t>
            </w:r>
          </w:p>
        </w:tc>
      </w:tr>
      <w:tr w14:paraId="21508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5" w:hRule="atLeast"/>
        </w:trPr>
        <w:tc>
          <w:tcPr>
            <w:tcW w:w="811" w:type="dxa"/>
            <w:tcBorders>
              <w:tl2br w:val="nil"/>
              <w:tr2bl w:val="nil"/>
            </w:tcBorders>
            <w:vAlign w:val="center"/>
          </w:tcPr>
          <w:p w14:paraId="2543C110">
            <w:pPr>
              <w:pBdr>
                <w:top w:val="none" w:color="auto" w:sz="0" w:space="0"/>
                <w:left w:val="none" w:color="auto" w:sz="0" w:space="0"/>
                <w:bottom w:val="none" w:color="auto" w:sz="0" w:space="0"/>
                <w:right w:val="none" w:color="auto" w:sz="0" w:space="0"/>
              </w:pBdr>
              <w:spacing w:line="400" w:lineRule="exact"/>
              <w:jc w:val="center"/>
              <w:rPr>
                <w:rFonts w:hint="eastAsia" w:ascii="宋体" w:hAnsi="宋体" w:eastAsia="宋体" w:cs="宋体"/>
                <w:color w:val="FF0000"/>
                <w:szCs w:val="21"/>
              </w:rPr>
            </w:pPr>
            <w:r>
              <w:rPr>
                <w:rFonts w:hint="eastAsia" w:ascii="宋体" w:hAnsi="宋体" w:eastAsia="宋体" w:cs="宋体"/>
                <w:color w:val="FF0000"/>
                <w:szCs w:val="21"/>
              </w:rPr>
              <w:t>4</w:t>
            </w:r>
          </w:p>
        </w:tc>
        <w:tc>
          <w:tcPr>
            <w:tcW w:w="7711" w:type="dxa"/>
            <w:tcBorders>
              <w:tl2br w:val="nil"/>
              <w:tr2bl w:val="nil"/>
            </w:tcBorders>
            <w:vAlign w:val="center"/>
          </w:tcPr>
          <w:p w14:paraId="670A4C0F">
            <w:pPr>
              <w:pBdr>
                <w:top w:val="none" w:color="auto" w:sz="0" w:space="0"/>
                <w:left w:val="none" w:color="auto" w:sz="0" w:space="0"/>
                <w:bottom w:val="none" w:color="auto" w:sz="0" w:space="0"/>
                <w:right w:val="none" w:color="auto" w:sz="0" w:space="0"/>
              </w:pBdr>
              <w:spacing w:line="400" w:lineRule="exact"/>
              <w:jc w:val="left"/>
              <w:rPr>
                <w:rFonts w:hint="eastAsia" w:ascii="宋体" w:hAnsi="宋体" w:eastAsia="宋体" w:cs="宋体"/>
                <w:color w:val="FF0000"/>
                <w:szCs w:val="21"/>
              </w:rPr>
            </w:pPr>
            <w:r>
              <w:rPr>
                <w:rFonts w:hint="eastAsia" w:ascii="宋体" w:hAnsi="宋体" w:eastAsia="宋体" w:cs="宋体"/>
                <w:color w:val="FF0000"/>
                <w:szCs w:val="21"/>
              </w:rPr>
              <w:t>与其他投标供应商的</w:t>
            </w:r>
            <w:r>
              <w:rPr>
                <w:rFonts w:hint="eastAsia" w:ascii="宋体" w:hAnsi="宋体" w:cs="宋体"/>
                <w:color w:val="FF0000"/>
                <w:szCs w:val="21"/>
                <w:lang w:eastAsia="zh-CN"/>
              </w:rPr>
              <w:t>应答文件</w:t>
            </w:r>
            <w:r>
              <w:rPr>
                <w:rFonts w:hint="eastAsia" w:ascii="宋体" w:hAnsi="宋体" w:eastAsia="宋体" w:cs="宋体"/>
                <w:color w:val="FF0000"/>
                <w:szCs w:val="21"/>
              </w:rPr>
              <w:t>由</w:t>
            </w:r>
            <w:r>
              <w:rPr>
                <w:rFonts w:hint="eastAsia" w:ascii="宋体" w:hAnsi="宋体" w:eastAsia="宋体" w:cs="宋体"/>
                <w:b/>
                <w:bCs/>
                <w:color w:val="FF0000"/>
                <w:szCs w:val="21"/>
              </w:rPr>
              <w:t>同一单位或者同一人编制</w:t>
            </w:r>
            <w:r>
              <w:rPr>
                <w:rFonts w:hint="eastAsia" w:ascii="宋体" w:hAnsi="宋体" w:eastAsia="宋体" w:cs="宋体"/>
                <w:color w:val="FF0000"/>
                <w:szCs w:val="21"/>
              </w:rPr>
              <w:t>，或者使用</w:t>
            </w:r>
            <w:r>
              <w:rPr>
                <w:rFonts w:hint="eastAsia" w:ascii="宋体" w:hAnsi="宋体" w:eastAsia="宋体" w:cs="宋体"/>
                <w:b/>
                <w:bCs/>
                <w:color w:val="FF0000"/>
                <w:szCs w:val="21"/>
              </w:rPr>
              <w:t>同一设备编制</w:t>
            </w:r>
            <w:r>
              <w:rPr>
                <w:rFonts w:hint="eastAsia" w:ascii="宋体" w:hAnsi="宋体" w:eastAsia="宋体" w:cs="宋体"/>
                <w:color w:val="FF0000"/>
                <w:szCs w:val="21"/>
              </w:rPr>
              <w:t>（“文件制作机器码”“文件创建标识码”一致）。</w:t>
            </w:r>
          </w:p>
        </w:tc>
      </w:tr>
      <w:tr w14:paraId="4EC31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811" w:type="dxa"/>
            <w:tcBorders>
              <w:tl2br w:val="nil"/>
              <w:tr2bl w:val="nil"/>
            </w:tcBorders>
            <w:vAlign w:val="center"/>
          </w:tcPr>
          <w:p w14:paraId="3E4E8396">
            <w:pPr>
              <w:pBdr>
                <w:top w:val="none" w:color="auto" w:sz="0" w:space="0"/>
                <w:left w:val="none" w:color="auto" w:sz="0" w:space="0"/>
                <w:bottom w:val="none" w:color="auto" w:sz="0" w:space="0"/>
                <w:right w:val="none" w:color="auto" w:sz="0" w:space="0"/>
              </w:pBdr>
              <w:spacing w:line="400" w:lineRule="exact"/>
              <w:jc w:val="center"/>
              <w:rPr>
                <w:rFonts w:hint="eastAsia" w:ascii="宋体" w:hAnsi="宋体" w:eastAsia="宋体" w:cs="宋体"/>
                <w:color w:val="FF0000"/>
                <w:szCs w:val="21"/>
              </w:rPr>
            </w:pPr>
            <w:r>
              <w:rPr>
                <w:rFonts w:hint="eastAsia" w:ascii="宋体" w:hAnsi="宋体" w:eastAsia="宋体" w:cs="宋体"/>
                <w:color w:val="FF0000"/>
                <w:szCs w:val="21"/>
              </w:rPr>
              <w:t>5</w:t>
            </w:r>
          </w:p>
        </w:tc>
        <w:tc>
          <w:tcPr>
            <w:tcW w:w="7711" w:type="dxa"/>
            <w:tcBorders>
              <w:tl2br w:val="nil"/>
              <w:tr2bl w:val="nil"/>
            </w:tcBorders>
            <w:vAlign w:val="center"/>
          </w:tcPr>
          <w:p w14:paraId="350CBF8C">
            <w:pPr>
              <w:pBdr>
                <w:top w:val="none" w:color="auto" w:sz="0" w:space="0"/>
                <w:left w:val="none" w:color="auto" w:sz="0" w:space="0"/>
                <w:bottom w:val="none" w:color="auto" w:sz="0" w:space="0"/>
                <w:right w:val="none" w:color="auto" w:sz="0" w:space="0"/>
              </w:pBdr>
              <w:spacing w:line="400" w:lineRule="exact"/>
              <w:jc w:val="left"/>
              <w:rPr>
                <w:rFonts w:hint="eastAsia" w:ascii="宋体" w:hAnsi="宋体" w:eastAsia="宋体" w:cs="宋体"/>
                <w:color w:val="FF0000"/>
                <w:szCs w:val="21"/>
              </w:rPr>
            </w:pPr>
            <w:r>
              <w:rPr>
                <w:rFonts w:hint="eastAsia" w:ascii="宋体" w:hAnsi="宋体" w:eastAsia="宋体" w:cs="宋体"/>
                <w:color w:val="FF0000"/>
                <w:szCs w:val="21"/>
              </w:rPr>
              <w:t>提供</w:t>
            </w:r>
            <w:r>
              <w:rPr>
                <w:rFonts w:hint="eastAsia" w:ascii="宋体" w:hAnsi="宋体" w:eastAsia="宋体" w:cs="宋体"/>
                <w:b/>
                <w:bCs/>
                <w:color w:val="FF0000"/>
                <w:szCs w:val="21"/>
              </w:rPr>
              <w:t>未经出具机构核实</w:t>
            </w:r>
            <w:r>
              <w:rPr>
                <w:rFonts w:hint="eastAsia" w:ascii="宋体" w:hAnsi="宋体" w:eastAsia="宋体" w:cs="宋体"/>
                <w:color w:val="FF0000"/>
                <w:szCs w:val="21"/>
              </w:rPr>
              <w:t>的虚假的检验检测报告、业绩材料、社保缴纳证明、学历学位证书、职称认证证书等材料。</w:t>
            </w:r>
          </w:p>
        </w:tc>
      </w:tr>
      <w:tr w14:paraId="4F69A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811" w:type="dxa"/>
            <w:tcBorders>
              <w:tl2br w:val="nil"/>
              <w:tr2bl w:val="nil"/>
            </w:tcBorders>
            <w:vAlign w:val="center"/>
          </w:tcPr>
          <w:p w14:paraId="7E1B79FC">
            <w:pPr>
              <w:pBdr>
                <w:top w:val="none" w:color="auto" w:sz="0" w:space="0"/>
                <w:left w:val="none" w:color="auto" w:sz="0" w:space="0"/>
                <w:bottom w:val="none" w:color="auto" w:sz="0" w:space="0"/>
                <w:right w:val="none" w:color="auto" w:sz="0" w:space="0"/>
              </w:pBdr>
              <w:spacing w:line="400" w:lineRule="exact"/>
              <w:jc w:val="center"/>
              <w:rPr>
                <w:rFonts w:hint="eastAsia" w:ascii="宋体" w:hAnsi="宋体" w:eastAsia="宋体" w:cs="宋体"/>
                <w:color w:val="FF0000"/>
                <w:szCs w:val="21"/>
              </w:rPr>
            </w:pPr>
            <w:r>
              <w:rPr>
                <w:rFonts w:hint="eastAsia" w:ascii="宋体" w:hAnsi="宋体" w:eastAsia="宋体" w:cs="宋体"/>
                <w:color w:val="FF0000"/>
                <w:szCs w:val="21"/>
              </w:rPr>
              <w:t>6</w:t>
            </w:r>
          </w:p>
        </w:tc>
        <w:tc>
          <w:tcPr>
            <w:tcW w:w="7711" w:type="dxa"/>
            <w:tcBorders>
              <w:tl2br w:val="nil"/>
              <w:tr2bl w:val="nil"/>
            </w:tcBorders>
            <w:vAlign w:val="center"/>
          </w:tcPr>
          <w:p w14:paraId="3564A148">
            <w:pPr>
              <w:pBdr>
                <w:top w:val="none" w:color="auto" w:sz="0" w:space="0"/>
                <w:left w:val="none" w:color="auto" w:sz="0" w:space="0"/>
                <w:bottom w:val="none" w:color="auto" w:sz="0" w:space="0"/>
                <w:right w:val="none" w:color="auto" w:sz="0" w:space="0"/>
              </w:pBdr>
              <w:spacing w:line="400" w:lineRule="exact"/>
              <w:jc w:val="left"/>
              <w:rPr>
                <w:rFonts w:hint="eastAsia" w:ascii="宋体" w:hAnsi="宋体" w:eastAsia="宋体" w:cs="宋体"/>
                <w:color w:val="FF0000"/>
                <w:szCs w:val="21"/>
              </w:rPr>
            </w:pPr>
            <w:r>
              <w:rPr>
                <w:rFonts w:hint="eastAsia" w:ascii="宋体" w:hAnsi="宋体" w:eastAsia="宋体" w:cs="宋体"/>
                <w:color w:val="FF0000"/>
                <w:szCs w:val="21"/>
              </w:rPr>
              <w:t>擅自将投标密钥或电子营业执照出借他人使用或未妥善保管。</w:t>
            </w:r>
          </w:p>
        </w:tc>
      </w:tr>
    </w:tbl>
    <w:p w14:paraId="791B6E01">
      <w:pPr>
        <w:rPr>
          <w:rFonts w:ascii="宋体" w:hAnsi="Times New Roman" w:eastAsia="宋体" w:cs="Times New Roman"/>
          <w:color w:val="FF0000"/>
          <w:szCs w:val="32"/>
        </w:rPr>
      </w:pPr>
      <w:r>
        <w:rPr>
          <w:rFonts w:hint="eastAsia" w:ascii="宋体" w:hAnsi="Times New Roman" w:eastAsia="宋体" w:cs="Times New Roman"/>
          <w:b/>
          <w:bCs/>
          <w:color w:val="FF0000"/>
          <w:szCs w:val="32"/>
        </w:rPr>
        <w:t xml:space="preserve">一、《深圳经济特区政府采购条例》第五十七条 </w:t>
      </w:r>
      <w:r>
        <w:rPr>
          <w:rFonts w:hint="eastAsia" w:ascii="宋体" w:hAnsi="Times New Roman" w:eastAsia="宋体" w:cs="Times New Roman"/>
          <w:color w:val="FF0000"/>
          <w:szCs w:val="32"/>
        </w:rPr>
        <w:t>供应商在政府采购中，有下列行为之一的，一至三年内禁止其参与本市政府采购，并由主管部门记入供应商诚信档案，处以采购金额千分之十以上千分之二十以下的罚款；情节严重的，取消其参与本市政府采购资格，处以采购金额千分之二十以上千分之三十以下的罚款，并由市场监管部门依法吊销其营业执照；给他人造成损失的，依法承担赔偿责任；构成犯罪的，依法追究刑事责任：</w:t>
      </w:r>
    </w:p>
    <w:p w14:paraId="4DBA2236">
      <w:pPr>
        <w:rPr>
          <w:rFonts w:ascii="宋体" w:hAnsi="Times New Roman" w:eastAsia="宋体" w:cs="Times New Roman"/>
          <w:color w:val="FF0000"/>
          <w:szCs w:val="32"/>
        </w:rPr>
      </w:pPr>
      <w:r>
        <w:rPr>
          <w:rFonts w:hint="eastAsia" w:ascii="宋体" w:hAnsi="Times New Roman" w:eastAsia="宋体" w:cs="Times New Roman"/>
          <w:color w:val="FF0000"/>
          <w:szCs w:val="32"/>
        </w:rPr>
        <w:t>（一）在采购活动中应当回避而未回避的；</w:t>
      </w:r>
    </w:p>
    <w:p w14:paraId="0C152C5F">
      <w:pPr>
        <w:rPr>
          <w:rFonts w:ascii="宋体" w:hAnsi="Times New Roman" w:eastAsia="宋体" w:cs="Times New Roman"/>
          <w:color w:val="FF0000"/>
          <w:szCs w:val="32"/>
        </w:rPr>
      </w:pPr>
      <w:r>
        <w:rPr>
          <w:rFonts w:hint="eastAsia" w:ascii="宋体" w:hAnsi="Times New Roman" w:eastAsia="宋体" w:cs="Times New Roman"/>
          <w:color w:val="FF0000"/>
          <w:szCs w:val="32"/>
        </w:rPr>
        <w:t>（二）未按本条例规定签订、履行采购合同，造成严重后果的；</w:t>
      </w:r>
    </w:p>
    <w:p w14:paraId="27143E91">
      <w:pPr>
        <w:rPr>
          <w:rFonts w:ascii="宋体" w:hAnsi="Times New Roman" w:eastAsia="宋体" w:cs="Times New Roman"/>
          <w:color w:val="FF0000"/>
          <w:szCs w:val="32"/>
        </w:rPr>
      </w:pPr>
      <w:r>
        <w:rPr>
          <w:rFonts w:hint="eastAsia" w:ascii="宋体" w:hAnsi="Times New Roman" w:eastAsia="宋体" w:cs="Times New Roman"/>
          <w:color w:val="FF0000"/>
          <w:szCs w:val="32"/>
        </w:rPr>
        <w:t>（三）隐瞒真实情况，提供虚假资料的；</w:t>
      </w:r>
    </w:p>
    <w:p w14:paraId="2F3408DA">
      <w:pPr>
        <w:rPr>
          <w:rFonts w:ascii="宋体" w:hAnsi="Times New Roman" w:eastAsia="宋体" w:cs="Times New Roman"/>
          <w:color w:val="FF0000"/>
          <w:szCs w:val="32"/>
        </w:rPr>
      </w:pPr>
      <w:r>
        <w:rPr>
          <w:rFonts w:hint="eastAsia" w:ascii="宋体" w:hAnsi="Times New Roman" w:eastAsia="宋体" w:cs="Times New Roman"/>
          <w:color w:val="FF0000"/>
          <w:szCs w:val="32"/>
        </w:rPr>
        <w:t>（四）以非法手段排斥其他供应商参与竞争的；</w:t>
      </w:r>
    </w:p>
    <w:p w14:paraId="03EC066B">
      <w:pPr>
        <w:rPr>
          <w:rFonts w:ascii="宋体" w:hAnsi="Times New Roman" w:eastAsia="宋体" w:cs="Times New Roman"/>
          <w:color w:val="FF0000"/>
          <w:szCs w:val="32"/>
        </w:rPr>
      </w:pPr>
      <w:r>
        <w:rPr>
          <w:rFonts w:hint="eastAsia" w:ascii="宋体" w:hAnsi="Times New Roman" w:eastAsia="宋体" w:cs="Times New Roman"/>
          <w:color w:val="FF0000"/>
          <w:szCs w:val="32"/>
        </w:rPr>
        <w:t>（五）与其他采购参加人串通投标的；</w:t>
      </w:r>
    </w:p>
    <w:p w14:paraId="723F3E89">
      <w:pPr>
        <w:rPr>
          <w:rFonts w:ascii="宋体" w:hAnsi="Times New Roman" w:eastAsia="宋体" w:cs="Times New Roman"/>
          <w:color w:val="FF0000"/>
          <w:szCs w:val="32"/>
        </w:rPr>
      </w:pPr>
      <w:r>
        <w:rPr>
          <w:rFonts w:hint="eastAsia" w:ascii="宋体" w:hAnsi="Times New Roman" w:eastAsia="宋体" w:cs="Times New Roman"/>
          <w:color w:val="FF0000"/>
          <w:szCs w:val="32"/>
        </w:rPr>
        <w:t>（六）恶意投诉的；</w:t>
      </w:r>
    </w:p>
    <w:p w14:paraId="4A68AAFE">
      <w:pPr>
        <w:rPr>
          <w:rFonts w:ascii="宋体" w:hAnsi="Times New Roman" w:eastAsia="宋体" w:cs="Times New Roman"/>
          <w:color w:val="FF0000"/>
          <w:szCs w:val="32"/>
        </w:rPr>
      </w:pPr>
      <w:r>
        <w:rPr>
          <w:rFonts w:hint="eastAsia" w:ascii="宋体" w:hAnsi="Times New Roman" w:eastAsia="宋体" w:cs="Times New Roman"/>
          <w:color w:val="FF0000"/>
          <w:szCs w:val="32"/>
        </w:rPr>
        <w:t>（七）向采购项目相关人行贿或者提供其他不当利益的；</w:t>
      </w:r>
    </w:p>
    <w:p w14:paraId="3B7850EF">
      <w:pPr>
        <w:rPr>
          <w:rFonts w:ascii="宋体" w:hAnsi="Times New Roman" w:eastAsia="宋体" w:cs="Times New Roman"/>
          <w:color w:val="FF0000"/>
          <w:szCs w:val="32"/>
        </w:rPr>
      </w:pPr>
      <w:r>
        <w:rPr>
          <w:rFonts w:hint="eastAsia" w:ascii="宋体" w:hAnsi="Times New Roman" w:eastAsia="宋体" w:cs="Times New Roman"/>
          <w:color w:val="FF0000"/>
          <w:szCs w:val="32"/>
        </w:rPr>
        <w:t>（八）阻碍、抗拒主管部门监督检查的；</w:t>
      </w:r>
    </w:p>
    <w:p w14:paraId="23C0642F">
      <w:pPr>
        <w:rPr>
          <w:rFonts w:ascii="宋体" w:hAnsi="Times New Roman" w:eastAsia="宋体" w:cs="Times New Roman"/>
          <w:color w:val="FF0000"/>
          <w:szCs w:val="32"/>
        </w:rPr>
      </w:pPr>
      <w:r>
        <w:rPr>
          <w:rFonts w:hint="eastAsia" w:ascii="宋体" w:hAnsi="Times New Roman" w:eastAsia="宋体" w:cs="Times New Roman"/>
          <w:color w:val="FF0000"/>
          <w:szCs w:val="32"/>
        </w:rPr>
        <w:t>（九）其他违反本条例规定的行为。</w:t>
      </w:r>
    </w:p>
    <w:p w14:paraId="2D091B81">
      <w:pPr>
        <w:rPr>
          <w:rFonts w:ascii="宋体" w:hAnsi="Times New Roman" w:eastAsia="宋体" w:cs="Times New Roman"/>
          <w:color w:val="FF0000"/>
          <w:szCs w:val="32"/>
        </w:rPr>
      </w:pPr>
      <w:r>
        <w:rPr>
          <w:rFonts w:hint="eastAsia" w:ascii="宋体" w:hAnsi="Times New Roman" w:eastAsia="宋体" w:cs="Times New Roman"/>
          <w:b/>
          <w:bCs/>
          <w:color w:val="FF0000"/>
          <w:szCs w:val="32"/>
        </w:rPr>
        <w:t>二、《深圳经济特区政府采购条例实施细则》第七十五条</w:t>
      </w:r>
      <w:r>
        <w:rPr>
          <w:rFonts w:hint="eastAsia" w:ascii="宋体" w:hAnsi="Times New Roman" w:eastAsia="宋体" w:cs="Times New Roman"/>
          <w:color w:val="FF0000"/>
          <w:szCs w:val="32"/>
        </w:rPr>
        <w:t> 供应商有下列情形的，属于采购条例所称的串通投标行为，按照采购条例第五十七条有关规定处理：</w:t>
      </w:r>
    </w:p>
    <w:p w14:paraId="275F3DF5">
      <w:pPr>
        <w:rPr>
          <w:rFonts w:ascii="宋体" w:hAnsi="Times New Roman" w:eastAsia="宋体" w:cs="Times New Roman"/>
          <w:color w:val="FF0000"/>
          <w:szCs w:val="32"/>
        </w:rPr>
      </w:pPr>
      <w:r>
        <w:rPr>
          <w:rFonts w:hint="eastAsia" w:ascii="宋体" w:hAnsi="Times New Roman" w:eastAsia="宋体" w:cs="Times New Roman"/>
          <w:color w:val="FF0000"/>
          <w:szCs w:val="32"/>
        </w:rPr>
        <w:t>（一）投标供应商之间相互约定给予未中标的供应商利益补偿；</w:t>
      </w:r>
    </w:p>
    <w:p w14:paraId="4928CEC9">
      <w:pPr>
        <w:rPr>
          <w:rFonts w:ascii="宋体" w:hAnsi="Times New Roman" w:eastAsia="宋体" w:cs="Times New Roman"/>
          <w:color w:val="FF0000"/>
          <w:szCs w:val="32"/>
        </w:rPr>
      </w:pPr>
      <w:r>
        <w:rPr>
          <w:rFonts w:hint="eastAsia" w:ascii="宋体" w:hAnsi="Times New Roman" w:eastAsia="宋体" w:cs="Times New Roman"/>
          <w:color w:val="FF0000"/>
          <w:szCs w:val="32"/>
        </w:rPr>
        <w:t>（二）不同投标供应商的法定代表人、主要经营负责人、项目投标授权代表人、项目负责人、主要技术人员为同一人、属同一单位或者在同一单位缴纳社会保险；</w:t>
      </w:r>
    </w:p>
    <w:p w14:paraId="5C08C26B">
      <w:pPr>
        <w:rPr>
          <w:rFonts w:ascii="宋体" w:hAnsi="Times New Roman" w:eastAsia="宋体" w:cs="Times New Roman"/>
          <w:color w:val="FF0000"/>
          <w:szCs w:val="32"/>
        </w:rPr>
      </w:pPr>
      <w:r>
        <w:rPr>
          <w:rFonts w:hint="eastAsia" w:ascii="宋体" w:hAnsi="Times New Roman" w:eastAsia="宋体" w:cs="Times New Roman"/>
          <w:color w:val="FF0000"/>
          <w:szCs w:val="32"/>
        </w:rPr>
        <w:t>（三）不同投标供应商的</w:t>
      </w:r>
      <w:r>
        <w:rPr>
          <w:rFonts w:hint="eastAsia" w:ascii="宋体" w:cs="Times New Roman"/>
          <w:color w:val="FF0000"/>
          <w:szCs w:val="32"/>
          <w:lang w:eastAsia="zh-CN"/>
        </w:rPr>
        <w:t>应答文件</w:t>
      </w:r>
      <w:r>
        <w:rPr>
          <w:rFonts w:hint="eastAsia" w:ascii="宋体" w:hAnsi="Times New Roman" w:eastAsia="宋体" w:cs="Times New Roman"/>
          <w:color w:val="FF0000"/>
          <w:szCs w:val="32"/>
        </w:rPr>
        <w:t>由同一单位或者同一人编制，或者由同一人分阶段参与编制的；</w:t>
      </w:r>
    </w:p>
    <w:p w14:paraId="0229AA70">
      <w:pPr>
        <w:rPr>
          <w:rFonts w:ascii="宋体" w:hAnsi="Times New Roman" w:eastAsia="宋体" w:cs="Times New Roman"/>
          <w:color w:val="FF0000"/>
          <w:szCs w:val="32"/>
        </w:rPr>
      </w:pPr>
      <w:r>
        <w:rPr>
          <w:rFonts w:hint="eastAsia" w:ascii="宋体" w:hAnsi="Times New Roman" w:eastAsia="宋体" w:cs="Times New Roman"/>
          <w:color w:val="FF0000"/>
          <w:szCs w:val="32"/>
        </w:rPr>
        <w:t>（四）不同投标供应商的</w:t>
      </w:r>
      <w:r>
        <w:rPr>
          <w:rFonts w:hint="eastAsia" w:ascii="宋体" w:cs="Times New Roman"/>
          <w:color w:val="FF0000"/>
          <w:szCs w:val="32"/>
          <w:lang w:eastAsia="zh-CN"/>
        </w:rPr>
        <w:t>应答文件</w:t>
      </w:r>
      <w:r>
        <w:rPr>
          <w:rFonts w:hint="eastAsia" w:ascii="宋体" w:hAnsi="Times New Roman" w:eastAsia="宋体" w:cs="Times New Roman"/>
          <w:color w:val="FF0000"/>
          <w:szCs w:val="32"/>
        </w:rPr>
        <w:t>或部分</w:t>
      </w:r>
      <w:r>
        <w:rPr>
          <w:rFonts w:hint="eastAsia" w:ascii="宋体" w:cs="Times New Roman"/>
          <w:color w:val="FF0000"/>
          <w:szCs w:val="32"/>
          <w:lang w:eastAsia="zh-CN"/>
        </w:rPr>
        <w:t>应答文件</w:t>
      </w:r>
      <w:r>
        <w:rPr>
          <w:rFonts w:hint="eastAsia" w:ascii="宋体" w:hAnsi="Times New Roman" w:eastAsia="宋体" w:cs="Times New Roman"/>
          <w:color w:val="FF0000"/>
          <w:szCs w:val="32"/>
        </w:rPr>
        <w:t>相互混装；</w:t>
      </w:r>
    </w:p>
    <w:p w14:paraId="64919E06">
      <w:pPr>
        <w:rPr>
          <w:rFonts w:ascii="宋体" w:hAnsi="Times New Roman" w:eastAsia="宋体" w:cs="Times New Roman"/>
          <w:color w:val="FF0000"/>
          <w:szCs w:val="32"/>
        </w:rPr>
      </w:pPr>
      <w:r>
        <w:rPr>
          <w:rFonts w:hint="eastAsia" w:ascii="宋体" w:hAnsi="Times New Roman" w:eastAsia="宋体" w:cs="Times New Roman"/>
          <w:color w:val="FF0000"/>
          <w:szCs w:val="32"/>
        </w:rPr>
        <w:t>（五）不同投标供应商的</w:t>
      </w:r>
      <w:r>
        <w:rPr>
          <w:rFonts w:hint="eastAsia" w:ascii="宋体" w:cs="Times New Roman"/>
          <w:color w:val="FF0000"/>
          <w:szCs w:val="32"/>
          <w:lang w:eastAsia="zh-CN"/>
        </w:rPr>
        <w:t>应答文件</w:t>
      </w:r>
      <w:r>
        <w:rPr>
          <w:rFonts w:hint="eastAsia" w:ascii="宋体" w:hAnsi="Times New Roman" w:eastAsia="宋体" w:cs="Times New Roman"/>
          <w:color w:val="FF0000"/>
          <w:szCs w:val="32"/>
        </w:rPr>
        <w:t>内容存在非正常一致；</w:t>
      </w:r>
    </w:p>
    <w:p w14:paraId="78F990A6">
      <w:pPr>
        <w:rPr>
          <w:rFonts w:ascii="宋体" w:hAnsi="Times New Roman" w:eastAsia="宋体" w:cs="Times New Roman"/>
          <w:color w:val="FF0000"/>
          <w:szCs w:val="32"/>
        </w:rPr>
      </w:pPr>
      <w:r>
        <w:rPr>
          <w:rFonts w:hint="eastAsia" w:ascii="宋体" w:hAnsi="Times New Roman" w:eastAsia="宋体" w:cs="Times New Roman"/>
          <w:color w:val="FF0000"/>
          <w:szCs w:val="32"/>
        </w:rPr>
        <w:t>（六）由同一单位工作人员为两家以上（含两家）供应商进行同一项投标活动的；</w:t>
      </w:r>
    </w:p>
    <w:p w14:paraId="2E3ECF88">
      <w:pPr>
        <w:rPr>
          <w:rFonts w:ascii="宋体" w:hAnsi="Times New Roman" w:eastAsia="宋体" w:cs="Times New Roman"/>
          <w:color w:val="FF0000"/>
          <w:szCs w:val="32"/>
        </w:rPr>
      </w:pPr>
      <w:r>
        <w:rPr>
          <w:rFonts w:hint="eastAsia" w:ascii="宋体" w:hAnsi="Times New Roman" w:eastAsia="宋体" w:cs="Times New Roman"/>
          <w:color w:val="FF0000"/>
          <w:szCs w:val="32"/>
        </w:rPr>
        <w:t>（七）主管部门依照法律、法规认定的其他情形。</w:t>
      </w:r>
    </w:p>
    <w:p w14:paraId="2A9CEAE4">
      <w:pPr>
        <w:rPr>
          <w:rFonts w:ascii="宋体" w:hAnsi="Times New Roman" w:eastAsia="宋体" w:cs="Times New Roman"/>
          <w:color w:val="FF0000"/>
          <w:szCs w:val="32"/>
        </w:rPr>
      </w:pPr>
      <w:r>
        <w:rPr>
          <w:rFonts w:hint="eastAsia" w:ascii="宋体" w:hAnsi="Times New Roman" w:eastAsia="宋体" w:cs="Times New Roman"/>
          <w:b/>
          <w:bCs/>
          <w:color w:val="FF0000"/>
          <w:szCs w:val="32"/>
        </w:rPr>
        <w:t>三、《深圳经济特区政府采购条例实施细则》第七十七条 </w:t>
      </w:r>
      <w:r>
        <w:rPr>
          <w:rFonts w:hint="eastAsia" w:ascii="宋体" w:hAnsi="Times New Roman" w:eastAsia="宋体" w:cs="Times New Roman"/>
          <w:color w:val="FF0000"/>
          <w:szCs w:val="32"/>
        </w:rPr>
        <w:t>供应商有下列情形之一的，属于隐瞒真实情况，提供虚假资料，按照采购条例第五十七条的有关规定处理：</w:t>
      </w:r>
    </w:p>
    <w:p w14:paraId="0D4F0766">
      <w:pPr>
        <w:rPr>
          <w:rFonts w:ascii="宋体" w:hAnsi="Times New Roman" w:eastAsia="宋体" w:cs="Times New Roman"/>
          <w:color w:val="FF0000"/>
          <w:szCs w:val="32"/>
        </w:rPr>
      </w:pPr>
      <w:r>
        <w:rPr>
          <w:rFonts w:hint="eastAsia" w:ascii="宋体" w:hAnsi="Times New Roman" w:eastAsia="宋体" w:cs="Times New Roman"/>
          <w:color w:val="FF0000"/>
          <w:szCs w:val="32"/>
        </w:rPr>
        <w:t>（一）通过转让或者租借等方式从其他单位获取资格或者资质证书投标的；</w:t>
      </w:r>
    </w:p>
    <w:p w14:paraId="5620A838">
      <w:pPr>
        <w:rPr>
          <w:rFonts w:ascii="宋体" w:hAnsi="Times New Roman" w:eastAsia="宋体" w:cs="Times New Roman"/>
          <w:color w:val="FF0000"/>
          <w:szCs w:val="32"/>
        </w:rPr>
      </w:pPr>
      <w:r>
        <w:rPr>
          <w:rFonts w:hint="eastAsia" w:ascii="宋体" w:hAnsi="Times New Roman" w:eastAsia="宋体" w:cs="Times New Roman"/>
          <w:color w:val="FF0000"/>
          <w:szCs w:val="32"/>
        </w:rPr>
        <w:t>（二）由其他单位或者其他单位负责人在投标供应商编制的</w:t>
      </w:r>
      <w:r>
        <w:rPr>
          <w:rFonts w:hint="eastAsia" w:ascii="宋体" w:cs="Times New Roman"/>
          <w:color w:val="FF0000"/>
          <w:szCs w:val="32"/>
          <w:lang w:eastAsia="zh-CN"/>
        </w:rPr>
        <w:t>应答文件</w:t>
      </w:r>
      <w:r>
        <w:rPr>
          <w:rFonts w:hint="eastAsia" w:ascii="宋体" w:hAnsi="Times New Roman" w:eastAsia="宋体" w:cs="Times New Roman"/>
          <w:color w:val="FF0000"/>
          <w:szCs w:val="32"/>
        </w:rPr>
        <w:t>上加盖印章或者签字的；</w:t>
      </w:r>
    </w:p>
    <w:p w14:paraId="7A8AF783">
      <w:pPr>
        <w:rPr>
          <w:rFonts w:ascii="宋体" w:hAnsi="Times New Roman" w:eastAsia="宋体" w:cs="Times New Roman"/>
          <w:color w:val="FF0000"/>
          <w:szCs w:val="32"/>
        </w:rPr>
      </w:pPr>
      <w:r>
        <w:rPr>
          <w:rFonts w:hint="eastAsia" w:ascii="宋体" w:hAnsi="Times New Roman" w:eastAsia="宋体" w:cs="Times New Roman"/>
          <w:color w:val="FF0000"/>
          <w:szCs w:val="32"/>
        </w:rPr>
        <w:t>（三）项目负责人或者主要技术人员不是本单位人员的；</w:t>
      </w:r>
    </w:p>
    <w:p w14:paraId="3E0979BD">
      <w:pPr>
        <w:rPr>
          <w:rFonts w:ascii="宋体" w:hAnsi="Times New Roman" w:eastAsia="宋体" w:cs="Times New Roman"/>
          <w:color w:val="FF0000"/>
          <w:szCs w:val="32"/>
        </w:rPr>
      </w:pPr>
      <w:r>
        <w:rPr>
          <w:rFonts w:hint="eastAsia" w:ascii="宋体" w:hAnsi="Times New Roman" w:eastAsia="宋体" w:cs="Times New Roman"/>
          <w:color w:val="FF0000"/>
          <w:szCs w:val="32"/>
        </w:rPr>
        <w:t>（四）投标保证金不是从投标供应商基本账户转出的；</w:t>
      </w:r>
    </w:p>
    <w:p w14:paraId="653CAFEE">
      <w:pPr>
        <w:rPr>
          <w:rFonts w:ascii="宋体" w:hAnsi="Times New Roman" w:eastAsia="宋体" w:cs="Times New Roman"/>
          <w:color w:val="FF0000"/>
          <w:szCs w:val="32"/>
        </w:rPr>
      </w:pPr>
      <w:r>
        <w:rPr>
          <w:rFonts w:hint="eastAsia" w:ascii="宋体" w:hAnsi="Times New Roman" w:eastAsia="宋体" w:cs="Times New Roman"/>
          <w:color w:val="FF0000"/>
          <w:szCs w:val="32"/>
        </w:rPr>
        <w:t>（五）其他隐瞒真实情况、提供虚假资料的行为。</w:t>
      </w:r>
    </w:p>
    <w:p w14:paraId="3A9B6E29">
      <w:pPr>
        <w:rPr>
          <w:rFonts w:ascii="宋体" w:hAnsi="Times New Roman" w:eastAsia="宋体" w:cs="Times New Roman"/>
          <w:color w:val="FF0000"/>
          <w:szCs w:val="32"/>
        </w:rPr>
      </w:pPr>
      <w:r>
        <w:rPr>
          <w:rFonts w:hint="eastAsia" w:ascii="宋体" w:hAnsi="Times New Roman" w:eastAsia="宋体" w:cs="Times New Roman"/>
          <w:color w:val="FF0000"/>
          <w:szCs w:val="32"/>
        </w:rPr>
        <w:t>投标供应商不能提供项目负责人或者主要技术人员的劳动合同、社会保险等劳动关系证明材料的，视为存在前款第（三）项规定的情形。</w:t>
      </w:r>
    </w:p>
    <w:p w14:paraId="71E00C5F">
      <w:pPr>
        <w:rPr>
          <w:rFonts w:ascii="宋体" w:hAnsi="Times New Roman" w:eastAsia="宋体" w:cs="Times New Roman"/>
          <w:color w:val="FF0000"/>
          <w:szCs w:val="32"/>
        </w:rPr>
      </w:pPr>
      <w:r>
        <w:rPr>
          <w:rFonts w:hint="eastAsia" w:ascii="宋体" w:hAnsi="Times New Roman" w:eastAsia="宋体" w:cs="Times New Roman"/>
          <w:b/>
          <w:bCs/>
          <w:color w:val="FF0000"/>
          <w:sz w:val="22"/>
          <w:szCs w:val="22"/>
        </w:rPr>
        <w:t>四、</w:t>
      </w:r>
      <w:r>
        <w:rPr>
          <w:rFonts w:hint="eastAsia" w:ascii="宋体" w:hAnsi="宋体" w:eastAsia="宋体" w:cs="Times New Roman"/>
          <w:b/>
          <w:bCs/>
          <w:color w:val="FF0000"/>
          <w:szCs w:val="21"/>
        </w:rPr>
        <w:t xml:space="preserve">《中华人民共和国政府采购法实施条例》 </w:t>
      </w:r>
      <w:r>
        <w:rPr>
          <w:rFonts w:hint="eastAsia" w:ascii="宋体" w:hAnsi="宋体" w:eastAsia="宋体" w:cs="宋体"/>
          <w:b/>
          <w:bCs/>
          <w:color w:val="FF0000"/>
          <w:szCs w:val="21"/>
        </w:rPr>
        <w:t>第十八条</w:t>
      </w:r>
      <w:r>
        <w:rPr>
          <w:rFonts w:hint="eastAsia" w:ascii="宋体" w:hAnsi="宋体" w:eastAsia="宋体" w:cs="宋体"/>
          <w:color w:val="FF0000"/>
          <w:szCs w:val="21"/>
        </w:rPr>
        <w:t xml:space="preserve"> 单</w:t>
      </w:r>
      <w:r>
        <w:rPr>
          <w:rFonts w:hint="eastAsia" w:ascii="宋体" w:hAnsi="Times New Roman" w:eastAsia="宋体" w:cs="Times New Roman"/>
          <w:color w:val="FF0000"/>
          <w:szCs w:val="32"/>
        </w:rPr>
        <w:t>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191532A1">
      <w:pPr>
        <w:rPr>
          <w:rFonts w:ascii="宋体" w:hAnsi="Times New Roman" w:eastAsia="宋体" w:cs="Times New Roman"/>
          <w:color w:val="FF0000"/>
          <w:szCs w:val="32"/>
        </w:rPr>
      </w:pPr>
      <w:r>
        <w:rPr>
          <w:rFonts w:hint="eastAsia" w:ascii="宋体" w:hAnsi="Times New Roman" w:eastAsia="宋体" w:cs="Times New Roman"/>
          <w:color w:val="FF0000"/>
          <w:szCs w:val="32"/>
        </w:rPr>
        <w:t>本项目设计供应商：无</w:t>
      </w:r>
    </w:p>
    <w:p w14:paraId="0A704A6A">
      <w:pPr>
        <w:rPr>
          <w:rFonts w:ascii="宋体" w:hAnsi="Times New Roman" w:eastAsia="宋体" w:cs="Times New Roman"/>
          <w:color w:val="FF0000"/>
          <w:szCs w:val="32"/>
        </w:rPr>
      </w:pPr>
      <w:r>
        <w:rPr>
          <w:rFonts w:hint="eastAsia" w:ascii="宋体" w:hAnsi="Times New Roman" w:eastAsia="宋体" w:cs="Times New Roman"/>
          <w:color w:val="FF0000"/>
          <w:szCs w:val="32"/>
        </w:rPr>
        <w:t>本项目造价咨询供应商：无</w:t>
      </w:r>
    </w:p>
    <w:p w14:paraId="68D36D8C">
      <w:pPr>
        <w:rPr>
          <w:rFonts w:ascii="宋体" w:hAnsi="Times New Roman" w:eastAsia="宋体" w:cs="Times New Roman"/>
          <w:color w:val="FF0000"/>
          <w:szCs w:val="32"/>
        </w:rPr>
      </w:pPr>
      <w:r>
        <w:rPr>
          <w:rFonts w:hint="eastAsia" w:ascii="宋体" w:hAnsi="Times New Roman" w:eastAsia="宋体" w:cs="Times New Roman"/>
          <w:color w:val="FF0000"/>
          <w:szCs w:val="32"/>
        </w:rPr>
        <w:t>本项目监理供应商：无</w:t>
      </w:r>
    </w:p>
    <w:p w14:paraId="6AEA45B9">
      <w:pPr>
        <w:rPr>
          <w:rFonts w:ascii="宋体" w:hAnsi="Times New Roman" w:eastAsia="宋体" w:cs="Times New Roman"/>
          <w:color w:val="FF0000"/>
          <w:szCs w:val="32"/>
        </w:rPr>
      </w:pPr>
      <w:r>
        <w:rPr>
          <w:rFonts w:hint="eastAsia" w:ascii="宋体" w:hAnsi="Times New Roman" w:eastAsia="宋体" w:cs="Times New Roman"/>
          <w:color w:val="FF0000"/>
          <w:szCs w:val="32"/>
        </w:rPr>
        <w:t>本项目检测供应商：无</w:t>
      </w:r>
    </w:p>
    <w:p w14:paraId="59E11FC2">
      <w:pPr>
        <w:rPr>
          <w:rFonts w:ascii="宋体" w:hAnsi="Times New Roman" w:eastAsia="宋体" w:cs="Times New Roman"/>
          <w:color w:val="FF0000"/>
          <w:sz w:val="22"/>
          <w:szCs w:val="22"/>
        </w:rPr>
      </w:pPr>
      <w:r>
        <w:rPr>
          <w:rFonts w:hint="eastAsia" w:ascii="宋体" w:hAnsi="Times New Roman" w:eastAsia="宋体" w:cs="Times New Roman"/>
          <w:b/>
          <w:bCs/>
          <w:color w:val="FF0000"/>
          <w:sz w:val="22"/>
          <w:szCs w:val="22"/>
        </w:rPr>
        <w:t>五、请投标供应商阅读《政府采购违法行为风险知悉确认书》</w:t>
      </w:r>
      <w:r>
        <w:rPr>
          <w:rFonts w:hint="eastAsia" w:ascii="宋体" w:hAnsi="Times New Roman" w:eastAsia="宋体" w:cs="Times New Roman"/>
          <w:color w:val="FF0000"/>
          <w:sz w:val="22"/>
          <w:szCs w:val="22"/>
        </w:rPr>
        <w:t>（内容详见“</w:t>
      </w:r>
      <w:r>
        <w:rPr>
          <w:rFonts w:hint="eastAsia" w:ascii="宋体" w:cs="Times New Roman"/>
          <w:color w:val="FF0000"/>
          <w:sz w:val="22"/>
          <w:szCs w:val="22"/>
          <w:lang w:eastAsia="zh-CN"/>
        </w:rPr>
        <w:t>应答文件</w:t>
      </w:r>
      <w:r>
        <w:rPr>
          <w:rFonts w:hint="eastAsia" w:ascii="宋体" w:hAnsi="Times New Roman" w:eastAsia="宋体" w:cs="Times New Roman"/>
          <w:color w:val="FF0000"/>
          <w:sz w:val="22"/>
          <w:szCs w:val="22"/>
        </w:rPr>
        <w:t>附件（信息不公开部分）”中节点“政府采购违法行为风险知悉确认书”），并经各投标供应商负责人或投标授权代表签字并加盖单位公章后，扫描上传至</w:t>
      </w:r>
      <w:r>
        <w:rPr>
          <w:rFonts w:hint="eastAsia" w:ascii="宋体" w:cs="Times New Roman"/>
          <w:color w:val="FF0000"/>
          <w:sz w:val="22"/>
          <w:szCs w:val="22"/>
          <w:lang w:eastAsia="zh-CN"/>
        </w:rPr>
        <w:t>应答文件</w:t>
      </w:r>
      <w:r>
        <w:rPr>
          <w:rFonts w:hint="eastAsia" w:ascii="宋体" w:hAnsi="Times New Roman" w:eastAsia="宋体" w:cs="Times New Roman"/>
          <w:color w:val="FF0000"/>
          <w:sz w:val="22"/>
          <w:szCs w:val="22"/>
        </w:rPr>
        <w:t>一并提交。</w:t>
      </w:r>
    </w:p>
    <w:p w14:paraId="2E06D4F7">
      <w:pPr>
        <w:ind w:firstLine="440" w:firstLineChars="200"/>
        <w:rPr>
          <w:rFonts w:ascii="宋体" w:hAnsi="Times New Roman" w:eastAsia="宋体" w:cs="Times New Roman"/>
          <w:color w:val="FF0000"/>
          <w:sz w:val="22"/>
          <w:szCs w:val="22"/>
        </w:rPr>
      </w:pPr>
      <w:r>
        <w:rPr>
          <w:rFonts w:hint="eastAsia" w:ascii="宋体" w:hAnsi="Times New Roman" w:eastAsia="宋体" w:cs="Times New Roman"/>
          <w:color w:val="FF0000"/>
          <w:sz w:val="22"/>
          <w:szCs w:val="22"/>
        </w:rPr>
        <w:t>注：该风险知悉确认书用于对供应商违法行为的警示，不作为供应商资格性审查及符合性审查条件。</w:t>
      </w:r>
    </w:p>
    <w:bookmarkEnd w:id="1"/>
    <w:p w14:paraId="246A1987">
      <w:pPr>
        <w:rPr>
          <w:sz w:val="28"/>
          <w:szCs w:val="28"/>
        </w:rPr>
      </w:pPr>
    </w:p>
    <w:p w14:paraId="7A367747">
      <w:pPr>
        <w:rPr>
          <w:rFonts w:hint="eastAsia"/>
          <w:b/>
          <w:bCs/>
          <w:sz w:val="28"/>
          <w:szCs w:val="28"/>
        </w:rPr>
      </w:pPr>
      <w:r>
        <w:rPr>
          <w:rFonts w:hint="eastAsia"/>
          <w:b/>
          <w:bCs/>
          <w:sz w:val="28"/>
          <w:szCs w:val="28"/>
          <w:lang w:val="en-US" w:eastAsia="zh-CN"/>
        </w:rPr>
        <w:br w:type="page"/>
      </w:r>
    </w:p>
    <w:p w14:paraId="5F55914D">
      <w:pPr>
        <w:pStyle w:val="3"/>
        <w:pageBreakBefore w:val="0"/>
        <w:numPr>
          <w:ilvl w:val="0"/>
          <w:numId w:val="7"/>
        </w:numPr>
        <w:kinsoku/>
        <w:wordWrap/>
        <w:overflowPunct/>
        <w:topLinePunct w:val="0"/>
        <w:autoSpaceDE/>
        <w:autoSpaceDN/>
        <w:bidi w:val="0"/>
        <w:adjustRightInd/>
        <w:snapToGrid/>
        <w:spacing w:before="0" w:after="0" w:line="400" w:lineRule="exact"/>
        <w:ind w:firstLine="562" w:firstLineChars="200"/>
        <w:jc w:val="center"/>
        <w:rPr>
          <w:rFonts w:hint="eastAsia"/>
          <w:b/>
          <w:bCs/>
          <w:sz w:val="28"/>
          <w:szCs w:val="28"/>
        </w:rPr>
      </w:pPr>
      <w:r>
        <w:rPr>
          <w:rFonts w:hint="eastAsia"/>
          <w:b/>
          <w:bCs/>
          <w:sz w:val="28"/>
          <w:szCs w:val="28"/>
          <w:lang w:val="en-US" w:eastAsia="zh-CN"/>
        </w:rPr>
        <w:t xml:space="preserve"> </w:t>
      </w:r>
      <w:r>
        <w:rPr>
          <w:rFonts w:hint="eastAsia"/>
          <w:b/>
          <w:bCs/>
          <w:sz w:val="28"/>
          <w:szCs w:val="28"/>
        </w:rPr>
        <w:t>谈判公告</w:t>
      </w:r>
    </w:p>
    <w:p w14:paraId="0D027E3A">
      <w:pPr>
        <w:pageBreakBefore w:val="0"/>
        <w:kinsoku/>
        <w:wordWrap/>
        <w:overflowPunct/>
        <w:topLinePunct w:val="0"/>
        <w:autoSpaceDE/>
        <w:autoSpaceDN/>
        <w:bidi w:val="0"/>
        <w:adjustRightInd/>
        <w:snapToGrid/>
        <w:spacing w:line="400" w:lineRule="exact"/>
        <w:ind w:firstLine="440" w:firstLineChars="200"/>
        <w:jc w:val="left"/>
        <w:rPr>
          <w:rFonts w:hint="default" w:ascii="宋体" w:hAnsi="宋体" w:cs="宋体"/>
          <w:sz w:val="22"/>
          <w:szCs w:val="22"/>
          <w:highlight w:val="none"/>
          <w:lang w:val="en-US" w:eastAsia="zh-CN"/>
        </w:rPr>
      </w:pPr>
      <w:r>
        <w:rPr>
          <w:rFonts w:hint="eastAsia" w:ascii="宋体" w:hAnsi="宋体" w:cs="宋体"/>
          <w:sz w:val="22"/>
          <w:szCs w:val="22"/>
          <w:highlight w:val="none"/>
          <w:lang w:val="en-US" w:eastAsia="zh-CN"/>
        </w:rPr>
        <w:t>深圳市东海国际招标有限公司（以下简称“招标代理机构”）受采购人委托，就2025-2026年度深圳市</w:t>
      </w:r>
      <w:r>
        <w:rPr>
          <w:rFonts w:hint="eastAsia" w:ascii="宋体" w:hAnsi="宋体" w:cs="宋体"/>
          <w:sz w:val="22"/>
          <w:szCs w:val="22"/>
          <w:highlight w:val="none"/>
          <w:lang w:eastAsia="zh-CN"/>
        </w:rPr>
        <w:t>足球重点城市建设项目</w:t>
      </w:r>
      <w:r>
        <w:rPr>
          <w:rFonts w:hint="eastAsia" w:ascii="宋体" w:hAnsi="宋体" w:cs="宋体"/>
          <w:sz w:val="22"/>
          <w:szCs w:val="22"/>
          <w:highlight w:val="none"/>
          <w:lang w:val="en-US" w:eastAsia="zh-CN"/>
        </w:rPr>
        <w:t>进行单一来源采购。2025-2025年度深圳市</w:t>
      </w:r>
      <w:r>
        <w:rPr>
          <w:rFonts w:hint="eastAsia" w:ascii="宋体" w:hAnsi="宋体" w:cs="宋体"/>
          <w:sz w:val="22"/>
          <w:szCs w:val="22"/>
          <w:highlight w:val="none"/>
          <w:lang w:eastAsia="zh-CN"/>
        </w:rPr>
        <w:t>足球重点城市建设项目</w:t>
      </w:r>
      <w:r>
        <w:rPr>
          <w:rFonts w:hint="eastAsia" w:ascii="宋体" w:hAnsi="宋体" w:cs="宋体"/>
          <w:sz w:val="22"/>
          <w:szCs w:val="22"/>
          <w:highlight w:val="none"/>
          <w:lang w:val="en-US" w:eastAsia="zh-CN"/>
        </w:rPr>
        <w:t>的潜在投标人应登录深圳公共资源交易网站（http://www.szggzy.com）下载获取本项目的谈判文件，并于</w:t>
      </w:r>
      <w:r>
        <w:rPr>
          <w:rFonts w:hint="eastAsia" w:ascii="宋体" w:hAnsi="宋体" w:cs="宋体"/>
          <w:color w:val="0000FF"/>
          <w:sz w:val="22"/>
          <w:szCs w:val="22"/>
          <w:highlight w:val="none"/>
          <w:lang w:val="en-US" w:eastAsia="zh-CN"/>
        </w:rPr>
        <w:t>2025年  月  日**时**分（北京时间）</w:t>
      </w:r>
      <w:r>
        <w:rPr>
          <w:rFonts w:hint="eastAsia" w:ascii="宋体" w:hAnsi="宋体" w:cs="宋体"/>
          <w:sz w:val="22"/>
          <w:szCs w:val="22"/>
          <w:highlight w:val="none"/>
          <w:lang w:val="en-US" w:eastAsia="zh-CN"/>
        </w:rPr>
        <w:t xml:space="preserve">前递交应答文件。 </w:t>
      </w:r>
    </w:p>
    <w:p w14:paraId="04C6FD7A">
      <w:pPr>
        <w:pStyle w:val="3"/>
        <w:pageBreakBefore w:val="0"/>
        <w:kinsoku/>
        <w:wordWrap/>
        <w:overflowPunct/>
        <w:topLinePunct w:val="0"/>
        <w:autoSpaceDE/>
        <w:autoSpaceDN/>
        <w:bidi w:val="0"/>
        <w:adjustRightInd/>
        <w:snapToGrid/>
        <w:spacing w:before="0" w:after="0" w:line="400" w:lineRule="exact"/>
        <w:ind w:firstLine="442" w:firstLineChars="200"/>
        <w:jc w:val="left"/>
        <w:rPr>
          <w:rFonts w:hint="eastAsia" w:ascii="宋体" w:hAnsi="宋体" w:eastAsia="宋体" w:cs="宋体"/>
          <w:b/>
          <w:bCs/>
          <w:sz w:val="22"/>
          <w:szCs w:val="22"/>
          <w:highlight w:val="none"/>
        </w:rPr>
      </w:pPr>
      <w:bookmarkStart w:id="2" w:name="_Toc35393798"/>
      <w:bookmarkStart w:id="3" w:name="_Toc28359012"/>
      <w:bookmarkStart w:id="4" w:name="_Toc28359089"/>
      <w:bookmarkStart w:id="5" w:name="_Toc35393629"/>
      <w:r>
        <w:rPr>
          <w:rFonts w:hint="eastAsia" w:ascii="宋体" w:hAnsi="宋体" w:eastAsia="宋体" w:cs="宋体"/>
          <w:b/>
          <w:bCs/>
          <w:sz w:val="22"/>
          <w:szCs w:val="22"/>
          <w:highlight w:val="none"/>
        </w:rPr>
        <w:t>一、项目基本情况</w:t>
      </w:r>
      <w:bookmarkEnd w:id="2"/>
      <w:bookmarkEnd w:id="3"/>
      <w:bookmarkEnd w:id="4"/>
      <w:bookmarkEnd w:id="5"/>
    </w:p>
    <w:p w14:paraId="48B5C469">
      <w:pPr>
        <w:pageBreakBefore w:val="0"/>
        <w:kinsoku/>
        <w:wordWrap/>
        <w:overflowPunct/>
        <w:topLinePunct w:val="0"/>
        <w:autoSpaceDE/>
        <w:autoSpaceDN/>
        <w:bidi w:val="0"/>
        <w:adjustRightInd/>
        <w:snapToGrid/>
        <w:spacing w:line="400" w:lineRule="exact"/>
        <w:ind w:firstLine="440" w:firstLineChars="200"/>
        <w:jc w:val="lef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1.项目编号：</w:t>
      </w:r>
      <w:r>
        <w:rPr>
          <w:rFonts w:hint="eastAsia" w:ascii="宋体" w:hAnsi="宋体" w:cs="宋体"/>
          <w:sz w:val="22"/>
          <w:szCs w:val="22"/>
          <w:highlight w:val="none"/>
          <w:lang w:val="en-US" w:eastAsia="zh-CN"/>
        </w:rPr>
        <w:t>3324-DH2531F1252（SZDL2025001765）</w:t>
      </w:r>
    </w:p>
    <w:p w14:paraId="47ADB5EF">
      <w:pPr>
        <w:pageBreakBefore w:val="0"/>
        <w:kinsoku/>
        <w:wordWrap/>
        <w:overflowPunct/>
        <w:topLinePunct w:val="0"/>
        <w:autoSpaceDE/>
        <w:autoSpaceDN/>
        <w:bidi w:val="0"/>
        <w:adjustRightInd/>
        <w:snapToGrid/>
        <w:spacing w:line="400" w:lineRule="exact"/>
        <w:ind w:firstLine="440" w:firstLineChars="200"/>
        <w:jc w:val="left"/>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2.项目名称：</w:t>
      </w:r>
      <w:r>
        <w:rPr>
          <w:rFonts w:hint="eastAsia" w:ascii="宋体" w:hAnsi="宋体" w:cs="宋体"/>
          <w:sz w:val="22"/>
          <w:szCs w:val="22"/>
          <w:highlight w:val="none"/>
          <w:lang w:val="en-US" w:eastAsia="zh-CN"/>
        </w:rPr>
        <w:t>2025-2026年度深圳市</w:t>
      </w:r>
      <w:r>
        <w:rPr>
          <w:rFonts w:hint="eastAsia" w:ascii="宋体" w:hAnsi="宋体" w:cs="宋体"/>
          <w:sz w:val="22"/>
          <w:szCs w:val="22"/>
          <w:highlight w:val="none"/>
          <w:lang w:eastAsia="zh-CN"/>
        </w:rPr>
        <w:t>足球重点城市建设项目</w:t>
      </w:r>
    </w:p>
    <w:p w14:paraId="5030F934">
      <w:pPr>
        <w:pageBreakBefore w:val="0"/>
        <w:kinsoku/>
        <w:wordWrap/>
        <w:overflowPunct/>
        <w:topLinePunct w:val="0"/>
        <w:autoSpaceDE/>
        <w:autoSpaceDN/>
        <w:bidi w:val="0"/>
        <w:adjustRightInd/>
        <w:snapToGrid/>
        <w:spacing w:line="400" w:lineRule="exact"/>
        <w:ind w:firstLine="440" w:firstLineChars="200"/>
        <w:jc w:val="lef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3.采购方式：</w:t>
      </w:r>
      <w:r>
        <w:rPr>
          <w:rFonts w:hint="eastAsia" w:ascii="宋体" w:hAnsi="宋体" w:eastAsia="宋体" w:cs="宋体"/>
          <w:sz w:val="22"/>
          <w:szCs w:val="22"/>
          <w:highlight w:val="none"/>
          <w:lang w:val="en-US" w:eastAsia="zh-CN"/>
        </w:rPr>
        <w:t>单一来源</w:t>
      </w:r>
    </w:p>
    <w:p w14:paraId="201B2EB0">
      <w:pPr>
        <w:pageBreakBefore w:val="0"/>
        <w:kinsoku/>
        <w:wordWrap/>
        <w:overflowPunct/>
        <w:topLinePunct w:val="0"/>
        <w:autoSpaceDE/>
        <w:autoSpaceDN/>
        <w:bidi w:val="0"/>
        <w:adjustRightInd/>
        <w:snapToGrid/>
        <w:spacing w:line="4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4.预算金额：</w:t>
      </w:r>
      <w:r>
        <w:rPr>
          <w:rFonts w:hint="eastAsia" w:ascii="宋体" w:hAnsi="宋体" w:eastAsia="宋体" w:cs="宋体"/>
          <w:kern w:val="0"/>
          <w:sz w:val="22"/>
          <w:szCs w:val="22"/>
          <w:highlight w:val="none"/>
        </w:rPr>
        <w:t>人民币</w:t>
      </w:r>
      <w:r>
        <w:rPr>
          <w:rFonts w:hint="eastAsia" w:ascii="宋体" w:hAnsi="宋体" w:cs="宋体"/>
          <w:kern w:val="0"/>
          <w:sz w:val="22"/>
          <w:szCs w:val="22"/>
          <w:highlight w:val="none"/>
          <w:lang w:val="en-US" w:eastAsia="zh-CN"/>
        </w:rPr>
        <w:t>10,000,000.00</w:t>
      </w:r>
      <w:r>
        <w:rPr>
          <w:rFonts w:hint="eastAsia" w:ascii="宋体" w:hAnsi="宋体" w:eastAsia="宋体" w:cs="宋体"/>
          <w:kern w:val="0"/>
          <w:sz w:val="22"/>
          <w:szCs w:val="22"/>
          <w:highlight w:val="none"/>
        </w:rPr>
        <w:t>元</w:t>
      </w:r>
    </w:p>
    <w:p w14:paraId="056F48AF">
      <w:pPr>
        <w:pageBreakBefore w:val="0"/>
        <w:kinsoku/>
        <w:wordWrap/>
        <w:overflowPunct/>
        <w:topLinePunct w:val="0"/>
        <w:autoSpaceDE/>
        <w:autoSpaceDN/>
        <w:bidi w:val="0"/>
        <w:adjustRightInd/>
        <w:snapToGrid/>
        <w:spacing w:line="4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5.最高限价：</w:t>
      </w:r>
      <w:r>
        <w:rPr>
          <w:rFonts w:hint="eastAsia" w:ascii="宋体" w:hAnsi="宋体" w:eastAsia="宋体" w:cs="宋体"/>
          <w:kern w:val="0"/>
          <w:sz w:val="22"/>
          <w:szCs w:val="22"/>
          <w:highlight w:val="none"/>
        </w:rPr>
        <w:t>人民币</w:t>
      </w:r>
      <w:r>
        <w:rPr>
          <w:rFonts w:hint="eastAsia" w:ascii="宋体" w:hAnsi="宋体" w:cs="宋体"/>
          <w:kern w:val="0"/>
          <w:sz w:val="22"/>
          <w:szCs w:val="22"/>
          <w:highlight w:val="none"/>
          <w:lang w:val="en-US" w:eastAsia="zh-CN"/>
        </w:rPr>
        <w:t>10,000,000.00</w:t>
      </w:r>
      <w:r>
        <w:rPr>
          <w:rFonts w:hint="eastAsia" w:ascii="宋体" w:hAnsi="宋体" w:eastAsia="宋体" w:cs="宋体"/>
          <w:kern w:val="0"/>
          <w:sz w:val="22"/>
          <w:szCs w:val="22"/>
          <w:highlight w:val="none"/>
        </w:rPr>
        <w:t>元</w:t>
      </w:r>
    </w:p>
    <w:p w14:paraId="7E66D969">
      <w:pPr>
        <w:pageBreakBefore w:val="0"/>
        <w:kinsoku/>
        <w:wordWrap/>
        <w:overflowPunct/>
        <w:topLinePunct w:val="0"/>
        <w:autoSpaceDE/>
        <w:autoSpaceDN/>
        <w:bidi w:val="0"/>
        <w:adjustRightInd/>
        <w:snapToGrid/>
        <w:spacing w:line="4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6.采购需求：</w:t>
      </w:r>
    </w:p>
    <w:tbl>
      <w:tblPr>
        <w:tblStyle w:val="45"/>
        <w:tblW w:w="5000" w:type="pct"/>
        <w:jc w:val="center"/>
        <w:tblBorders>
          <w:top w:val="outset" w:color="AAAAAA" w:sz="6" w:space="0"/>
          <w:left w:val="outset" w:color="AAAAAA" w:sz="6" w:space="0"/>
          <w:bottom w:val="outset" w:color="AAAAAA" w:sz="6" w:space="0"/>
          <w:right w:val="outset" w:color="AAAAAA" w:sz="6" w:space="0"/>
          <w:insideH w:val="outset" w:color="auto" w:sz="6" w:space="0"/>
          <w:insideV w:val="outset" w:color="auto" w:sz="6" w:space="0"/>
        </w:tblBorders>
        <w:tblLayout w:type="autofit"/>
        <w:tblCellMar>
          <w:top w:w="60" w:type="dxa"/>
          <w:left w:w="60" w:type="dxa"/>
          <w:bottom w:w="60" w:type="dxa"/>
          <w:right w:w="60" w:type="dxa"/>
        </w:tblCellMar>
      </w:tblPr>
      <w:tblGrid>
        <w:gridCol w:w="4565"/>
        <w:gridCol w:w="777"/>
        <w:gridCol w:w="864"/>
        <w:gridCol w:w="1474"/>
        <w:gridCol w:w="753"/>
      </w:tblGrid>
      <w:tr w14:paraId="11E20BD4">
        <w:tblPrEx>
          <w:tblBorders>
            <w:top w:val="outset" w:color="AAAAAA" w:sz="6" w:space="0"/>
            <w:left w:val="outset" w:color="AAAAAA" w:sz="6" w:space="0"/>
            <w:bottom w:val="outset" w:color="AAAAAA" w:sz="6" w:space="0"/>
            <w:right w:val="outset" w:color="AAAAAA" w:sz="6" w:space="0"/>
            <w:insideH w:val="outset" w:color="auto" w:sz="6" w:space="0"/>
            <w:insideV w:val="outset" w:color="auto" w:sz="6" w:space="0"/>
          </w:tblBorders>
          <w:tblCellMar>
            <w:top w:w="60" w:type="dxa"/>
            <w:left w:w="60" w:type="dxa"/>
            <w:bottom w:w="60" w:type="dxa"/>
            <w:right w:w="60" w:type="dxa"/>
          </w:tblCellMar>
        </w:tblPrEx>
        <w:trPr>
          <w:jc w:val="center"/>
        </w:trPr>
        <w:tc>
          <w:tcPr>
            <w:tcW w:w="4565" w:type="dxa"/>
            <w:tcBorders>
              <w:top w:val="outset" w:color="AAAAAA" w:sz="6" w:space="0"/>
              <w:left w:val="outset" w:color="AAAAAA" w:sz="6" w:space="0"/>
              <w:bottom w:val="outset" w:color="AAAAAA" w:sz="6" w:space="0"/>
              <w:right w:val="outset" w:color="AAAAAA" w:sz="6" w:space="0"/>
            </w:tcBorders>
            <w:shd w:val="clear" w:color="auto" w:fill="ABCDEF"/>
            <w:vAlign w:val="center"/>
          </w:tcPr>
          <w:p w14:paraId="7C79CF3F">
            <w:pPr>
              <w:widowControl/>
              <w:jc w:val="center"/>
              <w:rPr>
                <w:rFonts w:hint="eastAsia" w:ascii="宋体" w:hAnsi="宋体" w:cs="宋体"/>
                <w:szCs w:val="21"/>
              </w:rPr>
            </w:pPr>
            <w:r>
              <w:rPr>
                <w:rFonts w:hint="eastAsia" w:ascii="宋体" w:hAnsi="宋体" w:cs="宋体"/>
                <w:kern w:val="0"/>
                <w:szCs w:val="21"/>
              </w:rPr>
              <w:t>标的名称</w:t>
            </w:r>
          </w:p>
        </w:tc>
        <w:tc>
          <w:tcPr>
            <w:tcW w:w="777" w:type="dxa"/>
            <w:tcBorders>
              <w:top w:val="outset" w:color="AAAAAA" w:sz="6" w:space="0"/>
              <w:left w:val="single" w:color="auto" w:sz="0" w:space="0"/>
              <w:bottom w:val="outset" w:color="AAAAAA" w:sz="6" w:space="0"/>
              <w:right w:val="outset" w:color="AAAAAA" w:sz="6" w:space="0"/>
            </w:tcBorders>
            <w:shd w:val="clear" w:color="auto" w:fill="ABCDEF"/>
            <w:vAlign w:val="center"/>
          </w:tcPr>
          <w:p w14:paraId="1DFB5806">
            <w:pPr>
              <w:widowControl/>
              <w:jc w:val="center"/>
              <w:rPr>
                <w:rFonts w:hint="eastAsia" w:ascii="宋体" w:hAnsi="宋体" w:cs="宋体"/>
                <w:szCs w:val="21"/>
              </w:rPr>
            </w:pPr>
            <w:r>
              <w:rPr>
                <w:rFonts w:hint="eastAsia" w:ascii="宋体" w:hAnsi="宋体" w:cs="宋体"/>
                <w:kern w:val="0"/>
                <w:szCs w:val="21"/>
              </w:rPr>
              <w:t>数量</w:t>
            </w:r>
          </w:p>
        </w:tc>
        <w:tc>
          <w:tcPr>
            <w:tcW w:w="864" w:type="dxa"/>
            <w:tcBorders>
              <w:top w:val="outset" w:color="AAAAAA" w:sz="6" w:space="0"/>
              <w:left w:val="single" w:color="auto" w:sz="0" w:space="0"/>
              <w:bottom w:val="outset" w:color="AAAAAA" w:sz="6" w:space="0"/>
              <w:right w:val="outset" w:color="AAAAAA" w:sz="6" w:space="0"/>
            </w:tcBorders>
            <w:shd w:val="clear" w:color="auto" w:fill="ABCDEF"/>
            <w:vAlign w:val="center"/>
          </w:tcPr>
          <w:p w14:paraId="647C1400">
            <w:pPr>
              <w:widowControl/>
              <w:jc w:val="center"/>
              <w:rPr>
                <w:rFonts w:hint="eastAsia" w:ascii="宋体" w:hAnsi="宋体" w:cs="宋体"/>
                <w:szCs w:val="21"/>
              </w:rPr>
            </w:pPr>
            <w:r>
              <w:rPr>
                <w:rFonts w:hint="eastAsia" w:ascii="宋体" w:hAnsi="宋体" w:cs="宋体"/>
                <w:kern w:val="0"/>
                <w:szCs w:val="21"/>
              </w:rPr>
              <w:t>单位</w:t>
            </w:r>
          </w:p>
        </w:tc>
        <w:tc>
          <w:tcPr>
            <w:tcW w:w="1474" w:type="dxa"/>
            <w:tcBorders>
              <w:top w:val="outset" w:color="AAAAAA" w:sz="6" w:space="0"/>
              <w:left w:val="single" w:color="auto" w:sz="0" w:space="0"/>
              <w:bottom w:val="outset" w:color="AAAAAA" w:sz="6" w:space="0"/>
              <w:right w:val="outset" w:color="AAAAAA" w:sz="6" w:space="0"/>
            </w:tcBorders>
            <w:shd w:val="clear" w:color="auto" w:fill="ABCDEF"/>
            <w:vAlign w:val="center"/>
          </w:tcPr>
          <w:p w14:paraId="137F9C2A">
            <w:pPr>
              <w:widowControl/>
              <w:jc w:val="center"/>
              <w:rPr>
                <w:rFonts w:hint="eastAsia" w:ascii="宋体" w:hAnsi="宋体" w:cs="宋体"/>
                <w:szCs w:val="21"/>
              </w:rPr>
            </w:pPr>
            <w:r>
              <w:rPr>
                <w:rFonts w:hint="eastAsia" w:ascii="宋体" w:hAnsi="宋体" w:cs="宋体"/>
                <w:kern w:val="0"/>
                <w:szCs w:val="21"/>
              </w:rPr>
              <w:t>简要服务需求</w:t>
            </w:r>
          </w:p>
        </w:tc>
        <w:tc>
          <w:tcPr>
            <w:tcW w:w="753" w:type="dxa"/>
            <w:tcBorders>
              <w:top w:val="outset" w:color="AAAAAA" w:sz="6" w:space="0"/>
              <w:left w:val="single" w:color="auto" w:sz="0" w:space="0"/>
              <w:bottom w:val="outset" w:color="AAAAAA" w:sz="6" w:space="0"/>
              <w:right w:val="outset" w:color="AAAAAA" w:sz="6" w:space="0"/>
            </w:tcBorders>
            <w:shd w:val="clear" w:color="auto" w:fill="ABCDEF"/>
            <w:vAlign w:val="center"/>
          </w:tcPr>
          <w:p w14:paraId="4A3F1E17">
            <w:pPr>
              <w:widowControl/>
              <w:jc w:val="center"/>
              <w:rPr>
                <w:rFonts w:hint="eastAsia" w:ascii="宋体" w:hAnsi="宋体" w:cs="宋体"/>
                <w:szCs w:val="21"/>
              </w:rPr>
            </w:pPr>
            <w:r>
              <w:rPr>
                <w:rFonts w:hint="eastAsia" w:ascii="宋体" w:hAnsi="宋体" w:cs="宋体"/>
                <w:kern w:val="0"/>
                <w:szCs w:val="21"/>
              </w:rPr>
              <w:t>备注</w:t>
            </w:r>
          </w:p>
        </w:tc>
      </w:tr>
      <w:tr w14:paraId="01794AFF">
        <w:tblPrEx>
          <w:tblBorders>
            <w:top w:val="outset" w:color="AAAAAA" w:sz="6" w:space="0"/>
            <w:left w:val="outset" w:color="AAAAAA" w:sz="6" w:space="0"/>
            <w:bottom w:val="outset" w:color="AAAAAA" w:sz="6" w:space="0"/>
            <w:right w:val="outset" w:color="AAAAAA" w:sz="6" w:space="0"/>
            <w:insideH w:val="outset" w:color="auto" w:sz="6" w:space="0"/>
            <w:insideV w:val="outset" w:color="auto" w:sz="6" w:space="0"/>
          </w:tblBorders>
          <w:tblCellMar>
            <w:top w:w="60" w:type="dxa"/>
            <w:left w:w="60" w:type="dxa"/>
            <w:bottom w:w="60" w:type="dxa"/>
            <w:right w:w="60" w:type="dxa"/>
          </w:tblCellMar>
        </w:tblPrEx>
        <w:trPr>
          <w:jc w:val="center"/>
        </w:trPr>
        <w:tc>
          <w:tcPr>
            <w:tcW w:w="4565" w:type="dxa"/>
            <w:tcBorders>
              <w:top w:val="outset" w:color="AAAAAA" w:sz="6" w:space="0"/>
              <w:left w:val="outset" w:color="AAAAAA" w:sz="6" w:space="0"/>
              <w:bottom w:val="outset" w:color="AAAAAA" w:sz="6" w:space="0"/>
              <w:right w:val="outset" w:color="AAAAAA" w:sz="6" w:space="0"/>
            </w:tcBorders>
            <w:vAlign w:val="center"/>
          </w:tcPr>
          <w:p w14:paraId="521B5B5B">
            <w:pPr>
              <w:widowControl/>
              <w:jc w:val="center"/>
              <w:rPr>
                <w:rFonts w:hint="eastAsia" w:ascii="宋体" w:hAnsi="宋体" w:eastAsia="宋体" w:cs="宋体"/>
                <w:szCs w:val="21"/>
                <w:lang w:eastAsia="zh-CN"/>
              </w:rPr>
            </w:pPr>
            <w:r>
              <w:rPr>
                <w:rFonts w:hint="eastAsia" w:ascii="宋体" w:hAnsi="宋体" w:cs="宋体"/>
                <w:sz w:val="22"/>
                <w:szCs w:val="22"/>
                <w:highlight w:val="none"/>
                <w:lang w:val="en-US" w:eastAsia="zh-CN"/>
              </w:rPr>
              <w:t>2025-2026年度深圳市</w:t>
            </w:r>
            <w:r>
              <w:rPr>
                <w:rFonts w:hint="eastAsia" w:ascii="宋体" w:hAnsi="宋体" w:cs="宋体"/>
                <w:sz w:val="22"/>
                <w:szCs w:val="22"/>
                <w:highlight w:val="none"/>
                <w:lang w:eastAsia="zh-CN"/>
              </w:rPr>
              <w:t>足球重点城市建设项目</w:t>
            </w:r>
          </w:p>
        </w:tc>
        <w:tc>
          <w:tcPr>
            <w:tcW w:w="777" w:type="dxa"/>
            <w:tcBorders>
              <w:top w:val="outset" w:color="AAAAAA" w:sz="6" w:space="0"/>
              <w:left w:val="single" w:color="auto" w:sz="0" w:space="0"/>
              <w:bottom w:val="outset" w:color="AAAAAA" w:sz="6" w:space="0"/>
              <w:right w:val="outset" w:color="AAAAAA" w:sz="6" w:space="0"/>
            </w:tcBorders>
            <w:vAlign w:val="center"/>
          </w:tcPr>
          <w:p w14:paraId="4F2EFA9D">
            <w:pPr>
              <w:widowControl/>
              <w:jc w:val="center"/>
              <w:rPr>
                <w:rFonts w:hint="eastAsia" w:ascii="宋体" w:hAnsi="宋体" w:cs="宋体"/>
                <w:szCs w:val="21"/>
              </w:rPr>
            </w:pPr>
            <w:r>
              <w:rPr>
                <w:rFonts w:hint="eastAsia" w:ascii="宋体" w:hAnsi="宋体" w:cs="宋体"/>
                <w:kern w:val="0"/>
                <w:szCs w:val="21"/>
              </w:rPr>
              <w:t>1</w:t>
            </w:r>
          </w:p>
        </w:tc>
        <w:tc>
          <w:tcPr>
            <w:tcW w:w="864" w:type="dxa"/>
            <w:tcBorders>
              <w:top w:val="outset" w:color="AAAAAA" w:sz="6" w:space="0"/>
              <w:left w:val="single" w:color="auto" w:sz="0" w:space="0"/>
              <w:bottom w:val="outset" w:color="AAAAAA" w:sz="6" w:space="0"/>
              <w:right w:val="outset" w:color="AAAAAA" w:sz="6" w:space="0"/>
            </w:tcBorders>
            <w:vAlign w:val="center"/>
          </w:tcPr>
          <w:p w14:paraId="7AB50434">
            <w:pPr>
              <w:widowControl/>
              <w:jc w:val="center"/>
              <w:rPr>
                <w:rFonts w:hint="eastAsia" w:ascii="宋体" w:hAnsi="宋体" w:cs="宋体"/>
                <w:szCs w:val="21"/>
              </w:rPr>
            </w:pPr>
            <w:r>
              <w:rPr>
                <w:rFonts w:hint="eastAsia" w:ascii="宋体" w:hAnsi="宋体" w:cs="宋体"/>
                <w:kern w:val="0"/>
                <w:szCs w:val="21"/>
              </w:rPr>
              <w:t>项</w:t>
            </w:r>
          </w:p>
        </w:tc>
        <w:tc>
          <w:tcPr>
            <w:tcW w:w="1474" w:type="dxa"/>
            <w:tcBorders>
              <w:top w:val="outset" w:color="AAAAAA" w:sz="6" w:space="0"/>
              <w:left w:val="single" w:color="auto" w:sz="0" w:space="0"/>
              <w:bottom w:val="outset" w:color="AAAAAA" w:sz="6" w:space="0"/>
              <w:right w:val="outset" w:color="AAAAAA" w:sz="6" w:space="0"/>
            </w:tcBorders>
            <w:vAlign w:val="center"/>
          </w:tcPr>
          <w:p w14:paraId="002CF6A6">
            <w:pPr>
              <w:widowControl/>
              <w:jc w:val="center"/>
              <w:rPr>
                <w:rFonts w:hint="eastAsia" w:ascii="宋体" w:hAnsi="宋体" w:cs="宋体"/>
                <w:szCs w:val="21"/>
              </w:rPr>
            </w:pPr>
            <w:r>
              <w:rPr>
                <w:rFonts w:hint="eastAsia" w:ascii="宋体" w:hAnsi="宋体" w:cs="宋体"/>
                <w:kern w:val="0"/>
                <w:szCs w:val="21"/>
              </w:rPr>
              <w:t>详见谈判文件</w:t>
            </w:r>
          </w:p>
        </w:tc>
        <w:tc>
          <w:tcPr>
            <w:tcW w:w="753" w:type="dxa"/>
            <w:tcBorders>
              <w:top w:val="outset" w:color="AAAAAA" w:sz="6" w:space="0"/>
              <w:left w:val="single" w:color="auto" w:sz="0" w:space="0"/>
              <w:bottom w:val="outset" w:color="AAAAAA" w:sz="6" w:space="0"/>
              <w:right w:val="outset" w:color="AAAAAA" w:sz="6" w:space="0"/>
            </w:tcBorders>
            <w:vAlign w:val="center"/>
          </w:tcPr>
          <w:p w14:paraId="62088F20">
            <w:pPr>
              <w:widowControl/>
              <w:ind w:firstLine="420" w:firstLineChars="200"/>
              <w:jc w:val="center"/>
              <w:rPr>
                <w:rFonts w:hint="eastAsia" w:ascii="宋体" w:hAnsi="宋体" w:cs="宋体"/>
                <w:szCs w:val="21"/>
              </w:rPr>
            </w:pPr>
          </w:p>
        </w:tc>
      </w:tr>
    </w:tbl>
    <w:p w14:paraId="31C3DBE7">
      <w:pPr>
        <w:pageBreakBefore w:val="0"/>
        <w:kinsoku/>
        <w:wordWrap/>
        <w:overflowPunct/>
        <w:topLinePunct w:val="0"/>
        <w:autoSpaceDE/>
        <w:autoSpaceDN/>
        <w:bidi w:val="0"/>
        <w:adjustRightInd/>
        <w:snapToGrid/>
        <w:spacing w:line="4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7.合同履行期限：详见谈判文件。</w:t>
      </w:r>
    </w:p>
    <w:p w14:paraId="0CCA1569">
      <w:pPr>
        <w:pageBreakBefore w:val="0"/>
        <w:kinsoku/>
        <w:wordWrap/>
        <w:overflowPunct/>
        <w:topLinePunct w:val="0"/>
        <w:autoSpaceDE/>
        <w:autoSpaceDN/>
        <w:bidi w:val="0"/>
        <w:adjustRightInd/>
        <w:snapToGrid/>
        <w:spacing w:line="4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8.本项目不接受联合体。</w:t>
      </w:r>
    </w:p>
    <w:p w14:paraId="6E215512">
      <w:pPr>
        <w:pStyle w:val="3"/>
        <w:pageBreakBefore w:val="0"/>
        <w:kinsoku/>
        <w:wordWrap/>
        <w:overflowPunct/>
        <w:topLinePunct w:val="0"/>
        <w:autoSpaceDE/>
        <w:autoSpaceDN/>
        <w:bidi w:val="0"/>
        <w:adjustRightInd/>
        <w:snapToGrid/>
        <w:spacing w:before="0" w:after="0" w:line="400" w:lineRule="exact"/>
        <w:ind w:firstLine="442" w:firstLineChars="200"/>
        <w:jc w:val="left"/>
        <w:rPr>
          <w:rFonts w:hint="eastAsia" w:ascii="宋体" w:hAnsi="宋体" w:eastAsia="宋体" w:cs="宋体"/>
          <w:b/>
          <w:bCs/>
          <w:sz w:val="22"/>
          <w:szCs w:val="22"/>
          <w:highlight w:val="none"/>
        </w:rPr>
      </w:pPr>
      <w:bookmarkStart w:id="6" w:name="_Toc35393630"/>
      <w:bookmarkStart w:id="7" w:name="_Toc35393799"/>
      <w:bookmarkStart w:id="8" w:name="_Toc28359090"/>
      <w:bookmarkStart w:id="9" w:name="_Toc28359013"/>
      <w:r>
        <w:rPr>
          <w:rFonts w:hint="eastAsia" w:ascii="宋体" w:hAnsi="宋体" w:eastAsia="宋体" w:cs="宋体"/>
          <w:b/>
          <w:bCs/>
          <w:sz w:val="22"/>
          <w:szCs w:val="22"/>
          <w:highlight w:val="none"/>
        </w:rPr>
        <w:t>二、申请人的资格要求</w:t>
      </w:r>
      <w:bookmarkEnd w:id="6"/>
      <w:bookmarkEnd w:id="7"/>
      <w:bookmarkEnd w:id="8"/>
      <w:bookmarkEnd w:id="9"/>
    </w:p>
    <w:p w14:paraId="746D2F49">
      <w:pPr>
        <w:pageBreakBefore w:val="0"/>
        <w:kinsoku/>
        <w:wordWrap/>
        <w:overflowPunct/>
        <w:topLinePunct w:val="0"/>
        <w:autoSpaceDE/>
        <w:autoSpaceDN/>
        <w:bidi w:val="0"/>
        <w:adjustRightInd/>
        <w:snapToGrid/>
        <w:spacing w:line="400" w:lineRule="exact"/>
        <w:ind w:firstLine="440" w:firstLineChars="200"/>
        <w:jc w:val="left"/>
        <w:rPr>
          <w:rFonts w:hint="eastAsia" w:ascii="宋体" w:hAnsi="宋体" w:eastAsia="宋体" w:cs="宋体"/>
          <w:sz w:val="22"/>
          <w:szCs w:val="22"/>
          <w:highlight w:val="none"/>
        </w:rPr>
      </w:pPr>
      <w:bookmarkStart w:id="10" w:name="_Toc28359014"/>
      <w:bookmarkStart w:id="11" w:name="_Toc35393800"/>
      <w:bookmarkStart w:id="12" w:name="_Toc35393631"/>
      <w:bookmarkStart w:id="13" w:name="_Toc28359091"/>
      <w:r>
        <w:rPr>
          <w:rFonts w:hint="eastAsia" w:ascii="宋体" w:hAnsi="宋体" w:eastAsia="宋体" w:cs="宋体"/>
          <w:sz w:val="22"/>
          <w:szCs w:val="22"/>
          <w:highlight w:val="none"/>
          <w:lang w:val="en-US" w:eastAsia="zh-CN"/>
        </w:rPr>
        <w:t>1.</w:t>
      </w:r>
      <w:r>
        <w:rPr>
          <w:rFonts w:hint="eastAsia" w:ascii="宋体" w:hAnsi="宋体" w:eastAsia="宋体" w:cs="宋体"/>
          <w:sz w:val="22"/>
          <w:szCs w:val="22"/>
          <w:highlight w:val="none"/>
        </w:rPr>
        <w:t>满足《中华人民共和国政府采购法》第二十二条第一款的条件（由供应商在《</w:t>
      </w:r>
      <w:r>
        <w:rPr>
          <w:rFonts w:hint="eastAsia" w:ascii="宋体" w:hAnsi="宋体" w:cs="宋体"/>
          <w:sz w:val="22"/>
          <w:szCs w:val="22"/>
          <w:highlight w:val="none"/>
          <w:lang w:eastAsia="zh-CN"/>
        </w:rPr>
        <w:t>政府采购应答及履约承诺函</w:t>
      </w:r>
      <w:r>
        <w:rPr>
          <w:rFonts w:hint="eastAsia" w:ascii="宋体" w:hAnsi="宋体" w:eastAsia="宋体" w:cs="宋体"/>
          <w:sz w:val="22"/>
          <w:szCs w:val="22"/>
          <w:highlight w:val="none"/>
        </w:rPr>
        <w:t>》中作出声明）。</w:t>
      </w:r>
    </w:p>
    <w:p w14:paraId="4223AFBB">
      <w:pPr>
        <w:pageBreakBefore w:val="0"/>
        <w:kinsoku/>
        <w:wordWrap/>
        <w:overflowPunct/>
        <w:topLinePunct w:val="0"/>
        <w:autoSpaceDE/>
        <w:autoSpaceDN/>
        <w:bidi w:val="0"/>
        <w:adjustRightInd/>
        <w:snapToGrid/>
        <w:spacing w:line="4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2.</w:t>
      </w:r>
      <w:r>
        <w:rPr>
          <w:rFonts w:hint="eastAsia" w:ascii="宋体" w:hAnsi="宋体" w:eastAsia="宋体" w:cs="宋体"/>
          <w:sz w:val="22"/>
          <w:szCs w:val="22"/>
          <w:highlight w:val="none"/>
        </w:rPr>
        <w:t>具有独立法人资格或具有独立承担民事责任的能力的其它组织（提供营业执照或事业单位法人证等法人证明扫描件，原件备查）；总公司或者分公司只允许一家投标，不允许同时参与本项目投标，分公司参与投标的，须提供总公司或具有独立法人的上一级公司出具的愿为其参与本项目投标的行为以及履约等行为承担民事责任的加盖总公司公章的授权函，以及提供总、分公司的营业执照扫描件，原件备查。</w:t>
      </w:r>
    </w:p>
    <w:p w14:paraId="690C63DD">
      <w:pPr>
        <w:pageBreakBefore w:val="0"/>
        <w:kinsoku/>
        <w:wordWrap/>
        <w:overflowPunct/>
        <w:topLinePunct w:val="0"/>
        <w:autoSpaceDE/>
        <w:autoSpaceDN/>
        <w:bidi w:val="0"/>
        <w:adjustRightInd/>
        <w:snapToGrid/>
        <w:spacing w:line="4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3.</w:t>
      </w:r>
      <w:r>
        <w:rPr>
          <w:rFonts w:hint="eastAsia" w:ascii="宋体" w:hAnsi="宋体" w:eastAsia="宋体" w:cs="宋体"/>
          <w:sz w:val="22"/>
          <w:szCs w:val="22"/>
          <w:highlight w:val="none"/>
        </w:rPr>
        <w:t>参与本项目投标前三年内，在经营活动中没有重大违法记录（由供应商在《</w:t>
      </w:r>
      <w:r>
        <w:rPr>
          <w:rFonts w:hint="eastAsia" w:ascii="宋体" w:hAnsi="宋体" w:cs="宋体"/>
          <w:sz w:val="22"/>
          <w:szCs w:val="22"/>
          <w:highlight w:val="none"/>
          <w:lang w:eastAsia="zh-CN"/>
        </w:rPr>
        <w:t>政府采购应答及履约承诺函</w:t>
      </w:r>
      <w:r>
        <w:rPr>
          <w:rFonts w:hint="eastAsia" w:ascii="宋体" w:hAnsi="宋体" w:eastAsia="宋体" w:cs="宋体"/>
          <w:sz w:val="22"/>
          <w:szCs w:val="22"/>
          <w:highlight w:val="none"/>
        </w:rPr>
        <w:t>》中作出声明）。</w:t>
      </w:r>
    </w:p>
    <w:p w14:paraId="2051553F">
      <w:pPr>
        <w:pageBreakBefore w:val="0"/>
        <w:kinsoku/>
        <w:wordWrap/>
        <w:overflowPunct/>
        <w:topLinePunct w:val="0"/>
        <w:autoSpaceDE/>
        <w:autoSpaceDN/>
        <w:bidi w:val="0"/>
        <w:adjustRightInd/>
        <w:snapToGrid/>
        <w:spacing w:line="4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4.</w:t>
      </w:r>
      <w:r>
        <w:rPr>
          <w:rFonts w:hint="eastAsia" w:ascii="宋体" w:hAnsi="宋体" w:eastAsia="宋体" w:cs="宋体"/>
          <w:sz w:val="22"/>
          <w:szCs w:val="22"/>
          <w:highlight w:val="none"/>
        </w:rPr>
        <w:t>参与本项目政府采购活动时不存在被有关部门禁止参与政府采购活动且在有效期内的情况（由供应商在《</w:t>
      </w:r>
      <w:r>
        <w:rPr>
          <w:rFonts w:hint="eastAsia" w:ascii="宋体" w:hAnsi="宋体" w:cs="宋体"/>
          <w:sz w:val="22"/>
          <w:szCs w:val="22"/>
          <w:highlight w:val="none"/>
          <w:lang w:eastAsia="zh-CN"/>
        </w:rPr>
        <w:t>政府采购应答及履约承诺函</w:t>
      </w:r>
      <w:r>
        <w:rPr>
          <w:rFonts w:hint="eastAsia" w:ascii="宋体" w:hAnsi="宋体" w:eastAsia="宋体" w:cs="宋体"/>
          <w:sz w:val="22"/>
          <w:szCs w:val="22"/>
          <w:highlight w:val="none"/>
        </w:rPr>
        <w:t>》中作出声明）。</w:t>
      </w:r>
    </w:p>
    <w:p w14:paraId="28BE6BFF">
      <w:pPr>
        <w:pageBreakBefore w:val="0"/>
        <w:kinsoku/>
        <w:wordWrap/>
        <w:overflowPunct/>
        <w:topLinePunct w:val="0"/>
        <w:autoSpaceDE/>
        <w:autoSpaceDN/>
        <w:bidi w:val="0"/>
        <w:adjustRightInd/>
        <w:snapToGrid/>
        <w:spacing w:line="4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5.</w:t>
      </w:r>
      <w:r>
        <w:rPr>
          <w:rFonts w:hint="eastAsia" w:ascii="宋体" w:hAnsi="宋体" w:eastAsia="宋体" w:cs="宋体"/>
          <w:sz w:val="22"/>
          <w:szCs w:val="22"/>
          <w:highlight w:val="none"/>
        </w:rPr>
        <w:t>单位负责人为同一人或者存在直接控股、管理关系的不同供应商，不得参加同一合同项下的政府采购活动（由供应商在《</w:t>
      </w:r>
      <w:r>
        <w:rPr>
          <w:rFonts w:hint="eastAsia" w:ascii="宋体" w:hAnsi="宋体" w:cs="宋体"/>
          <w:sz w:val="22"/>
          <w:szCs w:val="22"/>
          <w:highlight w:val="none"/>
          <w:lang w:eastAsia="zh-CN"/>
        </w:rPr>
        <w:t>政府采购应答及履约承诺函</w:t>
      </w:r>
      <w:r>
        <w:rPr>
          <w:rFonts w:hint="eastAsia" w:ascii="宋体" w:hAnsi="宋体" w:eastAsia="宋体" w:cs="宋体"/>
          <w:sz w:val="22"/>
          <w:szCs w:val="22"/>
          <w:highlight w:val="none"/>
        </w:rPr>
        <w:t>》中作出声明）。</w:t>
      </w:r>
    </w:p>
    <w:p w14:paraId="04E78E37">
      <w:pPr>
        <w:pageBreakBefore w:val="0"/>
        <w:kinsoku/>
        <w:wordWrap/>
        <w:overflowPunct/>
        <w:topLinePunct w:val="0"/>
        <w:autoSpaceDE/>
        <w:autoSpaceDN/>
        <w:bidi w:val="0"/>
        <w:adjustRightInd/>
        <w:snapToGrid/>
        <w:spacing w:line="4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6.</w:t>
      </w:r>
      <w:r>
        <w:rPr>
          <w:rFonts w:hint="eastAsia" w:ascii="宋体" w:hAnsi="宋体" w:eastAsia="宋体" w:cs="宋体"/>
          <w:sz w:val="22"/>
          <w:szCs w:val="22"/>
          <w:highlight w:val="none"/>
        </w:rPr>
        <w:t>未被列入失信被执行人、重大税收违法案件当事人名单、政府采购严重违法失信行为记录名单（由供应商在《</w:t>
      </w:r>
      <w:r>
        <w:rPr>
          <w:rFonts w:hint="eastAsia" w:ascii="宋体" w:hAnsi="宋体" w:cs="宋体"/>
          <w:sz w:val="22"/>
          <w:szCs w:val="22"/>
          <w:highlight w:val="none"/>
          <w:lang w:eastAsia="zh-CN"/>
        </w:rPr>
        <w:t>政府采购应答及履约承诺函</w:t>
      </w:r>
      <w:r>
        <w:rPr>
          <w:rFonts w:hint="eastAsia" w:ascii="宋体" w:hAnsi="宋体" w:eastAsia="宋体" w:cs="宋体"/>
          <w:sz w:val="22"/>
          <w:szCs w:val="22"/>
          <w:highlight w:val="none"/>
        </w:rPr>
        <w:t>》中作出声明）。注：“信用中国”、“中国政府采购网”、“深圳市政府采购监管网”以及“国家企业信用信息公示系统”为供应商信用信息的查询渠道，相关信息以开标当日的查询结果为准。</w:t>
      </w:r>
    </w:p>
    <w:p w14:paraId="5FA4D8B4">
      <w:pPr>
        <w:pageBreakBefore w:val="0"/>
        <w:kinsoku/>
        <w:wordWrap/>
        <w:overflowPunct/>
        <w:topLinePunct w:val="0"/>
        <w:autoSpaceDE/>
        <w:autoSpaceDN/>
        <w:bidi w:val="0"/>
        <w:adjustRightInd/>
        <w:snapToGrid/>
        <w:spacing w:line="4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7.</w:t>
      </w:r>
      <w:r>
        <w:rPr>
          <w:rFonts w:hint="eastAsia" w:ascii="宋体" w:hAnsi="宋体" w:eastAsia="宋体" w:cs="宋体"/>
          <w:sz w:val="22"/>
          <w:szCs w:val="22"/>
          <w:highlight w:val="none"/>
        </w:rPr>
        <w:t>不存在《深圳市财政局政府采购供应商信用信息管理办法》（深财规（2023）3号）列明的严重违法失信行为（由供应商在《</w:t>
      </w:r>
      <w:r>
        <w:rPr>
          <w:rFonts w:hint="eastAsia" w:ascii="宋体" w:hAnsi="宋体" w:cs="宋体"/>
          <w:sz w:val="22"/>
          <w:szCs w:val="22"/>
          <w:highlight w:val="none"/>
          <w:lang w:eastAsia="zh-CN"/>
        </w:rPr>
        <w:t>政府采购应答及履约承诺函</w:t>
      </w:r>
      <w:r>
        <w:rPr>
          <w:rFonts w:hint="eastAsia" w:ascii="宋体" w:hAnsi="宋体" w:eastAsia="宋体" w:cs="宋体"/>
          <w:sz w:val="22"/>
          <w:szCs w:val="22"/>
          <w:highlight w:val="none"/>
        </w:rPr>
        <w:t>》中作出声明）。</w:t>
      </w:r>
    </w:p>
    <w:p w14:paraId="3FFDF44F">
      <w:pPr>
        <w:pageBreakBefore w:val="0"/>
        <w:kinsoku/>
        <w:wordWrap/>
        <w:overflowPunct/>
        <w:topLinePunct w:val="0"/>
        <w:autoSpaceDE/>
        <w:autoSpaceDN/>
        <w:bidi w:val="0"/>
        <w:adjustRightInd/>
        <w:snapToGrid/>
        <w:spacing w:line="4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8.</w:t>
      </w:r>
      <w:r>
        <w:rPr>
          <w:rFonts w:hint="eastAsia" w:ascii="宋体" w:hAnsi="宋体" w:eastAsia="宋体" w:cs="宋体"/>
          <w:sz w:val="22"/>
          <w:szCs w:val="22"/>
          <w:highlight w:val="none"/>
          <w:lang w:eastAsia="zh-CN"/>
        </w:rPr>
        <w:t>不同供应商的法定代表人、主要经营负责人、项目投标授权代表人、项目负责人、主要技术人员不得为同一人、属同一单位或者在同一单位缴纳社会保险；不同投标供应商的</w:t>
      </w:r>
      <w:r>
        <w:rPr>
          <w:rFonts w:hint="eastAsia" w:ascii="宋体" w:hAnsi="宋体" w:cs="宋体"/>
          <w:sz w:val="22"/>
          <w:szCs w:val="22"/>
          <w:highlight w:val="none"/>
          <w:lang w:eastAsia="zh-CN"/>
        </w:rPr>
        <w:t>应答文件</w:t>
      </w:r>
      <w:r>
        <w:rPr>
          <w:rFonts w:hint="eastAsia" w:ascii="宋体" w:hAnsi="宋体" w:eastAsia="宋体" w:cs="宋体"/>
          <w:sz w:val="22"/>
          <w:szCs w:val="22"/>
          <w:highlight w:val="none"/>
          <w:lang w:eastAsia="zh-CN"/>
        </w:rPr>
        <w:t>不得由同一单位或者同一人编制；单位负责人为同一人或者存在直接控股、管理关系的不同供应商，不得参加本项目政府采购活动</w:t>
      </w:r>
      <w:r>
        <w:rPr>
          <w:rFonts w:hint="eastAsia" w:ascii="宋体" w:hAnsi="宋体" w:eastAsia="宋体" w:cs="宋体"/>
          <w:b w:val="0"/>
          <w:bCs w:val="0"/>
          <w:sz w:val="22"/>
          <w:szCs w:val="22"/>
          <w:highlight w:val="none"/>
          <w:lang w:eastAsia="zh-CN"/>
        </w:rPr>
        <w:t>(由供应商填写《供应商基本情况表》相关信息)。</w:t>
      </w:r>
    </w:p>
    <w:p w14:paraId="581B4DE6">
      <w:pPr>
        <w:pageBreakBefore w:val="0"/>
        <w:kinsoku/>
        <w:wordWrap/>
        <w:overflowPunct/>
        <w:topLinePunct w:val="0"/>
        <w:autoSpaceDE/>
        <w:autoSpaceDN/>
        <w:bidi w:val="0"/>
        <w:adjustRightInd/>
        <w:snapToGrid/>
        <w:spacing w:line="4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9.</w:t>
      </w:r>
      <w:r>
        <w:rPr>
          <w:rFonts w:hint="eastAsia" w:ascii="宋体" w:hAnsi="宋体" w:eastAsia="宋体" w:cs="宋体"/>
          <w:sz w:val="22"/>
          <w:szCs w:val="22"/>
          <w:highlight w:val="none"/>
        </w:rPr>
        <w:t>本项目不接受联合体投标，不接受投标人选用进口产品参与投标，不允许转包、分包</w:t>
      </w:r>
      <w:r>
        <w:rPr>
          <w:rFonts w:hint="eastAsia" w:ascii="宋体" w:hAnsi="宋体" w:eastAsia="宋体" w:cs="宋体"/>
          <w:sz w:val="22"/>
          <w:szCs w:val="22"/>
          <w:highlight w:val="none"/>
          <w:lang w:eastAsia="zh-CN"/>
        </w:rPr>
        <w:t>。</w:t>
      </w:r>
    </w:p>
    <w:p w14:paraId="10D2AE93">
      <w:pPr>
        <w:pageBreakBefore w:val="0"/>
        <w:kinsoku/>
        <w:wordWrap/>
        <w:overflowPunct/>
        <w:topLinePunct w:val="0"/>
        <w:autoSpaceDE/>
        <w:autoSpaceDN/>
        <w:bidi w:val="0"/>
        <w:adjustRightInd/>
        <w:snapToGrid/>
        <w:spacing w:line="400" w:lineRule="exact"/>
        <w:ind w:firstLine="440" w:firstLineChars="200"/>
        <w:jc w:val="left"/>
        <w:rPr>
          <w:rFonts w:hint="eastAsia" w:ascii="宋体" w:hAnsi="宋体" w:cs="宋体"/>
          <w:b w:val="0"/>
          <w:bCs w:val="0"/>
          <w:sz w:val="22"/>
          <w:szCs w:val="22"/>
          <w:highlight w:val="yellow"/>
          <w:lang w:eastAsia="zh-CN"/>
        </w:rPr>
      </w:pPr>
      <w:r>
        <w:rPr>
          <w:rFonts w:hint="eastAsia" w:ascii="宋体" w:hAnsi="宋体" w:eastAsia="宋体" w:cs="宋体"/>
          <w:b w:val="0"/>
          <w:bCs w:val="0"/>
          <w:sz w:val="22"/>
          <w:szCs w:val="22"/>
          <w:highlight w:val="none"/>
          <w:lang w:val="en-US" w:eastAsia="zh-CN"/>
        </w:rPr>
        <w:t>10.</w:t>
      </w:r>
      <w:r>
        <w:rPr>
          <w:rFonts w:hint="eastAsia" w:ascii="宋体" w:hAnsi="宋体" w:eastAsia="宋体" w:cs="宋体"/>
          <w:b w:val="0"/>
          <w:bCs w:val="0"/>
          <w:sz w:val="22"/>
          <w:szCs w:val="22"/>
          <w:highlight w:val="none"/>
        </w:rPr>
        <w:t>落实政府采购政策需满足的资格要求：</w:t>
      </w:r>
      <w:r>
        <w:rPr>
          <w:rFonts w:hint="eastAsia" w:ascii="宋体" w:hAnsi="宋体" w:cs="宋体"/>
          <w:b w:val="0"/>
          <w:bCs w:val="0"/>
          <w:sz w:val="22"/>
          <w:szCs w:val="22"/>
          <w:highlight w:val="none"/>
          <w:lang w:eastAsia="zh-CN"/>
        </w:rPr>
        <w:t>无。</w:t>
      </w:r>
    </w:p>
    <w:p w14:paraId="0BE72717">
      <w:pPr>
        <w:pageBreakBefore w:val="0"/>
        <w:kinsoku/>
        <w:wordWrap/>
        <w:overflowPunct/>
        <w:topLinePunct w:val="0"/>
        <w:autoSpaceDE/>
        <w:autoSpaceDN/>
        <w:bidi w:val="0"/>
        <w:adjustRightInd/>
        <w:snapToGrid/>
        <w:spacing w:line="400" w:lineRule="exact"/>
        <w:ind w:firstLine="440" w:firstLineChars="200"/>
        <w:jc w:val="left"/>
        <w:rPr>
          <w:rFonts w:hint="eastAsia" w:ascii="宋体" w:hAnsi="宋体" w:eastAsia="宋体" w:cs="宋体"/>
          <w:sz w:val="22"/>
          <w:szCs w:val="22"/>
          <w:highlight w:val="none"/>
        </w:rPr>
      </w:pPr>
      <w:r>
        <w:rPr>
          <w:rFonts w:hint="eastAsia" w:ascii="宋体" w:hAnsi="宋体" w:cs="宋体"/>
          <w:sz w:val="22"/>
          <w:szCs w:val="22"/>
          <w:highlight w:val="none"/>
          <w:lang w:val="en-US" w:eastAsia="zh-CN"/>
        </w:rPr>
        <w:t>11.</w:t>
      </w:r>
      <w:r>
        <w:rPr>
          <w:rFonts w:hint="eastAsia" w:ascii="宋体" w:hAnsi="宋体" w:cs="宋体"/>
          <w:sz w:val="22"/>
          <w:szCs w:val="22"/>
          <w:highlight w:val="none"/>
          <w:lang w:eastAsia="zh-CN"/>
        </w:rPr>
        <w:t>必</w:t>
      </w:r>
      <w:r>
        <w:rPr>
          <w:rFonts w:hint="eastAsia" w:ascii="宋体" w:hAnsi="宋体" w:eastAsia="宋体" w:cs="宋体"/>
          <w:sz w:val="22"/>
          <w:szCs w:val="22"/>
          <w:highlight w:val="none"/>
        </w:rPr>
        <w:t>须</w:t>
      </w:r>
      <w:r>
        <w:rPr>
          <w:rFonts w:hint="eastAsia" w:ascii="宋体" w:hAnsi="宋体" w:cs="宋体"/>
          <w:sz w:val="22"/>
          <w:szCs w:val="22"/>
          <w:highlight w:val="none"/>
          <w:lang w:eastAsia="zh-CN"/>
        </w:rPr>
        <w:t>是</w:t>
      </w:r>
      <w:r>
        <w:rPr>
          <w:rFonts w:hint="eastAsia" w:ascii="宋体" w:hAnsi="宋体" w:eastAsia="宋体" w:cs="宋体"/>
          <w:sz w:val="22"/>
          <w:szCs w:val="22"/>
          <w:highlight w:val="none"/>
        </w:rPr>
        <w:t>采购</w:t>
      </w:r>
      <w:r>
        <w:rPr>
          <w:rFonts w:hint="eastAsia" w:ascii="宋体" w:hAnsi="宋体" w:cs="宋体"/>
          <w:sz w:val="22"/>
          <w:szCs w:val="22"/>
          <w:highlight w:val="none"/>
          <w:lang w:eastAsia="zh-CN"/>
        </w:rPr>
        <w:t>人</w:t>
      </w:r>
      <w:r>
        <w:rPr>
          <w:rFonts w:hint="eastAsia" w:ascii="宋体" w:hAnsi="宋体" w:eastAsia="宋体" w:cs="宋体"/>
          <w:sz w:val="22"/>
          <w:szCs w:val="22"/>
          <w:highlight w:val="none"/>
        </w:rPr>
        <w:t>推荐的供应商。</w:t>
      </w:r>
    </w:p>
    <w:p w14:paraId="2765F1D5">
      <w:pPr>
        <w:pStyle w:val="3"/>
        <w:pageBreakBefore w:val="0"/>
        <w:kinsoku/>
        <w:wordWrap/>
        <w:overflowPunct/>
        <w:topLinePunct w:val="0"/>
        <w:autoSpaceDE/>
        <w:autoSpaceDN/>
        <w:bidi w:val="0"/>
        <w:adjustRightInd/>
        <w:snapToGrid/>
        <w:spacing w:before="0" w:after="0" w:line="400" w:lineRule="exact"/>
        <w:ind w:firstLine="442" w:firstLineChars="200"/>
        <w:jc w:val="left"/>
        <w:rPr>
          <w:rFonts w:hint="eastAsia" w:ascii="宋体" w:hAnsi="宋体" w:eastAsia="宋体" w:cs="宋体"/>
          <w:b/>
          <w:bCs/>
          <w:color w:val="auto"/>
          <w:sz w:val="22"/>
          <w:szCs w:val="22"/>
          <w:highlight w:val="none"/>
        </w:rPr>
      </w:pPr>
      <w:r>
        <w:rPr>
          <w:rFonts w:hint="eastAsia" w:ascii="宋体" w:hAnsi="宋体" w:eastAsia="宋体" w:cs="宋体"/>
          <w:b/>
          <w:bCs/>
          <w:sz w:val="22"/>
          <w:szCs w:val="22"/>
          <w:highlight w:val="none"/>
        </w:rPr>
        <w:t>三、获取谈判文件</w:t>
      </w:r>
      <w:bookmarkEnd w:id="10"/>
      <w:bookmarkEnd w:id="11"/>
      <w:bookmarkEnd w:id="12"/>
      <w:bookmarkEnd w:id="13"/>
    </w:p>
    <w:p w14:paraId="7EF24AEA">
      <w:pPr>
        <w:pageBreakBefore w:val="0"/>
        <w:widowControl/>
        <w:kinsoku/>
        <w:wordWrap/>
        <w:overflowPunct/>
        <w:topLinePunct w:val="0"/>
        <w:autoSpaceDE/>
        <w:autoSpaceDN/>
        <w:bidi w:val="0"/>
        <w:adjustRightInd/>
        <w:snapToGrid/>
        <w:spacing w:line="400" w:lineRule="exact"/>
        <w:ind w:firstLine="440" w:firstLineChars="200"/>
        <w:jc w:val="left"/>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sz w:val="22"/>
          <w:szCs w:val="22"/>
          <w:highlight w:val="none"/>
        </w:rPr>
        <w:t>1.时间：</w:t>
      </w:r>
      <w:r>
        <w:rPr>
          <w:rFonts w:hint="eastAsia" w:ascii="宋体" w:hAnsi="宋体" w:eastAsia="宋体" w:cs="宋体"/>
          <w:color w:val="FF0000"/>
          <w:kern w:val="0"/>
          <w:sz w:val="22"/>
          <w:szCs w:val="22"/>
          <w:highlight w:val="none"/>
        </w:rPr>
        <w:t>202</w:t>
      </w:r>
      <w:r>
        <w:rPr>
          <w:rFonts w:hint="eastAsia" w:ascii="宋体" w:hAnsi="宋体" w:cs="宋体"/>
          <w:color w:val="FF0000"/>
          <w:kern w:val="0"/>
          <w:sz w:val="22"/>
          <w:szCs w:val="22"/>
          <w:highlight w:val="none"/>
          <w:lang w:val="en-US" w:eastAsia="zh-CN"/>
        </w:rPr>
        <w:t>5</w:t>
      </w:r>
      <w:r>
        <w:rPr>
          <w:rFonts w:hint="eastAsia" w:ascii="宋体" w:hAnsi="宋体" w:eastAsia="宋体" w:cs="宋体"/>
          <w:color w:val="FF0000"/>
          <w:kern w:val="0"/>
          <w:sz w:val="22"/>
          <w:szCs w:val="22"/>
          <w:highlight w:val="none"/>
        </w:rPr>
        <w:t>年</w:t>
      </w:r>
      <w:r>
        <w:rPr>
          <w:rFonts w:hint="eastAsia" w:ascii="宋体" w:hAnsi="宋体" w:cs="宋体"/>
          <w:color w:val="FF0000"/>
          <w:kern w:val="0"/>
          <w:sz w:val="22"/>
          <w:szCs w:val="22"/>
          <w:highlight w:val="none"/>
          <w:lang w:val="en-US" w:eastAsia="zh-CN"/>
        </w:rPr>
        <w:t xml:space="preserve">  </w:t>
      </w:r>
      <w:r>
        <w:rPr>
          <w:rFonts w:hint="eastAsia" w:ascii="宋体" w:hAnsi="宋体" w:eastAsia="宋体" w:cs="宋体"/>
          <w:color w:val="FF0000"/>
          <w:kern w:val="0"/>
          <w:sz w:val="22"/>
          <w:szCs w:val="22"/>
          <w:highlight w:val="none"/>
        </w:rPr>
        <w:t>月</w:t>
      </w:r>
      <w:r>
        <w:rPr>
          <w:rFonts w:hint="eastAsia" w:ascii="宋体" w:hAnsi="宋体" w:cs="宋体"/>
          <w:color w:val="FF0000"/>
          <w:kern w:val="0"/>
          <w:sz w:val="22"/>
          <w:szCs w:val="22"/>
          <w:highlight w:val="none"/>
          <w:lang w:val="en-US" w:eastAsia="zh-CN"/>
        </w:rPr>
        <w:t xml:space="preserve">  </w:t>
      </w:r>
      <w:r>
        <w:rPr>
          <w:rFonts w:hint="eastAsia" w:ascii="宋体" w:hAnsi="宋体" w:eastAsia="宋体" w:cs="宋体"/>
          <w:color w:val="FF0000"/>
          <w:kern w:val="0"/>
          <w:sz w:val="22"/>
          <w:szCs w:val="22"/>
          <w:highlight w:val="none"/>
        </w:rPr>
        <w:t>日</w:t>
      </w:r>
      <w:r>
        <w:rPr>
          <w:rFonts w:hint="eastAsia" w:ascii="宋体" w:hAnsi="宋体" w:cs="宋体"/>
          <w:color w:val="FF0000"/>
          <w:kern w:val="0"/>
          <w:sz w:val="22"/>
          <w:szCs w:val="22"/>
          <w:highlight w:val="none"/>
          <w:lang w:val="en-US" w:eastAsia="zh-CN"/>
        </w:rPr>
        <w:t>**</w:t>
      </w:r>
      <w:r>
        <w:rPr>
          <w:rFonts w:hint="eastAsia" w:ascii="宋体" w:hAnsi="宋体" w:eastAsia="宋体" w:cs="宋体"/>
          <w:color w:val="FF0000"/>
          <w:kern w:val="0"/>
          <w:sz w:val="22"/>
          <w:szCs w:val="22"/>
          <w:highlight w:val="none"/>
        </w:rPr>
        <w:t>时00分至</w:t>
      </w:r>
      <w:r>
        <w:rPr>
          <w:rFonts w:hint="eastAsia" w:ascii="宋体" w:hAnsi="宋体" w:eastAsia="宋体" w:cs="宋体"/>
          <w:color w:val="FF0000"/>
          <w:kern w:val="0"/>
          <w:sz w:val="22"/>
          <w:szCs w:val="22"/>
          <w:highlight w:val="none"/>
          <w:lang w:eastAsia="zh-CN"/>
        </w:rPr>
        <w:t>202</w:t>
      </w:r>
      <w:r>
        <w:rPr>
          <w:rFonts w:hint="eastAsia" w:ascii="宋体" w:hAnsi="宋体" w:cs="宋体"/>
          <w:color w:val="FF0000"/>
          <w:kern w:val="0"/>
          <w:sz w:val="22"/>
          <w:szCs w:val="22"/>
          <w:highlight w:val="none"/>
          <w:lang w:val="en-US" w:eastAsia="zh-CN"/>
        </w:rPr>
        <w:t>5</w:t>
      </w:r>
      <w:r>
        <w:rPr>
          <w:rFonts w:hint="eastAsia" w:ascii="宋体" w:hAnsi="宋体" w:eastAsia="宋体" w:cs="宋体"/>
          <w:color w:val="FF0000"/>
          <w:kern w:val="0"/>
          <w:sz w:val="22"/>
          <w:szCs w:val="22"/>
          <w:highlight w:val="none"/>
          <w:lang w:eastAsia="zh-CN"/>
        </w:rPr>
        <w:t>年</w:t>
      </w:r>
      <w:r>
        <w:rPr>
          <w:rFonts w:hint="eastAsia" w:ascii="宋体" w:hAnsi="宋体" w:cs="宋体"/>
          <w:color w:val="FF0000"/>
          <w:kern w:val="0"/>
          <w:sz w:val="22"/>
          <w:szCs w:val="22"/>
          <w:highlight w:val="none"/>
          <w:lang w:val="en-US" w:eastAsia="zh-CN"/>
        </w:rPr>
        <w:t xml:space="preserve">  </w:t>
      </w:r>
      <w:r>
        <w:rPr>
          <w:rFonts w:hint="eastAsia" w:ascii="宋体" w:hAnsi="宋体" w:eastAsia="宋体" w:cs="宋体"/>
          <w:color w:val="FF0000"/>
          <w:kern w:val="0"/>
          <w:sz w:val="22"/>
          <w:szCs w:val="22"/>
          <w:highlight w:val="none"/>
          <w:lang w:eastAsia="zh-CN"/>
        </w:rPr>
        <w:t>月</w:t>
      </w:r>
      <w:r>
        <w:rPr>
          <w:rFonts w:hint="eastAsia" w:ascii="宋体" w:hAnsi="宋体" w:cs="宋体"/>
          <w:color w:val="FF0000"/>
          <w:kern w:val="0"/>
          <w:sz w:val="22"/>
          <w:szCs w:val="22"/>
          <w:highlight w:val="none"/>
          <w:lang w:val="en-US" w:eastAsia="zh-CN"/>
        </w:rPr>
        <w:t xml:space="preserve">  </w:t>
      </w:r>
      <w:r>
        <w:rPr>
          <w:rFonts w:hint="eastAsia" w:ascii="宋体" w:hAnsi="宋体" w:eastAsia="宋体" w:cs="宋体"/>
          <w:color w:val="FF0000"/>
          <w:kern w:val="0"/>
          <w:sz w:val="22"/>
          <w:szCs w:val="22"/>
          <w:highlight w:val="none"/>
          <w:lang w:eastAsia="zh-CN"/>
        </w:rPr>
        <w:t>日</w:t>
      </w:r>
      <w:r>
        <w:rPr>
          <w:rFonts w:hint="eastAsia" w:ascii="宋体" w:hAnsi="宋体" w:cs="宋体"/>
          <w:color w:val="FF0000"/>
          <w:kern w:val="0"/>
          <w:sz w:val="22"/>
          <w:szCs w:val="22"/>
          <w:highlight w:val="none"/>
          <w:lang w:val="en-US" w:eastAsia="zh-CN"/>
        </w:rPr>
        <w:t>**</w:t>
      </w:r>
      <w:r>
        <w:rPr>
          <w:rFonts w:hint="eastAsia" w:ascii="宋体" w:hAnsi="宋体" w:eastAsia="宋体" w:cs="宋体"/>
          <w:color w:val="FF0000"/>
          <w:kern w:val="0"/>
          <w:sz w:val="22"/>
          <w:szCs w:val="22"/>
          <w:highlight w:val="none"/>
          <w:lang w:eastAsia="zh-CN"/>
        </w:rPr>
        <w:t>时</w:t>
      </w:r>
      <w:r>
        <w:rPr>
          <w:rFonts w:hint="eastAsia" w:ascii="宋体" w:hAnsi="宋体" w:cs="宋体"/>
          <w:color w:val="FF0000"/>
          <w:kern w:val="0"/>
          <w:sz w:val="22"/>
          <w:szCs w:val="22"/>
          <w:highlight w:val="none"/>
          <w:lang w:val="en-US" w:eastAsia="zh-CN"/>
        </w:rPr>
        <w:t>**</w:t>
      </w:r>
      <w:r>
        <w:rPr>
          <w:rFonts w:hint="eastAsia" w:ascii="宋体" w:hAnsi="宋体" w:eastAsia="宋体" w:cs="宋体"/>
          <w:color w:val="FF0000"/>
          <w:kern w:val="0"/>
          <w:sz w:val="22"/>
          <w:szCs w:val="22"/>
          <w:highlight w:val="none"/>
          <w:lang w:eastAsia="zh-CN"/>
        </w:rPr>
        <w:t>分</w:t>
      </w:r>
      <w:r>
        <w:rPr>
          <w:rFonts w:hint="eastAsia" w:ascii="宋体" w:hAnsi="宋体" w:eastAsia="宋体" w:cs="宋体"/>
          <w:b w:val="0"/>
          <w:color w:val="auto"/>
          <w:sz w:val="22"/>
          <w:szCs w:val="22"/>
          <w:highlight w:val="none"/>
          <w:lang w:eastAsia="zh-CN"/>
        </w:rPr>
        <w:t>（</w:t>
      </w:r>
      <w:r>
        <w:rPr>
          <w:rFonts w:hint="eastAsia" w:ascii="宋体" w:hAnsi="宋体" w:eastAsia="宋体" w:cs="宋体"/>
          <w:b w:val="0"/>
          <w:color w:val="auto"/>
          <w:sz w:val="22"/>
          <w:szCs w:val="22"/>
          <w:highlight w:val="none"/>
          <w:lang w:val="en-US" w:eastAsia="zh-CN"/>
        </w:rPr>
        <w:t>北京时间</w:t>
      </w:r>
      <w:r>
        <w:rPr>
          <w:rFonts w:hint="eastAsia" w:ascii="宋体" w:hAnsi="宋体" w:eastAsia="宋体" w:cs="宋体"/>
          <w:b w:val="0"/>
          <w:color w:val="auto"/>
          <w:sz w:val="22"/>
          <w:szCs w:val="22"/>
          <w:highlight w:val="none"/>
          <w:lang w:eastAsia="zh-CN"/>
        </w:rPr>
        <w:t>）</w:t>
      </w:r>
    </w:p>
    <w:p w14:paraId="6F624DA0">
      <w:pPr>
        <w:pageBreakBefore w:val="0"/>
        <w:kinsoku/>
        <w:wordWrap/>
        <w:overflowPunct/>
        <w:topLinePunct w:val="0"/>
        <w:autoSpaceDE/>
        <w:autoSpaceDN/>
        <w:bidi w:val="0"/>
        <w:adjustRightInd/>
        <w:snapToGrid/>
        <w:spacing w:line="4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2.地点：登录深圳政府采购智慧平台（http://zfcg.szggzy.com:8081/）下载本项目的谈判文件。 </w:t>
      </w:r>
    </w:p>
    <w:p w14:paraId="57279FBB">
      <w:pPr>
        <w:pageBreakBefore w:val="0"/>
        <w:kinsoku/>
        <w:wordWrap/>
        <w:overflowPunct/>
        <w:topLinePunct w:val="0"/>
        <w:autoSpaceDE/>
        <w:autoSpaceDN/>
        <w:bidi w:val="0"/>
        <w:adjustRightInd/>
        <w:snapToGrid/>
        <w:spacing w:line="4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3.方式：在线下载。 </w:t>
      </w:r>
    </w:p>
    <w:p w14:paraId="04D53B83">
      <w:pPr>
        <w:pageBreakBefore w:val="0"/>
        <w:kinsoku/>
        <w:wordWrap/>
        <w:overflowPunct/>
        <w:topLinePunct w:val="0"/>
        <w:autoSpaceDE/>
        <w:autoSpaceDN/>
        <w:bidi w:val="0"/>
        <w:adjustRightInd/>
        <w:snapToGrid/>
        <w:spacing w:line="4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4.售价：免费。 </w:t>
      </w:r>
    </w:p>
    <w:p w14:paraId="342BEE57">
      <w:pPr>
        <w:pStyle w:val="3"/>
        <w:pageBreakBefore w:val="0"/>
        <w:kinsoku/>
        <w:wordWrap/>
        <w:overflowPunct/>
        <w:topLinePunct w:val="0"/>
        <w:autoSpaceDE/>
        <w:autoSpaceDN/>
        <w:bidi w:val="0"/>
        <w:adjustRightInd/>
        <w:snapToGrid/>
        <w:spacing w:before="0" w:after="0" w:line="400" w:lineRule="exact"/>
        <w:ind w:firstLine="442" w:firstLineChars="200"/>
        <w:jc w:val="left"/>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四、提交应答文件截止时间、谈判时间和地点</w:t>
      </w:r>
    </w:p>
    <w:p w14:paraId="5D634C35">
      <w:pPr>
        <w:pageBreakBefore w:val="0"/>
        <w:kinsoku/>
        <w:wordWrap/>
        <w:overflowPunct/>
        <w:topLinePunct w:val="0"/>
        <w:autoSpaceDE/>
        <w:autoSpaceDN/>
        <w:bidi w:val="0"/>
        <w:adjustRightInd/>
        <w:snapToGrid/>
        <w:spacing w:line="4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1.应答文件提交截止时间</w:t>
      </w:r>
      <w:r>
        <w:rPr>
          <w:rFonts w:hint="eastAsia" w:ascii="宋体" w:hAnsi="宋体" w:eastAsia="宋体" w:cs="宋体"/>
          <w:sz w:val="22"/>
          <w:szCs w:val="22"/>
          <w:highlight w:val="none"/>
        </w:rPr>
        <w:t>：所有</w:t>
      </w:r>
      <w:r>
        <w:rPr>
          <w:rFonts w:hint="eastAsia" w:ascii="宋体" w:hAnsi="宋体" w:cs="宋体"/>
          <w:sz w:val="22"/>
          <w:szCs w:val="22"/>
          <w:highlight w:val="none"/>
          <w:lang w:eastAsia="zh-CN"/>
        </w:rPr>
        <w:t>应答文件</w:t>
      </w:r>
      <w:r>
        <w:rPr>
          <w:rFonts w:hint="eastAsia" w:ascii="宋体" w:hAnsi="宋体" w:eastAsia="宋体" w:cs="宋体"/>
          <w:sz w:val="22"/>
          <w:szCs w:val="22"/>
          <w:highlight w:val="none"/>
        </w:rPr>
        <w:t>应于</w:t>
      </w:r>
      <w:r>
        <w:rPr>
          <w:rFonts w:hint="eastAsia" w:ascii="宋体" w:hAnsi="宋体" w:eastAsia="宋体" w:cs="宋体"/>
          <w:sz w:val="22"/>
          <w:szCs w:val="22"/>
          <w:highlight w:val="none"/>
          <w:lang w:eastAsia="zh-CN"/>
        </w:rPr>
        <w:t>2025</w:t>
      </w:r>
      <w:r>
        <w:rPr>
          <w:rFonts w:hint="eastAsia" w:ascii="宋体" w:hAnsi="宋体" w:eastAsia="宋体" w:cs="宋体"/>
          <w:sz w:val="22"/>
          <w:szCs w:val="22"/>
          <w:highlight w:val="none"/>
        </w:rPr>
        <w:t>年*月*日**（北京时间）（具体时间详见深圳政府采购智慧平台</w:t>
      </w:r>
      <w:r>
        <w:rPr>
          <w:rFonts w:hint="eastAsia" w:ascii="宋体" w:hAnsi="宋体" w:cs="宋体"/>
          <w:sz w:val="22"/>
          <w:szCs w:val="22"/>
          <w:highlight w:val="none"/>
          <w:lang w:eastAsia="zh-CN"/>
        </w:rPr>
        <w:t>谈判</w:t>
      </w:r>
      <w:r>
        <w:rPr>
          <w:rFonts w:hint="eastAsia" w:ascii="宋体" w:hAnsi="宋体" w:eastAsia="宋体" w:cs="宋体"/>
          <w:sz w:val="22"/>
          <w:szCs w:val="22"/>
          <w:highlight w:val="none"/>
        </w:rPr>
        <w:t>公告）（北京时间）之前上传到深圳政府采购智慧平台（http://zfcg.szggzy.com:8081/）。具体操作为登录“深圳政府采购智慧平台用户网上办事子系统（http://zfcg.szggzy.com:8081/TPBidder/memberLogin）”，用“【我的项目】→【项目流程】→【递交投标(应答)文件】”功能点上传</w:t>
      </w:r>
      <w:r>
        <w:rPr>
          <w:rFonts w:hint="eastAsia" w:ascii="宋体" w:hAnsi="宋体" w:cs="宋体"/>
          <w:sz w:val="22"/>
          <w:szCs w:val="22"/>
          <w:highlight w:val="none"/>
          <w:lang w:eastAsia="zh-CN"/>
        </w:rPr>
        <w:t>应答文件</w:t>
      </w:r>
      <w:r>
        <w:rPr>
          <w:rFonts w:hint="eastAsia" w:ascii="宋体" w:hAnsi="宋体" w:eastAsia="宋体" w:cs="宋体"/>
          <w:sz w:val="22"/>
          <w:szCs w:val="22"/>
          <w:highlight w:val="none"/>
        </w:rPr>
        <w:t>。本项目电子</w:t>
      </w:r>
      <w:r>
        <w:rPr>
          <w:rFonts w:hint="eastAsia" w:ascii="宋体" w:hAnsi="宋体" w:cs="宋体"/>
          <w:sz w:val="22"/>
          <w:szCs w:val="22"/>
          <w:highlight w:val="none"/>
          <w:lang w:eastAsia="zh-CN"/>
        </w:rPr>
        <w:t>应答文件</w:t>
      </w:r>
      <w:r>
        <w:rPr>
          <w:rFonts w:hint="eastAsia" w:ascii="宋体" w:hAnsi="宋体" w:eastAsia="宋体" w:cs="宋体"/>
          <w:sz w:val="22"/>
          <w:szCs w:val="22"/>
          <w:highlight w:val="none"/>
        </w:rPr>
        <w:t>最大容量为100MB，超过此容量的文件将被拒绝。</w:t>
      </w:r>
    </w:p>
    <w:p w14:paraId="1F4354FD">
      <w:pPr>
        <w:pageBreakBefore w:val="0"/>
        <w:kinsoku/>
        <w:wordWrap/>
        <w:overflowPunct/>
        <w:topLinePunct w:val="0"/>
        <w:autoSpaceDE/>
        <w:autoSpaceDN/>
        <w:bidi w:val="0"/>
        <w:adjustRightInd/>
        <w:snapToGrid/>
        <w:spacing w:line="4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2.</w:t>
      </w:r>
      <w:r>
        <w:rPr>
          <w:rFonts w:hint="eastAsia" w:ascii="宋体" w:hAnsi="宋体" w:eastAsia="宋体" w:cs="宋体"/>
          <w:sz w:val="22"/>
          <w:szCs w:val="22"/>
          <w:highlight w:val="none"/>
        </w:rPr>
        <w:t>开标时间和地点：定于</w:t>
      </w:r>
      <w:r>
        <w:rPr>
          <w:rFonts w:hint="eastAsia" w:ascii="宋体" w:hAnsi="宋体" w:eastAsia="宋体" w:cs="宋体"/>
          <w:sz w:val="22"/>
          <w:szCs w:val="22"/>
          <w:highlight w:val="none"/>
          <w:lang w:eastAsia="zh-CN"/>
        </w:rPr>
        <w:t>2025</w:t>
      </w:r>
      <w:r>
        <w:rPr>
          <w:rFonts w:hint="eastAsia" w:ascii="宋体" w:hAnsi="宋体" w:eastAsia="宋体" w:cs="宋体"/>
          <w:sz w:val="22"/>
          <w:szCs w:val="22"/>
          <w:highlight w:val="none"/>
        </w:rPr>
        <w:t>年*月*日**（北京时间）（具体时间详见深圳政府采购智慧平台</w:t>
      </w:r>
      <w:r>
        <w:rPr>
          <w:rFonts w:hint="eastAsia" w:ascii="宋体" w:hAnsi="宋体" w:cs="宋体"/>
          <w:sz w:val="22"/>
          <w:szCs w:val="22"/>
          <w:highlight w:val="none"/>
          <w:lang w:eastAsia="zh-CN"/>
        </w:rPr>
        <w:t>谈判</w:t>
      </w:r>
      <w:r>
        <w:rPr>
          <w:rFonts w:hint="eastAsia" w:ascii="宋体" w:hAnsi="宋体" w:eastAsia="宋体" w:cs="宋体"/>
          <w:sz w:val="22"/>
          <w:szCs w:val="22"/>
          <w:highlight w:val="none"/>
        </w:rPr>
        <w:t>公告）（北京时间），在深圳市东海国际招标有限公司（深圳市罗湖区太宁路2号百仕达大厦27B）公开开标。供应商可以登录“深圳政府采购智慧平台用户网上办事子系统（http://zfcg.szggzy.com:8081/TPBidder/memberLogin）”，在“【我的项目】→【项目流程】→【开标及解密】”进行在线解密、查询开标情况。</w:t>
      </w:r>
    </w:p>
    <w:p w14:paraId="09B918AB">
      <w:pPr>
        <w:pageBreakBefore w:val="0"/>
        <w:kinsoku/>
        <w:wordWrap/>
        <w:overflowPunct/>
        <w:topLinePunct w:val="0"/>
        <w:autoSpaceDE/>
        <w:autoSpaceDN/>
        <w:bidi w:val="0"/>
        <w:adjustRightInd/>
        <w:snapToGrid/>
        <w:spacing w:line="400" w:lineRule="exact"/>
        <w:ind w:firstLine="440" w:firstLineChars="200"/>
        <w:jc w:val="left"/>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3.</w:t>
      </w:r>
      <w:r>
        <w:rPr>
          <w:rFonts w:hint="eastAsia" w:ascii="宋体" w:hAnsi="宋体" w:eastAsia="宋体" w:cs="宋体"/>
          <w:sz w:val="22"/>
          <w:szCs w:val="22"/>
          <w:highlight w:val="none"/>
        </w:rPr>
        <w:t>在线解密：投标人须在开标当日</w:t>
      </w:r>
      <w:r>
        <w:rPr>
          <w:rFonts w:hint="eastAsia" w:ascii="宋体" w:hAnsi="宋体" w:eastAsia="宋体" w:cs="宋体"/>
          <w:sz w:val="22"/>
          <w:szCs w:val="22"/>
          <w:highlight w:val="none"/>
          <w:lang w:eastAsia="zh-CN"/>
        </w:rPr>
        <w:t>2025</w:t>
      </w:r>
      <w:r>
        <w:rPr>
          <w:rFonts w:hint="eastAsia" w:ascii="宋体" w:hAnsi="宋体" w:eastAsia="宋体" w:cs="宋体"/>
          <w:sz w:val="22"/>
          <w:szCs w:val="22"/>
          <w:highlight w:val="none"/>
        </w:rPr>
        <w:t>年*月*日** *:*-*:*（北京时间）（具体时间详见深圳政府采购智慧平台</w:t>
      </w:r>
      <w:r>
        <w:rPr>
          <w:rFonts w:hint="eastAsia" w:ascii="宋体" w:hAnsi="宋体" w:cs="宋体"/>
          <w:sz w:val="22"/>
          <w:szCs w:val="22"/>
          <w:highlight w:val="none"/>
          <w:lang w:eastAsia="zh-CN"/>
        </w:rPr>
        <w:t>谈判</w:t>
      </w:r>
      <w:r>
        <w:rPr>
          <w:rFonts w:hint="eastAsia" w:ascii="宋体" w:hAnsi="宋体" w:eastAsia="宋体" w:cs="宋体"/>
          <w:sz w:val="22"/>
          <w:szCs w:val="22"/>
          <w:highlight w:val="none"/>
        </w:rPr>
        <w:t>公告）期间进行解密，逾期未解密的作无效处理。解密方法：登录“深圳政府采购智慧平台用户网上办事子系统（http://zfcg.szggzy.com:8081/TPBidder/memberLogin）”，使用本单位制作电子</w:t>
      </w:r>
      <w:r>
        <w:rPr>
          <w:rFonts w:hint="eastAsia" w:ascii="宋体" w:hAnsi="宋体" w:cs="宋体"/>
          <w:sz w:val="22"/>
          <w:szCs w:val="22"/>
          <w:highlight w:val="none"/>
          <w:lang w:eastAsia="zh-CN"/>
        </w:rPr>
        <w:t>应答文件</w:t>
      </w:r>
      <w:r>
        <w:rPr>
          <w:rFonts w:hint="eastAsia" w:ascii="宋体" w:hAnsi="宋体" w:eastAsia="宋体" w:cs="宋体"/>
          <w:sz w:val="22"/>
          <w:szCs w:val="22"/>
          <w:highlight w:val="none"/>
        </w:rPr>
        <w:t>同一个电子密钥，在“【我的项目】→【项目流程】→【开标及解密】”进行在线解密、查询开标情况。</w:t>
      </w:r>
    </w:p>
    <w:p w14:paraId="4B5391D8">
      <w:pPr>
        <w:pageBreakBefore w:val="0"/>
        <w:kinsoku/>
        <w:wordWrap/>
        <w:overflowPunct/>
        <w:topLinePunct w:val="0"/>
        <w:autoSpaceDE/>
        <w:autoSpaceDN/>
        <w:bidi w:val="0"/>
        <w:adjustRightInd/>
        <w:snapToGrid/>
        <w:spacing w:line="400" w:lineRule="exact"/>
        <w:ind w:firstLine="440" w:firstLineChars="200"/>
        <w:jc w:val="left"/>
        <w:rPr>
          <w:rFonts w:hint="eastAsia" w:ascii="宋体" w:hAnsi="宋体" w:eastAsia="宋体" w:cs="宋体"/>
          <w:sz w:val="22"/>
          <w:szCs w:val="22"/>
          <w:highlight w:val="none"/>
        </w:rPr>
      </w:pPr>
    </w:p>
    <w:p w14:paraId="71DE8EEE">
      <w:pPr>
        <w:pStyle w:val="3"/>
        <w:pageBreakBefore w:val="0"/>
        <w:kinsoku/>
        <w:wordWrap/>
        <w:overflowPunct/>
        <w:topLinePunct w:val="0"/>
        <w:autoSpaceDE/>
        <w:autoSpaceDN/>
        <w:bidi w:val="0"/>
        <w:adjustRightInd/>
        <w:snapToGrid/>
        <w:spacing w:before="0" w:after="0" w:line="400" w:lineRule="exact"/>
        <w:ind w:firstLine="442" w:firstLineChars="200"/>
        <w:jc w:val="left"/>
        <w:rPr>
          <w:rFonts w:hint="eastAsia" w:ascii="宋体" w:hAnsi="宋体" w:eastAsia="宋体" w:cs="宋体"/>
          <w:b/>
          <w:bCs/>
          <w:sz w:val="22"/>
          <w:szCs w:val="22"/>
          <w:highlight w:val="none"/>
        </w:rPr>
      </w:pPr>
      <w:bookmarkStart w:id="14" w:name="_Toc28359017"/>
      <w:bookmarkStart w:id="15" w:name="_Toc35393634"/>
      <w:bookmarkStart w:id="16" w:name="_Toc35393803"/>
      <w:bookmarkStart w:id="17" w:name="_Toc28359094"/>
      <w:r>
        <w:rPr>
          <w:rFonts w:hint="eastAsia" w:ascii="宋体" w:hAnsi="宋体" w:eastAsia="宋体" w:cs="宋体"/>
          <w:b/>
          <w:bCs/>
          <w:sz w:val="22"/>
          <w:szCs w:val="22"/>
          <w:highlight w:val="none"/>
        </w:rPr>
        <w:t>五、公告期限</w:t>
      </w:r>
      <w:bookmarkEnd w:id="14"/>
      <w:bookmarkEnd w:id="15"/>
      <w:bookmarkEnd w:id="16"/>
      <w:bookmarkEnd w:id="17"/>
    </w:p>
    <w:p w14:paraId="1A460341">
      <w:pPr>
        <w:pageBreakBefore w:val="0"/>
        <w:kinsoku/>
        <w:wordWrap/>
        <w:overflowPunct/>
        <w:topLinePunct w:val="0"/>
        <w:autoSpaceDE/>
        <w:autoSpaceDN/>
        <w:bidi w:val="0"/>
        <w:adjustRightInd/>
        <w:snapToGrid/>
        <w:spacing w:line="400" w:lineRule="exact"/>
        <w:ind w:firstLine="440" w:firstLineChars="200"/>
        <w:jc w:val="left"/>
        <w:rPr>
          <w:rFonts w:hint="eastAsia" w:ascii="宋体" w:hAnsi="宋体" w:eastAsia="宋体" w:cs="宋体"/>
          <w:kern w:val="0"/>
          <w:sz w:val="22"/>
          <w:szCs w:val="22"/>
          <w:highlight w:val="none"/>
        </w:rPr>
      </w:pPr>
      <w:r>
        <w:rPr>
          <w:rFonts w:hint="eastAsia" w:ascii="宋体" w:hAnsi="宋体" w:eastAsia="宋体" w:cs="宋体"/>
          <w:kern w:val="0"/>
          <w:sz w:val="22"/>
          <w:szCs w:val="22"/>
          <w:highlight w:val="none"/>
        </w:rPr>
        <w:t>自本公告发布之日起3个工作日。</w:t>
      </w:r>
    </w:p>
    <w:p w14:paraId="763F4571">
      <w:pPr>
        <w:pStyle w:val="3"/>
        <w:pageBreakBefore w:val="0"/>
        <w:kinsoku/>
        <w:wordWrap/>
        <w:overflowPunct/>
        <w:topLinePunct w:val="0"/>
        <w:autoSpaceDE/>
        <w:autoSpaceDN/>
        <w:bidi w:val="0"/>
        <w:adjustRightInd/>
        <w:snapToGrid/>
        <w:spacing w:before="0" w:after="0" w:line="400" w:lineRule="exact"/>
        <w:ind w:firstLine="442" w:firstLineChars="200"/>
        <w:jc w:val="left"/>
        <w:rPr>
          <w:rFonts w:hint="eastAsia" w:ascii="宋体" w:hAnsi="宋体" w:eastAsia="宋体" w:cs="宋体"/>
          <w:b/>
          <w:bCs/>
          <w:sz w:val="22"/>
          <w:szCs w:val="22"/>
          <w:highlight w:val="none"/>
        </w:rPr>
      </w:pPr>
      <w:bookmarkStart w:id="18" w:name="_Toc35393804"/>
      <w:bookmarkStart w:id="19" w:name="_Toc35393635"/>
      <w:r>
        <w:rPr>
          <w:rFonts w:hint="eastAsia" w:ascii="宋体" w:hAnsi="宋体" w:eastAsia="宋体" w:cs="宋体"/>
          <w:b/>
          <w:bCs/>
          <w:sz w:val="22"/>
          <w:szCs w:val="22"/>
          <w:highlight w:val="none"/>
        </w:rPr>
        <w:t>六、其他补充事宜</w:t>
      </w:r>
      <w:bookmarkEnd w:id="18"/>
      <w:bookmarkEnd w:id="19"/>
    </w:p>
    <w:p w14:paraId="42A1F56C">
      <w:pPr>
        <w:pageBreakBefore w:val="0"/>
        <w:widowControl/>
        <w:kinsoku/>
        <w:wordWrap/>
        <w:overflowPunct/>
        <w:topLinePunct w:val="0"/>
        <w:autoSpaceDE/>
        <w:autoSpaceDN/>
        <w:bidi w:val="0"/>
        <w:adjustRightInd/>
        <w:snapToGrid/>
        <w:spacing w:line="400" w:lineRule="exact"/>
        <w:ind w:firstLine="440" w:firstLineChars="200"/>
        <w:jc w:val="left"/>
        <w:rPr>
          <w:rFonts w:hint="eastAsia" w:ascii="宋体" w:hAnsi="宋体" w:eastAsia="宋体" w:cs="宋体"/>
          <w:kern w:val="0"/>
          <w:sz w:val="22"/>
          <w:szCs w:val="22"/>
          <w:highlight w:val="none"/>
        </w:rPr>
      </w:pPr>
      <w:bookmarkStart w:id="20" w:name="_Toc35393636"/>
      <w:bookmarkStart w:id="21" w:name="_Toc35393805"/>
      <w:bookmarkStart w:id="22" w:name="_Toc28359095"/>
      <w:bookmarkStart w:id="23" w:name="_Toc28359018"/>
      <w:r>
        <w:rPr>
          <w:rFonts w:hint="eastAsia" w:ascii="宋体" w:hAnsi="宋体" w:eastAsia="宋体" w:cs="宋体"/>
          <w:kern w:val="0"/>
          <w:sz w:val="22"/>
          <w:szCs w:val="22"/>
          <w:highlight w:val="none"/>
        </w:rPr>
        <w:t xml:space="preserve">1.本项目实行网上投标，采用电子谈判应答文件。  </w:t>
      </w:r>
    </w:p>
    <w:p w14:paraId="3129DFF2">
      <w:pPr>
        <w:pageBreakBefore w:val="0"/>
        <w:widowControl/>
        <w:kinsoku/>
        <w:wordWrap/>
        <w:overflowPunct/>
        <w:topLinePunct w:val="0"/>
        <w:autoSpaceDE/>
        <w:autoSpaceDN/>
        <w:bidi w:val="0"/>
        <w:adjustRightInd/>
        <w:snapToGrid/>
        <w:spacing w:line="400" w:lineRule="exact"/>
        <w:ind w:firstLine="440" w:firstLineChars="200"/>
        <w:jc w:val="left"/>
        <w:rPr>
          <w:rFonts w:hint="eastAsia" w:ascii="宋体" w:hAnsi="宋体" w:eastAsia="宋体" w:cs="宋体"/>
          <w:kern w:val="0"/>
          <w:sz w:val="22"/>
          <w:szCs w:val="22"/>
          <w:highlight w:val="none"/>
        </w:rPr>
      </w:pPr>
      <w:r>
        <w:rPr>
          <w:rFonts w:hint="eastAsia" w:ascii="宋体" w:hAnsi="宋体" w:eastAsia="宋体" w:cs="宋体"/>
          <w:kern w:val="0"/>
          <w:sz w:val="22"/>
          <w:szCs w:val="22"/>
          <w:highlight w:val="none"/>
        </w:rPr>
        <w:t>2.报名操作：投标人如确定参加谈判，首先要在深圳政府采购智慧平台（http://zfcg.szggzy.com:8081/）上报名应答，方法为登录深圳政府采购智慧平台（http://zfcg.szggzy.com:8081/）后点击首页消息提醒“邀请书确认”，可对采购人发出的邀请信息进行确认是否参加投标；如果网上报名后上传了</w:t>
      </w:r>
      <w:r>
        <w:rPr>
          <w:rFonts w:hint="eastAsia" w:ascii="宋体" w:hAnsi="宋体" w:cs="宋体"/>
          <w:kern w:val="0"/>
          <w:sz w:val="22"/>
          <w:szCs w:val="22"/>
          <w:highlight w:val="none"/>
          <w:lang w:eastAsia="zh-CN"/>
        </w:rPr>
        <w:t>应答文件</w:t>
      </w:r>
      <w:r>
        <w:rPr>
          <w:rFonts w:hint="eastAsia" w:ascii="宋体" w:hAnsi="宋体" w:eastAsia="宋体" w:cs="宋体"/>
          <w:kern w:val="0"/>
          <w:sz w:val="22"/>
          <w:szCs w:val="22"/>
          <w:highlight w:val="none"/>
        </w:rPr>
        <w:t>，又不参加投标，应再到【我的项目】→【项目流程】→【递交投标(应答)文件】功能点中进行“【撤回本次投标】”操作；如果是未注册为深圳政府采购智慧平台（http://zfcg.szggzy.com:8081/）的供应商，请先办理密钥（</w:t>
      </w: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HYPERLINK "http://zfcg.szggzy.com:8081/TPBidder/CAHandle" </w:instrText>
      </w:r>
      <w:r>
        <w:rPr>
          <w:rFonts w:hint="eastAsia" w:ascii="宋体" w:hAnsi="宋体" w:eastAsia="宋体" w:cs="宋体"/>
          <w:sz w:val="22"/>
          <w:szCs w:val="22"/>
          <w:highlight w:val="none"/>
        </w:rPr>
        <w:fldChar w:fldCharType="separate"/>
      </w:r>
      <w:r>
        <w:rPr>
          <w:rFonts w:hint="eastAsia" w:ascii="宋体" w:hAnsi="宋体" w:eastAsia="宋体" w:cs="宋体"/>
          <w:kern w:val="0"/>
          <w:sz w:val="22"/>
          <w:szCs w:val="22"/>
          <w:highlight w:val="none"/>
        </w:rPr>
        <w:t>请点击</w:t>
      </w:r>
      <w:r>
        <w:rPr>
          <w:rFonts w:hint="eastAsia" w:ascii="宋体" w:hAnsi="宋体" w:eastAsia="宋体" w:cs="宋体"/>
          <w:kern w:val="0"/>
          <w:sz w:val="22"/>
          <w:szCs w:val="22"/>
          <w:highlight w:val="none"/>
        </w:rPr>
        <w:fldChar w:fldCharType="end"/>
      </w:r>
      <w:r>
        <w:rPr>
          <w:rFonts w:hint="eastAsia" w:ascii="宋体" w:hAnsi="宋体" w:eastAsia="宋体" w:cs="宋体"/>
          <w:kern w:val="0"/>
          <w:sz w:val="22"/>
          <w:szCs w:val="22"/>
          <w:highlight w:val="none"/>
        </w:rPr>
        <w:t>），并前往深圳公共资源交易中心绑定深圳政府采购智慧平台用户（地址：深圳市南山区沙河西路3157号南山智谷A座（深圳交易集团总部大楼）27楼前台；电子密钥办理咨询电话：0755-83948165），再进行投标报名。在网上报名后，点击“【我的项目】→【项目流程】→【采购文件下载】”进行谈判文件的下载。详细的操作指南，可进入（https://www.szggzy.com/xxgk/tzgg/content_201792.html）在“附件”中下载“深圳政府采购智慧平台-供应商端操作手册”</w:t>
      </w:r>
    </w:p>
    <w:p w14:paraId="2000797C">
      <w:pPr>
        <w:pageBreakBefore w:val="0"/>
        <w:widowControl/>
        <w:kinsoku/>
        <w:wordWrap/>
        <w:overflowPunct/>
        <w:topLinePunct w:val="0"/>
        <w:autoSpaceDE/>
        <w:autoSpaceDN/>
        <w:bidi w:val="0"/>
        <w:adjustRightInd/>
        <w:snapToGrid/>
        <w:spacing w:line="400" w:lineRule="exact"/>
        <w:ind w:firstLine="440" w:firstLineChars="200"/>
        <w:jc w:val="left"/>
        <w:rPr>
          <w:rFonts w:hint="eastAsia" w:ascii="宋体" w:hAnsi="宋体" w:eastAsia="宋体" w:cs="宋体"/>
          <w:kern w:val="0"/>
          <w:sz w:val="22"/>
          <w:szCs w:val="22"/>
          <w:highlight w:val="none"/>
        </w:rPr>
      </w:pPr>
      <w:r>
        <w:rPr>
          <w:rFonts w:hint="eastAsia" w:ascii="宋体" w:hAnsi="宋体" w:eastAsia="宋体" w:cs="宋体"/>
          <w:kern w:val="0"/>
          <w:sz w:val="22"/>
          <w:szCs w:val="22"/>
          <w:highlight w:val="none"/>
        </w:rPr>
        <w:t>3.应答操作：具体操作为登录“深圳政府采购智慧平台用户网上办事子系统（http://zfcg.szggzy.com:8081/TPBidder/memberLogin）”，用“【我的项目】→【项目流程】→【递交投标(应答)文件】”功能点上传</w:t>
      </w:r>
      <w:r>
        <w:rPr>
          <w:rFonts w:hint="eastAsia" w:ascii="宋体" w:hAnsi="宋体" w:cs="宋体"/>
          <w:kern w:val="0"/>
          <w:sz w:val="22"/>
          <w:szCs w:val="22"/>
          <w:highlight w:val="none"/>
          <w:lang w:eastAsia="zh-CN"/>
        </w:rPr>
        <w:t>应答文件</w:t>
      </w:r>
      <w:r>
        <w:rPr>
          <w:rFonts w:hint="eastAsia" w:ascii="宋体" w:hAnsi="宋体" w:eastAsia="宋体" w:cs="宋体"/>
          <w:kern w:val="0"/>
          <w:sz w:val="22"/>
          <w:szCs w:val="22"/>
          <w:highlight w:val="none"/>
        </w:rPr>
        <w:t>。本项目电子</w:t>
      </w:r>
      <w:r>
        <w:rPr>
          <w:rFonts w:hint="eastAsia" w:ascii="宋体" w:hAnsi="宋体" w:cs="宋体"/>
          <w:kern w:val="0"/>
          <w:sz w:val="22"/>
          <w:szCs w:val="22"/>
          <w:highlight w:val="none"/>
          <w:lang w:eastAsia="zh-CN"/>
        </w:rPr>
        <w:t>应答文件</w:t>
      </w:r>
      <w:r>
        <w:rPr>
          <w:rFonts w:hint="eastAsia" w:ascii="宋体" w:hAnsi="宋体" w:eastAsia="宋体" w:cs="宋体"/>
          <w:kern w:val="0"/>
          <w:sz w:val="22"/>
          <w:szCs w:val="22"/>
          <w:highlight w:val="none"/>
        </w:rPr>
        <w:t>最大容量为100MB，超过此容量的文件将被拒绝。</w:t>
      </w:r>
    </w:p>
    <w:p w14:paraId="503D7561">
      <w:pPr>
        <w:pageBreakBefore w:val="0"/>
        <w:widowControl/>
        <w:kinsoku/>
        <w:wordWrap/>
        <w:overflowPunct/>
        <w:topLinePunct w:val="0"/>
        <w:autoSpaceDE/>
        <w:autoSpaceDN/>
        <w:bidi w:val="0"/>
        <w:adjustRightInd/>
        <w:snapToGrid/>
        <w:spacing w:line="400" w:lineRule="exact"/>
        <w:ind w:firstLine="440" w:firstLineChars="200"/>
        <w:jc w:val="left"/>
        <w:rPr>
          <w:rFonts w:hint="eastAsia" w:ascii="宋体" w:hAnsi="宋体" w:eastAsia="宋体" w:cs="宋体"/>
          <w:kern w:val="0"/>
          <w:sz w:val="22"/>
          <w:szCs w:val="22"/>
          <w:highlight w:val="none"/>
        </w:rPr>
      </w:pPr>
      <w:r>
        <w:rPr>
          <w:rFonts w:hint="eastAsia" w:ascii="宋体" w:hAnsi="宋体" w:eastAsia="宋体" w:cs="宋体"/>
          <w:color w:val="000000"/>
          <w:sz w:val="22"/>
          <w:szCs w:val="22"/>
          <w:highlight w:val="none"/>
        </w:rPr>
        <w:t>4.在线解密：</w:t>
      </w:r>
      <w:r>
        <w:rPr>
          <w:rFonts w:hint="eastAsia" w:ascii="宋体" w:hAnsi="宋体" w:cs="宋体"/>
          <w:color w:val="FF0000"/>
          <w:kern w:val="0"/>
          <w:sz w:val="22"/>
          <w:szCs w:val="22"/>
          <w:highlight w:val="none"/>
          <w:lang w:val="en-US" w:eastAsia="zh-CN"/>
        </w:rPr>
        <w:t>**</w:t>
      </w:r>
      <w:r>
        <w:rPr>
          <w:rFonts w:hint="eastAsia" w:ascii="宋体" w:hAnsi="宋体" w:eastAsia="宋体" w:cs="宋体"/>
          <w:color w:val="FF0000"/>
          <w:kern w:val="0"/>
          <w:sz w:val="22"/>
          <w:szCs w:val="22"/>
          <w:highlight w:val="none"/>
          <w:lang w:eastAsia="zh-CN"/>
        </w:rPr>
        <w:t>时</w:t>
      </w:r>
      <w:r>
        <w:rPr>
          <w:rFonts w:hint="eastAsia" w:ascii="宋体" w:hAnsi="宋体" w:cs="宋体"/>
          <w:color w:val="FF0000"/>
          <w:kern w:val="0"/>
          <w:sz w:val="22"/>
          <w:szCs w:val="22"/>
          <w:highlight w:val="none"/>
          <w:lang w:val="en-US" w:eastAsia="zh-CN"/>
        </w:rPr>
        <w:t>**</w:t>
      </w:r>
      <w:r>
        <w:rPr>
          <w:rFonts w:hint="eastAsia" w:ascii="宋体" w:hAnsi="宋体" w:eastAsia="宋体" w:cs="宋体"/>
          <w:color w:val="FF0000"/>
          <w:kern w:val="0"/>
          <w:sz w:val="22"/>
          <w:szCs w:val="22"/>
          <w:highlight w:val="none"/>
          <w:lang w:eastAsia="zh-CN"/>
        </w:rPr>
        <w:t>分</w:t>
      </w:r>
      <w:r>
        <w:rPr>
          <w:rFonts w:hint="eastAsia" w:ascii="宋体" w:hAnsi="宋体" w:eastAsia="宋体" w:cs="宋体"/>
          <w:color w:val="FF0000"/>
          <w:kern w:val="0"/>
          <w:sz w:val="22"/>
          <w:szCs w:val="22"/>
          <w:highlight w:val="none"/>
        </w:rPr>
        <w:t>-</w:t>
      </w:r>
      <w:r>
        <w:rPr>
          <w:rFonts w:hint="eastAsia" w:ascii="宋体" w:hAnsi="宋体" w:cs="宋体"/>
          <w:color w:val="FF0000"/>
          <w:kern w:val="0"/>
          <w:sz w:val="22"/>
          <w:szCs w:val="22"/>
          <w:highlight w:val="none"/>
          <w:lang w:val="en-US" w:eastAsia="zh-CN"/>
        </w:rPr>
        <w:t>**</w:t>
      </w:r>
      <w:r>
        <w:rPr>
          <w:rFonts w:hint="eastAsia" w:ascii="宋体" w:hAnsi="宋体" w:eastAsia="宋体" w:cs="宋体"/>
          <w:color w:val="FF0000"/>
          <w:kern w:val="0"/>
          <w:sz w:val="22"/>
          <w:szCs w:val="22"/>
          <w:highlight w:val="none"/>
        </w:rPr>
        <w:t>时</w:t>
      </w:r>
      <w:r>
        <w:rPr>
          <w:rFonts w:hint="eastAsia" w:ascii="宋体" w:hAnsi="宋体" w:cs="宋体"/>
          <w:color w:val="FF0000"/>
          <w:kern w:val="0"/>
          <w:sz w:val="22"/>
          <w:szCs w:val="22"/>
          <w:highlight w:val="none"/>
          <w:lang w:val="en-US" w:eastAsia="zh-CN"/>
        </w:rPr>
        <w:t>**</w:t>
      </w:r>
      <w:r>
        <w:rPr>
          <w:rFonts w:hint="eastAsia" w:ascii="宋体" w:hAnsi="宋体" w:eastAsia="宋体" w:cs="宋体"/>
          <w:color w:val="FF0000"/>
          <w:kern w:val="0"/>
          <w:sz w:val="22"/>
          <w:szCs w:val="22"/>
          <w:highlight w:val="none"/>
        </w:rPr>
        <w:t>分</w:t>
      </w:r>
      <w:r>
        <w:rPr>
          <w:rFonts w:hint="eastAsia" w:ascii="宋体" w:hAnsi="宋体" w:eastAsia="宋体" w:cs="宋体"/>
          <w:kern w:val="0"/>
          <w:sz w:val="22"/>
          <w:szCs w:val="22"/>
          <w:highlight w:val="none"/>
          <w:lang w:eastAsia="zh-CN"/>
        </w:rPr>
        <w:t>（</w:t>
      </w:r>
      <w:r>
        <w:rPr>
          <w:rFonts w:hint="eastAsia" w:ascii="宋体" w:hAnsi="宋体" w:eastAsia="宋体" w:cs="宋体"/>
          <w:kern w:val="0"/>
          <w:sz w:val="22"/>
          <w:szCs w:val="22"/>
          <w:highlight w:val="none"/>
          <w:lang w:val="en-US" w:eastAsia="zh-CN"/>
        </w:rPr>
        <w:t>开标当天</w:t>
      </w:r>
      <w:r>
        <w:rPr>
          <w:rFonts w:hint="eastAsia" w:ascii="宋体" w:hAnsi="宋体" w:eastAsia="宋体" w:cs="宋体"/>
          <w:kern w:val="0"/>
          <w:sz w:val="22"/>
          <w:szCs w:val="22"/>
          <w:highlight w:val="none"/>
          <w:lang w:eastAsia="zh-CN"/>
        </w:rPr>
        <w:t>）</w:t>
      </w:r>
      <w:r>
        <w:rPr>
          <w:rFonts w:hint="eastAsia" w:ascii="宋体" w:hAnsi="宋体" w:eastAsia="宋体" w:cs="宋体"/>
          <w:color w:val="000000"/>
          <w:sz w:val="22"/>
          <w:szCs w:val="22"/>
          <w:highlight w:val="none"/>
        </w:rPr>
        <w:t>期间进行解密，逾期未解密的作无效处理。解密方法：登录“深圳政府采购智慧平台用户网上办事子系统（http://zfcg.szggzy.com:8081/TPBidder/memberLogin）”，使用本单位制作电子</w:t>
      </w:r>
      <w:r>
        <w:rPr>
          <w:rFonts w:hint="eastAsia" w:ascii="宋体" w:hAnsi="宋体" w:cs="宋体"/>
          <w:color w:val="000000"/>
          <w:sz w:val="22"/>
          <w:szCs w:val="22"/>
          <w:highlight w:val="none"/>
          <w:lang w:eastAsia="zh-CN"/>
        </w:rPr>
        <w:t>应答文件</w:t>
      </w:r>
      <w:r>
        <w:rPr>
          <w:rFonts w:hint="eastAsia" w:ascii="宋体" w:hAnsi="宋体" w:eastAsia="宋体" w:cs="宋体"/>
          <w:color w:val="000000"/>
          <w:sz w:val="22"/>
          <w:szCs w:val="22"/>
          <w:highlight w:val="none"/>
        </w:rPr>
        <w:t>同一个电子密钥，在“【我的项目】→【项目流程】→【开标及解密】”进行在线解密、查询开标情况</w:t>
      </w:r>
    </w:p>
    <w:p w14:paraId="0228BBB5">
      <w:pPr>
        <w:pageBreakBefore w:val="0"/>
        <w:widowControl/>
        <w:kinsoku/>
        <w:wordWrap/>
        <w:overflowPunct/>
        <w:topLinePunct w:val="0"/>
        <w:autoSpaceDE/>
        <w:autoSpaceDN/>
        <w:bidi w:val="0"/>
        <w:adjustRightInd/>
        <w:snapToGrid/>
        <w:spacing w:line="400" w:lineRule="exact"/>
        <w:ind w:firstLine="440" w:firstLineChars="200"/>
        <w:jc w:val="left"/>
        <w:rPr>
          <w:rFonts w:hint="eastAsia" w:ascii="宋体" w:hAnsi="宋体" w:eastAsia="宋体" w:cs="宋体"/>
          <w:kern w:val="0"/>
          <w:sz w:val="22"/>
          <w:szCs w:val="22"/>
          <w:highlight w:val="none"/>
        </w:rPr>
      </w:pPr>
      <w:r>
        <w:rPr>
          <w:rFonts w:hint="eastAsia" w:ascii="宋体" w:hAnsi="宋体" w:eastAsia="宋体" w:cs="宋体"/>
          <w:kern w:val="0"/>
          <w:sz w:val="22"/>
          <w:szCs w:val="22"/>
          <w:highlight w:val="none"/>
        </w:rPr>
        <w:t>5.本项目谈判方式为网上谈判（电话沟通，网上政府采购系统报价），凡参加谈判的供应商无需前往深圳市东海国际招标有限公司谈判现场（如项目有要求现场演示的，投标供应商应到谈判现场参与现场演示环节）。详细的操作指南请登录（https://www.szggzy.com/xxgk/tzgg/content_201792.html），在“附件”中下载《深圳政府采购智慧平台-供应商端操作手册》。</w:t>
      </w:r>
    </w:p>
    <w:p w14:paraId="0EE8D0E2">
      <w:pPr>
        <w:pageBreakBefore w:val="0"/>
        <w:widowControl/>
        <w:kinsoku/>
        <w:wordWrap/>
        <w:overflowPunct/>
        <w:topLinePunct w:val="0"/>
        <w:autoSpaceDE/>
        <w:autoSpaceDN/>
        <w:bidi w:val="0"/>
        <w:adjustRightInd/>
        <w:snapToGrid/>
        <w:spacing w:line="400" w:lineRule="exact"/>
        <w:ind w:firstLine="440" w:firstLineChars="200"/>
        <w:jc w:val="left"/>
        <w:rPr>
          <w:rFonts w:hint="eastAsia" w:ascii="宋体" w:hAnsi="宋体" w:eastAsia="宋体" w:cs="宋体"/>
          <w:kern w:val="0"/>
          <w:sz w:val="22"/>
          <w:szCs w:val="22"/>
          <w:highlight w:val="none"/>
        </w:rPr>
      </w:pPr>
      <w:r>
        <w:rPr>
          <w:rFonts w:hint="eastAsia" w:ascii="宋体" w:hAnsi="宋体" w:eastAsia="宋体" w:cs="宋体"/>
          <w:kern w:val="0"/>
          <w:sz w:val="22"/>
          <w:szCs w:val="22"/>
          <w:highlight w:val="none"/>
        </w:rPr>
        <w:t>6.采购文件澄清/修改事项：</w:t>
      </w:r>
      <w:r>
        <w:rPr>
          <w:rFonts w:hint="eastAsia" w:ascii="宋体" w:hAnsi="宋体" w:eastAsia="宋体" w:cs="宋体"/>
          <w:color w:val="FF0000"/>
          <w:kern w:val="0"/>
          <w:sz w:val="22"/>
          <w:szCs w:val="22"/>
          <w:highlight w:val="none"/>
        </w:rPr>
        <w:t>202</w:t>
      </w:r>
      <w:r>
        <w:rPr>
          <w:rFonts w:hint="eastAsia" w:ascii="宋体" w:hAnsi="宋体" w:cs="宋体"/>
          <w:color w:val="FF0000"/>
          <w:kern w:val="0"/>
          <w:sz w:val="22"/>
          <w:szCs w:val="22"/>
          <w:highlight w:val="none"/>
          <w:lang w:val="en-US" w:eastAsia="zh-CN"/>
        </w:rPr>
        <w:t>5</w:t>
      </w:r>
      <w:r>
        <w:rPr>
          <w:rFonts w:hint="eastAsia" w:ascii="宋体" w:hAnsi="宋体" w:eastAsia="宋体" w:cs="宋体"/>
          <w:color w:val="FF0000"/>
          <w:kern w:val="0"/>
          <w:sz w:val="22"/>
          <w:szCs w:val="22"/>
          <w:highlight w:val="none"/>
        </w:rPr>
        <w:t>年</w:t>
      </w:r>
      <w:r>
        <w:rPr>
          <w:rFonts w:hint="eastAsia" w:ascii="宋体" w:hAnsi="宋体" w:cs="宋体"/>
          <w:color w:val="FF0000"/>
          <w:kern w:val="0"/>
          <w:sz w:val="22"/>
          <w:szCs w:val="22"/>
          <w:highlight w:val="none"/>
          <w:lang w:val="en-US" w:eastAsia="zh-CN"/>
        </w:rPr>
        <w:t xml:space="preserve">  </w:t>
      </w:r>
      <w:r>
        <w:rPr>
          <w:rFonts w:hint="eastAsia" w:ascii="宋体" w:hAnsi="宋体" w:eastAsia="宋体" w:cs="宋体"/>
          <w:color w:val="FF0000"/>
          <w:kern w:val="0"/>
          <w:sz w:val="22"/>
          <w:szCs w:val="22"/>
          <w:highlight w:val="none"/>
        </w:rPr>
        <w:t>月</w:t>
      </w:r>
      <w:r>
        <w:rPr>
          <w:rFonts w:hint="eastAsia" w:ascii="宋体" w:hAnsi="宋体" w:cs="宋体"/>
          <w:color w:val="FF0000"/>
          <w:kern w:val="0"/>
          <w:sz w:val="22"/>
          <w:szCs w:val="22"/>
          <w:highlight w:val="none"/>
          <w:lang w:val="en-US" w:eastAsia="zh-CN"/>
        </w:rPr>
        <w:t xml:space="preserve">  </w:t>
      </w:r>
      <w:r>
        <w:rPr>
          <w:rFonts w:hint="eastAsia" w:ascii="宋体" w:hAnsi="宋体" w:eastAsia="宋体" w:cs="宋体"/>
          <w:color w:val="FF0000"/>
          <w:kern w:val="0"/>
          <w:sz w:val="22"/>
          <w:szCs w:val="22"/>
          <w:highlight w:val="none"/>
        </w:rPr>
        <w:t>日</w:t>
      </w:r>
      <w:r>
        <w:rPr>
          <w:rFonts w:hint="eastAsia" w:ascii="宋体" w:hAnsi="宋体" w:eastAsia="宋体" w:cs="宋体"/>
          <w:color w:val="FF0000"/>
          <w:kern w:val="0"/>
          <w:sz w:val="22"/>
          <w:szCs w:val="22"/>
          <w:highlight w:val="none"/>
          <w:lang w:val="en-US" w:eastAsia="zh-CN"/>
        </w:rPr>
        <w:t>00</w:t>
      </w:r>
      <w:r>
        <w:rPr>
          <w:rFonts w:hint="eastAsia" w:ascii="宋体" w:hAnsi="宋体" w:eastAsia="宋体" w:cs="宋体"/>
          <w:color w:val="FF0000"/>
          <w:kern w:val="0"/>
          <w:sz w:val="22"/>
          <w:szCs w:val="22"/>
          <w:highlight w:val="none"/>
        </w:rPr>
        <w:t>时00分</w:t>
      </w:r>
      <w:r>
        <w:rPr>
          <w:rFonts w:hint="eastAsia" w:ascii="宋体" w:hAnsi="宋体" w:eastAsia="宋体" w:cs="宋体"/>
          <w:kern w:val="0"/>
          <w:sz w:val="22"/>
          <w:szCs w:val="22"/>
          <w:highlight w:val="none"/>
        </w:rPr>
        <w:t>前，供应商如果认为采购文件存在不明确、不清晰和前后不一致等问题，可登录深圳公共资源交易中心网（http://zfcg.szggzy.com:8081/）→“深圳政府采购智慧平台用户网上办事子系统（http://zfcg.szggzy.com:8081/TPBidder/memberLogin）”，在“【我的项目】→【项目流程】→【提问】”功能点中填写需澄清内容。</w:t>
      </w:r>
      <w:r>
        <w:rPr>
          <w:rFonts w:hint="eastAsia" w:ascii="宋体" w:hAnsi="宋体" w:eastAsia="宋体" w:cs="宋体"/>
          <w:color w:val="FF0000"/>
          <w:kern w:val="0"/>
          <w:sz w:val="22"/>
          <w:szCs w:val="22"/>
          <w:highlight w:val="none"/>
        </w:rPr>
        <w:t>202</w:t>
      </w:r>
      <w:r>
        <w:rPr>
          <w:rFonts w:hint="eastAsia" w:ascii="宋体" w:hAnsi="宋体" w:cs="宋体"/>
          <w:color w:val="FF0000"/>
          <w:kern w:val="0"/>
          <w:sz w:val="22"/>
          <w:szCs w:val="22"/>
          <w:highlight w:val="none"/>
          <w:lang w:val="en-US" w:eastAsia="zh-CN"/>
        </w:rPr>
        <w:t>5</w:t>
      </w:r>
      <w:r>
        <w:rPr>
          <w:rFonts w:hint="eastAsia" w:ascii="宋体" w:hAnsi="宋体" w:eastAsia="宋体" w:cs="宋体"/>
          <w:color w:val="FF0000"/>
          <w:kern w:val="0"/>
          <w:sz w:val="22"/>
          <w:szCs w:val="22"/>
          <w:highlight w:val="none"/>
        </w:rPr>
        <w:t>年</w:t>
      </w:r>
      <w:r>
        <w:rPr>
          <w:rFonts w:hint="eastAsia" w:ascii="宋体" w:hAnsi="宋体" w:cs="宋体"/>
          <w:color w:val="FF0000"/>
          <w:kern w:val="0"/>
          <w:sz w:val="22"/>
          <w:szCs w:val="22"/>
          <w:highlight w:val="none"/>
          <w:lang w:val="en-US" w:eastAsia="zh-CN"/>
        </w:rPr>
        <w:t xml:space="preserve">  </w:t>
      </w:r>
      <w:r>
        <w:rPr>
          <w:rFonts w:hint="eastAsia" w:ascii="宋体" w:hAnsi="宋体" w:eastAsia="宋体" w:cs="宋体"/>
          <w:color w:val="FF0000"/>
          <w:kern w:val="0"/>
          <w:sz w:val="22"/>
          <w:szCs w:val="22"/>
          <w:highlight w:val="none"/>
        </w:rPr>
        <w:t>月</w:t>
      </w:r>
      <w:r>
        <w:rPr>
          <w:rFonts w:hint="eastAsia" w:ascii="宋体" w:hAnsi="宋体" w:cs="宋体"/>
          <w:color w:val="FF0000"/>
          <w:kern w:val="0"/>
          <w:sz w:val="22"/>
          <w:szCs w:val="22"/>
          <w:highlight w:val="none"/>
          <w:lang w:val="en-US" w:eastAsia="zh-CN"/>
        </w:rPr>
        <w:t xml:space="preserve">  </w:t>
      </w:r>
      <w:r>
        <w:rPr>
          <w:rFonts w:hint="eastAsia" w:ascii="宋体" w:hAnsi="宋体" w:eastAsia="宋体" w:cs="宋体"/>
          <w:color w:val="FF0000"/>
          <w:kern w:val="0"/>
          <w:sz w:val="22"/>
          <w:szCs w:val="22"/>
          <w:highlight w:val="none"/>
        </w:rPr>
        <w:t>日</w:t>
      </w:r>
      <w:r>
        <w:rPr>
          <w:rFonts w:hint="eastAsia" w:ascii="宋体" w:hAnsi="宋体" w:eastAsia="宋体" w:cs="宋体"/>
          <w:color w:val="FF0000"/>
          <w:kern w:val="0"/>
          <w:sz w:val="22"/>
          <w:szCs w:val="22"/>
          <w:highlight w:val="none"/>
          <w:lang w:val="en-US" w:eastAsia="zh-CN"/>
        </w:rPr>
        <w:t>00</w:t>
      </w:r>
      <w:r>
        <w:rPr>
          <w:rFonts w:hint="eastAsia" w:ascii="宋体" w:hAnsi="宋体" w:eastAsia="宋体" w:cs="宋体"/>
          <w:color w:val="FF0000"/>
          <w:kern w:val="0"/>
          <w:sz w:val="22"/>
          <w:szCs w:val="22"/>
          <w:highlight w:val="none"/>
        </w:rPr>
        <w:t>时00分</w:t>
      </w:r>
      <w:r>
        <w:rPr>
          <w:rFonts w:hint="eastAsia" w:ascii="宋体" w:hAnsi="宋体" w:eastAsia="宋体" w:cs="宋体"/>
          <w:kern w:val="0"/>
          <w:sz w:val="22"/>
          <w:szCs w:val="22"/>
          <w:highlight w:val="none"/>
        </w:rPr>
        <w:t>前将采购文件澄清/修改情况在“【我的项目】→【项目流程】→【答疑澄清文件下载】”中公布，望投标人予以关注。（重要提示：“提出采购文件澄清要求”不等同于“对采购文件质疑”，供应商提出的澄清要求内容如出现“质疑”字眼，将予以退回。供应商如认为采购文件存在限制性、倾向性、其权益受到损害，应在采购文件公布之日起七个工作日内以书面形式提出质疑。请质疑供应商根据深圳公共资源交易中心网</w:t>
      </w:r>
      <w:r>
        <w:rPr>
          <w:rFonts w:hint="eastAsia" w:ascii="宋体" w:hAnsi="宋体" w:eastAsia="宋体" w:cs="宋体"/>
          <w:b w:val="0"/>
          <w:bCs w:val="0"/>
          <w:kern w:val="0"/>
          <w:sz w:val="22"/>
          <w:szCs w:val="22"/>
          <w:highlight w:val="none"/>
        </w:rPr>
        <w:t xml:space="preserve">（https://www.szggzy.com/globalSearch/details.html?contentId=1211037）所发布的质疑指引、质疑函模板填写质疑函并提交质疑材料。质疑材料可以采用现场或邮寄方式提交，采用邮寄方式提交的，交邮时间应在本公告发布之日起七个工作日内。质疑材料现场提交、邮寄地址：深圳市罗湖区太宁路2号百仕达大厦27B。质疑咨询电话：0755-86959778。根据《深圳经济特区政府采购条例》第四十二条“供应商投诉的事项应当是经过质疑的事项”的规定，未经正式质疑的，将影响供应商行使向财政部门提起投诉的权利。） </w:t>
      </w:r>
    </w:p>
    <w:p w14:paraId="04B40553">
      <w:pPr>
        <w:pageBreakBefore w:val="0"/>
        <w:widowControl/>
        <w:kinsoku/>
        <w:wordWrap/>
        <w:overflowPunct/>
        <w:topLinePunct w:val="0"/>
        <w:autoSpaceDE/>
        <w:autoSpaceDN/>
        <w:bidi w:val="0"/>
        <w:adjustRightInd/>
        <w:snapToGrid/>
        <w:spacing w:line="400" w:lineRule="exact"/>
        <w:ind w:firstLine="440" w:firstLineChars="200"/>
        <w:jc w:val="left"/>
        <w:rPr>
          <w:rFonts w:hint="eastAsia" w:ascii="宋体" w:hAnsi="宋体" w:eastAsia="宋体" w:cs="宋体"/>
          <w:kern w:val="0"/>
          <w:sz w:val="22"/>
          <w:szCs w:val="22"/>
          <w:highlight w:val="none"/>
        </w:rPr>
      </w:pPr>
      <w:r>
        <w:rPr>
          <w:rFonts w:hint="eastAsia" w:ascii="宋体" w:hAnsi="宋体" w:eastAsia="宋体" w:cs="宋体"/>
          <w:kern w:val="0"/>
          <w:sz w:val="22"/>
          <w:szCs w:val="22"/>
          <w:highlight w:val="none"/>
        </w:rPr>
        <w:t>7.深圳市东海国际招标有限公司有权对</w:t>
      </w:r>
      <w:r>
        <w:rPr>
          <w:rFonts w:hint="eastAsia" w:ascii="宋体" w:hAnsi="宋体" w:cs="宋体"/>
          <w:kern w:val="0"/>
          <w:sz w:val="22"/>
          <w:szCs w:val="22"/>
          <w:highlight w:val="none"/>
          <w:lang w:eastAsia="zh-CN"/>
        </w:rPr>
        <w:t>成交</w:t>
      </w:r>
      <w:r>
        <w:rPr>
          <w:rFonts w:hint="eastAsia" w:ascii="宋体" w:hAnsi="宋体" w:eastAsia="宋体" w:cs="宋体"/>
          <w:kern w:val="0"/>
          <w:sz w:val="22"/>
          <w:szCs w:val="22"/>
          <w:highlight w:val="none"/>
        </w:rPr>
        <w:t>供应商就本项目要求提供的相关证明资料（原件）进行审查。供应商提供虚假资料被查实的，则可能面临被取消本项目</w:t>
      </w:r>
      <w:r>
        <w:rPr>
          <w:rFonts w:hint="eastAsia" w:ascii="宋体" w:hAnsi="宋体" w:cs="宋体"/>
          <w:kern w:val="0"/>
          <w:sz w:val="22"/>
          <w:szCs w:val="22"/>
          <w:highlight w:val="none"/>
          <w:lang w:eastAsia="zh-CN"/>
        </w:rPr>
        <w:t>成交</w:t>
      </w:r>
      <w:r>
        <w:rPr>
          <w:rFonts w:hint="eastAsia" w:ascii="宋体" w:hAnsi="宋体" w:eastAsia="宋体" w:cs="宋体"/>
          <w:kern w:val="0"/>
          <w:sz w:val="22"/>
          <w:szCs w:val="22"/>
          <w:highlight w:val="none"/>
        </w:rPr>
        <w:t xml:space="preserve">资格、列入不良行为记录名单和三年内禁止参与深圳市政府采购活动的风险。 </w:t>
      </w:r>
    </w:p>
    <w:p w14:paraId="54F33684">
      <w:pPr>
        <w:pageBreakBefore w:val="0"/>
        <w:widowControl/>
        <w:kinsoku/>
        <w:wordWrap/>
        <w:overflowPunct/>
        <w:topLinePunct w:val="0"/>
        <w:autoSpaceDE/>
        <w:autoSpaceDN/>
        <w:bidi w:val="0"/>
        <w:adjustRightInd/>
        <w:snapToGrid/>
        <w:spacing w:line="400" w:lineRule="exact"/>
        <w:ind w:firstLine="440" w:firstLineChars="200"/>
        <w:jc w:val="left"/>
        <w:rPr>
          <w:rFonts w:hint="eastAsia" w:ascii="宋体" w:hAnsi="宋体" w:eastAsia="宋体" w:cs="宋体"/>
          <w:kern w:val="0"/>
          <w:sz w:val="22"/>
          <w:szCs w:val="22"/>
          <w:highlight w:val="none"/>
        </w:rPr>
      </w:pPr>
      <w:r>
        <w:rPr>
          <w:rFonts w:hint="eastAsia" w:ascii="宋体" w:hAnsi="宋体" w:eastAsia="宋体" w:cs="宋体"/>
          <w:kern w:val="0"/>
          <w:sz w:val="22"/>
          <w:szCs w:val="22"/>
          <w:highlight w:val="none"/>
        </w:rPr>
        <w:t>8.本</w:t>
      </w:r>
      <w:r>
        <w:rPr>
          <w:rFonts w:hint="eastAsia" w:ascii="宋体" w:hAnsi="宋体" w:cs="宋体"/>
          <w:kern w:val="0"/>
          <w:sz w:val="22"/>
          <w:szCs w:val="22"/>
          <w:highlight w:val="none"/>
          <w:lang w:eastAsia="zh-CN"/>
        </w:rPr>
        <w:t>谈判</w:t>
      </w:r>
      <w:r>
        <w:rPr>
          <w:rFonts w:hint="eastAsia" w:ascii="宋体" w:hAnsi="宋体" w:eastAsia="宋体" w:cs="宋体"/>
          <w:kern w:val="0"/>
          <w:sz w:val="22"/>
          <w:szCs w:val="22"/>
          <w:highlight w:val="none"/>
        </w:rPr>
        <w:t>公告及本项目谈判文件所涉及的时间一律为北京时间。投标人有义务在</w:t>
      </w:r>
      <w:r>
        <w:rPr>
          <w:rFonts w:hint="eastAsia" w:ascii="宋体" w:hAnsi="宋体" w:cs="宋体"/>
          <w:kern w:val="0"/>
          <w:sz w:val="22"/>
          <w:szCs w:val="22"/>
          <w:highlight w:val="none"/>
          <w:lang w:eastAsia="zh-CN"/>
        </w:rPr>
        <w:t>谈判</w:t>
      </w:r>
      <w:r>
        <w:rPr>
          <w:rFonts w:hint="eastAsia" w:ascii="宋体" w:hAnsi="宋体" w:eastAsia="宋体" w:cs="宋体"/>
          <w:kern w:val="0"/>
          <w:sz w:val="22"/>
          <w:szCs w:val="22"/>
          <w:highlight w:val="none"/>
        </w:rPr>
        <w:t>活动期间浏览</w:t>
      </w:r>
      <w:r>
        <w:rPr>
          <w:rFonts w:hint="eastAsia" w:ascii="宋体" w:hAnsi="宋体" w:eastAsia="宋体" w:cs="宋体"/>
          <w:color w:val="000000"/>
          <w:sz w:val="22"/>
          <w:szCs w:val="22"/>
          <w:highlight w:val="none"/>
        </w:rPr>
        <w:t>深圳公共资源交易网站（http://www.szggzy.com）</w:t>
      </w:r>
      <w:r>
        <w:rPr>
          <w:rFonts w:hint="eastAsia" w:ascii="宋体" w:hAnsi="宋体" w:eastAsia="宋体" w:cs="宋体"/>
          <w:kern w:val="0"/>
          <w:sz w:val="22"/>
          <w:szCs w:val="22"/>
          <w:highlight w:val="none"/>
        </w:rPr>
        <w:t>，在</w:t>
      </w:r>
      <w:r>
        <w:rPr>
          <w:rFonts w:hint="eastAsia" w:ascii="宋体" w:hAnsi="宋体" w:eastAsia="宋体" w:cs="宋体"/>
          <w:color w:val="000000"/>
          <w:sz w:val="22"/>
          <w:szCs w:val="22"/>
          <w:highlight w:val="none"/>
        </w:rPr>
        <w:t>深圳公共资源交易网站（http://www.szggzy.com）</w:t>
      </w:r>
      <w:r>
        <w:rPr>
          <w:rFonts w:hint="eastAsia" w:ascii="宋体" w:hAnsi="宋体" w:eastAsia="宋体" w:cs="宋体"/>
          <w:kern w:val="0"/>
          <w:sz w:val="22"/>
          <w:szCs w:val="22"/>
          <w:highlight w:val="none"/>
        </w:rPr>
        <w:t>上公布的与本次</w:t>
      </w:r>
      <w:r>
        <w:rPr>
          <w:rFonts w:hint="eastAsia" w:ascii="宋体" w:hAnsi="宋体" w:cs="宋体"/>
          <w:kern w:val="0"/>
          <w:sz w:val="22"/>
          <w:szCs w:val="22"/>
          <w:highlight w:val="none"/>
          <w:lang w:eastAsia="zh-CN"/>
        </w:rPr>
        <w:t>谈判</w:t>
      </w:r>
      <w:r>
        <w:rPr>
          <w:rFonts w:hint="eastAsia" w:ascii="宋体" w:hAnsi="宋体" w:eastAsia="宋体" w:cs="宋体"/>
          <w:kern w:val="0"/>
          <w:sz w:val="22"/>
          <w:szCs w:val="22"/>
          <w:highlight w:val="none"/>
        </w:rPr>
        <w:t xml:space="preserve">项目有关的信息视为已送达各投标人。 </w:t>
      </w:r>
    </w:p>
    <w:p w14:paraId="19034A90">
      <w:pPr>
        <w:pageBreakBefore w:val="0"/>
        <w:kinsoku/>
        <w:wordWrap/>
        <w:overflowPunct/>
        <w:topLinePunct w:val="0"/>
        <w:autoSpaceDE/>
        <w:autoSpaceDN/>
        <w:bidi w:val="0"/>
        <w:adjustRightInd/>
        <w:snapToGrid/>
        <w:spacing w:line="400" w:lineRule="exact"/>
        <w:ind w:firstLine="440" w:firstLineChars="200"/>
        <w:jc w:val="left"/>
        <w:rPr>
          <w:rFonts w:hint="eastAsia" w:ascii="宋体" w:hAnsi="宋体" w:eastAsia="宋体" w:cs="宋体"/>
          <w:kern w:val="0"/>
          <w:sz w:val="22"/>
          <w:szCs w:val="22"/>
          <w:highlight w:val="none"/>
        </w:rPr>
      </w:pPr>
      <w:r>
        <w:rPr>
          <w:rFonts w:hint="eastAsia" w:ascii="宋体" w:hAnsi="宋体" w:eastAsia="宋体" w:cs="宋体"/>
          <w:kern w:val="0"/>
          <w:sz w:val="22"/>
          <w:szCs w:val="22"/>
          <w:highlight w:val="none"/>
        </w:rPr>
        <w:t>9.本项目不需要投标保证金。</w:t>
      </w:r>
    </w:p>
    <w:p w14:paraId="1958653D">
      <w:pPr>
        <w:pageBreakBefore w:val="0"/>
        <w:kinsoku/>
        <w:wordWrap/>
        <w:overflowPunct/>
        <w:topLinePunct w:val="0"/>
        <w:autoSpaceDE/>
        <w:autoSpaceDN/>
        <w:bidi w:val="0"/>
        <w:adjustRightInd/>
        <w:snapToGrid/>
        <w:spacing w:line="400" w:lineRule="exact"/>
        <w:ind w:firstLine="442" w:firstLineChars="200"/>
        <w:jc w:val="left"/>
        <w:rPr>
          <w:rFonts w:hint="eastAsia" w:ascii="宋体" w:hAnsi="宋体" w:eastAsia="宋体" w:cs="宋体"/>
          <w:b/>
          <w:bCs/>
          <w:kern w:val="0"/>
          <w:sz w:val="22"/>
          <w:szCs w:val="22"/>
          <w:highlight w:val="none"/>
        </w:rPr>
      </w:pPr>
      <w:r>
        <w:rPr>
          <w:rFonts w:hint="eastAsia" w:ascii="宋体" w:hAnsi="宋体" w:eastAsia="宋体" w:cs="宋体"/>
          <w:b/>
          <w:bCs/>
          <w:kern w:val="0"/>
          <w:sz w:val="22"/>
          <w:szCs w:val="22"/>
          <w:highlight w:val="none"/>
        </w:rPr>
        <w:t>七、凡对本次采购提出询问，请按以下方式联系</w:t>
      </w:r>
      <w:bookmarkEnd w:id="20"/>
      <w:bookmarkEnd w:id="21"/>
      <w:bookmarkEnd w:id="22"/>
      <w:bookmarkEnd w:id="23"/>
    </w:p>
    <w:p w14:paraId="7E35E16D">
      <w:pPr>
        <w:pageBreakBefore w:val="0"/>
        <w:kinsoku/>
        <w:wordWrap/>
        <w:overflowPunct/>
        <w:topLinePunct w:val="0"/>
        <w:autoSpaceDE/>
        <w:autoSpaceDN/>
        <w:bidi w:val="0"/>
        <w:adjustRightInd/>
        <w:snapToGrid/>
        <w:spacing w:line="400" w:lineRule="exact"/>
        <w:ind w:firstLine="440" w:firstLineChars="200"/>
        <w:jc w:val="left"/>
        <w:rPr>
          <w:rFonts w:hint="eastAsia" w:ascii="宋体" w:hAnsi="宋体" w:cs="宋体"/>
          <w:kern w:val="0"/>
          <w:sz w:val="22"/>
          <w:szCs w:val="22"/>
          <w:highlight w:val="none"/>
          <w:lang w:val="en-US" w:eastAsia="zh-CN"/>
        </w:rPr>
      </w:pPr>
      <w:bookmarkStart w:id="24" w:name="_Toc35393639"/>
      <w:bookmarkStart w:id="25" w:name="_Toc28359021"/>
      <w:bookmarkStart w:id="26" w:name="_Toc35393808"/>
      <w:bookmarkStart w:id="27" w:name="_Toc28359098"/>
      <w:r>
        <w:rPr>
          <w:rFonts w:hint="eastAsia" w:ascii="宋体" w:hAnsi="宋体" w:cs="宋体"/>
          <w:kern w:val="0"/>
          <w:sz w:val="22"/>
          <w:szCs w:val="22"/>
          <w:highlight w:val="none"/>
          <w:lang w:val="en-US" w:eastAsia="zh-CN"/>
        </w:rPr>
        <w:t>1.采购人信息</w:t>
      </w:r>
    </w:p>
    <w:p w14:paraId="7E713137">
      <w:pPr>
        <w:pageBreakBefore w:val="0"/>
        <w:kinsoku/>
        <w:wordWrap/>
        <w:overflowPunct/>
        <w:topLinePunct w:val="0"/>
        <w:autoSpaceDE/>
        <w:autoSpaceDN/>
        <w:bidi w:val="0"/>
        <w:adjustRightInd/>
        <w:snapToGrid/>
        <w:spacing w:line="400" w:lineRule="exact"/>
        <w:ind w:firstLine="440" w:firstLineChars="200"/>
        <w:jc w:val="left"/>
        <w:rPr>
          <w:rFonts w:hint="eastAsia" w:ascii="宋体" w:hAnsi="宋体" w:cs="宋体"/>
          <w:kern w:val="0"/>
          <w:sz w:val="22"/>
          <w:szCs w:val="22"/>
          <w:highlight w:val="none"/>
          <w:lang w:val="en-US" w:eastAsia="zh-CN"/>
        </w:rPr>
      </w:pPr>
      <w:r>
        <w:rPr>
          <w:rFonts w:hint="eastAsia" w:ascii="宋体" w:hAnsi="宋体" w:cs="宋体"/>
          <w:kern w:val="0"/>
          <w:sz w:val="22"/>
          <w:szCs w:val="22"/>
          <w:highlight w:val="none"/>
          <w:lang w:val="en-US" w:eastAsia="zh-CN"/>
        </w:rPr>
        <w:t>名　称：深圳市文化广电旅游体育局</w:t>
      </w:r>
    </w:p>
    <w:p w14:paraId="23FA9914">
      <w:pPr>
        <w:pageBreakBefore w:val="0"/>
        <w:kinsoku/>
        <w:wordWrap/>
        <w:overflowPunct/>
        <w:topLinePunct w:val="0"/>
        <w:autoSpaceDE/>
        <w:autoSpaceDN/>
        <w:bidi w:val="0"/>
        <w:adjustRightInd/>
        <w:snapToGrid/>
        <w:spacing w:line="400" w:lineRule="exact"/>
        <w:ind w:firstLine="440" w:firstLineChars="200"/>
        <w:jc w:val="left"/>
        <w:rPr>
          <w:rFonts w:hint="eastAsia" w:ascii="宋体" w:hAnsi="宋体" w:cs="宋体"/>
          <w:kern w:val="0"/>
          <w:sz w:val="22"/>
          <w:szCs w:val="22"/>
          <w:highlight w:val="none"/>
          <w:lang w:val="en-US" w:eastAsia="zh-CN"/>
        </w:rPr>
      </w:pPr>
      <w:r>
        <w:rPr>
          <w:rFonts w:hint="eastAsia" w:ascii="宋体" w:hAnsi="宋体" w:cs="宋体"/>
          <w:kern w:val="0"/>
          <w:sz w:val="22"/>
          <w:szCs w:val="22"/>
          <w:highlight w:val="none"/>
          <w:lang w:val="en-US" w:eastAsia="zh-CN"/>
        </w:rPr>
        <w:t>地　址：深圳市福田区市民中心C区</w:t>
      </w:r>
    </w:p>
    <w:p w14:paraId="2E486E75">
      <w:pPr>
        <w:pageBreakBefore w:val="0"/>
        <w:kinsoku/>
        <w:wordWrap/>
        <w:overflowPunct/>
        <w:topLinePunct w:val="0"/>
        <w:autoSpaceDE/>
        <w:autoSpaceDN/>
        <w:bidi w:val="0"/>
        <w:adjustRightInd/>
        <w:snapToGrid/>
        <w:spacing w:line="400" w:lineRule="exact"/>
        <w:ind w:firstLine="440" w:firstLineChars="200"/>
        <w:jc w:val="left"/>
        <w:rPr>
          <w:rFonts w:hint="default" w:ascii="宋体" w:hAnsi="宋体" w:cs="宋体"/>
          <w:kern w:val="0"/>
          <w:sz w:val="22"/>
          <w:szCs w:val="22"/>
          <w:highlight w:val="yellow"/>
          <w:lang w:val="en-US" w:eastAsia="zh-CN"/>
        </w:rPr>
      </w:pPr>
      <w:r>
        <w:rPr>
          <w:rFonts w:hint="eastAsia" w:ascii="宋体" w:hAnsi="宋体" w:cs="宋体"/>
          <w:kern w:val="0"/>
          <w:sz w:val="22"/>
          <w:szCs w:val="22"/>
          <w:highlight w:val="none"/>
          <w:lang w:val="en-US" w:eastAsia="zh-CN"/>
        </w:rPr>
        <w:t>联系方式：潘小姐，0755-88102726</w:t>
      </w:r>
    </w:p>
    <w:p w14:paraId="745AECC1">
      <w:pPr>
        <w:pageBreakBefore w:val="0"/>
        <w:kinsoku/>
        <w:wordWrap/>
        <w:overflowPunct/>
        <w:topLinePunct w:val="0"/>
        <w:autoSpaceDE/>
        <w:autoSpaceDN/>
        <w:bidi w:val="0"/>
        <w:adjustRightInd/>
        <w:snapToGrid/>
        <w:spacing w:line="400" w:lineRule="exact"/>
        <w:ind w:firstLine="440" w:firstLineChars="200"/>
        <w:jc w:val="left"/>
        <w:rPr>
          <w:rFonts w:hint="eastAsia" w:ascii="宋体" w:hAnsi="宋体" w:cs="宋体"/>
          <w:kern w:val="0"/>
          <w:sz w:val="22"/>
          <w:szCs w:val="22"/>
          <w:highlight w:val="none"/>
          <w:lang w:val="en-US" w:eastAsia="zh-CN"/>
        </w:rPr>
      </w:pPr>
      <w:r>
        <w:rPr>
          <w:rFonts w:hint="eastAsia" w:ascii="宋体" w:hAnsi="宋体" w:cs="宋体"/>
          <w:kern w:val="0"/>
          <w:sz w:val="22"/>
          <w:szCs w:val="22"/>
          <w:highlight w:val="none"/>
          <w:lang w:val="en-US" w:eastAsia="zh-CN"/>
        </w:rPr>
        <w:t>2.采购代理机构信息</w:t>
      </w:r>
    </w:p>
    <w:p w14:paraId="4E1CDE2A">
      <w:pPr>
        <w:pageBreakBefore w:val="0"/>
        <w:kinsoku/>
        <w:wordWrap/>
        <w:overflowPunct/>
        <w:topLinePunct w:val="0"/>
        <w:autoSpaceDE/>
        <w:autoSpaceDN/>
        <w:bidi w:val="0"/>
        <w:adjustRightInd/>
        <w:snapToGrid/>
        <w:spacing w:line="400" w:lineRule="exact"/>
        <w:ind w:firstLine="440" w:firstLineChars="200"/>
        <w:jc w:val="left"/>
        <w:rPr>
          <w:rFonts w:hint="eastAsia" w:ascii="宋体" w:hAnsi="宋体" w:cs="宋体"/>
          <w:kern w:val="0"/>
          <w:sz w:val="22"/>
          <w:szCs w:val="22"/>
          <w:highlight w:val="none"/>
          <w:lang w:val="en-US" w:eastAsia="zh-CN"/>
        </w:rPr>
      </w:pPr>
      <w:r>
        <w:rPr>
          <w:rFonts w:hint="eastAsia" w:ascii="宋体" w:hAnsi="宋体" w:cs="宋体"/>
          <w:kern w:val="0"/>
          <w:sz w:val="22"/>
          <w:szCs w:val="22"/>
          <w:highlight w:val="none"/>
          <w:lang w:val="en-US" w:eastAsia="zh-CN"/>
        </w:rPr>
        <w:t>名　称：深圳市东海国际招标有限公司</w:t>
      </w:r>
    </w:p>
    <w:p w14:paraId="1A18B915">
      <w:pPr>
        <w:pageBreakBefore w:val="0"/>
        <w:kinsoku/>
        <w:wordWrap/>
        <w:overflowPunct/>
        <w:topLinePunct w:val="0"/>
        <w:autoSpaceDE/>
        <w:autoSpaceDN/>
        <w:bidi w:val="0"/>
        <w:adjustRightInd/>
        <w:snapToGrid/>
        <w:spacing w:line="400" w:lineRule="exact"/>
        <w:ind w:firstLine="440" w:firstLineChars="200"/>
        <w:jc w:val="left"/>
        <w:rPr>
          <w:rFonts w:hint="eastAsia" w:ascii="宋体" w:hAnsi="宋体" w:cs="宋体"/>
          <w:kern w:val="0"/>
          <w:sz w:val="22"/>
          <w:szCs w:val="22"/>
          <w:highlight w:val="none"/>
          <w:lang w:val="en-US" w:eastAsia="zh-CN"/>
        </w:rPr>
      </w:pPr>
      <w:r>
        <w:rPr>
          <w:rFonts w:hint="eastAsia" w:ascii="宋体" w:hAnsi="宋体" w:cs="宋体"/>
          <w:kern w:val="0"/>
          <w:sz w:val="22"/>
          <w:szCs w:val="22"/>
          <w:highlight w:val="none"/>
          <w:lang w:val="en-US" w:eastAsia="zh-CN"/>
        </w:rPr>
        <w:t>地　址：深圳市罗湖区太宁路2号百仕达大厦27B</w:t>
      </w:r>
    </w:p>
    <w:p w14:paraId="06B066AB">
      <w:pPr>
        <w:pageBreakBefore w:val="0"/>
        <w:kinsoku/>
        <w:wordWrap/>
        <w:overflowPunct/>
        <w:topLinePunct w:val="0"/>
        <w:autoSpaceDE/>
        <w:autoSpaceDN/>
        <w:bidi w:val="0"/>
        <w:adjustRightInd/>
        <w:snapToGrid/>
        <w:spacing w:line="400" w:lineRule="exact"/>
        <w:ind w:firstLine="440" w:firstLineChars="200"/>
        <w:jc w:val="left"/>
        <w:rPr>
          <w:rFonts w:hint="eastAsia" w:ascii="宋体" w:hAnsi="宋体" w:cs="宋体"/>
          <w:kern w:val="0"/>
          <w:sz w:val="22"/>
          <w:szCs w:val="22"/>
          <w:highlight w:val="none"/>
          <w:lang w:val="en-US" w:eastAsia="zh-CN"/>
        </w:rPr>
      </w:pPr>
      <w:r>
        <w:rPr>
          <w:rFonts w:hint="eastAsia" w:ascii="宋体" w:hAnsi="宋体" w:cs="宋体"/>
          <w:kern w:val="0"/>
          <w:sz w:val="22"/>
          <w:szCs w:val="22"/>
          <w:highlight w:val="none"/>
          <w:lang w:val="en-US" w:eastAsia="zh-CN"/>
        </w:rPr>
        <w:t>联系方式：0755-86959378</w:t>
      </w:r>
    </w:p>
    <w:p w14:paraId="3A10DD4B">
      <w:pPr>
        <w:pageBreakBefore w:val="0"/>
        <w:kinsoku/>
        <w:wordWrap/>
        <w:overflowPunct/>
        <w:topLinePunct w:val="0"/>
        <w:autoSpaceDE/>
        <w:autoSpaceDN/>
        <w:bidi w:val="0"/>
        <w:adjustRightInd/>
        <w:snapToGrid/>
        <w:spacing w:line="400" w:lineRule="exact"/>
        <w:ind w:firstLine="440" w:firstLineChars="200"/>
        <w:jc w:val="left"/>
        <w:rPr>
          <w:rFonts w:hint="eastAsia" w:ascii="宋体" w:hAnsi="宋体" w:cs="宋体"/>
          <w:kern w:val="0"/>
          <w:sz w:val="22"/>
          <w:szCs w:val="22"/>
          <w:highlight w:val="none"/>
          <w:lang w:val="en-US" w:eastAsia="zh-CN"/>
        </w:rPr>
      </w:pPr>
      <w:r>
        <w:rPr>
          <w:rFonts w:hint="eastAsia" w:ascii="宋体" w:hAnsi="宋体" w:cs="宋体"/>
          <w:kern w:val="0"/>
          <w:sz w:val="22"/>
          <w:szCs w:val="22"/>
          <w:highlight w:val="none"/>
          <w:lang w:val="en-US" w:eastAsia="zh-CN"/>
        </w:rPr>
        <w:t>3.项目联系方式</w:t>
      </w:r>
    </w:p>
    <w:p w14:paraId="0F938E76">
      <w:pPr>
        <w:pageBreakBefore w:val="0"/>
        <w:kinsoku/>
        <w:wordWrap/>
        <w:overflowPunct/>
        <w:topLinePunct w:val="0"/>
        <w:autoSpaceDE/>
        <w:autoSpaceDN/>
        <w:bidi w:val="0"/>
        <w:adjustRightInd/>
        <w:snapToGrid/>
        <w:spacing w:line="400" w:lineRule="exact"/>
        <w:ind w:firstLine="440" w:firstLineChars="200"/>
        <w:jc w:val="left"/>
        <w:rPr>
          <w:rFonts w:hint="eastAsia" w:ascii="宋体" w:hAnsi="宋体" w:cs="宋体"/>
          <w:kern w:val="0"/>
          <w:sz w:val="22"/>
          <w:szCs w:val="22"/>
          <w:highlight w:val="none"/>
          <w:lang w:val="en-US" w:eastAsia="zh-CN"/>
        </w:rPr>
      </w:pPr>
      <w:r>
        <w:rPr>
          <w:rFonts w:hint="eastAsia" w:ascii="宋体" w:hAnsi="宋体" w:cs="宋体"/>
          <w:kern w:val="0"/>
          <w:sz w:val="22"/>
          <w:szCs w:val="22"/>
          <w:highlight w:val="none"/>
          <w:lang w:val="en-US" w:eastAsia="zh-CN"/>
        </w:rPr>
        <w:t>项目联系人：钟工/段工</w:t>
      </w:r>
    </w:p>
    <w:p w14:paraId="3C324B64">
      <w:pPr>
        <w:pageBreakBefore w:val="0"/>
        <w:kinsoku/>
        <w:wordWrap/>
        <w:overflowPunct/>
        <w:topLinePunct w:val="0"/>
        <w:autoSpaceDE/>
        <w:autoSpaceDN/>
        <w:bidi w:val="0"/>
        <w:adjustRightInd/>
        <w:snapToGrid/>
        <w:spacing w:line="400" w:lineRule="exact"/>
        <w:ind w:firstLine="440" w:firstLineChars="200"/>
        <w:jc w:val="left"/>
        <w:rPr>
          <w:rFonts w:hint="eastAsia" w:ascii="宋体" w:hAnsi="宋体" w:cs="宋体"/>
          <w:kern w:val="0"/>
          <w:sz w:val="22"/>
          <w:szCs w:val="22"/>
          <w:highlight w:val="none"/>
          <w:lang w:val="en-US" w:eastAsia="zh-CN"/>
        </w:rPr>
      </w:pPr>
      <w:r>
        <w:rPr>
          <w:rFonts w:hint="eastAsia" w:ascii="宋体" w:hAnsi="宋体" w:cs="宋体"/>
          <w:kern w:val="0"/>
          <w:sz w:val="22"/>
          <w:szCs w:val="22"/>
          <w:highlight w:val="none"/>
          <w:lang w:val="en-US" w:eastAsia="zh-CN"/>
        </w:rPr>
        <w:t>电　话：0755-86959378或86959778转8010/8015</w:t>
      </w:r>
    </w:p>
    <w:p w14:paraId="1B1A54A5">
      <w:pPr>
        <w:pageBreakBefore w:val="0"/>
        <w:kinsoku/>
        <w:wordWrap/>
        <w:overflowPunct/>
        <w:topLinePunct w:val="0"/>
        <w:autoSpaceDE/>
        <w:autoSpaceDN/>
        <w:bidi w:val="0"/>
        <w:adjustRightInd/>
        <w:snapToGrid/>
        <w:spacing w:line="400" w:lineRule="exact"/>
        <w:ind w:firstLine="440" w:firstLineChars="200"/>
        <w:jc w:val="left"/>
        <w:rPr>
          <w:rFonts w:hint="eastAsia" w:ascii="宋体" w:hAnsi="宋体" w:cs="宋体"/>
          <w:kern w:val="0"/>
          <w:sz w:val="22"/>
          <w:szCs w:val="22"/>
          <w:highlight w:val="none"/>
          <w:lang w:val="en-US" w:eastAsia="zh-CN"/>
        </w:rPr>
      </w:pPr>
      <w:r>
        <w:rPr>
          <w:rFonts w:hint="eastAsia" w:ascii="宋体" w:hAnsi="宋体" w:cs="宋体"/>
          <w:kern w:val="0"/>
          <w:sz w:val="22"/>
          <w:szCs w:val="22"/>
          <w:highlight w:val="none"/>
          <w:lang w:val="en-US" w:eastAsia="zh-CN"/>
        </w:rPr>
        <w:t>4.监督电话：刘先生，13823779877</w:t>
      </w:r>
    </w:p>
    <w:p w14:paraId="0F3B3A2E">
      <w:pPr>
        <w:pageBreakBefore w:val="0"/>
        <w:kinsoku/>
        <w:wordWrap/>
        <w:overflowPunct/>
        <w:topLinePunct w:val="0"/>
        <w:autoSpaceDE/>
        <w:autoSpaceDN/>
        <w:bidi w:val="0"/>
        <w:adjustRightInd/>
        <w:snapToGrid/>
        <w:spacing w:line="400" w:lineRule="exact"/>
        <w:ind w:firstLine="440" w:firstLineChars="200"/>
        <w:jc w:val="left"/>
        <w:rPr>
          <w:rFonts w:hint="default" w:ascii="宋体" w:hAnsi="宋体" w:eastAsia="宋体" w:cs="宋体"/>
          <w:kern w:val="0"/>
          <w:sz w:val="22"/>
          <w:szCs w:val="22"/>
          <w:highlight w:val="none"/>
          <w:lang w:val="en-US" w:eastAsia="zh-CN"/>
        </w:rPr>
      </w:pPr>
    </w:p>
    <w:bookmarkEnd w:id="24"/>
    <w:bookmarkEnd w:id="25"/>
    <w:bookmarkEnd w:id="26"/>
    <w:bookmarkEnd w:id="27"/>
    <w:p w14:paraId="595385E5">
      <w:pPr>
        <w:pageBreakBefore w:val="0"/>
        <w:kinsoku/>
        <w:wordWrap/>
        <w:overflowPunct/>
        <w:topLinePunct w:val="0"/>
        <w:autoSpaceDE/>
        <w:autoSpaceDN/>
        <w:bidi w:val="0"/>
        <w:adjustRightInd/>
        <w:snapToGrid/>
        <w:spacing w:line="400" w:lineRule="exact"/>
        <w:ind w:firstLine="440" w:firstLineChars="200"/>
        <w:jc w:val="left"/>
        <w:rPr>
          <w:rFonts w:hint="eastAsia" w:ascii="宋体" w:hAnsi="宋体" w:eastAsia="宋体" w:cs="宋体"/>
          <w:kern w:val="0"/>
          <w:sz w:val="22"/>
          <w:szCs w:val="22"/>
          <w:highlight w:val="none"/>
        </w:rPr>
      </w:pPr>
      <w:r>
        <w:rPr>
          <w:rFonts w:hint="eastAsia" w:ascii="宋体" w:hAnsi="宋体" w:eastAsia="宋体" w:cs="宋体"/>
          <w:kern w:val="0"/>
          <w:sz w:val="22"/>
          <w:szCs w:val="22"/>
          <w:highlight w:val="none"/>
        </w:rPr>
        <w:t xml:space="preserve">                                             深圳市东海国际招标有限公司</w:t>
      </w:r>
    </w:p>
    <w:p w14:paraId="312BD31C">
      <w:pPr>
        <w:pageBreakBefore w:val="0"/>
        <w:kinsoku/>
        <w:wordWrap/>
        <w:overflowPunct/>
        <w:topLinePunct w:val="0"/>
        <w:autoSpaceDE/>
        <w:autoSpaceDN/>
        <w:bidi w:val="0"/>
        <w:adjustRightInd/>
        <w:snapToGrid/>
        <w:spacing w:line="400" w:lineRule="exact"/>
        <w:ind w:firstLine="440" w:firstLineChars="200"/>
        <w:jc w:val="left"/>
        <w:rPr>
          <w:rFonts w:hint="eastAsia" w:ascii="宋体" w:hAnsi="宋体" w:eastAsia="宋体" w:cs="宋体"/>
          <w:kern w:val="0"/>
          <w:sz w:val="22"/>
          <w:szCs w:val="22"/>
          <w:highlight w:val="none"/>
        </w:rPr>
      </w:pPr>
      <w:r>
        <w:rPr>
          <w:rFonts w:hint="eastAsia" w:ascii="宋体" w:hAnsi="宋体" w:eastAsia="宋体" w:cs="宋体"/>
          <w:kern w:val="0"/>
          <w:sz w:val="22"/>
          <w:szCs w:val="22"/>
          <w:highlight w:val="none"/>
        </w:rPr>
        <w:t xml:space="preserve">                                                      </w:t>
      </w:r>
      <w:r>
        <w:rPr>
          <w:rFonts w:hint="eastAsia" w:ascii="宋体" w:hAnsi="宋体" w:eastAsia="宋体" w:cs="宋体"/>
          <w:color w:val="FF0000"/>
          <w:kern w:val="0"/>
          <w:sz w:val="22"/>
          <w:szCs w:val="22"/>
          <w:highlight w:val="none"/>
        </w:rPr>
        <w:t xml:space="preserve"> 202</w:t>
      </w:r>
      <w:r>
        <w:rPr>
          <w:rFonts w:hint="eastAsia" w:ascii="宋体" w:hAnsi="宋体" w:cs="宋体"/>
          <w:color w:val="FF0000"/>
          <w:kern w:val="0"/>
          <w:sz w:val="22"/>
          <w:szCs w:val="22"/>
          <w:highlight w:val="none"/>
          <w:lang w:val="en-US" w:eastAsia="zh-CN"/>
        </w:rPr>
        <w:t>5</w:t>
      </w:r>
      <w:r>
        <w:rPr>
          <w:rFonts w:hint="eastAsia" w:ascii="宋体" w:hAnsi="宋体" w:eastAsia="宋体" w:cs="宋体"/>
          <w:color w:val="FF0000"/>
          <w:kern w:val="0"/>
          <w:sz w:val="22"/>
          <w:szCs w:val="22"/>
          <w:highlight w:val="none"/>
        </w:rPr>
        <w:t>年</w:t>
      </w:r>
      <w:r>
        <w:rPr>
          <w:rFonts w:hint="eastAsia" w:ascii="宋体" w:hAnsi="宋体" w:cs="宋体"/>
          <w:color w:val="FF0000"/>
          <w:kern w:val="0"/>
          <w:sz w:val="22"/>
          <w:szCs w:val="22"/>
          <w:highlight w:val="none"/>
          <w:lang w:val="en-US" w:eastAsia="zh-CN"/>
        </w:rPr>
        <w:t xml:space="preserve">  </w:t>
      </w:r>
      <w:r>
        <w:rPr>
          <w:rFonts w:hint="eastAsia" w:ascii="宋体" w:hAnsi="宋体" w:eastAsia="宋体" w:cs="宋体"/>
          <w:color w:val="FF0000"/>
          <w:kern w:val="0"/>
          <w:sz w:val="22"/>
          <w:szCs w:val="22"/>
          <w:highlight w:val="none"/>
        </w:rPr>
        <w:t>月</w:t>
      </w:r>
      <w:r>
        <w:rPr>
          <w:rFonts w:hint="eastAsia" w:ascii="宋体" w:hAnsi="宋体" w:cs="宋体"/>
          <w:color w:val="FF0000"/>
          <w:kern w:val="0"/>
          <w:sz w:val="22"/>
          <w:szCs w:val="22"/>
          <w:highlight w:val="none"/>
          <w:lang w:val="en-US" w:eastAsia="zh-CN"/>
        </w:rPr>
        <w:t xml:space="preserve">  </w:t>
      </w:r>
      <w:r>
        <w:rPr>
          <w:rFonts w:hint="eastAsia" w:ascii="宋体" w:hAnsi="宋体" w:eastAsia="宋体" w:cs="宋体"/>
          <w:color w:val="FF0000"/>
          <w:kern w:val="0"/>
          <w:sz w:val="22"/>
          <w:szCs w:val="22"/>
          <w:highlight w:val="none"/>
        </w:rPr>
        <w:t>日</w:t>
      </w:r>
    </w:p>
    <w:p w14:paraId="532A90C1">
      <w:pPr>
        <w:spacing w:line="360" w:lineRule="auto"/>
        <w:jc w:val="center"/>
        <w:rPr>
          <w:b/>
          <w:bCs/>
          <w:color w:val="FF0000"/>
        </w:rPr>
      </w:pPr>
    </w:p>
    <w:p w14:paraId="50D31DC7">
      <w:pPr>
        <w:spacing w:line="360" w:lineRule="auto"/>
        <w:jc w:val="center"/>
        <w:rPr>
          <w:rFonts w:ascii="宋体" w:cs="宋体"/>
          <w:b/>
          <w:bCs/>
          <w:kern w:val="0"/>
          <w:sz w:val="28"/>
          <w:szCs w:val="28"/>
        </w:rPr>
      </w:pPr>
      <w:r>
        <w:rPr>
          <w:b/>
          <w:bCs/>
          <w:color w:val="FF0000"/>
          <w:sz w:val="28"/>
          <w:szCs w:val="36"/>
        </w:rPr>
        <w:t>*</w:t>
      </w:r>
      <w:r>
        <w:rPr>
          <w:rFonts w:hint="eastAsia"/>
          <w:b/>
          <w:bCs/>
          <w:color w:val="FF0000"/>
          <w:sz w:val="28"/>
          <w:szCs w:val="36"/>
        </w:rPr>
        <w:t>备注：各项时间节点以“深圳公共资源交易网（</w:t>
      </w:r>
      <w:r>
        <w:rPr>
          <w:b/>
          <w:bCs/>
          <w:color w:val="FF0000"/>
          <w:sz w:val="28"/>
          <w:szCs w:val="36"/>
        </w:rPr>
        <w:t>https://www.szggzy.com</w:t>
      </w:r>
      <w:r>
        <w:rPr>
          <w:rFonts w:hint="eastAsia"/>
          <w:b/>
          <w:bCs/>
          <w:color w:val="FF0000"/>
          <w:sz w:val="28"/>
          <w:szCs w:val="36"/>
        </w:rPr>
        <w:t>）”</w:t>
      </w:r>
      <w:r>
        <w:rPr>
          <w:b/>
          <w:bCs/>
          <w:color w:val="FF0000"/>
          <w:sz w:val="28"/>
          <w:szCs w:val="36"/>
        </w:rPr>
        <w:t xml:space="preserve"> </w:t>
      </w:r>
      <w:r>
        <w:rPr>
          <w:rFonts w:hint="eastAsia"/>
          <w:b/>
          <w:bCs/>
          <w:color w:val="FF0000"/>
          <w:sz w:val="28"/>
          <w:szCs w:val="36"/>
        </w:rPr>
        <w:t>招标（采购）公告的公布信息为准。</w:t>
      </w:r>
    </w:p>
    <w:p w14:paraId="49975165">
      <w:pPr>
        <w:spacing w:line="360" w:lineRule="auto"/>
        <w:rPr>
          <w:rFonts w:ascii="宋体" w:cs="宋体"/>
          <w:b/>
          <w:bCs/>
          <w:kern w:val="0"/>
          <w:szCs w:val="21"/>
        </w:rPr>
      </w:pPr>
    </w:p>
    <w:p w14:paraId="78B257D4">
      <w:pPr>
        <w:pStyle w:val="3"/>
        <w:rPr>
          <w:sz w:val="28"/>
          <w:szCs w:val="28"/>
        </w:rPr>
      </w:pPr>
      <w:r>
        <w:rPr>
          <w:rFonts w:hint="eastAsia"/>
          <w:sz w:val="28"/>
          <w:szCs w:val="28"/>
        </w:rPr>
        <w:br w:type="page"/>
      </w:r>
      <w:r>
        <w:rPr>
          <w:rFonts w:hint="eastAsia"/>
          <w:b/>
          <w:bCs/>
          <w:sz w:val="28"/>
          <w:szCs w:val="28"/>
          <w:lang w:eastAsia="zh-CN"/>
        </w:rPr>
        <w:t>第二章</w:t>
      </w:r>
      <w:r>
        <w:rPr>
          <w:rFonts w:hint="eastAsia"/>
          <w:b/>
          <w:bCs/>
          <w:sz w:val="28"/>
          <w:szCs w:val="28"/>
          <w:lang w:val="en-US" w:eastAsia="zh-CN"/>
        </w:rPr>
        <w:t xml:space="preserve"> </w:t>
      </w:r>
      <w:r>
        <w:rPr>
          <w:rFonts w:hint="eastAsia"/>
          <w:b/>
          <w:bCs/>
          <w:sz w:val="28"/>
          <w:szCs w:val="28"/>
        </w:rPr>
        <w:t>对谈判须知条款的补充内容及其他关键信息</w:t>
      </w:r>
    </w:p>
    <w:p w14:paraId="3D385B3E">
      <w:pPr>
        <w:pStyle w:val="3"/>
        <w:snapToGrid w:val="0"/>
        <w:rPr>
          <w:sz w:val="28"/>
          <w:szCs w:val="28"/>
        </w:rPr>
      </w:pPr>
      <w:bookmarkStart w:id="28" w:name="_Toc78703944"/>
      <w:r>
        <w:rPr>
          <w:rFonts w:hint="eastAsia"/>
          <w:sz w:val="28"/>
          <w:szCs w:val="28"/>
          <w:lang w:val="en-US" w:eastAsia="zh-CN"/>
        </w:rPr>
        <w:t>一、</w:t>
      </w:r>
      <w:r>
        <w:rPr>
          <w:rFonts w:hint="eastAsia"/>
          <w:sz w:val="28"/>
          <w:szCs w:val="28"/>
        </w:rPr>
        <w:t>谈判须知前附表</w:t>
      </w:r>
      <w:bookmarkEnd w:id="28"/>
    </w:p>
    <w:tbl>
      <w:tblPr>
        <w:tblStyle w:val="45"/>
        <w:tblW w:w="5427"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79"/>
        <w:gridCol w:w="1367"/>
        <w:gridCol w:w="7211"/>
      </w:tblGrid>
      <w:tr w14:paraId="6C57C7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21" w:hRule="atLeast"/>
          <w:tblHeader/>
          <w:jc w:val="center"/>
        </w:trPr>
        <w:tc>
          <w:tcPr>
            <w:tcW w:w="366" w:type="pct"/>
            <w:tcBorders>
              <w:top w:val="double" w:color="auto" w:sz="4" w:space="0"/>
            </w:tcBorders>
            <w:vAlign w:val="center"/>
          </w:tcPr>
          <w:p w14:paraId="0198801C">
            <w:pPr>
              <w:tabs>
                <w:tab w:val="left" w:pos="915"/>
              </w:tabs>
              <w:jc w:val="center"/>
              <w:rPr>
                <w:rFonts w:hint="eastAsia" w:ascii="宋体" w:hAnsi="宋体" w:eastAsia="宋体" w:cs="宋体"/>
                <w:b/>
                <w:bCs/>
                <w:sz w:val="22"/>
                <w:szCs w:val="22"/>
              </w:rPr>
            </w:pPr>
            <w:r>
              <w:rPr>
                <w:rFonts w:hint="eastAsia" w:ascii="宋体" w:hAnsi="宋体" w:eastAsia="宋体" w:cs="宋体"/>
                <w:b/>
                <w:bCs/>
                <w:sz w:val="22"/>
                <w:szCs w:val="22"/>
              </w:rPr>
              <w:t>项号</w:t>
            </w:r>
          </w:p>
        </w:tc>
        <w:tc>
          <w:tcPr>
            <w:tcW w:w="738" w:type="pct"/>
            <w:tcBorders>
              <w:top w:val="double" w:color="auto" w:sz="4" w:space="0"/>
            </w:tcBorders>
            <w:vAlign w:val="center"/>
          </w:tcPr>
          <w:p w14:paraId="19D65B09">
            <w:pPr>
              <w:tabs>
                <w:tab w:val="left" w:pos="915"/>
              </w:tabs>
              <w:jc w:val="center"/>
              <w:rPr>
                <w:rFonts w:hint="eastAsia" w:ascii="宋体" w:hAnsi="宋体" w:eastAsia="宋体" w:cs="宋体"/>
                <w:b/>
                <w:bCs/>
                <w:sz w:val="22"/>
                <w:szCs w:val="22"/>
              </w:rPr>
            </w:pPr>
            <w:r>
              <w:rPr>
                <w:rFonts w:hint="eastAsia" w:ascii="宋体" w:hAnsi="宋体" w:eastAsia="宋体" w:cs="宋体"/>
                <w:b/>
                <w:bCs/>
                <w:sz w:val="22"/>
                <w:szCs w:val="22"/>
              </w:rPr>
              <w:t>内   容</w:t>
            </w:r>
          </w:p>
        </w:tc>
        <w:tc>
          <w:tcPr>
            <w:tcW w:w="3895" w:type="pct"/>
            <w:tcBorders>
              <w:top w:val="double" w:color="auto" w:sz="4" w:space="0"/>
            </w:tcBorders>
            <w:vAlign w:val="center"/>
          </w:tcPr>
          <w:p w14:paraId="46C18B8A">
            <w:pPr>
              <w:tabs>
                <w:tab w:val="left" w:pos="915"/>
              </w:tabs>
              <w:jc w:val="center"/>
              <w:rPr>
                <w:rFonts w:hint="eastAsia" w:ascii="宋体" w:hAnsi="宋体" w:eastAsia="宋体" w:cs="宋体"/>
                <w:b/>
                <w:bCs/>
                <w:sz w:val="22"/>
                <w:szCs w:val="22"/>
              </w:rPr>
            </w:pPr>
            <w:r>
              <w:rPr>
                <w:rFonts w:hint="eastAsia" w:ascii="宋体" w:hAnsi="宋体" w:eastAsia="宋体" w:cs="宋体"/>
                <w:b/>
                <w:bCs/>
                <w:sz w:val="22"/>
                <w:szCs w:val="22"/>
              </w:rPr>
              <w:t>规      定</w:t>
            </w:r>
          </w:p>
        </w:tc>
      </w:tr>
      <w:tr w14:paraId="2608D10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42" w:hRule="atLeast"/>
          <w:jc w:val="center"/>
        </w:trPr>
        <w:tc>
          <w:tcPr>
            <w:tcW w:w="366" w:type="pct"/>
            <w:vAlign w:val="center"/>
          </w:tcPr>
          <w:p w14:paraId="33B5EAA2">
            <w:pPr>
              <w:tabs>
                <w:tab w:val="left" w:pos="915"/>
              </w:tabs>
              <w:jc w:val="center"/>
              <w:rPr>
                <w:rFonts w:hint="eastAsia" w:ascii="宋体" w:hAnsi="宋体" w:eastAsia="宋体" w:cs="宋体"/>
                <w:sz w:val="22"/>
                <w:szCs w:val="22"/>
              </w:rPr>
            </w:pPr>
            <w:r>
              <w:rPr>
                <w:rFonts w:hint="eastAsia" w:ascii="宋体" w:hAnsi="宋体" w:eastAsia="宋体" w:cs="宋体"/>
                <w:sz w:val="22"/>
                <w:szCs w:val="22"/>
              </w:rPr>
              <w:t>1</w:t>
            </w:r>
          </w:p>
        </w:tc>
        <w:tc>
          <w:tcPr>
            <w:tcW w:w="738" w:type="pct"/>
            <w:vAlign w:val="center"/>
          </w:tcPr>
          <w:p w14:paraId="242267C8">
            <w:pPr>
              <w:tabs>
                <w:tab w:val="left" w:pos="915"/>
              </w:tabs>
              <w:jc w:val="center"/>
              <w:rPr>
                <w:rFonts w:hint="eastAsia" w:ascii="宋体" w:hAnsi="宋体" w:eastAsia="宋体" w:cs="宋体"/>
                <w:sz w:val="22"/>
                <w:szCs w:val="22"/>
              </w:rPr>
            </w:pPr>
            <w:r>
              <w:rPr>
                <w:rFonts w:hint="eastAsia" w:ascii="宋体" w:hAnsi="宋体" w:eastAsia="宋体" w:cs="宋体"/>
                <w:sz w:val="22"/>
                <w:szCs w:val="22"/>
              </w:rPr>
              <w:t>供应商资格要求</w:t>
            </w:r>
          </w:p>
        </w:tc>
        <w:tc>
          <w:tcPr>
            <w:tcW w:w="3895" w:type="pct"/>
            <w:vAlign w:val="center"/>
          </w:tcPr>
          <w:p w14:paraId="62EB51B3">
            <w:pPr>
              <w:tabs>
                <w:tab w:val="left" w:pos="612"/>
              </w:tabs>
              <w:rPr>
                <w:rFonts w:hint="eastAsia" w:ascii="宋体" w:hAnsi="宋体" w:eastAsia="宋体" w:cs="宋体"/>
                <w:snapToGrid w:val="0"/>
                <w:kern w:val="0"/>
                <w:sz w:val="22"/>
                <w:szCs w:val="22"/>
              </w:rPr>
            </w:pPr>
            <w:r>
              <w:rPr>
                <w:rFonts w:hint="eastAsia" w:ascii="宋体" w:hAnsi="宋体" w:eastAsia="宋体" w:cs="宋体"/>
                <w:snapToGrid w:val="0"/>
                <w:kern w:val="0"/>
                <w:sz w:val="22"/>
                <w:szCs w:val="22"/>
              </w:rPr>
              <w:t>见谈判公告</w:t>
            </w:r>
          </w:p>
        </w:tc>
      </w:tr>
      <w:tr w14:paraId="211FC19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48" w:hRule="atLeast"/>
          <w:jc w:val="center"/>
        </w:trPr>
        <w:tc>
          <w:tcPr>
            <w:tcW w:w="366" w:type="pct"/>
            <w:vAlign w:val="center"/>
          </w:tcPr>
          <w:p w14:paraId="078C0EBF">
            <w:pPr>
              <w:tabs>
                <w:tab w:val="left" w:pos="915"/>
              </w:tabs>
              <w:jc w:val="center"/>
              <w:rPr>
                <w:rFonts w:hint="eastAsia" w:ascii="宋体" w:hAnsi="宋体" w:eastAsia="宋体" w:cs="宋体"/>
                <w:sz w:val="22"/>
                <w:szCs w:val="22"/>
              </w:rPr>
            </w:pPr>
            <w:r>
              <w:rPr>
                <w:rFonts w:hint="eastAsia" w:ascii="宋体" w:hAnsi="宋体" w:eastAsia="宋体" w:cs="宋体"/>
                <w:sz w:val="22"/>
                <w:szCs w:val="22"/>
              </w:rPr>
              <w:t>2</w:t>
            </w:r>
          </w:p>
        </w:tc>
        <w:tc>
          <w:tcPr>
            <w:tcW w:w="738" w:type="pct"/>
            <w:vAlign w:val="center"/>
          </w:tcPr>
          <w:p w14:paraId="3C3B5DE3">
            <w:pPr>
              <w:tabs>
                <w:tab w:val="left" w:pos="915"/>
              </w:tabs>
              <w:jc w:val="center"/>
              <w:rPr>
                <w:rFonts w:hint="eastAsia" w:ascii="宋体" w:hAnsi="宋体" w:eastAsia="宋体" w:cs="宋体"/>
                <w:sz w:val="22"/>
                <w:szCs w:val="22"/>
              </w:rPr>
            </w:pPr>
            <w:r>
              <w:rPr>
                <w:rFonts w:hint="eastAsia" w:ascii="宋体" w:hAnsi="宋体" w:eastAsia="宋体" w:cs="宋体"/>
                <w:sz w:val="22"/>
                <w:szCs w:val="22"/>
              </w:rPr>
              <w:t>谈判应答文件有效期</w:t>
            </w:r>
          </w:p>
        </w:tc>
        <w:tc>
          <w:tcPr>
            <w:tcW w:w="3895" w:type="pct"/>
            <w:vAlign w:val="center"/>
          </w:tcPr>
          <w:p w14:paraId="39C5BFA5">
            <w:pPr>
              <w:tabs>
                <w:tab w:val="left" w:pos="915"/>
              </w:tabs>
              <w:rPr>
                <w:rFonts w:hint="eastAsia" w:ascii="宋体" w:hAnsi="宋体" w:eastAsia="宋体" w:cs="宋体"/>
                <w:sz w:val="22"/>
                <w:szCs w:val="22"/>
              </w:rPr>
            </w:pPr>
            <w:r>
              <w:rPr>
                <w:rFonts w:hint="eastAsia" w:ascii="宋体" w:hAnsi="宋体" w:eastAsia="宋体" w:cs="宋体"/>
                <w:sz w:val="22"/>
                <w:szCs w:val="22"/>
              </w:rPr>
              <w:t>120</w:t>
            </w:r>
            <w:r>
              <w:rPr>
                <w:rFonts w:hint="eastAsia" w:ascii="宋体" w:hAnsi="宋体" w:cs="宋体"/>
                <w:sz w:val="22"/>
                <w:szCs w:val="22"/>
                <w:lang w:eastAsia="zh-CN"/>
              </w:rPr>
              <w:t>个日历日</w:t>
            </w:r>
            <w:r>
              <w:rPr>
                <w:rFonts w:hint="eastAsia" w:ascii="宋体" w:hAnsi="宋体" w:eastAsia="宋体" w:cs="宋体"/>
                <w:sz w:val="22"/>
                <w:szCs w:val="22"/>
              </w:rPr>
              <w:t>（从谈判截止之日算起）</w:t>
            </w:r>
          </w:p>
        </w:tc>
      </w:tr>
      <w:tr w14:paraId="2F7E88D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78" w:hRule="atLeast"/>
          <w:jc w:val="center"/>
        </w:trPr>
        <w:tc>
          <w:tcPr>
            <w:tcW w:w="366" w:type="pct"/>
            <w:vAlign w:val="center"/>
          </w:tcPr>
          <w:p w14:paraId="3AE75DD1">
            <w:pPr>
              <w:tabs>
                <w:tab w:val="left" w:pos="915"/>
              </w:tabs>
              <w:jc w:val="center"/>
              <w:rPr>
                <w:rFonts w:hint="eastAsia" w:ascii="宋体" w:hAnsi="宋体" w:eastAsia="宋体" w:cs="宋体"/>
                <w:sz w:val="22"/>
                <w:szCs w:val="22"/>
              </w:rPr>
            </w:pPr>
            <w:r>
              <w:rPr>
                <w:rFonts w:hint="eastAsia" w:ascii="宋体" w:hAnsi="宋体" w:eastAsia="宋体" w:cs="宋体"/>
                <w:sz w:val="22"/>
                <w:szCs w:val="22"/>
              </w:rPr>
              <w:t>3</w:t>
            </w:r>
          </w:p>
        </w:tc>
        <w:tc>
          <w:tcPr>
            <w:tcW w:w="738" w:type="pct"/>
            <w:vAlign w:val="center"/>
          </w:tcPr>
          <w:p w14:paraId="237FCB61">
            <w:pPr>
              <w:tabs>
                <w:tab w:val="left" w:pos="915"/>
              </w:tabs>
              <w:jc w:val="center"/>
              <w:rPr>
                <w:rFonts w:hint="eastAsia" w:ascii="宋体" w:hAnsi="宋体" w:eastAsia="宋体" w:cs="宋体"/>
                <w:sz w:val="22"/>
                <w:szCs w:val="22"/>
              </w:rPr>
            </w:pPr>
            <w:r>
              <w:rPr>
                <w:rFonts w:hint="eastAsia" w:ascii="宋体" w:hAnsi="宋体" w:eastAsia="宋体" w:cs="宋体"/>
                <w:sz w:val="22"/>
                <w:szCs w:val="22"/>
              </w:rPr>
              <w:t>谈判应答文件</w:t>
            </w:r>
          </w:p>
        </w:tc>
        <w:tc>
          <w:tcPr>
            <w:tcW w:w="3895" w:type="pct"/>
            <w:vAlign w:val="center"/>
          </w:tcPr>
          <w:p w14:paraId="796FCBD9">
            <w:pPr>
              <w:tabs>
                <w:tab w:val="left" w:pos="915"/>
              </w:tabs>
              <w:rPr>
                <w:rFonts w:hint="eastAsia" w:ascii="宋体" w:hAnsi="宋体" w:eastAsia="宋体" w:cs="宋体"/>
                <w:sz w:val="22"/>
                <w:szCs w:val="22"/>
              </w:rPr>
            </w:pPr>
            <w:r>
              <w:rPr>
                <w:rFonts w:hint="eastAsia" w:ascii="宋体" w:hAnsi="宋体" w:eastAsia="宋体" w:cs="宋体"/>
                <w:sz w:val="22"/>
                <w:szCs w:val="22"/>
              </w:rPr>
              <w:t>实行网上投标，投标人必须在谈判文件规定的投标截止时间前用电子密钥登录“深圳政府采购智慧平台用户网上办事子系统（http://zfcg.szggzy.com/TPBidder/memberLogin）”，用“【我的项目】→【项目流程】→【递交投标(应答)文件】”功能点上传</w:t>
            </w:r>
            <w:r>
              <w:rPr>
                <w:rFonts w:hint="eastAsia" w:ascii="宋体" w:hAnsi="宋体" w:cs="宋体"/>
                <w:sz w:val="22"/>
                <w:szCs w:val="22"/>
                <w:lang w:eastAsia="zh-CN"/>
              </w:rPr>
              <w:t>应答文件</w:t>
            </w:r>
            <w:r>
              <w:rPr>
                <w:rFonts w:hint="eastAsia" w:ascii="宋体" w:hAnsi="宋体" w:eastAsia="宋体" w:cs="宋体"/>
                <w:sz w:val="22"/>
                <w:szCs w:val="22"/>
              </w:rPr>
              <w:t>。</w:t>
            </w:r>
          </w:p>
        </w:tc>
      </w:tr>
      <w:tr w14:paraId="32D2AA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78" w:hRule="atLeast"/>
          <w:jc w:val="center"/>
        </w:trPr>
        <w:tc>
          <w:tcPr>
            <w:tcW w:w="366" w:type="pct"/>
            <w:vAlign w:val="center"/>
          </w:tcPr>
          <w:p w14:paraId="081A25E7">
            <w:pPr>
              <w:tabs>
                <w:tab w:val="left" w:pos="915"/>
              </w:tabs>
              <w:jc w:val="center"/>
              <w:rPr>
                <w:rFonts w:hint="eastAsia" w:ascii="宋体" w:hAnsi="宋体" w:eastAsia="宋体" w:cs="宋体"/>
                <w:sz w:val="22"/>
                <w:szCs w:val="22"/>
              </w:rPr>
            </w:pPr>
            <w:r>
              <w:rPr>
                <w:rFonts w:hint="eastAsia" w:ascii="宋体" w:hAnsi="宋体" w:eastAsia="宋体" w:cs="宋体"/>
                <w:sz w:val="22"/>
                <w:szCs w:val="22"/>
              </w:rPr>
              <w:t>4</w:t>
            </w:r>
          </w:p>
        </w:tc>
        <w:tc>
          <w:tcPr>
            <w:tcW w:w="738" w:type="pct"/>
            <w:vAlign w:val="center"/>
          </w:tcPr>
          <w:p w14:paraId="3B2F8560">
            <w:pPr>
              <w:tabs>
                <w:tab w:val="left" w:pos="915"/>
              </w:tabs>
              <w:jc w:val="center"/>
              <w:rPr>
                <w:rFonts w:hint="eastAsia" w:ascii="宋体" w:hAnsi="宋体" w:eastAsia="宋体" w:cs="宋体"/>
                <w:sz w:val="22"/>
                <w:szCs w:val="22"/>
              </w:rPr>
            </w:pPr>
            <w:r>
              <w:rPr>
                <w:rFonts w:hint="eastAsia" w:ascii="宋体" w:hAnsi="宋体" w:eastAsia="宋体" w:cs="宋体"/>
                <w:sz w:val="22"/>
                <w:szCs w:val="22"/>
              </w:rPr>
              <w:t>履约</w:t>
            </w:r>
            <w:r>
              <w:rPr>
                <w:rFonts w:hint="eastAsia" w:ascii="宋体" w:hAnsi="宋体" w:eastAsia="宋体" w:cs="宋体"/>
                <w:snapToGrid w:val="0"/>
                <w:kern w:val="0"/>
                <w:sz w:val="22"/>
                <w:szCs w:val="22"/>
              </w:rPr>
              <w:t>保证金</w:t>
            </w:r>
          </w:p>
        </w:tc>
        <w:tc>
          <w:tcPr>
            <w:tcW w:w="3895" w:type="pct"/>
            <w:vAlign w:val="center"/>
          </w:tcPr>
          <w:p w14:paraId="739D40CF">
            <w:pPr>
              <w:tabs>
                <w:tab w:val="left" w:pos="915"/>
              </w:tabs>
              <w:rPr>
                <w:rFonts w:hint="eastAsia" w:ascii="宋体" w:hAnsi="宋体" w:eastAsia="宋体" w:cs="宋体"/>
                <w:snapToGrid w:val="0"/>
                <w:kern w:val="0"/>
                <w:sz w:val="22"/>
                <w:szCs w:val="22"/>
              </w:rPr>
            </w:pPr>
            <w:r>
              <w:rPr>
                <w:rFonts w:hint="eastAsia" w:ascii="宋体" w:hAnsi="宋体" w:eastAsia="宋体" w:cs="宋体"/>
                <w:snapToGrid w:val="0"/>
                <w:kern w:val="0"/>
                <w:sz w:val="22"/>
                <w:szCs w:val="22"/>
              </w:rPr>
              <w:t>无</w:t>
            </w:r>
          </w:p>
        </w:tc>
      </w:tr>
      <w:tr w14:paraId="7C93992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78" w:hRule="atLeast"/>
          <w:jc w:val="center"/>
        </w:trPr>
        <w:tc>
          <w:tcPr>
            <w:tcW w:w="366" w:type="pct"/>
            <w:tcBorders>
              <w:bottom w:val="double" w:color="auto" w:sz="4" w:space="0"/>
            </w:tcBorders>
            <w:vAlign w:val="center"/>
          </w:tcPr>
          <w:p w14:paraId="07FC8E4D">
            <w:pPr>
              <w:tabs>
                <w:tab w:val="left" w:pos="915"/>
              </w:tabs>
              <w:jc w:val="center"/>
              <w:rPr>
                <w:rFonts w:hint="eastAsia" w:ascii="宋体" w:hAnsi="宋体" w:eastAsia="宋体" w:cs="宋体"/>
                <w:sz w:val="22"/>
                <w:szCs w:val="22"/>
              </w:rPr>
            </w:pPr>
            <w:r>
              <w:rPr>
                <w:rFonts w:hint="eastAsia" w:ascii="宋体" w:hAnsi="宋体" w:eastAsia="宋体" w:cs="宋体"/>
                <w:sz w:val="22"/>
                <w:szCs w:val="22"/>
              </w:rPr>
              <w:t>5</w:t>
            </w:r>
          </w:p>
        </w:tc>
        <w:tc>
          <w:tcPr>
            <w:tcW w:w="738" w:type="pct"/>
            <w:tcBorders>
              <w:bottom w:val="double" w:color="auto" w:sz="4" w:space="0"/>
            </w:tcBorders>
            <w:vAlign w:val="center"/>
          </w:tcPr>
          <w:p w14:paraId="69EA36CD">
            <w:pPr>
              <w:jc w:val="center"/>
              <w:rPr>
                <w:rFonts w:hint="eastAsia" w:ascii="宋体" w:hAnsi="宋体" w:eastAsia="宋体" w:cs="宋体"/>
                <w:sz w:val="22"/>
                <w:szCs w:val="22"/>
              </w:rPr>
            </w:pPr>
            <w:r>
              <w:rPr>
                <w:rFonts w:hint="eastAsia" w:ascii="宋体" w:hAnsi="宋体" w:eastAsia="宋体" w:cs="宋体"/>
                <w:sz w:val="22"/>
                <w:szCs w:val="22"/>
              </w:rPr>
              <w:t>招标代理服务费</w:t>
            </w:r>
          </w:p>
        </w:tc>
        <w:tc>
          <w:tcPr>
            <w:tcW w:w="3895" w:type="pct"/>
            <w:tcBorders>
              <w:bottom w:val="double" w:color="auto" w:sz="4" w:space="0"/>
            </w:tcBorders>
            <w:vAlign w:val="center"/>
          </w:tcPr>
          <w:p w14:paraId="70049040">
            <w:pPr>
              <w:spacing w:line="360" w:lineRule="exact"/>
              <w:rPr>
                <w:rFonts w:hint="eastAsia" w:ascii="宋体" w:hAnsi="宋体" w:eastAsia="宋体" w:cs="宋体"/>
                <w:sz w:val="22"/>
                <w:szCs w:val="22"/>
                <w:lang w:val="zh-CN"/>
              </w:rPr>
            </w:pPr>
            <w:r>
              <w:rPr>
                <w:rFonts w:hint="eastAsia" w:ascii="宋体" w:hAnsi="宋体" w:eastAsia="宋体" w:cs="宋体"/>
                <w:sz w:val="22"/>
                <w:szCs w:val="22"/>
                <w:lang w:val="zh-CN"/>
              </w:rPr>
              <w:t>根据“深圳市财政委员会关于规范深圳市社会采购代理机构管理有关事项的补充通知</w:t>
            </w:r>
            <w:r>
              <w:rPr>
                <w:rFonts w:hint="eastAsia" w:ascii="宋体" w:hAnsi="宋体" w:eastAsia="宋体" w:cs="宋体"/>
                <w:sz w:val="22"/>
                <w:szCs w:val="22"/>
              </w:rPr>
              <w:t>(</w:t>
            </w:r>
            <w:r>
              <w:rPr>
                <w:rFonts w:hint="eastAsia" w:ascii="宋体" w:hAnsi="宋体" w:eastAsia="宋体" w:cs="宋体"/>
                <w:sz w:val="22"/>
                <w:szCs w:val="22"/>
                <w:lang w:val="zh-CN"/>
              </w:rPr>
              <w:t>深财购</w:t>
            </w:r>
            <w:r>
              <w:rPr>
                <w:rFonts w:hint="eastAsia" w:ascii="宋体" w:hAnsi="宋体" w:eastAsia="宋体" w:cs="宋体"/>
                <w:sz w:val="22"/>
                <w:szCs w:val="22"/>
              </w:rPr>
              <w:t>[2018]27</w:t>
            </w:r>
            <w:r>
              <w:rPr>
                <w:rFonts w:hint="eastAsia" w:ascii="宋体" w:hAnsi="宋体" w:eastAsia="宋体" w:cs="宋体"/>
                <w:sz w:val="22"/>
                <w:szCs w:val="22"/>
                <w:lang w:val="zh-CN"/>
              </w:rPr>
              <w:t>号</w:t>
            </w:r>
            <w:r>
              <w:rPr>
                <w:rFonts w:hint="eastAsia" w:ascii="宋体" w:hAnsi="宋体" w:eastAsia="宋体" w:cs="宋体"/>
                <w:sz w:val="22"/>
                <w:szCs w:val="22"/>
              </w:rPr>
              <w:t>)</w:t>
            </w:r>
            <w:r>
              <w:rPr>
                <w:rFonts w:hint="eastAsia" w:ascii="宋体" w:hAnsi="宋体" w:eastAsia="宋体" w:cs="宋体"/>
                <w:sz w:val="22"/>
                <w:szCs w:val="22"/>
                <w:lang w:val="zh-CN"/>
              </w:rPr>
              <w:t>”的规定执行。招标代理服务收费以中标</w:t>
            </w:r>
            <w:r>
              <w:rPr>
                <w:rFonts w:hint="eastAsia" w:ascii="宋体" w:hAnsi="宋体" w:eastAsia="宋体" w:cs="宋体"/>
                <w:sz w:val="22"/>
                <w:szCs w:val="22"/>
              </w:rPr>
              <w:t>/</w:t>
            </w:r>
            <w:r>
              <w:rPr>
                <w:rFonts w:hint="eastAsia" w:ascii="宋体" w:hAnsi="宋体" w:eastAsia="宋体" w:cs="宋体"/>
                <w:sz w:val="22"/>
                <w:szCs w:val="22"/>
                <w:lang w:val="zh-CN"/>
              </w:rPr>
              <w:t>成交通知书公布的中标</w:t>
            </w:r>
            <w:r>
              <w:rPr>
                <w:rFonts w:hint="eastAsia" w:ascii="宋体" w:hAnsi="宋体" w:eastAsia="宋体" w:cs="宋体"/>
                <w:sz w:val="22"/>
                <w:szCs w:val="22"/>
              </w:rPr>
              <w:t>/</w:t>
            </w:r>
            <w:r>
              <w:rPr>
                <w:rFonts w:hint="eastAsia" w:ascii="宋体" w:hAnsi="宋体" w:eastAsia="宋体" w:cs="宋体"/>
                <w:sz w:val="22"/>
                <w:szCs w:val="22"/>
                <w:lang w:val="zh-CN"/>
              </w:rPr>
              <w:t>成交金额为计算基准</w:t>
            </w:r>
            <w:r>
              <w:rPr>
                <w:rFonts w:hint="eastAsia" w:ascii="宋体" w:hAnsi="宋体" w:eastAsia="宋体" w:cs="宋体"/>
                <w:sz w:val="22"/>
                <w:szCs w:val="22"/>
              </w:rPr>
              <w:t>,</w:t>
            </w:r>
            <w:r>
              <w:rPr>
                <w:rFonts w:hint="eastAsia" w:ascii="宋体" w:hAnsi="宋体" w:eastAsia="宋体" w:cs="宋体"/>
                <w:sz w:val="22"/>
                <w:szCs w:val="22"/>
                <w:lang w:val="zh-CN"/>
              </w:rPr>
              <w:t>按差额定率累进法计算</w:t>
            </w:r>
            <w:r>
              <w:rPr>
                <w:rFonts w:hint="eastAsia" w:ascii="宋体" w:hAnsi="宋体" w:eastAsia="宋体" w:cs="宋体"/>
                <w:sz w:val="22"/>
                <w:szCs w:val="22"/>
              </w:rPr>
              <w:t>,</w:t>
            </w:r>
            <w:r>
              <w:rPr>
                <w:rFonts w:hint="eastAsia" w:ascii="宋体" w:hAnsi="宋体" w:eastAsia="宋体" w:cs="宋体"/>
                <w:sz w:val="22"/>
                <w:szCs w:val="22"/>
                <w:lang w:val="zh-CN"/>
              </w:rPr>
              <w:t>作为招标代理服务费。</w:t>
            </w:r>
          </w:p>
          <w:tbl>
            <w:tblPr>
              <w:tblStyle w:val="45"/>
              <w:tblW w:w="675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827"/>
              <w:gridCol w:w="1172"/>
              <w:gridCol w:w="1460"/>
              <w:gridCol w:w="1296"/>
            </w:tblGrid>
            <w:tr w14:paraId="750B999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827" w:type="dxa"/>
                  <w:vMerge w:val="restart"/>
                  <w:tcBorders>
                    <w:top w:val="single" w:color="auto" w:sz="12" w:space="0"/>
                    <w:left w:val="single" w:color="auto" w:sz="12" w:space="0"/>
                    <w:bottom w:val="single" w:color="auto" w:sz="4" w:space="0"/>
                    <w:right w:val="single" w:color="auto" w:sz="4" w:space="0"/>
                  </w:tcBorders>
                  <w:shd w:val="clear" w:color="auto" w:fill="D7D7D7"/>
                  <w:vAlign w:val="center"/>
                </w:tcPr>
                <w:p w14:paraId="253CC101">
                  <w:pPr>
                    <w:adjustRightInd w:val="0"/>
                    <w:snapToGrid w:val="0"/>
                    <w:spacing w:line="264" w:lineRule="auto"/>
                    <w:ind w:right="26"/>
                    <w:jc w:val="center"/>
                    <w:rPr>
                      <w:rFonts w:hint="eastAsia" w:ascii="宋体" w:hAnsi="宋体" w:eastAsia="宋体" w:cs="宋体"/>
                      <w:b/>
                      <w:bCs/>
                      <w:sz w:val="22"/>
                      <w:szCs w:val="22"/>
                    </w:rPr>
                  </w:pPr>
                  <w:r>
                    <w:rPr>
                      <w:rFonts w:hint="eastAsia" w:ascii="宋体" w:hAnsi="宋体" w:eastAsia="宋体" w:cs="宋体"/>
                      <w:b/>
                      <w:bCs/>
                      <w:sz w:val="22"/>
                      <w:szCs w:val="22"/>
                    </w:rPr>
                    <w:t>中标</w:t>
                  </w:r>
                  <w:r>
                    <w:rPr>
                      <w:rFonts w:hint="eastAsia" w:ascii="宋体" w:hAnsi="宋体" w:eastAsia="宋体" w:cs="宋体"/>
                      <w:sz w:val="22"/>
                      <w:szCs w:val="22"/>
                    </w:rPr>
                    <w:t>/</w:t>
                  </w:r>
                  <w:r>
                    <w:rPr>
                      <w:rFonts w:hint="eastAsia" w:ascii="宋体" w:hAnsi="宋体" w:eastAsia="宋体" w:cs="宋体"/>
                      <w:sz w:val="22"/>
                      <w:szCs w:val="22"/>
                      <w:lang w:val="zh-CN"/>
                    </w:rPr>
                    <w:t>成交</w:t>
                  </w:r>
                  <w:r>
                    <w:rPr>
                      <w:rFonts w:hint="eastAsia" w:ascii="宋体" w:hAnsi="宋体" w:eastAsia="宋体" w:cs="宋体"/>
                      <w:b/>
                      <w:bCs/>
                      <w:sz w:val="22"/>
                      <w:szCs w:val="22"/>
                    </w:rPr>
                    <w:t>金额（万元）</w:t>
                  </w:r>
                </w:p>
              </w:tc>
              <w:tc>
                <w:tcPr>
                  <w:tcW w:w="3928" w:type="dxa"/>
                  <w:gridSpan w:val="3"/>
                  <w:tcBorders>
                    <w:top w:val="single" w:color="auto" w:sz="12" w:space="0"/>
                    <w:left w:val="single" w:color="auto" w:sz="4" w:space="0"/>
                    <w:bottom w:val="single" w:color="auto" w:sz="4" w:space="0"/>
                    <w:right w:val="single" w:color="auto" w:sz="12" w:space="0"/>
                  </w:tcBorders>
                  <w:shd w:val="clear" w:color="auto" w:fill="D7D7D7"/>
                  <w:vAlign w:val="center"/>
                </w:tcPr>
                <w:p w14:paraId="0B276836">
                  <w:pPr>
                    <w:adjustRightInd w:val="0"/>
                    <w:snapToGrid w:val="0"/>
                    <w:spacing w:line="264" w:lineRule="auto"/>
                    <w:ind w:right="26"/>
                    <w:jc w:val="center"/>
                    <w:rPr>
                      <w:rFonts w:hint="eastAsia" w:ascii="宋体" w:hAnsi="宋体" w:eastAsia="宋体" w:cs="宋体"/>
                      <w:b/>
                      <w:bCs/>
                      <w:sz w:val="22"/>
                      <w:szCs w:val="22"/>
                    </w:rPr>
                  </w:pPr>
                  <w:r>
                    <w:rPr>
                      <w:rFonts w:hint="eastAsia" w:ascii="宋体" w:hAnsi="宋体" w:eastAsia="宋体" w:cs="宋体"/>
                      <w:b/>
                      <w:bCs/>
                      <w:sz w:val="22"/>
                      <w:szCs w:val="22"/>
                    </w:rPr>
                    <w:t>各类型招标代理服务费计算费率</w:t>
                  </w:r>
                </w:p>
              </w:tc>
            </w:tr>
            <w:tr w14:paraId="288385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827" w:type="dxa"/>
                  <w:vMerge w:val="continue"/>
                  <w:tcBorders>
                    <w:top w:val="single" w:color="auto" w:sz="4" w:space="0"/>
                    <w:left w:val="single" w:color="auto" w:sz="12" w:space="0"/>
                    <w:bottom w:val="single" w:color="auto" w:sz="4" w:space="0"/>
                    <w:right w:val="single" w:color="auto" w:sz="4" w:space="0"/>
                  </w:tcBorders>
                  <w:shd w:val="clear" w:color="auto" w:fill="D7D7D7"/>
                  <w:vAlign w:val="center"/>
                </w:tcPr>
                <w:p w14:paraId="2523E21D">
                  <w:pPr>
                    <w:adjustRightInd w:val="0"/>
                    <w:snapToGrid w:val="0"/>
                    <w:spacing w:line="264" w:lineRule="auto"/>
                    <w:ind w:right="26"/>
                    <w:jc w:val="center"/>
                    <w:rPr>
                      <w:rFonts w:hint="eastAsia" w:ascii="宋体" w:hAnsi="宋体" w:eastAsia="宋体" w:cs="宋体"/>
                      <w:b/>
                      <w:bCs/>
                      <w:sz w:val="22"/>
                      <w:szCs w:val="22"/>
                    </w:rPr>
                  </w:pPr>
                </w:p>
              </w:tc>
              <w:tc>
                <w:tcPr>
                  <w:tcW w:w="1172" w:type="dxa"/>
                  <w:tcBorders>
                    <w:top w:val="single" w:color="auto" w:sz="4" w:space="0"/>
                    <w:left w:val="single" w:color="auto" w:sz="4" w:space="0"/>
                    <w:bottom w:val="single" w:color="auto" w:sz="4" w:space="0"/>
                    <w:right w:val="single" w:color="auto" w:sz="4" w:space="0"/>
                  </w:tcBorders>
                  <w:shd w:val="clear" w:color="auto" w:fill="D7D7D7"/>
                  <w:vAlign w:val="center"/>
                </w:tcPr>
                <w:p w14:paraId="2F5B3757">
                  <w:pPr>
                    <w:adjustRightInd w:val="0"/>
                    <w:snapToGrid w:val="0"/>
                    <w:spacing w:line="264" w:lineRule="auto"/>
                    <w:ind w:right="26"/>
                    <w:jc w:val="center"/>
                    <w:rPr>
                      <w:rFonts w:hint="eastAsia" w:ascii="宋体" w:hAnsi="宋体" w:eastAsia="宋体" w:cs="宋体"/>
                      <w:b/>
                      <w:bCs/>
                      <w:sz w:val="22"/>
                      <w:szCs w:val="22"/>
                    </w:rPr>
                  </w:pPr>
                  <w:r>
                    <w:rPr>
                      <w:rFonts w:hint="eastAsia" w:ascii="宋体" w:hAnsi="宋体" w:eastAsia="宋体" w:cs="宋体"/>
                      <w:b/>
                      <w:bCs/>
                      <w:sz w:val="22"/>
                      <w:szCs w:val="22"/>
                    </w:rPr>
                    <w:t>货物招标</w:t>
                  </w:r>
                </w:p>
              </w:tc>
              <w:tc>
                <w:tcPr>
                  <w:tcW w:w="1460" w:type="dxa"/>
                  <w:tcBorders>
                    <w:top w:val="single" w:color="auto" w:sz="4" w:space="0"/>
                    <w:left w:val="single" w:color="auto" w:sz="4" w:space="0"/>
                    <w:bottom w:val="single" w:color="auto" w:sz="4" w:space="0"/>
                    <w:right w:val="single" w:color="auto" w:sz="4" w:space="0"/>
                  </w:tcBorders>
                  <w:shd w:val="clear" w:color="auto" w:fill="D7D7D7"/>
                  <w:vAlign w:val="center"/>
                </w:tcPr>
                <w:p w14:paraId="2C755748">
                  <w:pPr>
                    <w:adjustRightInd w:val="0"/>
                    <w:snapToGrid w:val="0"/>
                    <w:spacing w:line="264" w:lineRule="auto"/>
                    <w:ind w:right="26"/>
                    <w:jc w:val="center"/>
                    <w:rPr>
                      <w:rFonts w:hint="eastAsia" w:ascii="宋体" w:hAnsi="宋体" w:eastAsia="宋体" w:cs="宋体"/>
                      <w:b/>
                      <w:bCs/>
                      <w:sz w:val="22"/>
                      <w:szCs w:val="22"/>
                    </w:rPr>
                  </w:pPr>
                  <w:r>
                    <w:rPr>
                      <w:rFonts w:hint="eastAsia" w:ascii="宋体" w:hAnsi="宋体" w:eastAsia="宋体" w:cs="宋体"/>
                      <w:b/>
                      <w:bCs/>
                      <w:sz w:val="22"/>
                      <w:szCs w:val="22"/>
                    </w:rPr>
                    <w:t>服务招标</w:t>
                  </w:r>
                </w:p>
              </w:tc>
              <w:tc>
                <w:tcPr>
                  <w:tcW w:w="1296" w:type="dxa"/>
                  <w:tcBorders>
                    <w:top w:val="single" w:color="auto" w:sz="4" w:space="0"/>
                    <w:left w:val="single" w:color="auto" w:sz="4" w:space="0"/>
                    <w:bottom w:val="single" w:color="auto" w:sz="4" w:space="0"/>
                    <w:right w:val="single" w:color="auto" w:sz="12" w:space="0"/>
                  </w:tcBorders>
                  <w:shd w:val="clear" w:color="auto" w:fill="D7D7D7"/>
                  <w:vAlign w:val="center"/>
                </w:tcPr>
                <w:p w14:paraId="1026C631">
                  <w:pPr>
                    <w:adjustRightInd w:val="0"/>
                    <w:snapToGrid w:val="0"/>
                    <w:spacing w:line="264" w:lineRule="auto"/>
                    <w:ind w:right="26"/>
                    <w:jc w:val="center"/>
                    <w:rPr>
                      <w:rFonts w:hint="eastAsia" w:ascii="宋体" w:hAnsi="宋体" w:eastAsia="宋体" w:cs="宋体"/>
                      <w:b/>
                      <w:bCs/>
                      <w:sz w:val="22"/>
                      <w:szCs w:val="22"/>
                    </w:rPr>
                  </w:pPr>
                  <w:r>
                    <w:rPr>
                      <w:rFonts w:hint="eastAsia" w:ascii="宋体" w:hAnsi="宋体" w:eastAsia="宋体" w:cs="宋体"/>
                      <w:b/>
                      <w:bCs/>
                      <w:sz w:val="22"/>
                      <w:szCs w:val="22"/>
                    </w:rPr>
                    <w:t>工程招标</w:t>
                  </w:r>
                </w:p>
              </w:tc>
            </w:tr>
            <w:tr w14:paraId="1D27C11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827" w:type="dxa"/>
                  <w:tcBorders>
                    <w:top w:val="single" w:color="auto" w:sz="4" w:space="0"/>
                    <w:left w:val="single" w:color="auto" w:sz="12" w:space="0"/>
                    <w:bottom w:val="single" w:color="auto" w:sz="4" w:space="0"/>
                    <w:right w:val="single" w:color="auto" w:sz="4" w:space="0"/>
                  </w:tcBorders>
                  <w:vAlign w:val="center"/>
                </w:tcPr>
                <w:p w14:paraId="6076636C">
                  <w:pPr>
                    <w:adjustRightInd w:val="0"/>
                    <w:snapToGrid w:val="0"/>
                    <w:spacing w:line="264" w:lineRule="auto"/>
                    <w:ind w:right="26"/>
                    <w:jc w:val="left"/>
                    <w:rPr>
                      <w:rFonts w:hint="eastAsia" w:ascii="宋体" w:hAnsi="宋体" w:eastAsia="宋体" w:cs="宋体"/>
                      <w:sz w:val="22"/>
                      <w:szCs w:val="22"/>
                    </w:rPr>
                  </w:pPr>
                  <w:r>
                    <w:rPr>
                      <w:rFonts w:hint="eastAsia" w:ascii="宋体" w:hAnsi="宋体" w:eastAsia="宋体" w:cs="宋体"/>
                      <w:sz w:val="22"/>
                      <w:szCs w:val="22"/>
                    </w:rPr>
                    <w:t>100万元以下</w:t>
                  </w:r>
                </w:p>
              </w:tc>
              <w:tc>
                <w:tcPr>
                  <w:tcW w:w="1172" w:type="dxa"/>
                  <w:tcBorders>
                    <w:top w:val="single" w:color="auto" w:sz="4" w:space="0"/>
                    <w:left w:val="single" w:color="auto" w:sz="4" w:space="0"/>
                    <w:bottom w:val="single" w:color="auto" w:sz="4" w:space="0"/>
                    <w:right w:val="single" w:color="auto" w:sz="4" w:space="0"/>
                  </w:tcBorders>
                  <w:vAlign w:val="center"/>
                </w:tcPr>
                <w:p w14:paraId="77B9C262">
                  <w:pPr>
                    <w:adjustRightInd w:val="0"/>
                    <w:snapToGrid w:val="0"/>
                    <w:spacing w:line="264" w:lineRule="auto"/>
                    <w:ind w:right="26"/>
                    <w:jc w:val="center"/>
                    <w:rPr>
                      <w:rFonts w:hint="eastAsia" w:ascii="宋体" w:hAnsi="宋体" w:eastAsia="宋体" w:cs="宋体"/>
                      <w:sz w:val="22"/>
                      <w:szCs w:val="22"/>
                    </w:rPr>
                  </w:pPr>
                  <w:r>
                    <w:rPr>
                      <w:rFonts w:hint="eastAsia" w:ascii="宋体" w:hAnsi="宋体" w:eastAsia="宋体" w:cs="宋体"/>
                      <w:sz w:val="22"/>
                      <w:szCs w:val="22"/>
                    </w:rPr>
                    <w:t>1.5%</w:t>
                  </w:r>
                </w:p>
              </w:tc>
              <w:tc>
                <w:tcPr>
                  <w:tcW w:w="1460" w:type="dxa"/>
                  <w:tcBorders>
                    <w:top w:val="single" w:color="auto" w:sz="4" w:space="0"/>
                    <w:left w:val="single" w:color="auto" w:sz="4" w:space="0"/>
                    <w:bottom w:val="single" w:color="auto" w:sz="4" w:space="0"/>
                    <w:right w:val="single" w:color="auto" w:sz="4" w:space="0"/>
                  </w:tcBorders>
                  <w:vAlign w:val="center"/>
                </w:tcPr>
                <w:p w14:paraId="57C98DC4">
                  <w:pPr>
                    <w:adjustRightInd w:val="0"/>
                    <w:snapToGrid w:val="0"/>
                    <w:spacing w:line="264" w:lineRule="auto"/>
                    <w:ind w:right="26"/>
                    <w:jc w:val="center"/>
                    <w:rPr>
                      <w:rFonts w:hint="eastAsia" w:ascii="宋体" w:hAnsi="宋体" w:eastAsia="宋体" w:cs="宋体"/>
                      <w:sz w:val="22"/>
                      <w:szCs w:val="22"/>
                    </w:rPr>
                  </w:pPr>
                  <w:r>
                    <w:rPr>
                      <w:rFonts w:hint="eastAsia" w:ascii="宋体" w:hAnsi="宋体" w:eastAsia="宋体" w:cs="宋体"/>
                      <w:sz w:val="22"/>
                      <w:szCs w:val="22"/>
                    </w:rPr>
                    <w:t>1.5%</w:t>
                  </w:r>
                </w:p>
              </w:tc>
              <w:tc>
                <w:tcPr>
                  <w:tcW w:w="1296" w:type="dxa"/>
                  <w:tcBorders>
                    <w:top w:val="single" w:color="auto" w:sz="4" w:space="0"/>
                    <w:left w:val="single" w:color="auto" w:sz="4" w:space="0"/>
                    <w:bottom w:val="single" w:color="auto" w:sz="4" w:space="0"/>
                    <w:right w:val="single" w:color="auto" w:sz="12" w:space="0"/>
                  </w:tcBorders>
                  <w:vAlign w:val="center"/>
                </w:tcPr>
                <w:p w14:paraId="1B4381C8">
                  <w:pPr>
                    <w:adjustRightInd w:val="0"/>
                    <w:snapToGrid w:val="0"/>
                    <w:spacing w:line="264" w:lineRule="auto"/>
                    <w:ind w:right="26"/>
                    <w:jc w:val="center"/>
                    <w:rPr>
                      <w:rFonts w:hint="eastAsia" w:ascii="宋体" w:hAnsi="宋体" w:eastAsia="宋体" w:cs="宋体"/>
                      <w:sz w:val="22"/>
                      <w:szCs w:val="22"/>
                    </w:rPr>
                  </w:pPr>
                  <w:r>
                    <w:rPr>
                      <w:rFonts w:hint="eastAsia" w:ascii="宋体" w:hAnsi="宋体" w:eastAsia="宋体" w:cs="宋体"/>
                      <w:sz w:val="22"/>
                      <w:szCs w:val="22"/>
                    </w:rPr>
                    <w:t>1.0%</w:t>
                  </w:r>
                </w:p>
              </w:tc>
            </w:tr>
            <w:tr w14:paraId="7CD7FC4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2827" w:type="dxa"/>
                  <w:tcBorders>
                    <w:top w:val="single" w:color="auto" w:sz="4" w:space="0"/>
                    <w:left w:val="single" w:color="auto" w:sz="12" w:space="0"/>
                    <w:bottom w:val="single" w:color="auto" w:sz="4" w:space="0"/>
                    <w:right w:val="single" w:color="auto" w:sz="4" w:space="0"/>
                  </w:tcBorders>
                  <w:vAlign w:val="center"/>
                </w:tcPr>
                <w:p w14:paraId="08935EB8">
                  <w:pPr>
                    <w:adjustRightInd w:val="0"/>
                    <w:snapToGrid w:val="0"/>
                    <w:spacing w:line="264" w:lineRule="auto"/>
                    <w:ind w:right="26"/>
                    <w:jc w:val="left"/>
                    <w:rPr>
                      <w:rFonts w:hint="eastAsia" w:ascii="宋体" w:hAnsi="宋体" w:eastAsia="宋体" w:cs="宋体"/>
                      <w:sz w:val="22"/>
                      <w:szCs w:val="22"/>
                    </w:rPr>
                  </w:pPr>
                  <w:r>
                    <w:rPr>
                      <w:rFonts w:hint="eastAsia" w:ascii="宋体" w:hAnsi="宋体" w:eastAsia="宋体" w:cs="宋体"/>
                      <w:sz w:val="22"/>
                      <w:szCs w:val="22"/>
                    </w:rPr>
                    <w:t>100万元（含）-500万元</w:t>
                  </w:r>
                </w:p>
              </w:tc>
              <w:tc>
                <w:tcPr>
                  <w:tcW w:w="1172" w:type="dxa"/>
                  <w:tcBorders>
                    <w:top w:val="single" w:color="auto" w:sz="4" w:space="0"/>
                    <w:left w:val="single" w:color="auto" w:sz="4" w:space="0"/>
                    <w:bottom w:val="single" w:color="auto" w:sz="4" w:space="0"/>
                    <w:right w:val="single" w:color="auto" w:sz="4" w:space="0"/>
                  </w:tcBorders>
                  <w:vAlign w:val="center"/>
                </w:tcPr>
                <w:p w14:paraId="5A0D3836">
                  <w:pPr>
                    <w:adjustRightInd w:val="0"/>
                    <w:snapToGrid w:val="0"/>
                    <w:spacing w:line="264" w:lineRule="auto"/>
                    <w:ind w:right="26"/>
                    <w:jc w:val="center"/>
                    <w:rPr>
                      <w:rFonts w:hint="eastAsia" w:ascii="宋体" w:hAnsi="宋体" w:eastAsia="宋体" w:cs="宋体"/>
                      <w:sz w:val="22"/>
                      <w:szCs w:val="22"/>
                    </w:rPr>
                  </w:pPr>
                  <w:r>
                    <w:rPr>
                      <w:rFonts w:hint="eastAsia" w:ascii="宋体" w:hAnsi="宋体" w:eastAsia="宋体" w:cs="宋体"/>
                      <w:sz w:val="22"/>
                      <w:szCs w:val="22"/>
                    </w:rPr>
                    <w:t>1.1%</w:t>
                  </w:r>
                </w:p>
              </w:tc>
              <w:tc>
                <w:tcPr>
                  <w:tcW w:w="1460" w:type="dxa"/>
                  <w:tcBorders>
                    <w:top w:val="single" w:color="auto" w:sz="4" w:space="0"/>
                    <w:left w:val="single" w:color="auto" w:sz="4" w:space="0"/>
                    <w:bottom w:val="single" w:color="auto" w:sz="4" w:space="0"/>
                    <w:right w:val="single" w:color="auto" w:sz="4" w:space="0"/>
                  </w:tcBorders>
                  <w:vAlign w:val="center"/>
                </w:tcPr>
                <w:p w14:paraId="331A7A91">
                  <w:pPr>
                    <w:adjustRightInd w:val="0"/>
                    <w:snapToGrid w:val="0"/>
                    <w:spacing w:line="264" w:lineRule="auto"/>
                    <w:ind w:right="26"/>
                    <w:jc w:val="center"/>
                    <w:rPr>
                      <w:rFonts w:hint="eastAsia" w:ascii="宋体" w:hAnsi="宋体" w:eastAsia="宋体" w:cs="宋体"/>
                      <w:sz w:val="22"/>
                      <w:szCs w:val="22"/>
                    </w:rPr>
                  </w:pPr>
                  <w:r>
                    <w:rPr>
                      <w:rFonts w:hint="eastAsia" w:ascii="宋体" w:hAnsi="宋体" w:eastAsia="宋体" w:cs="宋体"/>
                      <w:sz w:val="22"/>
                      <w:szCs w:val="22"/>
                    </w:rPr>
                    <w:t>0.8%</w:t>
                  </w:r>
                </w:p>
              </w:tc>
              <w:tc>
                <w:tcPr>
                  <w:tcW w:w="1296" w:type="dxa"/>
                  <w:tcBorders>
                    <w:top w:val="single" w:color="auto" w:sz="4" w:space="0"/>
                    <w:left w:val="single" w:color="auto" w:sz="4" w:space="0"/>
                    <w:bottom w:val="single" w:color="auto" w:sz="4" w:space="0"/>
                    <w:right w:val="single" w:color="auto" w:sz="12" w:space="0"/>
                  </w:tcBorders>
                  <w:vAlign w:val="center"/>
                </w:tcPr>
                <w:p w14:paraId="666F936D">
                  <w:pPr>
                    <w:adjustRightInd w:val="0"/>
                    <w:snapToGrid w:val="0"/>
                    <w:spacing w:line="264" w:lineRule="auto"/>
                    <w:ind w:right="26"/>
                    <w:jc w:val="center"/>
                    <w:rPr>
                      <w:rFonts w:hint="eastAsia" w:ascii="宋体" w:hAnsi="宋体" w:eastAsia="宋体" w:cs="宋体"/>
                      <w:sz w:val="22"/>
                      <w:szCs w:val="22"/>
                    </w:rPr>
                  </w:pPr>
                  <w:r>
                    <w:rPr>
                      <w:rFonts w:hint="eastAsia" w:ascii="宋体" w:hAnsi="宋体" w:eastAsia="宋体" w:cs="宋体"/>
                      <w:sz w:val="22"/>
                      <w:szCs w:val="22"/>
                    </w:rPr>
                    <w:t>0.7%</w:t>
                  </w:r>
                </w:p>
              </w:tc>
            </w:tr>
            <w:tr w14:paraId="53C9A1F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827" w:type="dxa"/>
                  <w:tcBorders>
                    <w:top w:val="single" w:color="auto" w:sz="4" w:space="0"/>
                    <w:left w:val="single" w:color="auto" w:sz="12" w:space="0"/>
                    <w:bottom w:val="single" w:color="auto" w:sz="4" w:space="0"/>
                    <w:right w:val="single" w:color="auto" w:sz="4" w:space="0"/>
                  </w:tcBorders>
                  <w:vAlign w:val="center"/>
                </w:tcPr>
                <w:p w14:paraId="4B3B2B11">
                  <w:pPr>
                    <w:adjustRightInd w:val="0"/>
                    <w:snapToGrid w:val="0"/>
                    <w:spacing w:line="264" w:lineRule="auto"/>
                    <w:ind w:right="26"/>
                    <w:jc w:val="left"/>
                    <w:rPr>
                      <w:rFonts w:hint="eastAsia" w:ascii="宋体" w:hAnsi="宋体" w:eastAsia="宋体" w:cs="宋体"/>
                      <w:sz w:val="22"/>
                      <w:szCs w:val="22"/>
                    </w:rPr>
                  </w:pPr>
                  <w:r>
                    <w:rPr>
                      <w:rFonts w:hint="eastAsia" w:ascii="宋体" w:hAnsi="宋体" w:eastAsia="宋体" w:cs="宋体"/>
                      <w:sz w:val="22"/>
                      <w:szCs w:val="22"/>
                    </w:rPr>
                    <w:t>500万元（含）-1000万元</w:t>
                  </w:r>
                </w:p>
              </w:tc>
              <w:tc>
                <w:tcPr>
                  <w:tcW w:w="1172" w:type="dxa"/>
                  <w:tcBorders>
                    <w:top w:val="single" w:color="auto" w:sz="4" w:space="0"/>
                    <w:left w:val="single" w:color="auto" w:sz="4" w:space="0"/>
                    <w:bottom w:val="single" w:color="auto" w:sz="4" w:space="0"/>
                    <w:right w:val="single" w:color="auto" w:sz="4" w:space="0"/>
                  </w:tcBorders>
                  <w:vAlign w:val="center"/>
                </w:tcPr>
                <w:p w14:paraId="581F5708">
                  <w:pPr>
                    <w:adjustRightInd w:val="0"/>
                    <w:snapToGrid w:val="0"/>
                    <w:spacing w:line="264" w:lineRule="auto"/>
                    <w:ind w:right="26"/>
                    <w:jc w:val="center"/>
                    <w:rPr>
                      <w:rFonts w:hint="eastAsia" w:ascii="宋体" w:hAnsi="宋体" w:eastAsia="宋体" w:cs="宋体"/>
                      <w:sz w:val="22"/>
                      <w:szCs w:val="22"/>
                    </w:rPr>
                  </w:pPr>
                  <w:r>
                    <w:rPr>
                      <w:rFonts w:hint="eastAsia" w:ascii="宋体" w:hAnsi="宋体" w:eastAsia="宋体" w:cs="宋体"/>
                      <w:sz w:val="22"/>
                      <w:szCs w:val="22"/>
                    </w:rPr>
                    <w:t>0.8%</w:t>
                  </w:r>
                </w:p>
              </w:tc>
              <w:tc>
                <w:tcPr>
                  <w:tcW w:w="1460" w:type="dxa"/>
                  <w:tcBorders>
                    <w:top w:val="single" w:color="auto" w:sz="4" w:space="0"/>
                    <w:left w:val="single" w:color="auto" w:sz="4" w:space="0"/>
                    <w:bottom w:val="single" w:color="auto" w:sz="4" w:space="0"/>
                    <w:right w:val="single" w:color="auto" w:sz="4" w:space="0"/>
                  </w:tcBorders>
                  <w:vAlign w:val="center"/>
                </w:tcPr>
                <w:p w14:paraId="59ACA7BB">
                  <w:pPr>
                    <w:adjustRightInd w:val="0"/>
                    <w:snapToGrid w:val="0"/>
                    <w:spacing w:line="264" w:lineRule="auto"/>
                    <w:ind w:right="26"/>
                    <w:jc w:val="center"/>
                    <w:rPr>
                      <w:rFonts w:hint="eastAsia" w:ascii="宋体" w:hAnsi="宋体" w:eastAsia="宋体" w:cs="宋体"/>
                      <w:sz w:val="22"/>
                      <w:szCs w:val="22"/>
                    </w:rPr>
                  </w:pPr>
                  <w:r>
                    <w:rPr>
                      <w:rFonts w:hint="eastAsia" w:ascii="宋体" w:hAnsi="宋体" w:eastAsia="宋体" w:cs="宋体"/>
                      <w:sz w:val="22"/>
                      <w:szCs w:val="22"/>
                    </w:rPr>
                    <w:t>0.45%</w:t>
                  </w:r>
                </w:p>
              </w:tc>
              <w:tc>
                <w:tcPr>
                  <w:tcW w:w="1296" w:type="dxa"/>
                  <w:tcBorders>
                    <w:top w:val="single" w:color="auto" w:sz="4" w:space="0"/>
                    <w:left w:val="single" w:color="auto" w:sz="4" w:space="0"/>
                    <w:bottom w:val="single" w:color="auto" w:sz="4" w:space="0"/>
                    <w:right w:val="single" w:color="auto" w:sz="12" w:space="0"/>
                  </w:tcBorders>
                  <w:vAlign w:val="center"/>
                </w:tcPr>
                <w:p w14:paraId="3ECAAD86">
                  <w:pPr>
                    <w:adjustRightInd w:val="0"/>
                    <w:snapToGrid w:val="0"/>
                    <w:spacing w:line="264" w:lineRule="auto"/>
                    <w:ind w:right="26"/>
                    <w:jc w:val="center"/>
                    <w:rPr>
                      <w:rFonts w:hint="eastAsia" w:ascii="宋体" w:hAnsi="宋体" w:eastAsia="宋体" w:cs="宋体"/>
                      <w:sz w:val="22"/>
                      <w:szCs w:val="22"/>
                    </w:rPr>
                  </w:pPr>
                  <w:r>
                    <w:rPr>
                      <w:rFonts w:hint="eastAsia" w:ascii="宋体" w:hAnsi="宋体" w:eastAsia="宋体" w:cs="宋体"/>
                      <w:sz w:val="22"/>
                      <w:szCs w:val="22"/>
                    </w:rPr>
                    <w:t>0.55%</w:t>
                  </w:r>
                </w:p>
              </w:tc>
            </w:tr>
            <w:tr w14:paraId="33212AC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827" w:type="dxa"/>
                  <w:tcBorders>
                    <w:top w:val="single" w:color="auto" w:sz="4" w:space="0"/>
                    <w:left w:val="single" w:color="auto" w:sz="12" w:space="0"/>
                    <w:bottom w:val="single" w:color="auto" w:sz="4" w:space="0"/>
                    <w:right w:val="single" w:color="auto" w:sz="4" w:space="0"/>
                  </w:tcBorders>
                  <w:vAlign w:val="center"/>
                </w:tcPr>
                <w:p w14:paraId="09CCEF0D">
                  <w:pPr>
                    <w:adjustRightInd w:val="0"/>
                    <w:snapToGrid w:val="0"/>
                    <w:spacing w:line="264" w:lineRule="auto"/>
                    <w:ind w:right="26"/>
                    <w:jc w:val="left"/>
                    <w:rPr>
                      <w:rFonts w:hint="eastAsia" w:ascii="宋体" w:hAnsi="宋体" w:eastAsia="宋体" w:cs="宋体"/>
                      <w:sz w:val="22"/>
                      <w:szCs w:val="22"/>
                    </w:rPr>
                  </w:pPr>
                  <w:r>
                    <w:rPr>
                      <w:rFonts w:hint="eastAsia" w:ascii="宋体" w:hAnsi="宋体" w:eastAsia="宋体" w:cs="宋体"/>
                      <w:sz w:val="22"/>
                      <w:szCs w:val="22"/>
                    </w:rPr>
                    <w:t>1000万元（含）-5000万元</w:t>
                  </w:r>
                </w:p>
              </w:tc>
              <w:tc>
                <w:tcPr>
                  <w:tcW w:w="1172" w:type="dxa"/>
                  <w:tcBorders>
                    <w:top w:val="single" w:color="auto" w:sz="4" w:space="0"/>
                    <w:left w:val="single" w:color="auto" w:sz="4" w:space="0"/>
                    <w:bottom w:val="single" w:color="auto" w:sz="4" w:space="0"/>
                    <w:right w:val="single" w:color="auto" w:sz="4" w:space="0"/>
                  </w:tcBorders>
                  <w:vAlign w:val="center"/>
                </w:tcPr>
                <w:p w14:paraId="1890E566">
                  <w:pPr>
                    <w:adjustRightInd w:val="0"/>
                    <w:snapToGrid w:val="0"/>
                    <w:spacing w:line="264" w:lineRule="auto"/>
                    <w:ind w:right="26"/>
                    <w:jc w:val="center"/>
                    <w:rPr>
                      <w:rFonts w:hint="eastAsia" w:ascii="宋体" w:hAnsi="宋体" w:eastAsia="宋体" w:cs="宋体"/>
                      <w:sz w:val="22"/>
                      <w:szCs w:val="22"/>
                    </w:rPr>
                  </w:pPr>
                  <w:r>
                    <w:rPr>
                      <w:rFonts w:hint="eastAsia" w:ascii="宋体" w:hAnsi="宋体" w:eastAsia="宋体" w:cs="宋体"/>
                      <w:sz w:val="22"/>
                      <w:szCs w:val="22"/>
                    </w:rPr>
                    <w:t>0.5%</w:t>
                  </w:r>
                </w:p>
              </w:tc>
              <w:tc>
                <w:tcPr>
                  <w:tcW w:w="1460" w:type="dxa"/>
                  <w:tcBorders>
                    <w:top w:val="single" w:color="auto" w:sz="4" w:space="0"/>
                    <w:left w:val="single" w:color="auto" w:sz="4" w:space="0"/>
                    <w:bottom w:val="single" w:color="auto" w:sz="4" w:space="0"/>
                    <w:right w:val="single" w:color="auto" w:sz="4" w:space="0"/>
                  </w:tcBorders>
                  <w:vAlign w:val="center"/>
                </w:tcPr>
                <w:p w14:paraId="594A78A9">
                  <w:pPr>
                    <w:adjustRightInd w:val="0"/>
                    <w:snapToGrid w:val="0"/>
                    <w:spacing w:line="264" w:lineRule="auto"/>
                    <w:ind w:right="26"/>
                    <w:jc w:val="center"/>
                    <w:rPr>
                      <w:rFonts w:hint="eastAsia" w:ascii="宋体" w:hAnsi="宋体" w:eastAsia="宋体" w:cs="宋体"/>
                      <w:sz w:val="22"/>
                      <w:szCs w:val="22"/>
                    </w:rPr>
                  </w:pPr>
                  <w:r>
                    <w:rPr>
                      <w:rFonts w:hint="eastAsia" w:ascii="宋体" w:hAnsi="宋体" w:eastAsia="宋体" w:cs="宋体"/>
                      <w:sz w:val="22"/>
                      <w:szCs w:val="22"/>
                    </w:rPr>
                    <w:t>0.25%</w:t>
                  </w:r>
                </w:p>
              </w:tc>
              <w:tc>
                <w:tcPr>
                  <w:tcW w:w="1296" w:type="dxa"/>
                  <w:tcBorders>
                    <w:top w:val="single" w:color="auto" w:sz="4" w:space="0"/>
                    <w:left w:val="single" w:color="auto" w:sz="4" w:space="0"/>
                    <w:bottom w:val="single" w:color="auto" w:sz="4" w:space="0"/>
                    <w:right w:val="single" w:color="auto" w:sz="12" w:space="0"/>
                  </w:tcBorders>
                  <w:vAlign w:val="center"/>
                </w:tcPr>
                <w:p w14:paraId="3EA31A5F">
                  <w:pPr>
                    <w:adjustRightInd w:val="0"/>
                    <w:snapToGrid w:val="0"/>
                    <w:spacing w:line="264" w:lineRule="auto"/>
                    <w:ind w:right="26"/>
                    <w:jc w:val="center"/>
                    <w:rPr>
                      <w:rFonts w:hint="eastAsia" w:ascii="宋体" w:hAnsi="宋体" w:eastAsia="宋体" w:cs="宋体"/>
                      <w:sz w:val="22"/>
                      <w:szCs w:val="22"/>
                    </w:rPr>
                  </w:pPr>
                  <w:r>
                    <w:rPr>
                      <w:rFonts w:hint="eastAsia" w:ascii="宋体" w:hAnsi="宋体" w:eastAsia="宋体" w:cs="宋体"/>
                      <w:sz w:val="22"/>
                      <w:szCs w:val="22"/>
                    </w:rPr>
                    <w:t>0.35%</w:t>
                  </w:r>
                </w:p>
              </w:tc>
            </w:tr>
            <w:tr w14:paraId="5242015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827" w:type="dxa"/>
                  <w:tcBorders>
                    <w:top w:val="single" w:color="auto" w:sz="4" w:space="0"/>
                    <w:left w:val="single" w:color="auto" w:sz="12" w:space="0"/>
                    <w:bottom w:val="single" w:color="auto" w:sz="4" w:space="0"/>
                    <w:right w:val="single" w:color="auto" w:sz="4" w:space="0"/>
                  </w:tcBorders>
                  <w:vAlign w:val="center"/>
                </w:tcPr>
                <w:p w14:paraId="1653085A">
                  <w:pPr>
                    <w:adjustRightInd w:val="0"/>
                    <w:snapToGrid w:val="0"/>
                    <w:spacing w:line="264" w:lineRule="auto"/>
                    <w:ind w:right="26"/>
                    <w:jc w:val="left"/>
                    <w:rPr>
                      <w:rFonts w:hint="eastAsia" w:ascii="宋体" w:hAnsi="宋体" w:eastAsia="宋体" w:cs="宋体"/>
                      <w:sz w:val="22"/>
                      <w:szCs w:val="22"/>
                    </w:rPr>
                  </w:pPr>
                  <w:r>
                    <w:rPr>
                      <w:rFonts w:hint="eastAsia" w:ascii="宋体" w:hAnsi="宋体" w:eastAsia="宋体" w:cs="宋体"/>
                      <w:sz w:val="22"/>
                      <w:szCs w:val="22"/>
                    </w:rPr>
                    <w:t>5000万元（含）-1亿元</w:t>
                  </w:r>
                </w:p>
              </w:tc>
              <w:tc>
                <w:tcPr>
                  <w:tcW w:w="1172" w:type="dxa"/>
                  <w:tcBorders>
                    <w:top w:val="single" w:color="auto" w:sz="4" w:space="0"/>
                    <w:left w:val="single" w:color="auto" w:sz="4" w:space="0"/>
                    <w:bottom w:val="single" w:color="auto" w:sz="4" w:space="0"/>
                    <w:right w:val="single" w:color="auto" w:sz="4" w:space="0"/>
                  </w:tcBorders>
                  <w:vAlign w:val="center"/>
                </w:tcPr>
                <w:p w14:paraId="42516726">
                  <w:pPr>
                    <w:adjustRightInd w:val="0"/>
                    <w:snapToGrid w:val="0"/>
                    <w:spacing w:line="264" w:lineRule="auto"/>
                    <w:ind w:right="26"/>
                    <w:jc w:val="center"/>
                    <w:rPr>
                      <w:rFonts w:hint="eastAsia" w:ascii="宋体" w:hAnsi="宋体" w:eastAsia="宋体" w:cs="宋体"/>
                      <w:sz w:val="22"/>
                      <w:szCs w:val="22"/>
                    </w:rPr>
                  </w:pPr>
                  <w:r>
                    <w:rPr>
                      <w:rFonts w:hint="eastAsia" w:ascii="宋体" w:hAnsi="宋体" w:eastAsia="宋体" w:cs="宋体"/>
                      <w:sz w:val="22"/>
                      <w:szCs w:val="22"/>
                    </w:rPr>
                    <w:t>0.25%</w:t>
                  </w:r>
                </w:p>
              </w:tc>
              <w:tc>
                <w:tcPr>
                  <w:tcW w:w="1460" w:type="dxa"/>
                  <w:tcBorders>
                    <w:top w:val="single" w:color="auto" w:sz="4" w:space="0"/>
                    <w:left w:val="single" w:color="auto" w:sz="4" w:space="0"/>
                    <w:bottom w:val="single" w:color="auto" w:sz="4" w:space="0"/>
                    <w:right w:val="single" w:color="auto" w:sz="4" w:space="0"/>
                  </w:tcBorders>
                  <w:vAlign w:val="center"/>
                </w:tcPr>
                <w:p w14:paraId="13CB4E0A">
                  <w:pPr>
                    <w:adjustRightInd w:val="0"/>
                    <w:snapToGrid w:val="0"/>
                    <w:spacing w:line="264" w:lineRule="auto"/>
                    <w:ind w:right="26"/>
                    <w:jc w:val="center"/>
                    <w:rPr>
                      <w:rFonts w:hint="eastAsia" w:ascii="宋体" w:hAnsi="宋体" w:eastAsia="宋体" w:cs="宋体"/>
                      <w:sz w:val="22"/>
                      <w:szCs w:val="22"/>
                    </w:rPr>
                  </w:pPr>
                  <w:r>
                    <w:rPr>
                      <w:rFonts w:hint="eastAsia" w:ascii="宋体" w:hAnsi="宋体" w:eastAsia="宋体" w:cs="宋体"/>
                      <w:sz w:val="22"/>
                      <w:szCs w:val="22"/>
                    </w:rPr>
                    <w:t>0.1%</w:t>
                  </w:r>
                </w:p>
              </w:tc>
              <w:tc>
                <w:tcPr>
                  <w:tcW w:w="1296" w:type="dxa"/>
                  <w:tcBorders>
                    <w:top w:val="single" w:color="auto" w:sz="4" w:space="0"/>
                    <w:left w:val="single" w:color="auto" w:sz="4" w:space="0"/>
                    <w:bottom w:val="single" w:color="auto" w:sz="4" w:space="0"/>
                    <w:right w:val="single" w:color="auto" w:sz="12" w:space="0"/>
                  </w:tcBorders>
                  <w:vAlign w:val="center"/>
                </w:tcPr>
                <w:p w14:paraId="5A9ED2A2">
                  <w:pPr>
                    <w:adjustRightInd w:val="0"/>
                    <w:snapToGrid w:val="0"/>
                    <w:spacing w:line="264" w:lineRule="auto"/>
                    <w:ind w:right="26"/>
                    <w:jc w:val="center"/>
                    <w:rPr>
                      <w:rFonts w:hint="eastAsia" w:ascii="宋体" w:hAnsi="宋体" w:eastAsia="宋体" w:cs="宋体"/>
                      <w:sz w:val="22"/>
                      <w:szCs w:val="22"/>
                    </w:rPr>
                  </w:pPr>
                  <w:r>
                    <w:rPr>
                      <w:rFonts w:hint="eastAsia" w:ascii="宋体" w:hAnsi="宋体" w:eastAsia="宋体" w:cs="宋体"/>
                      <w:sz w:val="22"/>
                      <w:szCs w:val="22"/>
                    </w:rPr>
                    <w:t>0.2%</w:t>
                  </w:r>
                </w:p>
              </w:tc>
            </w:tr>
            <w:tr w14:paraId="1EB63B8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827" w:type="dxa"/>
                  <w:tcBorders>
                    <w:top w:val="single" w:color="auto" w:sz="4" w:space="0"/>
                    <w:left w:val="single" w:color="auto" w:sz="12" w:space="0"/>
                    <w:bottom w:val="single" w:color="auto" w:sz="4" w:space="0"/>
                    <w:right w:val="single" w:color="auto" w:sz="4" w:space="0"/>
                  </w:tcBorders>
                  <w:vAlign w:val="center"/>
                </w:tcPr>
                <w:p w14:paraId="03A5A096">
                  <w:pPr>
                    <w:adjustRightInd w:val="0"/>
                    <w:snapToGrid w:val="0"/>
                    <w:spacing w:line="264" w:lineRule="auto"/>
                    <w:ind w:right="26"/>
                    <w:jc w:val="left"/>
                    <w:rPr>
                      <w:rFonts w:hint="eastAsia" w:ascii="宋体" w:hAnsi="宋体" w:eastAsia="宋体" w:cs="宋体"/>
                      <w:sz w:val="22"/>
                      <w:szCs w:val="22"/>
                    </w:rPr>
                  </w:pPr>
                  <w:r>
                    <w:rPr>
                      <w:rFonts w:hint="eastAsia" w:ascii="宋体" w:hAnsi="宋体" w:eastAsia="宋体" w:cs="宋体"/>
                      <w:sz w:val="22"/>
                      <w:szCs w:val="22"/>
                    </w:rPr>
                    <w:t>1亿元（含）-5亿元</w:t>
                  </w:r>
                </w:p>
              </w:tc>
              <w:tc>
                <w:tcPr>
                  <w:tcW w:w="1172" w:type="dxa"/>
                  <w:tcBorders>
                    <w:top w:val="single" w:color="auto" w:sz="4" w:space="0"/>
                    <w:left w:val="single" w:color="auto" w:sz="4" w:space="0"/>
                    <w:bottom w:val="single" w:color="auto" w:sz="4" w:space="0"/>
                    <w:right w:val="single" w:color="auto" w:sz="4" w:space="0"/>
                  </w:tcBorders>
                  <w:vAlign w:val="center"/>
                </w:tcPr>
                <w:p w14:paraId="624D39FE">
                  <w:pPr>
                    <w:adjustRightInd w:val="0"/>
                    <w:snapToGrid w:val="0"/>
                    <w:spacing w:line="264" w:lineRule="auto"/>
                    <w:ind w:right="26"/>
                    <w:jc w:val="center"/>
                    <w:rPr>
                      <w:rFonts w:hint="eastAsia" w:ascii="宋体" w:hAnsi="宋体" w:eastAsia="宋体" w:cs="宋体"/>
                      <w:sz w:val="22"/>
                      <w:szCs w:val="22"/>
                    </w:rPr>
                  </w:pPr>
                  <w:r>
                    <w:rPr>
                      <w:rFonts w:hint="eastAsia" w:ascii="宋体" w:hAnsi="宋体" w:eastAsia="宋体" w:cs="宋体"/>
                      <w:sz w:val="22"/>
                      <w:szCs w:val="22"/>
                    </w:rPr>
                    <w:t>0.05%</w:t>
                  </w:r>
                </w:p>
              </w:tc>
              <w:tc>
                <w:tcPr>
                  <w:tcW w:w="1460" w:type="dxa"/>
                  <w:tcBorders>
                    <w:top w:val="single" w:color="auto" w:sz="4" w:space="0"/>
                    <w:left w:val="single" w:color="auto" w:sz="4" w:space="0"/>
                    <w:bottom w:val="single" w:color="auto" w:sz="4" w:space="0"/>
                    <w:right w:val="single" w:color="auto" w:sz="4" w:space="0"/>
                  </w:tcBorders>
                  <w:vAlign w:val="center"/>
                </w:tcPr>
                <w:p w14:paraId="7CF3600E">
                  <w:pPr>
                    <w:adjustRightInd w:val="0"/>
                    <w:snapToGrid w:val="0"/>
                    <w:spacing w:line="264" w:lineRule="auto"/>
                    <w:ind w:right="26"/>
                    <w:jc w:val="center"/>
                    <w:rPr>
                      <w:rFonts w:hint="eastAsia" w:ascii="宋体" w:hAnsi="宋体" w:eastAsia="宋体" w:cs="宋体"/>
                      <w:sz w:val="22"/>
                      <w:szCs w:val="22"/>
                    </w:rPr>
                  </w:pPr>
                  <w:r>
                    <w:rPr>
                      <w:rFonts w:hint="eastAsia" w:ascii="宋体" w:hAnsi="宋体" w:eastAsia="宋体" w:cs="宋体"/>
                      <w:sz w:val="22"/>
                      <w:szCs w:val="22"/>
                    </w:rPr>
                    <w:t>0.05%</w:t>
                  </w:r>
                </w:p>
              </w:tc>
              <w:tc>
                <w:tcPr>
                  <w:tcW w:w="1296" w:type="dxa"/>
                  <w:tcBorders>
                    <w:top w:val="single" w:color="auto" w:sz="4" w:space="0"/>
                    <w:left w:val="single" w:color="auto" w:sz="4" w:space="0"/>
                    <w:bottom w:val="single" w:color="auto" w:sz="4" w:space="0"/>
                    <w:right w:val="single" w:color="auto" w:sz="12" w:space="0"/>
                  </w:tcBorders>
                  <w:vAlign w:val="center"/>
                </w:tcPr>
                <w:p w14:paraId="1C19CB11">
                  <w:pPr>
                    <w:adjustRightInd w:val="0"/>
                    <w:snapToGrid w:val="0"/>
                    <w:spacing w:line="264" w:lineRule="auto"/>
                    <w:ind w:right="26"/>
                    <w:jc w:val="center"/>
                    <w:rPr>
                      <w:rFonts w:hint="eastAsia" w:ascii="宋体" w:hAnsi="宋体" w:eastAsia="宋体" w:cs="宋体"/>
                      <w:sz w:val="22"/>
                      <w:szCs w:val="22"/>
                    </w:rPr>
                  </w:pPr>
                  <w:r>
                    <w:rPr>
                      <w:rFonts w:hint="eastAsia" w:ascii="宋体" w:hAnsi="宋体" w:eastAsia="宋体" w:cs="宋体"/>
                      <w:sz w:val="22"/>
                      <w:szCs w:val="22"/>
                    </w:rPr>
                    <w:t>0.05%</w:t>
                  </w:r>
                </w:p>
              </w:tc>
            </w:tr>
            <w:tr w14:paraId="6A97F61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827" w:type="dxa"/>
                  <w:tcBorders>
                    <w:top w:val="single" w:color="auto" w:sz="4" w:space="0"/>
                    <w:left w:val="single" w:color="auto" w:sz="12" w:space="0"/>
                    <w:bottom w:val="single" w:color="auto" w:sz="4" w:space="0"/>
                    <w:right w:val="single" w:color="auto" w:sz="4" w:space="0"/>
                  </w:tcBorders>
                  <w:vAlign w:val="center"/>
                </w:tcPr>
                <w:p w14:paraId="6C8AE005">
                  <w:pPr>
                    <w:adjustRightInd w:val="0"/>
                    <w:snapToGrid w:val="0"/>
                    <w:spacing w:line="264" w:lineRule="auto"/>
                    <w:ind w:right="26"/>
                    <w:jc w:val="left"/>
                    <w:rPr>
                      <w:rFonts w:hint="eastAsia" w:ascii="宋体" w:hAnsi="宋体" w:eastAsia="宋体" w:cs="宋体"/>
                      <w:sz w:val="22"/>
                      <w:szCs w:val="22"/>
                    </w:rPr>
                  </w:pPr>
                  <w:r>
                    <w:rPr>
                      <w:rFonts w:hint="eastAsia" w:ascii="宋体" w:hAnsi="宋体" w:eastAsia="宋体" w:cs="宋体"/>
                      <w:sz w:val="22"/>
                      <w:szCs w:val="22"/>
                    </w:rPr>
                    <w:t>5亿元（含）-10亿元</w:t>
                  </w:r>
                </w:p>
              </w:tc>
              <w:tc>
                <w:tcPr>
                  <w:tcW w:w="1172" w:type="dxa"/>
                  <w:tcBorders>
                    <w:top w:val="single" w:color="auto" w:sz="4" w:space="0"/>
                    <w:left w:val="single" w:color="auto" w:sz="4" w:space="0"/>
                    <w:bottom w:val="single" w:color="auto" w:sz="4" w:space="0"/>
                    <w:right w:val="single" w:color="auto" w:sz="4" w:space="0"/>
                  </w:tcBorders>
                  <w:vAlign w:val="center"/>
                </w:tcPr>
                <w:p w14:paraId="7CC10EAB">
                  <w:pPr>
                    <w:adjustRightInd w:val="0"/>
                    <w:snapToGrid w:val="0"/>
                    <w:spacing w:line="264" w:lineRule="auto"/>
                    <w:ind w:right="26"/>
                    <w:jc w:val="center"/>
                    <w:rPr>
                      <w:rFonts w:hint="eastAsia" w:ascii="宋体" w:hAnsi="宋体" w:eastAsia="宋体" w:cs="宋体"/>
                      <w:sz w:val="22"/>
                      <w:szCs w:val="22"/>
                    </w:rPr>
                  </w:pPr>
                  <w:r>
                    <w:rPr>
                      <w:rFonts w:hint="eastAsia" w:ascii="宋体" w:hAnsi="宋体" w:eastAsia="宋体" w:cs="宋体"/>
                      <w:sz w:val="22"/>
                      <w:szCs w:val="22"/>
                    </w:rPr>
                    <w:t>0.035%</w:t>
                  </w:r>
                </w:p>
              </w:tc>
              <w:tc>
                <w:tcPr>
                  <w:tcW w:w="1460" w:type="dxa"/>
                  <w:tcBorders>
                    <w:top w:val="single" w:color="auto" w:sz="4" w:space="0"/>
                    <w:left w:val="single" w:color="auto" w:sz="4" w:space="0"/>
                    <w:bottom w:val="single" w:color="auto" w:sz="4" w:space="0"/>
                    <w:right w:val="single" w:color="auto" w:sz="4" w:space="0"/>
                  </w:tcBorders>
                  <w:vAlign w:val="center"/>
                </w:tcPr>
                <w:p w14:paraId="7715B866">
                  <w:pPr>
                    <w:adjustRightInd w:val="0"/>
                    <w:snapToGrid w:val="0"/>
                    <w:spacing w:line="264" w:lineRule="auto"/>
                    <w:ind w:right="26"/>
                    <w:jc w:val="center"/>
                    <w:rPr>
                      <w:rFonts w:hint="eastAsia" w:ascii="宋体" w:hAnsi="宋体" w:eastAsia="宋体" w:cs="宋体"/>
                      <w:sz w:val="22"/>
                      <w:szCs w:val="22"/>
                    </w:rPr>
                  </w:pPr>
                  <w:r>
                    <w:rPr>
                      <w:rFonts w:hint="eastAsia" w:ascii="宋体" w:hAnsi="宋体" w:eastAsia="宋体" w:cs="宋体"/>
                      <w:sz w:val="22"/>
                      <w:szCs w:val="22"/>
                    </w:rPr>
                    <w:t>0.035%</w:t>
                  </w:r>
                </w:p>
              </w:tc>
              <w:tc>
                <w:tcPr>
                  <w:tcW w:w="1296" w:type="dxa"/>
                  <w:tcBorders>
                    <w:top w:val="single" w:color="auto" w:sz="4" w:space="0"/>
                    <w:left w:val="single" w:color="auto" w:sz="4" w:space="0"/>
                    <w:bottom w:val="single" w:color="auto" w:sz="4" w:space="0"/>
                    <w:right w:val="single" w:color="auto" w:sz="12" w:space="0"/>
                  </w:tcBorders>
                  <w:vAlign w:val="center"/>
                </w:tcPr>
                <w:p w14:paraId="1D5F55D3">
                  <w:pPr>
                    <w:adjustRightInd w:val="0"/>
                    <w:snapToGrid w:val="0"/>
                    <w:spacing w:line="264" w:lineRule="auto"/>
                    <w:ind w:right="26"/>
                    <w:jc w:val="center"/>
                    <w:rPr>
                      <w:rFonts w:hint="eastAsia" w:ascii="宋体" w:hAnsi="宋体" w:eastAsia="宋体" w:cs="宋体"/>
                      <w:sz w:val="22"/>
                      <w:szCs w:val="22"/>
                    </w:rPr>
                  </w:pPr>
                  <w:r>
                    <w:rPr>
                      <w:rFonts w:hint="eastAsia" w:ascii="宋体" w:hAnsi="宋体" w:eastAsia="宋体" w:cs="宋体"/>
                      <w:sz w:val="22"/>
                      <w:szCs w:val="22"/>
                    </w:rPr>
                    <w:t>0.035%</w:t>
                  </w:r>
                </w:p>
              </w:tc>
            </w:tr>
            <w:tr w14:paraId="799333D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827" w:type="dxa"/>
                  <w:tcBorders>
                    <w:top w:val="single" w:color="auto" w:sz="4" w:space="0"/>
                    <w:left w:val="single" w:color="auto" w:sz="12" w:space="0"/>
                    <w:bottom w:val="single" w:color="auto" w:sz="4" w:space="0"/>
                    <w:right w:val="single" w:color="auto" w:sz="4" w:space="0"/>
                  </w:tcBorders>
                  <w:vAlign w:val="center"/>
                </w:tcPr>
                <w:p w14:paraId="7B7B99B6">
                  <w:pPr>
                    <w:adjustRightInd w:val="0"/>
                    <w:snapToGrid w:val="0"/>
                    <w:spacing w:line="264" w:lineRule="auto"/>
                    <w:ind w:right="26"/>
                    <w:jc w:val="left"/>
                    <w:rPr>
                      <w:rFonts w:hint="eastAsia" w:ascii="宋体" w:hAnsi="宋体" w:eastAsia="宋体" w:cs="宋体"/>
                      <w:sz w:val="22"/>
                      <w:szCs w:val="22"/>
                    </w:rPr>
                  </w:pPr>
                  <w:r>
                    <w:rPr>
                      <w:rFonts w:hint="eastAsia" w:ascii="宋体" w:hAnsi="宋体" w:eastAsia="宋体" w:cs="宋体"/>
                      <w:sz w:val="22"/>
                      <w:szCs w:val="22"/>
                    </w:rPr>
                    <w:t>10亿元（含）-50亿元</w:t>
                  </w:r>
                </w:p>
              </w:tc>
              <w:tc>
                <w:tcPr>
                  <w:tcW w:w="1172" w:type="dxa"/>
                  <w:tcBorders>
                    <w:top w:val="single" w:color="auto" w:sz="4" w:space="0"/>
                    <w:left w:val="single" w:color="auto" w:sz="4" w:space="0"/>
                    <w:bottom w:val="single" w:color="auto" w:sz="4" w:space="0"/>
                    <w:right w:val="single" w:color="auto" w:sz="4" w:space="0"/>
                  </w:tcBorders>
                  <w:vAlign w:val="center"/>
                </w:tcPr>
                <w:p w14:paraId="3323D660">
                  <w:pPr>
                    <w:adjustRightInd w:val="0"/>
                    <w:snapToGrid w:val="0"/>
                    <w:spacing w:line="264" w:lineRule="auto"/>
                    <w:ind w:right="26"/>
                    <w:jc w:val="center"/>
                    <w:rPr>
                      <w:rFonts w:hint="eastAsia" w:ascii="宋体" w:hAnsi="宋体" w:eastAsia="宋体" w:cs="宋体"/>
                      <w:sz w:val="22"/>
                      <w:szCs w:val="22"/>
                    </w:rPr>
                  </w:pPr>
                  <w:r>
                    <w:rPr>
                      <w:rFonts w:hint="eastAsia" w:ascii="宋体" w:hAnsi="宋体" w:eastAsia="宋体" w:cs="宋体"/>
                      <w:sz w:val="22"/>
                      <w:szCs w:val="22"/>
                    </w:rPr>
                    <w:t>0.008%</w:t>
                  </w:r>
                </w:p>
              </w:tc>
              <w:tc>
                <w:tcPr>
                  <w:tcW w:w="1460" w:type="dxa"/>
                  <w:tcBorders>
                    <w:top w:val="single" w:color="auto" w:sz="4" w:space="0"/>
                    <w:left w:val="single" w:color="auto" w:sz="4" w:space="0"/>
                    <w:bottom w:val="single" w:color="auto" w:sz="4" w:space="0"/>
                    <w:right w:val="single" w:color="auto" w:sz="4" w:space="0"/>
                  </w:tcBorders>
                  <w:vAlign w:val="center"/>
                </w:tcPr>
                <w:p w14:paraId="052A309E">
                  <w:pPr>
                    <w:adjustRightInd w:val="0"/>
                    <w:snapToGrid w:val="0"/>
                    <w:spacing w:line="264" w:lineRule="auto"/>
                    <w:ind w:right="26"/>
                    <w:jc w:val="center"/>
                    <w:rPr>
                      <w:rFonts w:hint="eastAsia" w:ascii="宋体" w:hAnsi="宋体" w:eastAsia="宋体" w:cs="宋体"/>
                      <w:sz w:val="22"/>
                      <w:szCs w:val="22"/>
                    </w:rPr>
                  </w:pPr>
                  <w:r>
                    <w:rPr>
                      <w:rFonts w:hint="eastAsia" w:ascii="宋体" w:hAnsi="宋体" w:eastAsia="宋体" w:cs="宋体"/>
                      <w:sz w:val="22"/>
                      <w:szCs w:val="22"/>
                    </w:rPr>
                    <w:t>0.008%</w:t>
                  </w:r>
                </w:p>
              </w:tc>
              <w:tc>
                <w:tcPr>
                  <w:tcW w:w="1296" w:type="dxa"/>
                  <w:tcBorders>
                    <w:top w:val="single" w:color="auto" w:sz="4" w:space="0"/>
                    <w:left w:val="single" w:color="auto" w:sz="4" w:space="0"/>
                    <w:bottom w:val="single" w:color="auto" w:sz="4" w:space="0"/>
                    <w:right w:val="single" w:color="auto" w:sz="12" w:space="0"/>
                  </w:tcBorders>
                  <w:vAlign w:val="center"/>
                </w:tcPr>
                <w:p w14:paraId="58AE91C9">
                  <w:pPr>
                    <w:adjustRightInd w:val="0"/>
                    <w:snapToGrid w:val="0"/>
                    <w:spacing w:line="264" w:lineRule="auto"/>
                    <w:ind w:right="26"/>
                    <w:jc w:val="center"/>
                    <w:rPr>
                      <w:rFonts w:hint="eastAsia" w:ascii="宋体" w:hAnsi="宋体" w:eastAsia="宋体" w:cs="宋体"/>
                      <w:sz w:val="22"/>
                      <w:szCs w:val="22"/>
                    </w:rPr>
                  </w:pPr>
                  <w:r>
                    <w:rPr>
                      <w:rFonts w:hint="eastAsia" w:ascii="宋体" w:hAnsi="宋体" w:eastAsia="宋体" w:cs="宋体"/>
                      <w:sz w:val="22"/>
                      <w:szCs w:val="22"/>
                    </w:rPr>
                    <w:t>0.008%</w:t>
                  </w:r>
                </w:p>
              </w:tc>
            </w:tr>
            <w:tr w14:paraId="21740F4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827" w:type="dxa"/>
                  <w:tcBorders>
                    <w:top w:val="single" w:color="auto" w:sz="4" w:space="0"/>
                    <w:left w:val="single" w:color="auto" w:sz="12" w:space="0"/>
                    <w:bottom w:val="single" w:color="auto" w:sz="4" w:space="0"/>
                    <w:right w:val="single" w:color="auto" w:sz="4" w:space="0"/>
                  </w:tcBorders>
                  <w:vAlign w:val="center"/>
                </w:tcPr>
                <w:p w14:paraId="12399BFF">
                  <w:pPr>
                    <w:adjustRightInd w:val="0"/>
                    <w:snapToGrid w:val="0"/>
                    <w:spacing w:line="264" w:lineRule="auto"/>
                    <w:ind w:right="26"/>
                    <w:jc w:val="left"/>
                    <w:rPr>
                      <w:rFonts w:hint="eastAsia" w:ascii="宋体" w:hAnsi="宋体" w:eastAsia="宋体" w:cs="宋体"/>
                      <w:sz w:val="22"/>
                      <w:szCs w:val="22"/>
                    </w:rPr>
                  </w:pPr>
                  <w:r>
                    <w:rPr>
                      <w:rFonts w:hint="eastAsia" w:ascii="宋体" w:hAnsi="宋体" w:eastAsia="宋体" w:cs="宋体"/>
                      <w:sz w:val="22"/>
                      <w:szCs w:val="22"/>
                    </w:rPr>
                    <w:t>50亿元（含）-100亿元</w:t>
                  </w:r>
                </w:p>
              </w:tc>
              <w:tc>
                <w:tcPr>
                  <w:tcW w:w="1172" w:type="dxa"/>
                  <w:tcBorders>
                    <w:top w:val="single" w:color="auto" w:sz="4" w:space="0"/>
                    <w:left w:val="single" w:color="auto" w:sz="4" w:space="0"/>
                    <w:bottom w:val="single" w:color="auto" w:sz="4" w:space="0"/>
                    <w:right w:val="single" w:color="auto" w:sz="4" w:space="0"/>
                  </w:tcBorders>
                  <w:vAlign w:val="center"/>
                </w:tcPr>
                <w:p w14:paraId="08963F47">
                  <w:pPr>
                    <w:adjustRightInd w:val="0"/>
                    <w:snapToGrid w:val="0"/>
                    <w:spacing w:line="264" w:lineRule="auto"/>
                    <w:ind w:right="26"/>
                    <w:jc w:val="center"/>
                    <w:rPr>
                      <w:rFonts w:hint="eastAsia" w:ascii="宋体" w:hAnsi="宋体" w:eastAsia="宋体" w:cs="宋体"/>
                      <w:sz w:val="22"/>
                      <w:szCs w:val="22"/>
                    </w:rPr>
                  </w:pPr>
                  <w:r>
                    <w:rPr>
                      <w:rFonts w:hint="eastAsia" w:ascii="宋体" w:hAnsi="宋体" w:eastAsia="宋体" w:cs="宋体"/>
                      <w:sz w:val="22"/>
                      <w:szCs w:val="22"/>
                    </w:rPr>
                    <w:t>0.006%</w:t>
                  </w:r>
                </w:p>
              </w:tc>
              <w:tc>
                <w:tcPr>
                  <w:tcW w:w="1460" w:type="dxa"/>
                  <w:tcBorders>
                    <w:top w:val="single" w:color="auto" w:sz="4" w:space="0"/>
                    <w:left w:val="single" w:color="auto" w:sz="4" w:space="0"/>
                    <w:bottom w:val="single" w:color="auto" w:sz="4" w:space="0"/>
                    <w:right w:val="single" w:color="auto" w:sz="4" w:space="0"/>
                  </w:tcBorders>
                  <w:vAlign w:val="center"/>
                </w:tcPr>
                <w:p w14:paraId="5611DAD4">
                  <w:pPr>
                    <w:adjustRightInd w:val="0"/>
                    <w:snapToGrid w:val="0"/>
                    <w:spacing w:line="264" w:lineRule="auto"/>
                    <w:ind w:right="26"/>
                    <w:jc w:val="center"/>
                    <w:rPr>
                      <w:rFonts w:hint="eastAsia" w:ascii="宋体" w:hAnsi="宋体" w:eastAsia="宋体" w:cs="宋体"/>
                      <w:sz w:val="22"/>
                      <w:szCs w:val="22"/>
                    </w:rPr>
                  </w:pPr>
                  <w:r>
                    <w:rPr>
                      <w:rFonts w:hint="eastAsia" w:ascii="宋体" w:hAnsi="宋体" w:eastAsia="宋体" w:cs="宋体"/>
                      <w:sz w:val="22"/>
                      <w:szCs w:val="22"/>
                    </w:rPr>
                    <w:t>0.006%</w:t>
                  </w:r>
                </w:p>
              </w:tc>
              <w:tc>
                <w:tcPr>
                  <w:tcW w:w="1296" w:type="dxa"/>
                  <w:tcBorders>
                    <w:top w:val="single" w:color="auto" w:sz="4" w:space="0"/>
                    <w:left w:val="single" w:color="auto" w:sz="4" w:space="0"/>
                    <w:bottom w:val="single" w:color="auto" w:sz="4" w:space="0"/>
                    <w:right w:val="single" w:color="auto" w:sz="12" w:space="0"/>
                  </w:tcBorders>
                  <w:vAlign w:val="center"/>
                </w:tcPr>
                <w:p w14:paraId="7D2F3131">
                  <w:pPr>
                    <w:adjustRightInd w:val="0"/>
                    <w:snapToGrid w:val="0"/>
                    <w:spacing w:line="264" w:lineRule="auto"/>
                    <w:ind w:right="26"/>
                    <w:jc w:val="center"/>
                    <w:rPr>
                      <w:rFonts w:hint="eastAsia" w:ascii="宋体" w:hAnsi="宋体" w:eastAsia="宋体" w:cs="宋体"/>
                      <w:sz w:val="22"/>
                      <w:szCs w:val="22"/>
                    </w:rPr>
                  </w:pPr>
                  <w:r>
                    <w:rPr>
                      <w:rFonts w:hint="eastAsia" w:ascii="宋体" w:hAnsi="宋体" w:eastAsia="宋体" w:cs="宋体"/>
                      <w:sz w:val="22"/>
                      <w:szCs w:val="22"/>
                    </w:rPr>
                    <w:t>0.006%</w:t>
                  </w:r>
                </w:p>
              </w:tc>
            </w:tr>
            <w:tr w14:paraId="6463D88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827" w:type="dxa"/>
                  <w:tcBorders>
                    <w:top w:val="single" w:color="auto" w:sz="4" w:space="0"/>
                    <w:left w:val="single" w:color="auto" w:sz="12" w:space="0"/>
                    <w:bottom w:val="single" w:color="auto" w:sz="12" w:space="0"/>
                    <w:right w:val="single" w:color="auto" w:sz="4" w:space="0"/>
                  </w:tcBorders>
                  <w:vAlign w:val="center"/>
                </w:tcPr>
                <w:p w14:paraId="79DD6E69">
                  <w:pPr>
                    <w:adjustRightInd w:val="0"/>
                    <w:snapToGrid w:val="0"/>
                    <w:spacing w:line="264" w:lineRule="auto"/>
                    <w:ind w:right="26"/>
                    <w:jc w:val="left"/>
                    <w:rPr>
                      <w:rFonts w:hint="eastAsia" w:ascii="宋体" w:hAnsi="宋体" w:eastAsia="宋体" w:cs="宋体"/>
                      <w:sz w:val="22"/>
                      <w:szCs w:val="22"/>
                    </w:rPr>
                  </w:pPr>
                  <w:r>
                    <w:rPr>
                      <w:rFonts w:hint="eastAsia" w:ascii="宋体" w:hAnsi="宋体" w:eastAsia="宋体" w:cs="宋体"/>
                      <w:sz w:val="22"/>
                      <w:szCs w:val="22"/>
                    </w:rPr>
                    <w:t>100亿元（含）以上</w:t>
                  </w:r>
                </w:p>
              </w:tc>
              <w:tc>
                <w:tcPr>
                  <w:tcW w:w="1172" w:type="dxa"/>
                  <w:tcBorders>
                    <w:top w:val="single" w:color="auto" w:sz="4" w:space="0"/>
                    <w:left w:val="single" w:color="auto" w:sz="4" w:space="0"/>
                    <w:bottom w:val="single" w:color="auto" w:sz="12" w:space="0"/>
                    <w:right w:val="single" w:color="auto" w:sz="4" w:space="0"/>
                  </w:tcBorders>
                  <w:vAlign w:val="center"/>
                </w:tcPr>
                <w:p w14:paraId="0C6CC0DA">
                  <w:pPr>
                    <w:adjustRightInd w:val="0"/>
                    <w:snapToGrid w:val="0"/>
                    <w:spacing w:line="264" w:lineRule="auto"/>
                    <w:ind w:right="26"/>
                    <w:jc w:val="center"/>
                    <w:rPr>
                      <w:rFonts w:hint="eastAsia" w:ascii="宋体" w:hAnsi="宋体" w:eastAsia="宋体" w:cs="宋体"/>
                      <w:sz w:val="22"/>
                      <w:szCs w:val="22"/>
                    </w:rPr>
                  </w:pPr>
                  <w:r>
                    <w:rPr>
                      <w:rFonts w:hint="eastAsia" w:ascii="宋体" w:hAnsi="宋体" w:eastAsia="宋体" w:cs="宋体"/>
                      <w:sz w:val="22"/>
                      <w:szCs w:val="22"/>
                    </w:rPr>
                    <w:t>0.004%</w:t>
                  </w:r>
                </w:p>
              </w:tc>
              <w:tc>
                <w:tcPr>
                  <w:tcW w:w="1460" w:type="dxa"/>
                  <w:tcBorders>
                    <w:top w:val="single" w:color="auto" w:sz="4" w:space="0"/>
                    <w:left w:val="single" w:color="auto" w:sz="4" w:space="0"/>
                    <w:bottom w:val="single" w:color="auto" w:sz="12" w:space="0"/>
                    <w:right w:val="single" w:color="auto" w:sz="4" w:space="0"/>
                  </w:tcBorders>
                  <w:vAlign w:val="center"/>
                </w:tcPr>
                <w:p w14:paraId="1A316BCF">
                  <w:pPr>
                    <w:adjustRightInd w:val="0"/>
                    <w:snapToGrid w:val="0"/>
                    <w:spacing w:line="264" w:lineRule="auto"/>
                    <w:ind w:right="26"/>
                    <w:jc w:val="center"/>
                    <w:rPr>
                      <w:rFonts w:hint="eastAsia" w:ascii="宋体" w:hAnsi="宋体" w:eastAsia="宋体" w:cs="宋体"/>
                      <w:sz w:val="22"/>
                      <w:szCs w:val="22"/>
                    </w:rPr>
                  </w:pPr>
                  <w:r>
                    <w:rPr>
                      <w:rFonts w:hint="eastAsia" w:ascii="宋体" w:hAnsi="宋体" w:eastAsia="宋体" w:cs="宋体"/>
                      <w:sz w:val="22"/>
                      <w:szCs w:val="22"/>
                    </w:rPr>
                    <w:t>0.004%</w:t>
                  </w:r>
                </w:p>
              </w:tc>
              <w:tc>
                <w:tcPr>
                  <w:tcW w:w="1296" w:type="dxa"/>
                  <w:tcBorders>
                    <w:top w:val="single" w:color="auto" w:sz="4" w:space="0"/>
                    <w:left w:val="single" w:color="auto" w:sz="4" w:space="0"/>
                    <w:bottom w:val="single" w:color="auto" w:sz="12" w:space="0"/>
                    <w:right w:val="single" w:color="auto" w:sz="12" w:space="0"/>
                  </w:tcBorders>
                  <w:vAlign w:val="center"/>
                </w:tcPr>
                <w:p w14:paraId="077C92D5">
                  <w:pPr>
                    <w:adjustRightInd w:val="0"/>
                    <w:snapToGrid w:val="0"/>
                    <w:spacing w:line="264" w:lineRule="auto"/>
                    <w:ind w:right="26"/>
                    <w:jc w:val="center"/>
                    <w:rPr>
                      <w:rFonts w:hint="eastAsia" w:ascii="宋体" w:hAnsi="宋体" w:eastAsia="宋体" w:cs="宋体"/>
                      <w:sz w:val="22"/>
                      <w:szCs w:val="22"/>
                    </w:rPr>
                  </w:pPr>
                  <w:r>
                    <w:rPr>
                      <w:rFonts w:hint="eastAsia" w:ascii="宋体" w:hAnsi="宋体" w:eastAsia="宋体" w:cs="宋体"/>
                      <w:sz w:val="22"/>
                      <w:szCs w:val="22"/>
                    </w:rPr>
                    <w:t>0.004%</w:t>
                  </w:r>
                </w:p>
              </w:tc>
            </w:tr>
          </w:tbl>
          <w:p w14:paraId="468DEE18">
            <w:pPr>
              <w:adjustRightInd w:val="0"/>
              <w:snapToGrid w:val="0"/>
              <w:spacing w:line="264" w:lineRule="auto"/>
              <w:ind w:right="26"/>
              <w:rPr>
                <w:rFonts w:hint="eastAsia" w:ascii="宋体" w:hAnsi="宋体" w:eastAsia="宋体" w:cs="宋体"/>
                <w:b/>
                <w:bCs/>
                <w:sz w:val="22"/>
                <w:szCs w:val="22"/>
              </w:rPr>
            </w:pPr>
            <w:r>
              <w:rPr>
                <w:rFonts w:hint="eastAsia" w:ascii="宋体" w:hAnsi="宋体" w:eastAsia="宋体" w:cs="宋体"/>
                <w:b/>
                <w:bCs/>
                <w:sz w:val="22"/>
                <w:szCs w:val="22"/>
              </w:rPr>
              <w:t>注：</w:t>
            </w:r>
          </w:p>
          <w:p w14:paraId="57862D68">
            <w:pPr>
              <w:adjustRightInd w:val="0"/>
              <w:snapToGrid w:val="0"/>
              <w:spacing w:line="264" w:lineRule="auto"/>
              <w:ind w:right="26" w:firstLine="440" w:firstLineChars="200"/>
              <w:rPr>
                <w:rFonts w:hint="eastAsia" w:ascii="宋体" w:hAnsi="宋体" w:eastAsia="宋体" w:cs="宋体"/>
                <w:sz w:val="22"/>
                <w:szCs w:val="22"/>
              </w:rPr>
            </w:pPr>
            <w:r>
              <w:rPr>
                <w:rFonts w:hint="eastAsia" w:ascii="宋体" w:hAnsi="宋体" w:eastAsia="宋体" w:cs="宋体"/>
                <w:sz w:val="22"/>
                <w:szCs w:val="22"/>
              </w:rPr>
              <w:t>1、招标代理服务收费按差额定率累进法计算；</w:t>
            </w:r>
          </w:p>
          <w:p w14:paraId="61B47A2F">
            <w:pPr>
              <w:adjustRightInd w:val="0"/>
              <w:snapToGrid w:val="0"/>
              <w:spacing w:line="264" w:lineRule="auto"/>
              <w:ind w:right="26" w:firstLine="440" w:firstLineChars="200"/>
              <w:rPr>
                <w:rFonts w:hint="eastAsia" w:ascii="宋体" w:hAnsi="宋体" w:eastAsia="宋体" w:cs="宋体"/>
                <w:sz w:val="22"/>
                <w:szCs w:val="22"/>
              </w:rPr>
            </w:pPr>
            <w:r>
              <w:rPr>
                <w:rFonts w:hint="eastAsia" w:ascii="宋体" w:hAnsi="宋体" w:eastAsia="宋体" w:cs="宋体"/>
                <w:sz w:val="22"/>
                <w:szCs w:val="22"/>
              </w:rPr>
              <w:t>2、本次招标为</w:t>
            </w:r>
            <w:r>
              <w:rPr>
                <w:rFonts w:hint="eastAsia" w:ascii="宋体" w:hAnsi="宋体" w:eastAsia="宋体" w:cs="宋体"/>
                <w:sz w:val="22"/>
                <w:szCs w:val="22"/>
                <w:lang w:val="en-US" w:eastAsia="zh-CN"/>
              </w:rPr>
              <w:t>服务</w:t>
            </w:r>
            <w:r>
              <w:rPr>
                <w:rFonts w:hint="eastAsia" w:ascii="宋体" w:hAnsi="宋体" w:eastAsia="宋体" w:cs="宋体"/>
                <w:sz w:val="22"/>
                <w:szCs w:val="22"/>
              </w:rPr>
              <w:t>招标，招标代理（中标/</w:t>
            </w:r>
            <w:r>
              <w:rPr>
                <w:rFonts w:hint="eastAsia" w:ascii="宋体" w:hAnsi="宋体" w:eastAsia="宋体" w:cs="宋体"/>
                <w:sz w:val="22"/>
                <w:szCs w:val="22"/>
                <w:lang w:val="zh-CN"/>
              </w:rPr>
              <w:t>成交</w:t>
            </w:r>
            <w:r>
              <w:rPr>
                <w:rFonts w:hint="eastAsia" w:ascii="宋体" w:hAnsi="宋体" w:eastAsia="宋体" w:cs="宋体"/>
                <w:sz w:val="22"/>
                <w:szCs w:val="22"/>
              </w:rPr>
              <w:t>）服务费按</w:t>
            </w:r>
            <w:r>
              <w:rPr>
                <w:rFonts w:hint="eastAsia" w:ascii="宋体" w:hAnsi="宋体" w:eastAsia="宋体" w:cs="宋体"/>
                <w:sz w:val="22"/>
                <w:szCs w:val="22"/>
                <w:lang w:val="en-US" w:eastAsia="zh-CN"/>
              </w:rPr>
              <w:t>服务</w:t>
            </w:r>
            <w:r>
              <w:rPr>
                <w:rFonts w:hint="eastAsia" w:ascii="宋体" w:hAnsi="宋体" w:eastAsia="宋体" w:cs="宋体"/>
                <w:sz w:val="22"/>
                <w:szCs w:val="22"/>
              </w:rPr>
              <w:t>招标计费标准收费。</w:t>
            </w:r>
          </w:p>
          <w:p w14:paraId="63E90A2D">
            <w:pPr>
              <w:adjustRightInd w:val="0"/>
              <w:snapToGrid w:val="0"/>
              <w:spacing w:line="264" w:lineRule="auto"/>
              <w:ind w:right="26" w:firstLine="440" w:firstLineChars="200"/>
              <w:rPr>
                <w:rFonts w:hint="eastAsia" w:ascii="宋体" w:hAnsi="宋体" w:eastAsia="宋体" w:cs="宋体"/>
                <w:sz w:val="22"/>
                <w:szCs w:val="22"/>
              </w:rPr>
            </w:pPr>
            <w:r>
              <w:rPr>
                <w:rFonts w:hint="eastAsia" w:ascii="宋体" w:hAnsi="宋体" w:eastAsia="宋体" w:cs="宋体"/>
                <w:sz w:val="22"/>
                <w:szCs w:val="22"/>
              </w:rPr>
              <w:t>3、招标代理服务费缴纳至：</w:t>
            </w:r>
          </w:p>
          <w:p w14:paraId="528B635F">
            <w:pPr>
              <w:adjustRightInd w:val="0"/>
              <w:snapToGrid w:val="0"/>
              <w:spacing w:line="264" w:lineRule="auto"/>
              <w:ind w:right="26" w:firstLine="440" w:firstLineChars="200"/>
              <w:rPr>
                <w:rFonts w:hint="eastAsia" w:ascii="宋体" w:hAnsi="宋体" w:eastAsia="宋体" w:cs="宋体"/>
                <w:sz w:val="22"/>
                <w:szCs w:val="22"/>
              </w:rPr>
            </w:pPr>
            <w:r>
              <w:rPr>
                <w:rFonts w:hint="eastAsia" w:ascii="宋体" w:hAnsi="宋体" w:eastAsia="宋体" w:cs="宋体"/>
                <w:sz w:val="22"/>
                <w:szCs w:val="22"/>
              </w:rPr>
              <w:t>开户名称：深圳市东海国际招标有限公司</w:t>
            </w:r>
          </w:p>
          <w:p w14:paraId="19D6BCEB">
            <w:pPr>
              <w:adjustRightInd w:val="0"/>
              <w:snapToGrid w:val="0"/>
              <w:spacing w:line="264" w:lineRule="auto"/>
              <w:ind w:right="26" w:firstLine="440" w:firstLineChars="200"/>
              <w:rPr>
                <w:rFonts w:hint="eastAsia" w:ascii="宋体" w:hAnsi="宋体" w:eastAsia="宋体" w:cs="宋体"/>
                <w:sz w:val="22"/>
                <w:szCs w:val="22"/>
              </w:rPr>
            </w:pPr>
            <w:r>
              <w:rPr>
                <w:rFonts w:hint="eastAsia" w:ascii="宋体" w:hAnsi="宋体" w:eastAsia="宋体" w:cs="宋体"/>
                <w:sz w:val="22"/>
                <w:szCs w:val="22"/>
              </w:rPr>
              <w:t>银行帐号：4100 1800 0400 2656 1</w:t>
            </w:r>
          </w:p>
          <w:p w14:paraId="5647B654">
            <w:pPr>
              <w:adjustRightInd w:val="0"/>
              <w:snapToGrid w:val="0"/>
              <w:spacing w:line="264" w:lineRule="auto"/>
              <w:ind w:right="26" w:firstLine="440" w:firstLineChars="200"/>
              <w:rPr>
                <w:rFonts w:hint="eastAsia" w:ascii="宋体" w:hAnsi="宋体" w:eastAsia="宋体" w:cs="宋体"/>
                <w:snapToGrid w:val="0"/>
                <w:color w:val="FF0000"/>
                <w:kern w:val="0"/>
                <w:sz w:val="22"/>
                <w:szCs w:val="22"/>
                <w:lang w:val="zh-CN"/>
              </w:rPr>
            </w:pPr>
            <w:r>
              <w:rPr>
                <w:rFonts w:hint="eastAsia" w:ascii="宋体" w:hAnsi="宋体" w:eastAsia="宋体" w:cs="宋体"/>
                <w:sz w:val="22"/>
                <w:szCs w:val="22"/>
              </w:rPr>
              <w:t>开户银行：中国农业银行股份有限公司深圳东湖支行</w:t>
            </w:r>
          </w:p>
        </w:tc>
      </w:tr>
    </w:tbl>
    <w:p w14:paraId="1BA6D933">
      <w:pPr>
        <w:ind w:firstLine="400" w:firstLineChars="200"/>
        <w:rPr>
          <w:rFonts w:hint="eastAsia" w:ascii="宋体" w:hAnsi="宋体" w:cs="宋体"/>
          <w:color w:val="000000"/>
          <w:sz w:val="20"/>
          <w:szCs w:val="16"/>
        </w:rPr>
      </w:pPr>
      <w:r>
        <w:rPr>
          <w:rFonts w:hint="eastAsia" w:ascii="宋体" w:hAnsi="宋体" w:cs="宋体"/>
          <w:color w:val="000000"/>
          <w:sz w:val="20"/>
          <w:szCs w:val="16"/>
          <w:lang w:val="en-US" w:eastAsia="zh-CN"/>
        </w:rPr>
        <w:t>备注：本表是通用条款相关条款的补充和明确，如与通用条款内容相冲突的，以本表为准。本项目使用深圳政府采购智慧平台进行操作，通用条款中如有与深圳政府采购智慧平台操作流程不一致的内容，请以zfcg.szggzy.com:8081公布的操作手册内容为准。</w:t>
      </w:r>
      <w:r>
        <w:rPr>
          <w:rFonts w:hint="eastAsia" w:ascii="宋体" w:hAnsi="宋体" w:cs="宋体"/>
          <w:color w:val="000000"/>
          <w:sz w:val="20"/>
          <w:szCs w:val="16"/>
        </w:rPr>
        <w:br w:type="page"/>
      </w:r>
    </w:p>
    <w:p w14:paraId="437536B5">
      <w:pPr>
        <w:rPr>
          <w:rFonts w:hint="eastAsia"/>
        </w:rPr>
      </w:pPr>
    </w:p>
    <w:p w14:paraId="7FDD1721">
      <w:pPr>
        <w:pStyle w:val="3"/>
        <w:snapToGrid w:val="0"/>
        <w:rPr>
          <w:rFonts w:hint="eastAsia"/>
          <w:sz w:val="28"/>
          <w:szCs w:val="28"/>
          <w:lang w:val="en-US" w:eastAsia="zh-CN"/>
        </w:rPr>
      </w:pPr>
      <w:r>
        <w:rPr>
          <w:rFonts w:hint="eastAsia"/>
          <w:sz w:val="28"/>
          <w:szCs w:val="28"/>
          <w:lang w:val="en-US" w:eastAsia="zh-CN"/>
        </w:rPr>
        <w:t>二、其他关键信息</w:t>
      </w:r>
    </w:p>
    <w:p w14:paraId="16E0F00C">
      <w:pPr>
        <w:spacing w:line="240" w:lineRule="auto"/>
        <w:ind w:firstLine="442" w:firstLineChars="200"/>
        <w:rPr>
          <w:rFonts w:hint="eastAsia" w:ascii="宋体" w:hAnsi="宋体" w:eastAsia="宋体" w:cs="宋体"/>
          <w:b/>
          <w:bCs/>
          <w:sz w:val="22"/>
          <w:szCs w:val="22"/>
        </w:rPr>
      </w:pPr>
      <w:r>
        <w:rPr>
          <w:rFonts w:hint="eastAsia" w:ascii="宋体" w:hAnsi="宋体" w:eastAsia="宋体" w:cs="宋体"/>
          <w:b/>
          <w:bCs/>
          <w:sz w:val="22"/>
          <w:szCs w:val="22"/>
        </w:rPr>
        <w:t>（一）与“对谈判须知条款的补充内容”章节相关的事项</w:t>
      </w:r>
    </w:p>
    <w:p w14:paraId="01C1C3A3">
      <w:pPr>
        <w:spacing w:line="240" w:lineRule="auto"/>
        <w:ind w:firstLine="442" w:firstLineChars="200"/>
        <w:rPr>
          <w:rFonts w:hint="eastAsia" w:ascii="宋体" w:hAnsi="宋体" w:eastAsia="宋体" w:cs="宋体"/>
          <w:b/>
          <w:sz w:val="22"/>
          <w:szCs w:val="22"/>
        </w:rPr>
      </w:pPr>
      <w:bookmarkStart w:id="29" w:name="_Hlk72579465"/>
      <w:r>
        <w:rPr>
          <w:rFonts w:hint="eastAsia" w:ascii="宋体" w:hAnsi="宋体" w:eastAsia="宋体" w:cs="宋体"/>
          <w:b/>
          <w:sz w:val="22"/>
          <w:szCs w:val="22"/>
        </w:rPr>
        <w:t>1、评审信息</w:t>
      </w:r>
    </w:p>
    <w:tbl>
      <w:tblPr>
        <w:tblStyle w:val="46"/>
        <w:tblW w:w="84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29"/>
        <w:gridCol w:w="4230"/>
      </w:tblGrid>
      <w:tr w14:paraId="3FA40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4229" w:type="dxa"/>
            <w:vAlign w:val="center"/>
          </w:tcPr>
          <w:p w14:paraId="15A5891E">
            <w:pPr>
              <w:spacing w:line="240" w:lineRule="auto"/>
              <w:ind w:firstLine="442" w:firstLineChars="200"/>
              <w:jc w:val="center"/>
              <w:rPr>
                <w:rFonts w:hint="eastAsia" w:ascii="宋体" w:hAnsi="宋体" w:eastAsia="宋体" w:cs="宋体"/>
                <w:b/>
                <w:bCs/>
                <w:sz w:val="22"/>
                <w:szCs w:val="22"/>
              </w:rPr>
            </w:pPr>
            <w:r>
              <w:rPr>
                <w:rFonts w:hint="eastAsia" w:ascii="宋体" w:hAnsi="宋体" w:eastAsia="宋体" w:cs="宋体"/>
                <w:b/>
                <w:bCs/>
                <w:sz w:val="22"/>
                <w:szCs w:val="22"/>
              </w:rPr>
              <w:t>评审方法</w:t>
            </w:r>
          </w:p>
        </w:tc>
        <w:tc>
          <w:tcPr>
            <w:tcW w:w="4230" w:type="dxa"/>
            <w:vAlign w:val="center"/>
          </w:tcPr>
          <w:p w14:paraId="1D6E894C">
            <w:pPr>
              <w:spacing w:line="240" w:lineRule="auto"/>
              <w:ind w:firstLine="442" w:firstLineChars="200"/>
              <w:jc w:val="center"/>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最低价法</w:t>
            </w:r>
          </w:p>
        </w:tc>
      </w:tr>
      <w:tr w14:paraId="515F9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4229" w:type="dxa"/>
            <w:vAlign w:val="center"/>
          </w:tcPr>
          <w:p w14:paraId="78BDE1E8">
            <w:pPr>
              <w:spacing w:line="240" w:lineRule="auto"/>
              <w:ind w:firstLine="440" w:firstLineChars="200"/>
              <w:jc w:val="center"/>
              <w:rPr>
                <w:rFonts w:hint="eastAsia" w:ascii="宋体" w:hAnsi="宋体" w:eastAsia="宋体" w:cs="宋体"/>
                <w:sz w:val="22"/>
                <w:szCs w:val="22"/>
              </w:rPr>
            </w:pPr>
            <w:r>
              <w:rPr>
                <w:rFonts w:hint="eastAsia" w:ascii="宋体" w:hAnsi="宋体" w:eastAsia="宋体" w:cs="宋体"/>
                <w:sz w:val="22"/>
                <w:szCs w:val="22"/>
              </w:rPr>
              <w:t>成交供应商数量</w:t>
            </w:r>
          </w:p>
        </w:tc>
        <w:tc>
          <w:tcPr>
            <w:tcW w:w="4230" w:type="dxa"/>
            <w:vAlign w:val="center"/>
          </w:tcPr>
          <w:p w14:paraId="48C92714">
            <w:pPr>
              <w:spacing w:line="240" w:lineRule="auto"/>
              <w:ind w:firstLine="440" w:firstLineChars="20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1</w:t>
            </w:r>
          </w:p>
        </w:tc>
      </w:tr>
      <w:tr w14:paraId="37CF8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4229" w:type="dxa"/>
            <w:vAlign w:val="center"/>
          </w:tcPr>
          <w:p w14:paraId="27BE17D3">
            <w:pPr>
              <w:spacing w:line="240" w:lineRule="auto"/>
              <w:ind w:firstLine="440" w:firstLineChars="200"/>
              <w:jc w:val="center"/>
              <w:rPr>
                <w:rFonts w:hint="eastAsia" w:ascii="宋体" w:hAnsi="宋体" w:eastAsia="宋体" w:cs="宋体"/>
                <w:sz w:val="22"/>
                <w:szCs w:val="22"/>
              </w:rPr>
            </w:pPr>
            <w:r>
              <w:rPr>
                <w:rFonts w:hint="eastAsia" w:ascii="宋体" w:hAnsi="宋体" w:eastAsia="宋体" w:cs="宋体"/>
                <w:sz w:val="22"/>
                <w:szCs w:val="22"/>
              </w:rPr>
              <w:t>候选成交供应商数量</w:t>
            </w:r>
          </w:p>
        </w:tc>
        <w:tc>
          <w:tcPr>
            <w:tcW w:w="4230" w:type="dxa"/>
            <w:vAlign w:val="center"/>
          </w:tcPr>
          <w:p w14:paraId="3AE07832">
            <w:pPr>
              <w:spacing w:line="240" w:lineRule="auto"/>
              <w:ind w:firstLine="440" w:firstLineChars="200"/>
              <w:jc w:val="cente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en-US" w:eastAsia="zh-CN"/>
              </w:rPr>
              <w:t>1</w:t>
            </w:r>
          </w:p>
        </w:tc>
      </w:tr>
      <w:bookmarkEnd w:id="29"/>
    </w:tbl>
    <w:p w14:paraId="4158062F">
      <w:pPr>
        <w:spacing w:line="240" w:lineRule="auto"/>
        <w:ind w:firstLine="442" w:firstLineChars="200"/>
        <w:rPr>
          <w:rFonts w:hint="eastAsia" w:ascii="宋体" w:hAnsi="宋体" w:eastAsia="宋体" w:cs="宋体"/>
          <w:b/>
          <w:sz w:val="22"/>
          <w:szCs w:val="22"/>
        </w:rPr>
      </w:pPr>
    </w:p>
    <w:p w14:paraId="36148A91">
      <w:pPr>
        <w:rPr>
          <w:sz w:val="28"/>
          <w:szCs w:val="28"/>
        </w:rPr>
      </w:pPr>
    </w:p>
    <w:p w14:paraId="5E90CC84">
      <w:pPr>
        <w:rPr>
          <w:rFonts w:hint="eastAsia"/>
          <w:sz w:val="28"/>
          <w:szCs w:val="28"/>
        </w:rPr>
      </w:pPr>
      <w:r>
        <w:rPr>
          <w:rFonts w:hint="eastAsia"/>
          <w:sz w:val="28"/>
          <w:szCs w:val="28"/>
        </w:rPr>
        <w:br w:type="page"/>
      </w:r>
    </w:p>
    <w:p w14:paraId="3C812FCE">
      <w:pPr>
        <w:pStyle w:val="3"/>
        <w:rPr>
          <w:sz w:val="28"/>
          <w:szCs w:val="28"/>
        </w:rPr>
      </w:pPr>
      <w:r>
        <w:rPr>
          <w:rFonts w:hint="eastAsia"/>
          <w:sz w:val="28"/>
          <w:szCs w:val="28"/>
        </w:rPr>
        <w:t>第三章 用户需求书</w:t>
      </w:r>
    </w:p>
    <w:p w14:paraId="17DE70B9">
      <w:pPr>
        <w:pStyle w:val="3"/>
        <w:spacing w:before="120" w:beforeLines="50" w:after="120" w:afterLines="50"/>
        <w:rPr>
          <w:szCs w:val="24"/>
        </w:rPr>
      </w:pPr>
      <w:r>
        <w:rPr>
          <w:rFonts w:hint="eastAsia"/>
          <w:szCs w:val="24"/>
        </w:rPr>
        <w:t xml:space="preserve"> 一、项目基本信息</w:t>
      </w:r>
    </w:p>
    <w:tbl>
      <w:tblPr>
        <w:tblStyle w:val="45"/>
        <w:tblpPr w:leftFromText="180" w:rightFromText="180" w:vertAnchor="text" w:horzAnchor="margin" w:tblpXSpec="center" w:tblpY="16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7"/>
        <w:gridCol w:w="1494"/>
        <w:gridCol w:w="1622"/>
        <w:gridCol w:w="1484"/>
        <w:gridCol w:w="1481"/>
        <w:gridCol w:w="1003"/>
        <w:gridCol w:w="1005"/>
      </w:tblGrid>
      <w:tr w14:paraId="175E9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256" w:type="pct"/>
            <w:vAlign w:val="center"/>
          </w:tcPr>
          <w:p w14:paraId="3AAD4B8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val="0"/>
                <w:color w:val="auto"/>
                <w:sz w:val="22"/>
                <w:szCs w:val="22"/>
              </w:rPr>
            </w:pPr>
            <w:r>
              <w:rPr>
                <w:rFonts w:hint="default" w:ascii="Times New Roman" w:hAnsi="Times New Roman" w:eastAsia="宋体" w:cs="Times New Roman"/>
                <w:b/>
                <w:bCs w:val="0"/>
                <w:color w:val="auto"/>
                <w:sz w:val="22"/>
                <w:szCs w:val="22"/>
              </w:rPr>
              <w:t>序号</w:t>
            </w:r>
          </w:p>
        </w:tc>
        <w:tc>
          <w:tcPr>
            <w:tcW w:w="876" w:type="pct"/>
            <w:vAlign w:val="center"/>
          </w:tcPr>
          <w:p w14:paraId="6667DBF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val="0"/>
                <w:color w:val="auto"/>
                <w:sz w:val="22"/>
                <w:szCs w:val="22"/>
              </w:rPr>
            </w:pPr>
            <w:r>
              <w:rPr>
                <w:rFonts w:hint="default" w:ascii="Times New Roman" w:hAnsi="Times New Roman" w:eastAsia="宋体" w:cs="Times New Roman"/>
                <w:b/>
                <w:bCs w:val="0"/>
                <w:color w:val="auto"/>
                <w:sz w:val="22"/>
                <w:szCs w:val="22"/>
              </w:rPr>
              <w:t>采购计划编号</w:t>
            </w:r>
          </w:p>
        </w:tc>
        <w:tc>
          <w:tcPr>
            <w:tcW w:w="951" w:type="pct"/>
            <w:vAlign w:val="center"/>
          </w:tcPr>
          <w:p w14:paraId="3DD24A9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val="0"/>
                <w:color w:val="auto"/>
                <w:sz w:val="22"/>
                <w:szCs w:val="22"/>
              </w:rPr>
            </w:pPr>
            <w:r>
              <w:rPr>
                <w:rFonts w:hint="default" w:ascii="Times New Roman" w:hAnsi="Times New Roman" w:eastAsia="宋体" w:cs="Times New Roman"/>
                <w:b/>
                <w:bCs w:val="0"/>
                <w:color w:val="auto"/>
                <w:sz w:val="22"/>
                <w:szCs w:val="22"/>
              </w:rPr>
              <w:t>采购项目名称</w:t>
            </w:r>
          </w:p>
        </w:tc>
        <w:tc>
          <w:tcPr>
            <w:tcW w:w="870" w:type="pct"/>
            <w:vAlign w:val="center"/>
          </w:tcPr>
          <w:p w14:paraId="20B07DD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color w:val="auto"/>
                <w:sz w:val="22"/>
                <w:szCs w:val="22"/>
              </w:rPr>
            </w:pPr>
            <w:r>
              <w:rPr>
                <w:rFonts w:hint="default" w:ascii="Times New Roman" w:hAnsi="Times New Roman" w:eastAsia="宋体" w:cs="Times New Roman"/>
                <w:b/>
                <w:bCs/>
                <w:color w:val="auto"/>
                <w:sz w:val="22"/>
                <w:szCs w:val="22"/>
              </w:rPr>
              <w:t>预算金额（元）</w:t>
            </w:r>
          </w:p>
        </w:tc>
        <w:tc>
          <w:tcPr>
            <w:tcW w:w="868" w:type="pct"/>
            <w:vAlign w:val="center"/>
          </w:tcPr>
          <w:p w14:paraId="6186CBF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color w:val="auto"/>
                <w:sz w:val="22"/>
                <w:szCs w:val="22"/>
              </w:rPr>
            </w:pPr>
            <w:r>
              <w:rPr>
                <w:rFonts w:hint="default" w:ascii="Times New Roman" w:hAnsi="Times New Roman" w:eastAsia="宋体" w:cs="Times New Roman"/>
                <w:b/>
                <w:bCs/>
                <w:color w:val="auto"/>
                <w:sz w:val="22"/>
                <w:szCs w:val="22"/>
              </w:rPr>
              <w:t>最高限价（元）</w:t>
            </w:r>
          </w:p>
        </w:tc>
        <w:tc>
          <w:tcPr>
            <w:tcW w:w="588" w:type="pct"/>
            <w:vAlign w:val="center"/>
          </w:tcPr>
          <w:p w14:paraId="71EEE96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color w:val="000000" w:themeColor="text1"/>
                <w:sz w:val="22"/>
                <w:szCs w:val="22"/>
                <w14:textFill>
                  <w14:solidFill>
                    <w14:schemeClr w14:val="tx1"/>
                  </w14:solidFill>
                </w14:textFill>
              </w:rPr>
            </w:pPr>
            <w:r>
              <w:rPr>
                <w:rFonts w:hint="eastAsia" w:ascii="Times New Roman" w:eastAsia="宋体"/>
                <w:b/>
                <w:bCs w:val="0"/>
                <w:color w:val="000000" w:themeColor="text1"/>
                <w:szCs w:val="21"/>
                <w:lang w:val="en-US" w:eastAsia="zh-CN"/>
                <w14:textFill>
                  <w14:solidFill>
                    <w14:schemeClr w14:val="tx1"/>
                  </w14:solidFill>
                </w14:textFill>
              </w:rPr>
              <w:t>是否专门面向中小企业</w:t>
            </w:r>
          </w:p>
        </w:tc>
        <w:tc>
          <w:tcPr>
            <w:tcW w:w="589" w:type="pct"/>
            <w:vAlign w:val="center"/>
          </w:tcPr>
          <w:p w14:paraId="5065597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color w:val="000000" w:themeColor="text1"/>
                <w:sz w:val="22"/>
                <w:szCs w:val="22"/>
                <w14:textFill>
                  <w14:solidFill>
                    <w14:schemeClr w14:val="tx1"/>
                  </w14:solidFill>
                </w14:textFill>
              </w:rPr>
            </w:pPr>
            <w:r>
              <w:rPr>
                <w:rFonts w:hint="eastAsia" w:ascii="Times New Roman" w:eastAsia="宋体"/>
                <w:b/>
                <w:bCs w:val="0"/>
                <w:color w:val="000000" w:themeColor="text1"/>
                <w:szCs w:val="21"/>
                <w:lang w:val="en-US" w:eastAsia="zh-CN"/>
                <w14:textFill>
                  <w14:solidFill>
                    <w14:schemeClr w14:val="tx1"/>
                  </w14:solidFill>
                </w14:textFill>
              </w:rPr>
              <w:t>标的所属行业</w:t>
            </w:r>
          </w:p>
        </w:tc>
      </w:tr>
      <w:tr w14:paraId="40780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0" w:hRule="atLeast"/>
          <w:jc w:val="center"/>
        </w:trPr>
        <w:tc>
          <w:tcPr>
            <w:tcW w:w="256" w:type="pct"/>
            <w:vAlign w:val="center"/>
          </w:tcPr>
          <w:p w14:paraId="23C0622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Cs/>
                <w:color w:val="auto"/>
                <w:sz w:val="22"/>
                <w:szCs w:val="22"/>
              </w:rPr>
            </w:pPr>
            <w:r>
              <w:rPr>
                <w:rFonts w:hint="default" w:ascii="Times New Roman" w:hAnsi="Times New Roman" w:eastAsia="宋体" w:cs="Times New Roman"/>
                <w:bCs/>
                <w:color w:val="auto"/>
                <w:sz w:val="22"/>
                <w:szCs w:val="22"/>
              </w:rPr>
              <w:t>1</w:t>
            </w:r>
          </w:p>
        </w:tc>
        <w:tc>
          <w:tcPr>
            <w:tcW w:w="876" w:type="pct"/>
            <w:vAlign w:val="center"/>
          </w:tcPr>
          <w:p w14:paraId="7331DD1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Cs/>
                <w:color w:val="auto"/>
                <w:sz w:val="22"/>
                <w:szCs w:val="22"/>
              </w:rPr>
            </w:pPr>
            <w:r>
              <w:rPr>
                <w:rFonts w:hint="default" w:ascii="Times New Roman" w:hAnsi="Times New Roman" w:eastAsia="宋体" w:cs="Times New Roman"/>
                <w:bCs/>
                <w:color w:val="auto"/>
                <w:sz w:val="22"/>
                <w:szCs w:val="22"/>
              </w:rPr>
              <w:t>PLAN-2025-440300000-117001-08450</w:t>
            </w:r>
          </w:p>
        </w:tc>
        <w:tc>
          <w:tcPr>
            <w:tcW w:w="951" w:type="pct"/>
            <w:vAlign w:val="center"/>
          </w:tcPr>
          <w:p w14:paraId="1CDC7A3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color w:val="auto"/>
                <w:sz w:val="22"/>
                <w:szCs w:val="22"/>
              </w:rPr>
            </w:pPr>
            <w:r>
              <w:rPr>
                <w:rFonts w:hint="eastAsia" w:cs="Times New Roman"/>
                <w:bCs/>
                <w:color w:val="auto"/>
                <w:kern w:val="2"/>
                <w:sz w:val="22"/>
                <w:szCs w:val="22"/>
                <w:lang w:val="en-US" w:eastAsia="zh-CN"/>
              </w:rPr>
              <w:t>2025-2026年度深圳市</w:t>
            </w:r>
            <w:r>
              <w:rPr>
                <w:rFonts w:hint="eastAsia" w:cs="Times New Roman"/>
                <w:bCs/>
                <w:color w:val="auto"/>
                <w:kern w:val="2"/>
                <w:sz w:val="22"/>
                <w:szCs w:val="22"/>
                <w:lang w:eastAsia="zh-CN"/>
              </w:rPr>
              <w:t>足球重点城市建设项目</w:t>
            </w:r>
          </w:p>
        </w:tc>
        <w:tc>
          <w:tcPr>
            <w:tcW w:w="870" w:type="pct"/>
            <w:vAlign w:val="center"/>
          </w:tcPr>
          <w:p w14:paraId="64BAF02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Cs/>
                <w:color w:val="auto"/>
                <w:sz w:val="22"/>
                <w:szCs w:val="22"/>
                <w:lang w:val="en-US" w:eastAsia="zh-CN"/>
              </w:rPr>
            </w:pPr>
            <w:r>
              <w:rPr>
                <w:rFonts w:hint="eastAsia" w:cs="Times New Roman"/>
                <w:bCs/>
                <w:color w:val="auto"/>
                <w:sz w:val="22"/>
                <w:szCs w:val="22"/>
                <w:lang w:val="en-US" w:eastAsia="zh-CN"/>
              </w:rPr>
              <w:t>10,000,000.00</w:t>
            </w:r>
          </w:p>
        </w:tc>
        <w:tc>
          <w:tcPr>
            <w:tcW w:w="868" w:type="pct"/>
            <w:vAlign w:val="center"/>
          </w:tcPr>
          <w:p w14:paraId="712B138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Cs/>
                <w:color w:val="auto"/>
                <w:sz w:val="22"/>
                <w:szCs w:val="22"/>
              </w:rPr>
            </w:pPr>
            <w:r>
              <w:rPr>
                <w:rFonts w:hint="eastAsia" w:cs="Times New Roman"/>
                <w:bCs/>
                <w:color w:val="auto"/>
                <w:sz w:val="22"/>
                <w:szCs w:val="22"/>
                <w:lang w:val="en-US" w:eastAsia="zh-CN"/>
              </w:rPr>
              <w:t>10,000,000.00</w:t>
            </w:r>
          </w:p>
        </w:tc>
        <w:tc>
          <w:tcPr>
            <w:tcW w:w="588" w:type="pct"/>
            <w:vMerge w:val="restart"/>
            <w:vAlign w:val="center"/>
          </w:tcPr>
          <w:p w14:paraId="658916E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Cs/>
                <w:color w:val="auto"/>
                <w:sz w:val="22"/>
                <w:szCs w:val="22"/>
                <w:lang w:val="en-US" w:eastAsia="zh-CN"/>
              </w:rPr>
            </w:pPr>
            <w:r>
              <w:rPr>
                <w:rFonts w:hint="eastAsia" w:cs="Times New Roman"/>
                <w:bCs/>
                <w:color w:val="auto"/>
                <w:sz w:val="22"/>
                <w:szCs w:val="22"/>
                <w:lang w:val="en-US" w:eastAsia="zh-CN"/>
              </w:rPr>
              <w:t>否</w:t>
            </w:r>
          </w:p>
        </w:tc>
        <w:tc>
          <w:tcPr>
            <w:tcW w:w="589" w:type="pct"/>
            <w:vMerge w:val="restart"/>
            <w:vAlign w:val="center"/>
          </w:tcPr>
          <w:p w14:paraId="6F284F8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Cs/>
                <w:color w:val="auto"/>
                <w:sz w:val="22"/>
                <w:szCs w:val="22"/>
                <w:lang w:val="en-US" w:eastAsia="zh-CN"/>
              </w:rPr>
            </w:pPr>
            <w:r>
              <w:rPr>
                <w:rFonts w:hint="eastAsia" w:cs="Times New Roman"/>
                <w:bCs/>
                <w:color w:val="auto"/>
                <w:sz w:val="22"/>
                <w:szCs w:val="22"/>
                <w:lang w:val="en-US" w:eastAsia="zh-CN"/>
              </w:rPr>
              <w:t>其他未列明行业</w:t>
            </w:r>
          </w:p>
        </w:tc>
      </w:tr>
      <w:tr w14:paraId="34D61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953" w:type="pct"/>
            <w:gridSpan w:val="4"/>
            <w:vAlign w:val="center"/>
          </w:tcPr>
          <w:p w14:paraId="3C73A63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Cs/>
                <w:color w:val="auto"/>
                <w:sz w:val="22"/>
                <w:szCs w:val="22"/>
                <w:lang w:val="en-US" w:eastAsia="zh-CN"/>
              </w:rPr>
            </w:pPr>
            <w:r>
              <w:rPr>
                <w:rFonts w:hint="default" w:ascii="Times New Roman" w:hAnsi="Times New Roman" w:eastAsia="宋体" w:cs="Times New Roman"/>
                <w:bCs/>
                <w:color w:val="auto"/>
                <w:sz w:val="22"/>
                <w:szCs w:val="22"/>
                <w:lang w:val="en-US" w:eastAsia="zh-CN"/>
              </w:rPr>
              <w:t>合计</w:t>
            </w:r>
          </w:p>
        </w:tc>
        <w:tc>
          <w:tcPr>
            <w:tcW w:w="868" w:type="pct"/>
            <w:vAlign w:val="center"/>
          </w:tcPr>
          <w:p w14:paraId="580860F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Cs/>
                <w:color w:val="auto"/>
                <w:sz w:val="22"/>
                <w:szCs w:val="22"/>
                <w:lang w:val="en-US" w:eastAsia="zh-CN"/>
              </w:rPr>
            </w:pPr>
            <w:r>
              <w:rPr>
                <w:rFonts w:hint="eastAsia" w:cs="Times New Roman"/>
                <w:bCs/>
                <w:color w:val="auto"/>
                <w:sz w:val="22"/>
                <w:szCs w:val="22"/>
                <w:lang w:val="en-US" w:eastAsia="zh-CN"/>
              </w:rPr>
              <w:t>10,000,000.00</w:t>
            </w:r>
          </w:p>
        </w:tc>
        <w:tc>
          <w:tcPr>
            <w:tcW w:w="588" w:type="pct"/>
            <w:vMerge w:val="continue"/>
            <w:vAlign w:val="center"/>
          </w:tcPr>
          <w:p w14:paraId="24B6498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Cs/>
                <w:color w:val="auto"/>
                <w:sz w:val="22"/>
                <w:szCs w:val="22"/>
                <w:lang w:val="en-US" w:eastAsia="zh-CN"/>
              </w:rPr>
            </w:pPr>
          </w:p>
        </w:tc>
        <w:tc>
          <w:tcPr>
            <w:tcW w:w="589" w:type="pct"/>
            <w:vMerge w:val="continue"/>
            <w:vAlign w:val="center"/>
          </w:tcPr>
          <w:p w14:paraId="38AE7B4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Cs/>
                <w:color w:val="auto"/>
                <w:sz w:val="22"/>
                <w:szCs w:val="22"/>
                <w:lang w:val="en-US" w:eastAsia="zh-CN"/>
              </w:rPr>
            </w:pPr>
          </w:p>
        </w:tc>
      </w:tr>
    </w:tbl>
    <w:p w14:paraId="39033BD4">
      <w:pPr>
        <w:keepNext w:val="0"/>
        <w:keepLines w:val="0"/>
        <w:pageBreakBefore w:val="0"/>
        <w:widowControl w:val="0"/>
        <w:kinsoku/>
        <w:wordWrap/>
        <w:overflowPunct/>
        <w:topLinePunct w:val="0"/>
        <w:autoSpaceDE/>
        <w:autoSpaceDN/>
        <w:bidi w:val="0"/>
        <w:adjustRightInd/>
        <w:snapToGrid/>
        <w:spacing w:line="360" w:lineRule="exact"/>
        <w:ind w:firstLine="422" w:firstLineChars="200"/>
        <w:jc w:val="left"/>
        <w:textAlignment w:val="auto"/>
        <w:rPr>
          <w:rFonts w:hint="eastAsia" w:ascii="宋体" w:hAnsi="宋体" w:eastAsia="宋体"/>
          <w:b/>
          <w:color w:val="FF0000"/>
          <w:szCs w:val="21"/>
          <w:lang w:eastAsia="zh-CN"/>
        </w:rPr>
      </w:pPr>
      <w:r>
        <w:rPr>
          <w:rFonts w:hint="eastAsia" w:ascii="宋体" w:hAnsi="宋体"/>
          <w:b/>
          <w:color w:val="auto"/>
          <w:szCs w:val="21"/>
        </w:rPr>
        <w:t>本项目在预算金额下设定最高限价，如投标人的投标报价超过最高限价，将按照符合性审查要求作投标无效处理</w:t>
      </w:r>
      <w:r>
        <w:rPr>
          <w:rFonts w:hint="eastAsia" w:ascii="宋体" w:hAnsi="宋体"/>
          <w:b/>
          <w:color w:val="auto"/>
          <w:szCs w:val="21"/>
          <w:lang w:eastAsia="zh-CN"/>
        </w:rPr>
        <w:t>。</w:t>
      </w:r>
    </w:p>
    <w:p w14:paraId="6334C899">
      <w:pPr>
        <w:pStyle w:val="3"/>
        <w:spacing w:before="120" w:beforeLines="50" w:after="120" w:afterLines="50"/>
        <w:rPr>
          <w:b/>
          <w:bCs/>
          <w:szCs w:val="24"/>
        </w:rPr>
      </w:pPr>
      <w:r>
        <w:rPr>
          <w:rFonts w:hint="eastAsia"/>
          <w:b/>
          <w:bCs/>
          <w:szCs w:val="24"/>
        </w:rPr>
        <w:t>二、项目概况</w:t>
      </w:r>
    </w:p>
    <w:p w14:paraId="1C8F67EE">
      <w:pPr>
        <w:keepNext w:val="0"/>
        <w:keepLines w:val="0"/>
        <w:pageBreakBefore w:val="0"/>
        <w:widowControl w:val="0"/>
        <w:kinsoku/>
        <w:wordWrap/>
        <w:overflowPunct/>
        <w:topLinePunct w:val="0"/>
        <w:autoSpaceDE/>
        <w:autoSpaceDN/>
        <w:bidi w:val="0"/>
        <w:adjustRightInd/>
        <w:snapToGrid/>
        <w:spacing w:line="360" w:lineRule="exact"/>
        <w:ind w:firstLine="440" w:firstLineChars="200"/>
        <w:jc w:val="left"/>
        <w:textAlignment w:val="auto"/>
        <w:rPr>
          <w:rFonts w:hint="default" w:ascii="Times New Roman" w:hAnsi="Times New Roman" w:eastAsia="宋体" w:cs="Times New Roman"/>
          <w:b w:val="0"/>
          <w:color w:val="auto"/>
          <w:sz w:val="22"/>
          <w:szCs w:val="22"/>
          <w:lang w:val="en-US" w:eastAsia="zh-CN"/>
        </w:rPr>
      </w:pPr>
      <w:r>
        <w:rPr>
          <w:rFonts w:hint="default" w:ascii="Times New Roman" w:hAnsi="Times New Roman" w:eastAsia="宋体" w:cs="Times New Roman"/>
          <w:b w:val="0"/>
          <w:color w:val="auto"/>
          <w:sz w:val="22"/>
          <w:szCs w:val="22"/>
          <w:lang w:val="en-US" w:eastAsia="zh-CN"/>
        </w:rPr>
        <w:t>2022年1月，深圳市获评“十四五”期间首批全国足球发展重点城市。国家体育总局、中国足球协会和深圳市人民政府计划签署《全国足球发展重点城市建设合作协议》，根据协议约定建设全国足球发展重点城市建设合作项目，现将</w:t>
      </w:r>
      <w:r>
        <w:rPr>
          <w:rFonts w:hint="eastAsia" w:cs="Times New Roman"/>
          <w:b w:val="0"/>
          <w:color w:val="auto"/>
          <w:sz w:val="22"/>
          <w:szCs w:val="22"/>
          <w:lang w:val="en-US" w:eastAsia="zh-CN"/>
        </w:rPr>
        <w:t>2025-2026年度深圳市</w:t>
      </w:r>
      <w:r>
        <w:rPr>
          <w:rFonts w:hint="default" w:ascii="Times New Roman" w:hAnsi="Times New Roman" w:eastAsia="宋体" w:cs="Times New Roman"/>
          <w:b w:val="0"/>
          <w:color w:val="auto"/>
          <w:sz w:val="22"/>
          <w:szCs w:val="22"/>
          <w:lang w:val="en-US" w:eastAsia="zh-CN"/>
        </w:rPr>
        <w:t>足球重点城市建设项目经费具体分配用于青训中心建设、支持全运队备战参赛、青少年梯队集训参赛等相关工作。</w:t>
      </w:r>
    </w:p>
    <w:p w14:paraId="772400D1">
      <w:pPr>
        <w:keepNext w:val="0"/>
        <w:keepLines w:val="0"/>
        <w:pageBreakBefore w:val="0"/>
        <w:widowControl w:val="0"/>
        <w:kinsoku/>
        <w:wordWrap/>
        <w:overflowPunct/>
        <w:topLinePunct w:val="0"/>
        <w:autoSpaceDE/>
        <w:autoSpaceDN/>
        <w:bidi w:val="0"/>
        <w:adjustRightInd/>
        <w:snapToGrid/>
        <w:spacing w:line="360" w:lineRule="exact"/>
        <w:ind w:firstLine="440" w:firstLineChars="200"/>
        <w:jc w:val="left"/>
        <w:textAlignment w:val="auto"/>
        <w:rPr>
          <w:rFonts w:hint="default" w:ascii="Times New Roman" w:hAnsi="Times New Roman" w:eastAsia="宋体" w:cs="Times New Roman"/>
          <w:b w:val="0"/>
          <w:color w:val="auto"/>
          <w:sz w:val="22"/>
          <w:szCs w:val="22"/>
          <w:lang w:val="en-US" w:eastAsia="zh-CN"/>
        </w:rPr>
      </w:pPr>
      <w:r>
        <w:rPr>
          <w:rFonts w:hint="default" w:ascii="Times New Roman" w:hAnsi="Times New Roman" w:eastAsia="宋体" w:cs="Times New Roman"/>
          <w:b w:val="0"/>
          <w:color w:val="auto"/>
          <w:sz w:val="22"/>
          <w:szCs w:val="22"/>
          <w:lang w:val="en-US" w:eastAsia="zh-CN"/>
        </w:rPr>
        <w:t>1.青训中心建设 200万元</w:t>
      </w:r>
    </w:p>
    <w:p w14:paraId="0AF656E6">
      <w:pPr>
        <w:keepNext w:val="0"/>
        <w:keepLines w:val="0"/>
        <w:pageBreakBefore w:val="0"/>
        <w:widowControl w:val="0"/>
        <w:kinsoku/>
        <w:wordWrap/>
        <w:overflowPunct/>
        <w:topLinePunct w:val="0"/>
        <w:autoSpaceDE/>
        <w:autoSpaceDN/>
        <w:bidi w:val="0"/>
        <w:adjustRightInd/>
        <w:snapToGrid/>
        <w:spacing w:line="360" w:lineRule="exact"/>
        <w:ind w:firstLine="440" w:firstLineChars="200"/>
        <w:jc w:val="left"/>
        <w:textAlignment w:val="auto"/>
        <w:rPr>
          <w:rFonts w:hint="default" w:ascii="Times New Roman" w:hAnsi="Times New Roman" w:eastAsia="宋体" w:cs="Times New Roman"/>
          <w:b w:val="0"/>
          <w:color w:val="auto"/>
          <w:sz w:val="22"/>
          <w:szCs w:val="22"/>
          <w:lang w:val="en-US" w:eastAsia="zh-CN"/>
        </w:rPr>
      </w:pPr>
      <w:r>
        <w:rPr>
          <w:rFonts w:hint="default" w:ascii="Times New Roman" w:hAnsi="Times New Roman" w:eastAsia="宋体" w:cs="Times New Roman"/>
          <w:b w:val="0"/>
          <w:color w:val="auto"/>
          <w:sz w:val="22"/>
          <w:szCs w:val="22"/>
          <w:lang w:val="en-US" w:eastAsia="zh-CN"/>
        </w:rPr>
        <w:t>根据国家体育总局工作部署，2018年中国足球协会在全国设立15个国家青少年足球训练中心和3个足球田径混合选材基地。经实地考察评定，我市成为全国唯一被同时命名为“国家青少年足球训练中心”（以下简称“青训中心”）和“足球田径混合选材基地”的城市。青训中心由中国足协主导、国家与地方政府共建、统一建设标准，中国足协将在运营过程中给予政策、管理、资金和技术等全方位支持，并开展定期评估。根据相关文件精神，中国足球协会每年向共建的青训中心提供不少于200万元的资助经费，要求地方政府按至少不低于1：3的比例投入配套资金。经与中国足协沟通，2022年其支持的200万元资金已纳入本次下达的2022年中央体彩专项资金，根据2019年市政府、市财政局关于成立国家青少年足球训练中心有关事项的批示、意见及中国足协与市足球协会签订的《中国足球协会青训中心共建协议书》，青训中心相关工作由深圳市足球协会负责具体建设和运营。</w:t>
      </w:r>
    </w:p>
    <w:p w14:paraId="1E4D5E44">
      <w:pPr>
        <w:keepNext w:val="0"/>
        <w:keepLines w:val="0"/>
        <w:pageBreakBefore w:val="0"/>
        <w:widowControl w:val="0"/>
        <w:kinsoku/>
        <w:wordWrap/>
        <w:overflowPunct/>
        <w:topLinePunct w:val="0"/>
        <w:autoSpaceDE/>
        <w:autoSpaceDN/>
        <w:bidi w:val="0"/>
        <w:adjustRightInd/>
        <w:snapToGrid/>
        <w:spacing w:line="360" w:lineRule="exact"/>
        <w:ind w:firstLine="440" w:firstLineChars="200"/>
        <w:jc w:val="left"/>
        <w:textAlignment w:val="auto"/>
        <w:rPr>
          <w:rFonts w:hint="default" w:ascii="Times New Roman" w:hAnsi="Times New Roman" w:eastAsia="宋体" w:cs="Times New Roman"/>
          <w:b w:val="0"/>
          <w:color w:val="auto"/>
          <w:sz w:val="22"/>
          <w:szCs w:val="22"/>
          <w:lang w:val="en-US" w:eastAsia="zh-CN"/>
        </w:rPr>
      </w:pPr>
      <w:r>
        <w:rPr>
          <w:rFonts w:hint="default" w:ascii="Times New Roman" w:hAnsi="Times New Roman" w:eastAsia="宋体" w:cs="Times New Roman"/>
          <w:b w:val="0"/>
          <w:color w:val="auto"/>
          <w:sz w:val="22"/>
          <w:szCs w:val="22"/>
          <w:lang w:val="en-US" w:eastAsia="zh-CN"/>
        </w:rPr>
        <w:t>2.支持全运队备战参赛 300万元</w:t>
      </w:r>
    </w:p>
    <w:p w14:paraId="338608B4">
      <w:pPr>
        <w:keepNext w:val="0"/>
        <w:keepLines w:val="0"/>
        <w:pageBreakBefore w:val="0"/>
        <w:widowControl w:val="0"/>
        <w:kinsoku/>
        <w:wordWrap/>
        <w:overflowPunct/>
        <w:topLinePunct w:val="0"/>
        <w:autoSpaceDE/>
        <w:autoSpaceDN/>
        <w:bidi w:val="0"/>
        <w:adjustRightInd/>
        <w:snapToGrid/>
        <w:spacing w:line="360" w:lineRule="exact"/>
        <w:ind w:firstLine="440" w:firstLineChars="200"/>
        <w:jc w:val="left"/>
        <w:textAlignment w:val="auto"/>
        <w:rPr>
          <w:rFonts w:hint="default" w:ascii="Times New Roman" w:hAnsi="Times New Roman" w:eastAsia="宋体" w:cs="Times New Roman"/>
          <w:b w:val="0"/>
          <w:color w:val="auto"/>
          <w:sz w:val="22"/>
          <w:szCs w:val="22"/>
          <w:lang w:val="en-US" w:eastAsia="zh-CN"/>
        </w:rPr>
      </w:pPr>
      <w:r>
        <w:rPr>
          <w:rFonts w:hint="default" w:ascii="Times New Roman" w:hAnsi="Times New Roman" w:eastAsia="宋体" w:cs="Times New Roman"/>
          <w:b w:val="0"/>
          <w:color w:val="auto"/>
          <w:sz w:val="22"/>
          <w:szCs w:val="22"/>
          <w:lang w:val="en-US" w:eastAsia="zh-CN"/>
        </w:rPr>
        <w:t>为深入贯彻落实足球重点城市建设规划，切实加强青训梯队建设与职业联赛的衔接，全力保障第十五届大湾区全运会足球项目男子U20组的集训备战工作，同时通过系统参加中乙联赛开展实战练兵，全面提升运动员竞技水平。经研究，分配300万元经费用于完善青训梯队与职业联赛衔接机制，保障U20组全运会备战工作，支持队伍通过中乙联赛提升实战能力，为实现全运会"保三争一"金牌目标提供坚实保障，助力深圳足球事业高质量发展。</w:t>
      </w:r>
    </w:p>
    <w:p w14:paraId="63197161">
      <w:pPr>
        <w:keepNext w:val="0"/>
        <w:keepLines w:val="0"/>
        <w:pageBreakBefore w:val="0"/>
        <w:widowControl w:val="0"/>
        <w:kinsoku/>
        <w:wordWrap/>
        <w:overflowPunct/>
        <w:topLinePunct w:val="0"/>
        <w:autoSpaceDE/>
        <w:autoSpaceDN/>
        <w:bidi w:val="0"/>
        <w:adjustRightInd/>
        <w:snapToGrid/>
        <w:spacing w:line="360" w:lineRule="exact"/>
        <w:ind w:firstLine="440" w:firstLineChars="200"/>
        <w:jc w:val="left"/>
        <w:textAlignment w:val="auto"/>
        <w:rPr>
          <w:rFonts w:hint="default" w:ascii="Times New Roman" w:hAnsi="Times New Roman" w:eastAsia="宋体" w:cs="Times New Roman"/>
          <w:b w:val="0"/>
          <w:color w:val="auto"/>
          <w:sz w:val="22"/>
          <w:szCs w:val="22"/>
          <w:lang w:val="en-US" w:eastAsia="zh-CN"/>
        </w:rPr>
      </w:pPr>
      <w:r>
        <w:rPr>
          <w:rFonts w:hint="default" w:ascii="Times New Roman" w:hAnsi="Times New Roman" w:eastAsia="宋体" w:cs="Times New Roman"/>
          <w:b w:val="0"/>
          <w:color w:val="auto"/>
          <w:sz w:val="22"/>
          <w:szCs w:val="22"/>
          <w:lang w:val="en-US" w:eastAsia="zh-CN"/>
        </w:rPr>
        <w:t>3.青少年梯队集训参赛 500万元</w:t>
      </w:r>
    </w:p>
    <w:p w14:paraId="177AB279">
      <w:pPr>
        <w:keepNext w:val="0"/>
        <w:keepLines w:val="0"/>
        <w:pageBreakBefore w:val="0"/>
        <w:widowControl w:val="0"/>
        <w:kinsoku/>
        <w:wordWrap/>
        <w:overflowPunct/>
        <w:topLinePunct w:val="0"/>
        <w:autoSpaceDE/>
        <w:autoSpaceDN/>
        <w:bidi w:val="0"/>
        <w:adjustRightInd/>
        <w:snapToGrid/>
        <w:spacing w:line="360" w:lineRule="exact"/>
        <w:ind w:firstLine="440" w:firstLineChars="200"/>
        <w:jc w:val="left"/>
        <w:textAlignment w:val="auto"/>
        <w:rPr>
          <w:rFonts w:hint="default" w:ascii="Times New Roman" w:hAnsi="Times New Roman" w:eastAsia="宋体" w:cs="Times New Roman"/>
          <w:b w:val="0"/>
          <w:color w:val="auto"/>
          <w:sz w:val="22"/>
          <w:szCs w:val="22"/>
          <w:lang w:val="en-US" w:eastAsia="zh-CN"/>
        </w:rPr>
      </w:pPr>
      <w:r>
        <w:rPr>
          <w:rFonts w:hint="default" w:ascii="Times New Roman" w:hAnsi="Times New Roman" w:eastAsia="宋体" w:cs="Times New Roman"/>
          <w:b w:val="0"/>
          <w:color w:val="auto"/>
          <w:sz w:val="22"/>
          <w:szCs w:val="22"/>
          <w:lang w:val="en-US" w:eastAsia="zh-CN"/>
        </w:rPr>
        <w:t>为全力备战第十七届广东省运会足球项目，争取在足球发展重点城市建设中取得新突破，同时高质量完成深圳代表团的金牌目标任务，切实提升深圳市各级青少年足球梯队竞技水平，2025年至2026年作为省运会备战冲刺关键阶段，深圳市将统筹推进男女足球12支青少年梯队的“三集中”系统化训练，依托市青少年足球训练基地开展系统备战。经研究，分配500万元经费用于梯队集训、科学训练、备战保障以及宣传推广等方面工作，确保为深圳代表团在省运会足球项目中取得优异成绩奠定坚实基础。</w:t>
      </w:r>
    </w:p>
    <w:p w14:paraId="5256CA7F">
      <w:pPr>
        <w:pStyle w:val="3"/>
        <w:spacing w:before="120" w:beforeLines="50" w:after="120" w:afterLines="50"/>
        <w:rPr>
          <w:szCs w:val="24"/>
        </w:rPr>
      </w:pPr>
      <w:r>
        <w:rPr>
          <w:rFonts w:hint="eastAsia"/>
          <w:szCs w:val="24"/>
        </w:rPr>
        <w:t>三、实质性条款</w:t>
      </w:r>
    </w:p>
    <w:tbl>
      <w:tblPr>
        <w:tblStyle w:val="45"/>
        <w:tblW w:w="81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5"/>
        <w:gridCol w:w="7483"/>
      </w:tblGrid>
      <w:tr w14:paraId="77117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vAlign w:val="center"/>
          </w:tcPr>
          <w:p w14:paraId="59D9B486">
            <w:pPr>
              <w:adjustRightInd w:val="0"/>
              <w:snapToGrid w:val="0"/>
              <w:spacing w:line="360" w:lineRule="auto"/>
              <w:jc w:val="center"/>
              <w:rPr>
                <w:rFonts w:ascii="宋体" w:hAnsi="宋体"/>
                <w:kern w:val="0"/>
                <w:szCs w:val="21"/>
              </w:rPr>
            </w:pPr>
            <w:r>
              <w:rPr>
                <w:rFonts w:hint="eastAsia" w:ascii="宋体" w:hAnsi="宋体"/>
                <w:kern w:val="0"/>
                <w:szCs w:val="21"/>
              </w:rPr>
              <w:t>序号</w:t>
            </w:r>
          </w:p>
        </w:tc>
        <w:tc>
          <w:tcPr>
            <w:tcW w:w="7483" w:type="dxa"/>
            <w:vAlign w:val="center"/>
          </w:tcPr>
          <w:p w14:paraId="7C4C8B80">
            <w:pPr>
              <w:adjustRightInd w:val="0"/>
              <w:snapToGrid w:val="0"/>
              <w:spacing w:line="360" w:lineRule="auto"/>
              <w:jc w:val="center"/>
              <w:rPr>
                <w:rFonts w:ascii="宋体" w:hAnsi="宋体"/>
                <w:kern w:val="0"/>
                <w:szCs w:val="21"/>
              </w:rPr>
            </w:pPr>
            <w:r>
              <w:rPr>
                <w:rFonts w:hint="eastAsia" w:ascii="宋体" w:hAnsi="宋体"/>
                <w:kern w:val="0"/>
                <w:szCs w:val="21"/>
              </w:rPr>
              <w:t>实质性条款具体内容</w:t>
            </w:r>
          </w:p>
        </w:tc>
      </w:tr>
      <w:tr w14:paraId="011CE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vAlign w:val="center"/>
          </w:tcPr>
          <w:p w14:paraId="3EF25EF9">
            <w:pPr>
              <w:adjustRightInd w:val="0"/>
              <w:snapToGrid w:val="0"/>
              <w:spacing w:line="360" w:lineRule="auto"/>
              <w:jc w:val="center"/>
              <w:rPr>
                <w:rFonts w:ascii="宋体" w:hAnsi="宋体"/>
                <w:kern w:val="0"/>
                <w:szCs w:val="21"/>
              </w:rPr>
            </w:pPr>
            <w:r>
              <w:rPr>
                <w:rFonts w:hint="eastAsia" w:ascii="宋体" w:hAnsi="宋体"/>
                <w:kern w:val="0"/>
                <w:szCs w:val="21"/>
              </w:rPr>
              <w:t>1</w:t>
            </w:r>
          </w:p>
        </w:tc>
        <w:tc>
          <w:tcPr>
            <w:tcW w:w="7483" w:type="dxa"/>
            <w:vAlign w:val="center"/>
          </w:tcPr>
          <w:p w14:paraId="4FBC7046">
            <w:pPr>
              <w:adjustRightInd w:val="0"/>
              <w:snapToGrid w:val="0"/>
              <w:spacing w:line="360" w:lineRule="auto"/>
              <w:jc w:val="center"/>
              <w:rPr>
                <w:rFonts w:hAnsi="宋体" w:eastAsiaTheme="minorEastAsia"/>
                <w:kern w:val="0"/>
                <w:szCs w:val="21"/>
              </w:rPr>
            </w:pPr>
            <w:r>
              <w:rPr>
                <w:rFonts w:hint="eastAsia"/>
              </w:rPr>
              <w:t>满足本项目标★的条款要求</w:t>
            </w:r>
          </w:p>
        </w:tc>
      </w:tr>
    </w:tbl>
    <w:p w14:paraId="17F4B3DF">
      <w:pPr>
        <w:pStyle w:val="5"/>
        <w:keepNext/>
        <w:keepLines/>
        <w:pageBreakBefore w:val="0"/>
        <w:widowControl w:val="0"/>
        <w:tabs>
          <w:tab w:val="left" w:pos="765"/>
        </w:tabs>
        <w:kinsoku/>
        <w:wordWrap/>
        <w:overflowPunct/>
        <w:topLinePunct w:val="0"/>
        <w:autoSpaceDE/>
        <w:autoSpaceDN/>
        <w:bidi w:val="0"/>
        <w:adjustRightInd/>
        <w:snapToGrid/>
        <w:spacing w:before="0" w:after="0" w:line="240" w:lineRule="exact"/>
        <w:ind w:firstLine="442" w:firstLineChars="200"/>
        <w:jc w:val="left"/>
        <w:textAlignment w:val="auto"/>
        <w:rPr>
          <w:rFonts w:hint="eastAsia" w:ascii="宋体" w:hAnsi="宋体" w:eastAsia="宋体" w:cs="宋体"/>
          <w:b/>
          <w:bCs w:val="0"/>
          <w:kern w:val="0"/>
          <w:sz w:val="22"/>
          <w:szCs w:val="22"/>
          <w:lang w:val="en-US" w:eastAsia="zh-CN"/>
        </w:rPr>
      </w:pPr>
      <w:r>
        <w:rPr>
          <w:rFonts w:hint="eastAsia" w:ascii="宋体" w:hAnsi="宋体" w:eastAsia="宋体" w:cs="宋体"/>
          <w:b/>
          <w:bCs w:val="0"/>
          <w:kern w:val="0"/>
          <w:sz w:val="22"/>
          <w:szCs w:val="22"/>
        </w:rPr>
        <w:t>注：上表所列内容为不可负偏离条款，负偏离将视为未实质性满足谈判文件要求，作无效响应处理。</w:t>
      </w:r>
    </w:p>
    <w:p w14:paraId="325E66CC">
      <w:pPr>
        <w:pStyle w:val="3"/>
        <w:spacing w:before="120" w:beforeLines="50" w:after="120" w:afterLines="50"/>
        <w:rPr>
          <w:szCs w:val="24"/>
        </w:rPr>
      </w:pPr>
      <w:r>
        <w:rPr>
          <w:rFonts w:hint="eastAsia"/>
        </w:rPr>
        <w:t>★</w:t>
      </w:r>
      <w:r>
        <w:rPr>
          <w:rFonts w:hint="eastAsia"/>
          <w:lang w:eastAsia="zh-CN"/>
        </w:rPr>
        <w:t>四</w:t>
      </w:r>
      <w:r>
        <w:rPr>
          <w:rFonts w:hint="eastAsia"/>
          <w:szCs w:val="24"/>
        </w:rPr>
        <w:t>、</w:t>
      </w:r>
      <w:r>
        <w:rPr>
          <w:rFonts w:hint="eastAsia"/>
          <w:szCs w:val="24"/>
          <w:lang w:val="en-US" w:eastAsia="zh-CN"/>
        </w:rPr>
        <w:t>项目服务内容及要求</w:t>
      </w:r>
    </w:p>
    <w:p w14:paraId="311C9D1E">
      <w:pPr>
        <w:keepNext/>
        <w:keepLines/>
        <w:pageBreakBefore w:val="0"/>
        <w:widowControl w:val="0"/>
        <w:kinsoku/>
        <w:wordWrap/>
        <w:overflowPunct/>
        <w:topLinePunct w:val="0"/>
        <w:autoSpaceDE/>
        <w:autoSpaceDN/>
        <w:bidi w:val="0"/>
        <w:adjustRightInd/>
        <w:snapToGrid/>
        <w:spacing w:beforeAutospacing="0" w:afterAutospacing="0" w:line="360" w:lineRule="exact"/>
        <w:ind w:firstLine="442" w:firstLineChars="200"/>
        <w:jc w:val="left"/>
        <w:textAlignment w:val="auto"/>
        <w:outlineLvl w:val="1"/>
        <w:rPr>
          <w:rFonts w:ascii="宋体" w:hAnsi="宋体" w:eastAsia="宋体" w:cs="Times New Roman"/>
          <w:b/>
          <w:bCs/>
          <w:kern w:val="0"/>
          <w:sz w:val="22"/>
          <w:szCs w:val="22"/>
        </w:rPr>
      </w:pPr>
      <w:r>
        <w:rPr>
          <w:rFonts w:hint="eastAsia" w:ascii="宋体" w:hAnsi="宋体" w:eastAsia="宋体" w:cs="Times New Roman"/>
          <w:b/>
          <w:bCs/>
          <w:kern w:val="0"/>
          <w:sz w:val="22"/>
          <w:szCs w:val="22"/>
        </w:rPr>
        <w:t>（一）项目服务内容</w:t>
      </w:r>
    </w:p>
    <w:p w14:paraId="75FFFE89">
      <w:pPr>
        <w:pageBreakBefore w:val="0"/>
        <w:widowControl w:val="0"/>
        <w:kinsoku/>
        <w:wordWrap/>
        <w:overflowPunct/>
        <w:topLinePunct w:val="0"/>
        <w:autoSpaceDE/>
        <w:autoSpaceDN/>
        <w:bidi w:val="0"/>
        <w:adjustRightInd/>
        <w:snapToGrid/>
        <w:spacing w:before="0" w:beforeLines="0" w:beforeAutospacing="0" w:after="0" w:afterLines="0" w:afterAutospacing="0" w:line="360" w:lineRule="exact"/>
        <w:ind w:firstLine="440" w:firstLineChars="200"/>
        <w:jc w:val="left"/>
        <w:textAlignment w:val="auto"/>
        <w:rPr>
          <w:rFonts w:hint="eastAsia" w:ascii="宋体" w:hAnsi="宋体" w:eastAsia="宋体" w:cs="Times New Roman"/>
          <w:kern w:val="0"/>
          <w:sz w:val="22"/>
          <w:szCs w:val="22"/>
          <w:lang w:val="en-US" w:eastAsia="zh-CN" w:bidi="ar-SA"/>
        </w:rPr>
      </w:pPr>
      <w:r>
        <w:rPr>
          <w:rFonts w:hint="eastAsia" w:ascii="宋体" w:hAnsi="宋体" w:eastAsia="宋体" w:cs="Times New Roman"/>
          <w:kern w:val="0"/>
          <w:sz w:val="22"/>
          <w:szCs w:val="22"/>
          <w:lang w:val="en-US" w:eastAsia="zh-CN" w:bidi="ar-SA"/>
        </w:rPr>
        <w:t>1.贯彻落实《中国足球改革总体方案》《深圳市足球振兴行动计划》等国家、省、市有关足球发展工作的各项政策，夯实我市足球发展基础，维护深圳作为全国足球重点城市的地位。</w:t>
      </w:r>
    </w:p>
    <w:p w14:paraId="4C655A94">
      <w:pPr>
        <w:pageBreakBefore w:val="0"/>
        <w:widowControl w:val="0"/>
        <w:kinsoku/>
        <w:wordWrap/>
        <w:overflowPunct/>
        <w:topLinePunct w:val="0"/>
        <w:autoSpaceDE/>
        <w:autoSpaceDN/>
        <w:bidi w:val="0"/>
        <w:adjustRightInd/>
        <w:snapToGrid/>
        <w:spacing w:before="0" w:beforeLines="0" w:beforeAutospacing="0" w:after="0" w:afterLines="0" w:afterAutospacing="0" w:line="360" w:lineRule="exact"/>
        <w:ind w:firstLine="440" w:firstLineChars="200"/>
        <w:jc w:val="left"/>
        <w:textAlignment w:val="auto"/>
        <w:rPr>
          <w:rFonts w:hint="eastAsia" w:ascii="宋体" w:hAnsi="宋体" w:eastAsia="宋体" w:cs="Times New Roman"/>
          <w:kern w:val="0"/>
          <w:sz w:val="22"/>
          <w:szCs w:val="22"/>
          <w:lang w:val="en-US" w:eastAsia="zh-CN" w:bidi="ar-SA"/>
        </w:rPr>
      </w:pPr>
      <w:r>
        <w:rPr>
          <w:rFonts w:hint="eastAsia" w:ascii="宋体" w:hAnsi="宋体" w:eastAsia="宋体" w:cs="Times New Roman"/>
          <w:kern w:val="0"/>
          <w:sz w:val="22"/>
          <w:szCs w:val="22"/>
          <w:lang w:val="en-US" w:eastAsia="zh-CN" w:bidi="ar-SA"/>
        </w:rPr>
        <w:t>2.整合全市足球资源，完成我市足球重点城市建设工作任务，主要内容包括：</w:t>
      </w:r>
    </w:p>
    <w:p w14:paraId="5C8AEA24">
      <w:pPr>
        <w:pageBreakBefore w:val="0"/>
        <w:widowControl w:val="0"/>
        <w:kinsoku/>
        <w:wordWrap/>
        <w:overflowPunct/>
        <w:topLinePunct w:val="0"/>
        <w:autoSpaceDE/>
        <w:autoSpaceDN/>
        <w:bidi w:val="0"/>
        <w:adjustRightInd/>
        <w:snapToGrid/>
        <w:spacing w:before="0" w:beforeLines="0" w:beforeAutospacing="0" w:after="0" w:afterLines="0" w:afterAutospacing="0" w:line="360" w:lineRule="exact"/>
        <w:ind w:firstLine="440" w:firstLineChars="200"/>
        <w:jc w:val="left"/>
        <w:textAlignment w:val="auto"/>
        <w:rPr>
          <w:rFonts w:hint="eastAsia" w:ascii="宋体" w:hAnsi="宋体" w:eastAsia="宋体" w:cs="Times New Roman"/>
          <w:kern w:val="0"/>
          <w:sz w:val="22"/>
          <w:szCs w:val="22"/>
          <w:lang w:val="en-US" w:eastAsia="zh-CN" w:bidi="ar-SA"/>
        </w:rPr>
      </w:pPr>
      <w:r>
        <w:rPr>
          <w:rFonts w:hint="eastAsia" w:ascii="宋体" w:hAnsi="宋体" w:eastAsia="宋体" w:cs="Times New Roman"/>
          <w:kern w:val="0"/>
          <w:sz w:val="22"/>
          <w:szCs w:val="22"/>
          <w:lang w:val="en-US" w:eastAsia="zh-CN" w:bidi="ar-SA"/>
        </w:rPr>
        <w:t>（1）青训中心建设。严格根据国家体育总局工作部署，与中国足协共建国家青少年足球训练中心，建立健全符合足球运动发展规律、科学、可持续、国内一流的青少年足球培训体系；</w:t>
      </w:r>
    </w:p>
    <w:p w14:paraId="670D5D1F">
      <w:pPr>
        <w:pageBreakBefore w:val="0"/>
        <w:widowControl w:val="0"/>
        <w:kinsoku/>
        <w:wordWrap/>
        <w:overflowPunct/>
        <w:topLinePunct w:val="0"/>
        <w:autoSpaceDE/>
        <w:autoSpaceDN/>
        <w:bidi w:val="0"/>
        <w:adjustRightInd/>
        <w:snapToGrid/>
        <w:spacing w:before="0" w:beforeLines="0" w:beforeAutospacing="0" w:after="0" w:afterLines="0" w:afterAutospacing="0" w:line="360" w:lineRule="exact"/>
        <w:ind w:firstLine="440" w:firstLineChars="200"/>
        <w:jc w:val="left"/>
        <w:textAlignment w:val="auto"/>
        <w:rPr>
          <w:rFonts w:hint="eastAsia" w:ascii="宋体" w:hAnsi="宋体" w:eastAsia="宋体" w:cs="Times New Roman"/>
          <w:kern w:val="0"/>
          <w:sz w:val="22"/>
          <w:szCs w:val="22"/>
          <w:lang w:val="en-US" w:eastAsia="zh-CN" w:bidi="ar-SA"/>
        </w:rPr>
      </w:pPr>
      <w:r>
        <w:rPr>
          <w:rFonts w:hint="eastAsia" w:ascii="宋体" w:hAnsi="宋体" w:eastAsia="宋体" w:cs="Times New Roman"/>
          <w:kern w:val="0"/>
          <w:sz w:val="22"/>
          <w:szCs w:val="22"/>
          <w:lang w:val="en-US" w:eastAsia="zh-CN" w:bidi="ar-SA"/>
        </w:rPr>
        <w:t>（2）支持全运队备战参赛。加强青训与职业联赛衔接，重点保障大湾区全运会U20组备战，通过中乙联赛提升实战能力。支持梯队建设、科学训练及赛事参与，力争全运会"保三争一"目标，推动深圳足球高质量发展；</w:t>
      </w:r>
    </w:p>
    <w:p w14:paraId="2D09800A">
      <w:pPr>
        <w:pageBreakBefore w:val="0"/>
        <w:widowControl w:val="0"/>
        <w:kinsoku/>
        <w:wordWrap/>
        <w:overflowPunct/>
        <w:topLinePunct w:val="0"/>
        <w:autoSpaceDE/>
        <w:autoSpaceDN/>
        <w:bidi w:val="0"/>
        <w:adjustRightInd/>
        <w:snapToGrid/>
        <w:spacing w:before="0" w:beforeLines="0" w:beforeAutospacing="0" w:after="0" w:afterLines="0" w:afterAutospacing="0" w:line="360" w:lineRule="exact"/>
        <w:ind w:firstLine="440" w:firstLineChars="200"/>
        <w:jc w:val="left"/>
        <w:textAlignment w:val="auto"/>
        <w:rPr>
          <w:rFonts w:hint="eastAsia" w:ascii="宋体" w:hAnsi="宋体" w:eastAsia="宋体" w:cs="Times New Roman"/>
          <w:kern w:val="0"/>
          <w:sz w:val="22"/>
          <w:szCs w:val="22"/>
          <w:lang w:val="en-US" w:eastAsia="zh-CN" w:bidi="ar-SA"/>
        </w:rPr>
      </w:pPr>
      <w:r>
        <w:rPr>
          <w:rFonts w:hint="eastAsia" w:ascii="宋体" w:hAnsi="宋体" w:eastAsia="宋体" w:cs="Times New Roman"/>
          <w:kern w:val="0"/>
          <w:sz w:val="22"/>
          <w:szCs w:val="22"/>
          <w:lang w:val="en-US" w:eastAsia="zh-CN" w:bidi="ar-SA"/>
        </w:rPr>
        <w:t>（3）</w:t>
      </w:r>
      <w:r>
        <w:rPr>
          <w:rFonts w:hint="eastAsia" w:ascii="宋体" w:hAnsi="宋体" w:eastAsia="宋体" w:cs="Times New Roman"/>
          <w:kern w:val="0"/>
          <w:sz w:val="22"/>
          <w:szCs w:val="22"/>
          <w:highlight w:val="none"/>
          <w:lang w:val="en-US" w:eastAsia="zh-CN" w:bidi="ar-SA"/>
        </w:rPr>
        <w:t>青少年梯队集训参赛</w:t>
      </w:r>
      <w:r>
        <w:rPr>
          <w:rFonts w:hint="eastAsia" w:ascii="宋体" w:hAnsi="宋体" w:eastAsia="宋体" w:cs="Times New Roman"/>
          <w:kern w:val="0"/>
          <w:sz w:val="22"/>
          <w:szCs w:val="22"/>
          <w:lang w:val="en-US" w:eastAsia="zh-CN" w:bidi="ar-SA"/>
        </w:rPr>
        <w:t>。统筹推进男女足球青少年梯队系统化训练，依托市青少年足球训练基地开展科学备战，强化训练保障与宣传工作，力争在省运会足球项目中取得优异成绩，推动深圳足球重点城市建设取得新突破。</w:t>
      </w:r>
    </w:p>
    <w:p w14:paraId="74DD5177">
      <w:pPr>
        <w:keepNext/>
        <w:keepLines/>
        <w:pageBreakBefore w:val="0"/>
        <w:widowControl w:val="0"/>
        <w:kinsoku/>
        <w:wordWrap/>
        <w:overflowPunct/>
        <w:topLinePunct w:val="0"/>
        <w:autoSpaceDE/>
        <w:autoSpaceDN/>
        <w:bidi w:val="0"/>
        <w:adjustRightInd/>
        <w:snapToGrid/>
        <w:spacing w:beforeAutospacing="0" w:afterAutospacing="0" w:line="360" w:lineRule="exact"/>
        <w:ind w:firstLine="442" w:firstLineChars="200"/>
        <w:jc w:val="left"/>
        <w:textAlignment w:val="auto"/>
        <w:outlineLvl w:val="1"/>
        <w:rPr>
          <w:rFonts w:hint="eastAsia" w:ascii="宋体" w:hAnsi="宋体" w:eastAsia="宋体" w:cs="Times New Roman"/>
          <w:b/>
          <w:bCs/>
          <w:kern w:val="0"/>
          <w:sz w:val="22"/>
          <w:szCs w:val="22"/>
        </w:rPr>
      </w:pPr>
      <w:r>
        <w:rPr>
          <w:rFonts w:hint="eastAsia" w:ascii="宋体" w:hAnsi="宋体" w:eastAsia="宋体" w:cs="Times New Roman"/>
          <w:b/>
          <w:bCs/>
          <w:kern w:val="0"/>
          <w:sz w:val="22"/>
          <w:szCs w:val="22"/>
        </w:rPr>
        <w:t>（二）服务要求及数量</w:t>
      </w:r>
    </w:p>
    <w:p w14:paraId="6E7051D0">
      <w:pPr>
        <w:pageBreakBefore w:val="0"/>
        <w:widowControl w:val="0"/>
        <w:kinsoku/>
        <w:wordWrap/>
        <w:overflowPunct/>
        <w:topLinePunct w:val="0"/>
        <w:autoSpaceDE/>
        <w:autoSpaceDN/>
        <w:bidi w:val="0"/>
        <w:adjustRightInd/>
        <w:snapToGrid/>
        <w:spacing w:before="0" w:beforeLines="0" w:beforeAutospacing="0" w:after="0" w:afterLines="0" w:afterAutospacing="0" w:line="360" w:lineRule="exact"/>
        <w:ind w:firstLine="440" w:firstLineChars="200"/>
        <w:jc w:val="left"/>
        <w:textAlignment w:val="auto"/>
        <w:rPr>
          <w:rFonts w:hint="eastAsia" w:ascii="宋体" w:hAnsi="宋体" w:eastAsia="宋体" w:cs="Times New Roman"/>
          <w:kern w:val="0"/>
          <w:sz w:val="22"/>
          <w:szCs w:val="22"/>
          <w:lang w:val="en-US" w:eastAsia="zh-CN" w:bidi="ar-SA"/>
        </w:rPr>
      </w:pPr>
      <w:r>
        <w:rPr>
          <w:rFonts w:hint="eastAsia" w:ascii="宋体" w:hAnsi="宋体" w:eastAsia="宋体" w:cs="Times New Roman"/>
          <w:kern w:val="0"/>
          <w:sz w:val="22"/>
          <w:szCs w:val="22"/>
          <w:lang w:val="en-US" w:eastAsia="zh-CN" w:bidi="ar-SA"/>
        </w:rPr>
        <w:t>该项目要求完成组织实施共建国家青少年足球训练中心、支持全运队备战参赛、</w:t>
      </w:r>
      <w:r>
        <w:rPr>
          <w:rFonts w:hint="eastAsia" w:ascii="宋体" w:hAnsi="宋体" w:eastAsia="宋体" w:cs="Times New Roman"/>
          <w:kern w:val="0"/>
          <w:sz w:val="22"/>
          <w:szCs w:val="22"/>
          <w:highlight w:val="none"/>
          <w:lang w:val="en-US" w:eastAsia="zh-CN" w:bidi="ar-SA"/>
        </w:rPr>
        <w:t>青少年梯队集训参赛</w:t>
      </w:r>
      <w:r>
        <w:rPr>
          <w:rFonts w:hint="eastAsia" w:ascii="宋体" w:hAnsi="宋体" w:eastAsia="宋体" w:cs="Times New Roman"/>
          <w:kern w:val="0"/>
          <w:sz w:val="22"/>
          <w:szCs w:val="22"/>
          <w:lang w:val="en-US" w:eastAsia="zh-CN" w:bidi="ar-SA"/>
        </w:rPr>
        <w:t>等任务。</w:t>
      </w:r>
    </w:p>
    <w:p w14:paraId="2C1BA5F6">
      <w:pPr>
        <w:pageBreakBefore w:val="0"/>
        <w:widowControl w:val="0"/>
        <w:kinsoku/>
        <w:wordWrap/>
        <w:overflowPunct/>
        <w:topLinePunct w:val="0"/>
        <w:autoSpaceDE/>
        <w:autoSpaceDN/>
        <w:bidi w:val="0"/>
        <w:adjustRightInd/>
        <w:snapToGrid/>
        <w:spacing w:before="0" w:beforeLines="0" w:beforeAutospacing="0" w:after="0" w:afterLines="0" w:afterAutospacing="0" w:line="360" w:lineRule="exact"/>
        <w:ind w:firstLine="440" w:firstLineChars="200"/>
        <w:jc w:val="left"/>
        <w:textAlignment w:val="auto"/>
        <w:rPr>
          <w:rFonts w:hint="eastAsia" w:ascii="宋体" w:hAnsi="宋体" w:eastAsia="宋体" w:cs="Times New Roman"/>
          <w:kern w:val="0"/>
          <w:sz w:val="22"/>
          <w:szCs w:val="22"/>
          <w:lang w:val="en-US" w:eastAsia="zh-CN" w:bidi="ar-SA"/>
        </w:rPr>
      </w:pPr>
      <w:r>
        <w:rPr>
          <w:rFonts w:hint="eastAsia" w:ascii="宋体" w:hAnsi="宋体" w:eastAsia="宋体" w:cs="Times New Roman"/>
          <w:color w:val="auto"/>
          <w:kern w:val="0"/>
          <w:sz w:val="22"/>
          <w:szCs w:val="22"/>
          <w:lang w:val="en-US" w:eastAsia="zh-CN" w:bidi="ar-SA"/>
        </w:rPr>
        <w:t>1.青训中心建设。</w:t>
      </w:r>
      <w:r>
        <w:rPr>
          <w:rFonts w:hint="eastAsia" w:ascii="宋体" w:hAnsi="宋体" w:eastAsia="宋体" w:cs="Times New Roman"/>
          <w:color w:val="auto"/>
          <w:kern w:val="0"/>
          <w:sz w:val="22"/>
          <w:szCs w:val="22"/>
          <w:highlight w:val="none"/>
          <w:lang w:val="en-US" w:eastAsia="zh-CN" w:bidi="ar-SA"/>
        </w:rPr>
        <w:t>组建男、女子U7-U12单年龄精英足球训练营，每个年龄段男女训练人数平均达到100人，合计</w:t>
      </w:r>
      <w:r>
        <w:rPr>
          <w:rFonts w:hint="eastAsia" w:ascii="宋体" w:hAnsi="宋体" w:eastAsia="宋体" w:cs="Times New Roman"/>
          <w:kern w:val="0"/>
          <w:sz w:val="22"/>
          <w:szCs w:val="22"/>
          <w:highlight w:val="none"/>
          <w:lang w:val="en-US" w:eastAsia="zh-CN" w:bidi="ar-SA"/>
        </w:rPr>
        <w:t>600名队员参加训练，代表深圳市完成中国足协举办的各级各类青训中心比赛参赛任务，并培养优秀足球后备人才。</w:t>
      </w:r>
    </w:p>
    <w:p w14:paraId="135EAFE2">
      <w:pPr>
        <w:pageBreakBefore w:val="0"/>
        <w:widowControl w:val="0"/>
        <w:kinsoku/>
        <w:wordWrap/>
        <w:overflowPunct/>
        <w:topLinePunct w:val="0"/>
        <w:autoSpaceDE/>
        <w:autoSpaceDN/>
        <w:bidi w:val="0"/>
        <w:adjustRightInd/>
        <w:snapToGrid/>
        <w:spacing w:before="0" w:beforeLines="0" w:beforeAutospacing="0" w:after="0" w:afterLines="0" w:afterAutospacing="0" w:line="360" w:lineRule="exact"/>
        <w:ind w:firstLine="440" w:firstLineChars="200"/>
        <w:jc w:val="left"/>
        <w:textAlignment w:val="auto"/>
        <w:rPr>
          <w:rFonts w:hint="eastAsia" w:ascii="宋体" w:hAnsi="宋体" w:eastAsia="宋体" w:cs="Times New Roman"/>
          <w:kern w:val="0"/>
          <w:sz w:val="22"/>
          <w:szCs w:val="22"/>
          <w:highlight w:val="none"/>
          <w:lang w:val="en-US" w:eastAsia="zh-CN" w:bidi="ar-SA"/>
        </w:rPr>
      </w:pPr>
      <w:r>
        <w:rPr>
          <w:rFonts w:hint="eastAsia" w:ascii="宋体" w:hAnsi="宋体" w:eastAsia="宋体" w:cs="Times New Roman"/>
          <w:kern w:val="0"/>
          <w:sz w:val="22"/>
          <w:szCs w:val="22"/>
          <w:lang w:val="en-US" w:eastAsia="zh-CN" w:bidi="ar-SA"/>
        </w:rPr>
        <w:t>2.支持全运队备战参赛。</w:t>
      </w:r>
      <w:r>
        <w:rPr>
          <w:rFonts w:hint="eastAsia" w:ascii="宋体" w:hAnsi="宋体" w:eastAsia="宋体" w:cs="Times New Roman"/>
          <w:kern w:val="0"/>
          <w:sz w:val="22"/>
          <w:szCs w:val="22"/>
          <w:highlight w:val="none"/>
          <w:lang w:val="en-US" w:eastAsia="zh-CN" w:bidi="ar-SA"/>
        </w:rPr>
        <w:t>建立最高级别青训梯队与职业联赛衔接机制，做好大湾区全运会U20男子组备战保障，配备专业训练团队开展技战术指导，并通过参加中乙联赛提升实战能力，落实反兴奋剂教育和监管，针对性开展赛前封闭集训，保障场地、器材、外聘教练等需求，全力实现全运会“保三争一”目标。</w:t>
      </w:r>
    </w:p>
    <w:p w14:paraId="22818BC1">
      <w:pPr>
        <w:pageBreakBefore w:val="0"/>
        <w:widowControl w:val="0"/>
        <w:kinsoku/>
        <w:wordWrap/>
        <w:overflowPunct/>
        <w:topLinePunct w:val="0"/>
        <w:autoSpaceDE/>
        <w:autoSpaceDN/>
        <w:bidi w:val="0"/>
        <w:adjustRightInd/>
        <w:snapToGrid/>
        <w:spacing w:before="0" w:beforeLines="0" w:beforeAutospacing="0" w:after="0" w:afterLines="0" w:afterAutospacing="0" w:line="360" w:lineRule="exact"/>
        <w:ind w:firstLine="440" w:firstLineChars="200"/>
        <w:jc w:val="left"/>
        <w:textAlignment w:val="auto"/>
        <w:rPr>
          <w:rFonts w:hint="eastAsia" w:ascii="宋体" w:hAnsi="宋体" w:eastAsia="宋体" w:cs="Times New Roman"/>
          <w:kern w:val="0"/>
          <w:sz w:val="22"/>
          <w:szCs w:val="22"/>
          <w:lang w:val="en-US" w:eastAsia="zh-CN" w:bidi="ar-SA"/>
        </w:rPr>
      </w:pPr>
      <w:r>
        <w:rPr>
          <w:rFonts w:hint="eastAsia" w:ascii="宋体" w:hAnsi="宋体" w:eastAsia="宋体" w:cs="Times New Roman"/>
          <w:kern w:val="0"/>
          <w:sz w:val="22"/>
          <w:szCs w:val="22"/>
          <w:highlight w:val="none"/>
          <w:lang w:val="en-US" w:eastAsia="zh-CN" w:bidi="ar-SA"/>
        </w:rPr>
        <w:t>3.青少年梯队集训参赛。提供深圳市青少年足球12支省运会备战梯队（男女足）在2025-2026年"三集中"系统化训练的全方位服务，包括专业训练场地保障、科学化日常训练指导及全周期后勤管理，配备专职教练团队开展技战术、体能训练及运动康复；加强反兴奋剂教育，定期开展赛风赛纪宣讲；进行备战跟踪报道。</w:t>
      </w:r>
    </w:p>
    <w:p w14:paraId="0F89690B">
      <w:pPr>
        <w:keepNext/>
        <w:keepLines/>
        <w:pageBreakBefore w:val="0"/>
        <w:widowControl w:val="0"/>
        <w:kinsoku/>
        <w:wordWrap/>
        <w:overflowPunct/>
        <w:topLinePunct w:val="0"/>
        <w:autoSpaceDE/>
        <w:autoSpaceDN/>
        <w:bidi w:val="0"/>
        <w:adjustRightInd/>
        <w:snapToGrid/>
        <w:spacing w:beforeAutospacing="0" w:afterAutospacing="0" w:line="360" w:lineRule="exact"/>
        <w:ind w:firstLine="442" w:firstLineChars="200"/>
        <w:jc w:val="left"/>
        <w:textAlignment w:val="auto"/>
        <w:outlineLvl w:val="1"/>
        <w:rPr>
          <w:rFonts w:hint="eastAsia" w:ascii="宋体" w:hAnsi="宋体" w:eastAsia="宋体" w:cs="宋体"/>
          <w:b/>
          <w:bCs/>
          <w:kern w:val="0"/>
          <w:sz w:val="22"/>
          <w:szCs w:val="22"/>
        </w:rPr>
      </w:pPr>
      <w:r>
        <w:rPr>
          <w:rFonts w:hint="eastAsia" w:ascii="宋体" w:hAnsi="宋体" w:eastAsia="宋体" w:cs="Times New Roman"/>
          <w:b/>
          <w:bCs/>
          <w:kern w:val="0"/>
          <w:sz w:val="22"/>
          <w:szCs w:val="22"/>
        </w:rPr>
        <w:t>（三）服务保障措施</w:t>
      </w:r>
    </w:p>
    <w:p w14:paraId="0CFF805A">
      <w:pPr>
        <w:pageBreakBefore w:val="0"/>
        <w:widowControl w:val="0"/>
        <w:kinsoku/>
        <w:wordWrap/>
        <w:overflowPunct/>
        <w:topLinePunct w:val="0"/>
        <w:autoSpaceDE/>
        <w:autoSpaceDN/>
        <w:bidi w:val="0"/>
        <w:adjustRightInd/>
        <w:snapToGrid/>
        <w:spacing w:beforeAutospacing="0" w:afterAutospacing="0" w:line="360" w:lineRule="exact"/>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1.服务质量保障。投标人根据本项目需求制定项目方案，严格按采购方的要求建立科学合理的项目执行体系，项目完成后形成书面总结分析报告作为绩效评价参考依据；</w:t>
      </w:r>
    </w:p>
    <w:p w14:paraId="1DB94993">
      <w:pPr>
        <w:pageBreakBefore w:val="0"/>
        <w:widowControl w:val="0"/>
        <w:kinsoku/>
        <w:wordWrap/>
        <w:overflowPunct/>
        <w:topLinePunct w:val="0"/>
        <w:autoSpaceDE/>
        <w:autoSpaceDN/>
        <w:bidi w:val="0"/>
        <w:adjustRightInd/>
        <w:snapToGrid/>
        <w:spacing w:beforeAutospacing="0" w:afterAutospacing="0" w:line="360" w:lineRule="exact"/>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2.人员配备保障。项目执行团队安排不少于3-5名专职工作人员，聘用专业人才，组建项目管理团队及复合型保障团队，合理分工，保障项目工作顺利开展；</w:t>
      </w:r>
    </w:p>
    <w:p w14:paraId="1D4BE186">
      <w:pPr>
        <w:pageBreakBefore w:val="0"/>
        <w:widowControl w:val="0"/>
        <w:kinsoku/>
        <w:wordWrap/>
        <w:overflowPunct/>
        <w:topLinePunct w:val="0"/>
        <w:autoSpaceDE/>
        <w:autoSpaceDN/>
        <w:bidi w:val="0"/>
        <w:adjustRightInd/>
        <w:snapToGrid/>
        <w:spacing w:beforeAutospacing="0" w:afterAutospacing="0" w:line="360" w:lineRule="exact"/>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3.安全要求保障。在开展训练、比赛、培训等活动时，场地、设施、用车、住宿、餐饮等各方面均符合安全标准，现场合理配备安保人员，为参训和参赛相关人员购买意外伤害保险；</w:t>
      </w:r>
    </w:p>
    <w:p w14:paraId="25509EB9">
      <w:pPr>
        <w:pageBreakBefore w:val="0"/>
        <w:widowControl w:val="0"/>
        <w:kinsoku/>
        <w:wordWrap/>
        <w:overflowPunct/>
        <w:topLinePunct w:val="0"/>
        <w:autoSpaceDE/>
        <w:autoSpaceDN/>
        <w:bidi w:val="0"/>
        <w:adjustRightInd/>
        <w:snapToGrid/>
        <w:spacing w:beforeAutospacing="0" w:afterAutospacing="0" w:line="360" w:lineRule="exact"/>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4.医疗服务保障。提供医疗保障工作方案及医疗保障人员配置方案，保障训练和比赛场地医疗所需药品充足。</w:t>
      </w:r>
    </w:p>
    <w:p w14:paraId="3D44277E">
      <w:pPr>
        <w:pageBreakBefore w:val="0"/>
        <w:widowControl w:val="0"/>
        <w:kinsoku/>
        <w:wordWrap/>
        <w:overflowPunct/>
        <w:topLinePunct w:val="0"/>
        <w:autoSpaceDE/>
        <w:autoSpaceDN/>
        <w:bidi w:val="0"/>
        <w:adjustRightInd/>
        <w:snapToGrid/>
        <w:spacing w:beforeAutospacing="0" w:afterAutospacing="0" w:line="360" w:lineRule="exact"/>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5.宣传推广保障。加大对本项目开展过程中的宣传力度，充分利用各种媒体，特别是受青少年欢迎的新媒体进行报道宣传或赛事直播，营造良好的青少年足球发展氛围。</w:t>
      </w:r>
    </w:p>
    <w:p w14:paraId="36206462">
      <w:pPr>
        <w:pStyle w:val="3"/>
        <w:spacing w:before="120" w:beforeLines="50" w:after="120" w:afterLines="50"/>
        <w:rPr>
          <w:szCs w:val="24"/>
        </w:rPr>
      </w:pPr>
      <w:r>
        <w:rPr>
          <w:rFonts w:hint="eastAsia"/>
        </w:rPr>
        <w:t>★</w:t>
      </w:r>
      <w:r>
        <w:rPr>
          <w:rFonts w:hint="eastAsia"/>
          <w:lang w:eastAsia="zh-CN"/>
        </w:rPr>
        <w:t>五</w:t>
      </w:r>
      <w:r>
        <w:rPr>
          <w:rFonts w:hint="eastAsia"/>
          <w:szCs w:val="24"/>
        </w:rPr>
        <w:t>、商务要求</w:t>
      </w:r>
    </w:p>
    <w:p w14:paraId="66B7F1AB">
      <w:pPr>
        <w:keepNext w:val="0"/>
        <w:keepLines w:val="0"/>
        <w:pageBreakBefore w:val="0"/>
        <w:widowControl w:val="0"/>
        <w:kinsoku/>
        <w:wordWrap/>
        <w:overflowPunct/>
        <w:topLinePunct w:val="0"/>
        <w:autoSpaceDE/>
        <w:autoSpaceDN/>
        <w:bidi w:val="0"/>
        <w:adjustRightInd/>
        <w:snapToGrid/>
        <w:spacing w:line="360" w:lineRule="exact"/>
        <w:ind w:firstLine="442" w:firstLineChars="200"/>
        <w:jc w:val="left"/>
        <w:textAlignment w:val="auto"/>
        <w:rPr>
          <w:rFonts w:hint="default" w:ascii="Times New Roman" w:hAnsi="Times New Roman" w:eastAsia="宋体" w:cs="Times New Roman"/>
          <w:b/>
          <w:sz w:val="22"/>
          <w:szCs w:val="22"/>
        </w:rPr>
      </w:pPr>
      <w:r>
        <w:rPr>
          <w:rFonts w:hint="default" w:ascii="Times New Roman" w:hAnsi="Times New Roman" w:eastAsia="宋体" w:cs="Times New Roman"/>
          <w:b/>
          <w:sz w:val="22"/>
          <w:szCs w:val="22"/>
        </w:rPr>
        <w:t>（一）履约时间和地点</w:t>
      </w:r>
    </w:p>
    <w:p w14:paraId="61B97C99">
      <w:pPr>
        <w:pStyle w:val="18"/>
        <w:keepNext w:val="0"/>
        <w:keepLines w:val="0"/>
        <w:pageBreakBefore w:val="0"/>
        <w:widowControl w:val="0"/>
        <w:kinsoku/>
        <w:wordWrap/>
        <w:overflowPunct/>
        <w:topLinePunct w:val="0"/>
        <w:autoSpaceDE/>
        <w:autoSpaceDN/>
        <w:bidi w:val="0"/>
        <w:adjustRightInd/>
        <w:snapToGrid/>
        <w:spacing w:line="360" w:lineRule="exact"/>
        <w:ind w:firstLine="440" w:firstLineChars="200"/>
        <w:jc w:val="left"/>
        <w:textAlignment w:val="auto"/>
        <w:rPr>
          <w:rFonts w:hint="default" w:ascii="Times New Roman" w:hAnsi="Times New Roman" w:eastAsia="宋体" w:cs="Times New Roman"/>
          <w:b w:val="0"/>
          <w:bCs w:val="0"/>
          <w:sz w:val="22"/>
          <w:szCs w:val="22"/>
          <w:lang w:val="en-US" w:eastAsia="zh-CN"/>
        </w:rPr>
      </w:pPr>
      <w:r>
        <w:rPr>
          <w:rFonts w:hint="default" w:ascii="Times New Roman" w:hAnsi="Times New Roman" w:eastAsia="宋体" w:cs="Times New Roman"/>
          <w:b w:val="0"/>
          <w:bCs w:val="0"/>
          <w:sz w:val="22"/>
          <w:szCs w:val="22"/>
          <w:lang w:val="en-US" w:eastAsia="zh-CN"/>
        </w:rPr>
        <w:t>1、</w:t>
      </w:r>
      <w:r>
        <w:rPr>
          <w:rFonts w:hint="eastAsia" w:ascii="Times New Roman" w:hAnsi="Times New Roman" w:eastAsia="宋体" w:cs="Times New Roman"/>
          <w:b w:val="0"/>
          <w:bCs w:val="0"/>
          <w:sz w:val="22"/>
          <w:szCs w:val="22"/>
          <w:lang w:val="en-US" w:eastAsia="zh-CN"/>
        </w:rPr>
        <w:t>服务</w:t>
      </w:r>
      <w:r>
        <w:rPr>
          <w:rFonts w:hint="default" w:ascii="Times New Roman" w:hAnsi="Times New Roman" w:eastAsia="宋体" w:cs="Times New Roman"/>
          <w:b w:val="0"/>
          <w:bCs w:val="0"/>
          <w:sz w:val="22"/>
          <w:szCs w:val="22"/>
          <w:lang w:val="en-US" w:eastAsia="zh-CN"/>
        </w:rPr>
        <w:t>时间：：本项目服务期限为自合同签订之日起至2026年10月31日。</w:t>
      </w:r>
    </w:p>
    <w:p w14:paraId="38A1550D">
      <w:pPr>
        <w:pStyle w:val="18"/>
        <w:keepNext w:val="0"/>
        <w:keepLines w:val="0"/>
        <w:pageBreakBefore w:val="0"/>
        <w:widowControl w:val="0"/>
        <w:kinsoku/>
        <w:wordWrap/>
        <w:overflowPunct/>
        <w:topLinePunct w:val="0"/>
        <w:autoSpaceDE/>
        <w:autoSpaceDN/>
        <w:bidi w:val="0"/>
        <w:adjustRightInd/>
        <w:snapToGrid/>
        <w:spacing w:line="360" w:lineRule="exact"/>
        <w:ind w:firstLine="440" w:firstLineChars="200"/>
        <w:jc w:val="left"/>
        <w:textAlignment w:val="auto"/>
        <w:rPr>
          <w:rFonts w:hint="default" w:ascii="Times New Roman" w:hAnsi="Times New Roman" w:eastAsia="宋体" w:cs="Times New Roman"/>
          <w:b w:val="0"/>
          <w:bCs w:val="0"/>
          <w:sz w:val="22"/>
          <w:szCs w:val="22"/>
        </w:rPr>
      </w:pPr>
      <w:r>
        <w:rPr>
          <w:rFonts w:hint="default" w:ascii="Times New Roman" w:hAnsi="Times New Roman" w:eastAsia="宋体" w:cs="Times New Roman"/>
          <w:b w:val="0"/>
          <w:bCs w:val="0"/>
          <w:sz w:val="22"/>
          <w:szCs w:val="22"/>
          <w:lang w:val="en-US" w:eastAsia="zh-CN"/>
        </w:rPr>
        <w:t>2、</w:t>
      </w:r>
      <w:r>
        <w:rPr>
          <w:rFonts w:hint="eastAsia" w:ascii="Times New Roman" w:hAnsi="Times New Roman" w:eastAsia="宋体" w:cs="Times New Roman"/>
          <w:b w:val="0"/>
          <w:bCs w:val="0"/>
          <w:sz w:val="22"/>
          <w:szCs w:val="22"/>
          <w:lang w:val="en-US" w:eastAsia="zh-CN"/>
        </w:rPr>
        <w:t>服务</w:t>
      </w:r>
      <w:r>
        <w:rPr>
          <w:rFonts w:hint="default" w:ascii="Times New Roman" w:hAnsi="Times New Roman" w:eastAsia="宋体" w:cs="Times New Roman"/>
          <w:b w:val="0"/>
          <w:bCs w:val="0"/>
          <w:sz w:val="22"/>
          <w:szCs w:val="22"/>
          <w:lang w:val="en-US" w:eastAsia="zh-CN"/>
        </w:rPr>
        <w:t>地点：</w:t>
      </w:r>
      <w:r>
        <w:rPr>
          <w:rFonts w:hint="eastAsia" w:cs="Times New Roman"/>
          <w:b w:val="0"/>
          <w:bCs w:val="0"/>
          <w:sz w:val="22"/>
          <w:szCs w:val="22"/>
          <w:lang w:val="en-US" w:eastAsia="zh-CN"/>
        </w:rPr>
        <w:t>采购人指定地点</w:t>
      </w:r>
      <w:r>
        <w:rPr>
          <w:rFonts w:hint="default" w:ascii="Times New Roman" w:hAnsi="Times New Roman" w:eastAsia="宋体" w:cs="Times New Roman"/>
          <w:b w:val="0"/>
          <w:bCs w:val="0"/>
          <w:sz w:val="22"/>
          <w:szCs w:val="22"/>
        </w:rPr>
        <w:t>。</w:t>
      </w:r>
    </w:p>
    <w:p w14:paraId="38866CA9">
      <w:pPr>
        <w:pStyle w:val="19"/>
        <w:keepNext w:val="0"/>
        <w:keepLines w:val="0"/>
        <w:pageBreakBefore w:val="0"/>
        <w:widowControl w:val="0"/>
        <w:kinsoku/>
        <w:wordWrap/>
        <w:overflowPunct/>
        <w:topLinePunct w:val="0"/>
        <w:autoSpaceDE/>
        <w:autoSpaceDN/>
        <w:bidi w:val="0"/>
        <w:adjustRightInd/>
        <w:snapToGrid/>
        <w:spacing w:line="360" w:lineRule="exact"/>
        <w:ind w:firstLine="442" w:firstLineChars="200"/>
        <w:jc w:val="left"/>
        <w:textAlignment w:val="auto"/>
        <w:rPr>
          <w:rFonts w:hint="default" w:ascii="Times New Roman" w:hAnsi="Times New Roman" w:eastAsia="宋体" w:cs="Times New Roman"/>
          <w:b/>
          <w:sz w:val="22"/>
          <w:szCs w:val="22"/>
        </w:rPr>
      </w:pPr>
      <w:r>
        <w:rPr>
          <w:rFonts w:hint="default" w:ascii="Times New Roman" w:hAnsi="Times New Roman" w:eastAsia="宋体" w:cs="Times New Roman"/>
          <w:b/>
          <w:sz w:val="22"/>
          <w:szCs w:val="22"/>
        </w:rPr>
        <w:t>（</w:t>
      </w:r>
      <w:r>
        <w:rPr>
          <w:rFonts w:hint="default" w:ascii="Times New Roman" w:hAnsi="Times New Roman" w:eastAsia="宋体" w:cs="Times New Roman"/>
          <w:b/>
          <w:sz w:val="22"/>
          <w:szCs w:val="22"/>
          <w:lang w:val="en-US" w:eastAsia="zh-CN"/>
        </w:rPr>
        <w:t>二</w:t>
      </w:r>
      <w:r>
        <w:rPr>
          <w:rFonts w:hint="default" w:ascii="Times New Roman" w:hAnsi="Times New Roman" w:eastAsia="宋体" w:cs="Times New Roman"/>
          <w:b/>
          <w:sz w:val="22"/>
          <w:szCs w:val="22"/>
        </w:rPr>
        <w:t>）付款期限和方式</w:t>
      </w:r>
    </w:p>
    <w:p w14:paraId="0CB3BDF2">
      <w:pPr>
        <w:keepNext w:val="0"/>
        <w:keepLines w:val="0"/>
        <w:pageBreakBefore w:val="0"/>
        <w:widowControl w:val="0"/>
        <w:kinsoku/>
        <w:wordWrap/>
        <w:overflowPunct/>
        <w:topLinePunct w:val="0"/>
        <w:autoSpaceDE/>
        <w:autoSpaceDN/>
        <w:bidi w:val="0"/>
        <w:adjustRightInd/>
        <w:snapToGrid/>
        <w:spacing w:line="360" w:lineRule="exact"/>
        <w:ind w:firstLine="440" w:firstLineChars="200"/>
        <w:jc w:val="left"/>
        <w:textAlignment w:val="auto"/>
        <w:rPr>
          <w:rFonts w:hint="eastAsia" w:ascii="Times New Roman" w:hAnsi="Times New Roman" w:eastAsia="宋体" w:cs="Times New Roman"/>
          <w:sz w:val="22"/>
          <w:szCs w:val="22"/>
          <w:lang w:eastAsia="zh-CN"/>
        </w:rPr>
      </w:pPr>
      <w:r>
        <w:rPr>
          <w:rFonts w:hint="default" w:ascii="Times New Roman" w:hAnsi="Times New Roman" w:eastAsia="宋体" w:cs="Times New Roman"/>
          <w:b w:val="0"/>
          <w:bCs w:val="0"/>
          <w:sz w:val="22"/>
          <w:szCs w:val="22"/>
        </w:rPr>
        <w:t>服务合同签订及备案后一个月内，</w:t>
      </w:r>
      <w:r>
        <w:rPr>
          <w:rFonts w:hint="default" w:ascii="Times New Roman" w:hAnsi="Times New Roman" w:eastAsia="宋体" w:cs="Times New Roman"/>
          <w:b w:val="0"/>
          <w:bCs w:val="0"/>
          <w:sz w:val="22"/>
          <w:szCs w:val="22"/>
          <w:lang w:val="en-US" w:eastAsia="zh-CN"/>
        </w:rPr>
        <w:t>采购人</w:t>
      </w:r>
      <w:r>
        <w:rPr>
          <w:rFonts w:hint="default" w:ascii="Times New Roman" w:hAnsi="Times New Roman" w:eastAsia="宋体" w:cs="Times New Roman"/>
          <w:b w:val="0"/>
          <w:bCs w:val="0"/>
          <w:sz w:val="22"/>
          <w:szCs w:val="22"/>
        </w:rPr>
        <w:t>先向</w:t>
      </w:r>
      <w:r>
        <w:rPr>
          <w:rFonts w:hint="eastAsia" w:cs="Times New Roman"/>
          <w:b w:val="0"/>
          <w:bCs w:val="0"/>
          <w:sz w:val="22"/>
          <w:szCs w:val="22"/>
          <w:lang w:val="en-US" w:eastAsia="zh-CN"/>
        </w:rPr>
        <w:t>成交</w:t>
      </w:r>
      <w:r>
        <w:rPr>
          <w:rFonts w:hint="default" w:ascii="Times New Roman" w:hAnsi="Times New Roman" w:eastAsia="宋体" w:cs="Times New Roman"/>
          <w:b w:val="0"/>
          <w:bCs w:val="0"/>
          <w:sz w:val="22"/>
          <w:szCs w:val="22"/>
          <w:lang w:val="en-US" w:eastAsia="zh-CN"/>
        </w:rPr>
        <w:t>人</w:t>
      </w:r>
      <w:r>
        <w:rPr>
          <w:rFonts w:hint="default" w:ascii="Times New Roman" w:hAnsi="Times New Roman" w:eastAsia="宋体" w:cs="Times New Roman"/>
          <w:b w:val="0"/>
          <w:bCs w:val="0"/>
          <w:sz w:val="22"/>
          <w:szCs w:val="22"/>
        </w:rPr>
        <w:t>支付</w:t>
      </w:r>
      <w:r>
        <w:rPr>
          <w:rFonts w:hint="default" w:ascii="Times New Roman" w:hAnsi="Times New Roman" w:eastAsia="宋体" w:cs="Times New Roman"/>
          <w:b w:val="0"/>
          <w:bCs w:val="0"/>
          <w:sz w:val="22"/>
          <w:szCs w:val="22"/>
          <w:lang w:val="en-US" w:eastAsia="zh-CN"/>
        </w:rPr>
        <w:t>合同总价</w:t>
      </w:r>
      <w:r>
        <w:rPr>
          <w:rFonts w:hint="default" w:cs="Times New Roman"/>
          <w:b w:val="0"/>
          <w:bCs w:val="0"/>
          <w:sz w:val="22"/>
          <w:szCs w:val="22"/>
          <w:lang w:val="en-US" w:eastAsia="zh-CN"/>
        </w:rPr>
        <w:t>70</w:t>
      </w:r>
      <w:r>
        <w:rPr>
          <w:rFonts w:hint="default" w:ascii="Times New Roman" w:hAnsi="Times New Roman" w:eastAsia="宋体" w:cs="Times New Roman"/>
          <w:b w:val="0"/>
          <w:bCs w:val="0"/>
          <w:sz w:val="22"/>
          <w:szCs w:val="22"/>
          <w:lang w:val="en-US" w:eastAsia="zh-CN"/>
        </w:rPr>
        <w:t>%的款项</w:t>
      </w:r>
      <w:r>
        <w:rPr>
          <w:rFonts w:hint="default" w:cs="Times New Roman"/>
          <w:b w:val="0"/>
          <w:bCs w:val="0"/>
          <w:sz w:val="22"/>
          <w:szCs w:val="22"/>
          <w:lang w:val="en-US" w:eastAsia="zh-CN"/>
        </w:rPr>
        <w:t>，</w:t>
      </w:r>
      <w:r>
        <w:rPr>
          <w:rFonts w:hint="default" w:ascii="Times New Roman" w:hAnsi="Times New Roman" w:eastAsia="宋体" w:cs="Times New Roman"/>
          <w:sz w:val="22"/>
          <w:szCs w:val="22"/>
          <w:lang w:val="en-US" w:eastAsia="zh-CN"/>
        </w:rPr>
        <w:t>2025年12月10日前向</w:t>
      </w:r>
      <w:r>
        <w:rPr>
          <w:rFonts w:hint="eastAsia" w:cs="Times New Roman"/>
          <w:sz w:val="22"/>
          <w:szCs w:val="22"/>
          <w:lang w:val="en-US" w:eastAsia="zh-CN"/>
        </w:rPr>
        <w:t>成交人</w:t>
      </w:r>
      <w:r>
        <w:rPr>
          <w:rFonts w:hint="default" w:ascii="Times New Roman" w:hAnsi="Times New Roman" w:eastAsia="宋体" w:cs="Times New Roman"/>
          <w:sz w:val="22"/>
          <w:szCs w:val="22"/>
          <w:lang w:val="en-US" w:eastAsia="zh-CN"/>
        </w:rPr>
        <w:t>支付20%第二笔款</w:t>
      </w:r>
      <w:r>
        <w:rPr>
          <w:rFonts w:hint="default" w:ascii="Times New Roman" w:hAnsi="Times New Roman" w:eastAsia="宋体" w:cs="Times New Roman"/>
          <w:b w:val="0"/>
          <w:bCs w:val="0"/>
          <w:sz w:val="22"/>
          <w:szCs w:val="22"/>
        </w:rPr>
        <w:t>。待</w:t>
      </w:r>
      <w:r>
        <w:rPr>
          <w:rFonts w:hint="eastAsia" w:cs="Times New Roman"/>
          <w:b w:val="0"/>
          <w:bCs w:val="0"/>
          <w:sz w:val="22"/>
          <w:szCs w:val="22"/>
          <w:lang w:val="en-US" w:eastAsia="zh-CN"/>
        </w:rPr>
        <w:t>成交</w:t>
      </w:r>
      <w:r>
        <w:rPr>
          <w:rFonts w:hint="eastAsia" w:ascii="Times New Roman" w:hAnsi="Times New Roman" w:eastAsia="宋体" w:cs="Times New Roman"/>
          <w:b w:val="0"/>
          <w:bCs w:val="0"/>
          <w:sz w:val="22"/>
          <w:szCs w:val="22"/>
          <w:lang w:val="en-US" w:eastAsia="zh-CN"/>
        </w:rPr>
        <w:t>人</w:t>
      </w:r>
      <w:r>
        <w:rPr>
          <w:rFonts w:hint="default" w:ascii="Times New Roman" w:hAnsi="Times New Roman" w:eastAsia="宋体" w:cs="Times New Roman"/>
          <w:b w:val="0"/>
          <w:bCs w:val="0"/>
          <w:sz w:val="22"/>
          <w:szCs w:val="22"/>
        </w:rPr>
        <w:t>完成项目并经</w:t>
      </w:r>
      <w:r>
        <w:rPr>
          <w:rFonts w:hint="eastAsia" w:ascii="Times New Roman" w:hAnsi="Times New Roman" w:eastAsia="宋体" w:cs="Times New Roman"/>
          <w:b w:val="0"/>
          <w:bCs w:val="0"/>
          <w:sz w:val="22"/>
          <w:szCs w:val="22"/>
          <w:lang w:val="en-US" w:eastAsia="zh-CN"/>
        </w:rPr>
        <w:t>采购人</w:t>
      </w:r>
      <w:r>
        <w:rPr>
          <w:rFonts w:hint="default" w:ascii="Times New Roman" w:hAnsi="Times New Roman" w:eastAsia="宋体" w:cs="Times New Roman"/>
          <w:b w:val="0"/>
          <w:bCs w:val="0"/>
          <w:sz w:val="22"/>
          <w:szCs w:val="22"/>
        </w:rPr>
        <w:t>验收、审计后，</w:t>
      </w:r>
      <w:r>
        <w:rPr>
          <w:rFonts w:hint="eastAsia" w:cs="Times New Roman"/>
          <w:b w:val="0"/>
          <w:bCs w:val="0"/>
          <w:sz w:val="22"/>
          <w:szCs w:val="22"/>
          <w:lang w:val="en-US" w:eastAsia="zh-CN"/>
        </w:rPr>
        <w:t>成交</w:t>
      </w:r>
      <w:r>
        <w:rPr>
          <w:rFonts w:hint="eastAsia" w:ascii="Times New Roman" w:hAnsi="Times New Roman" w:eastAsia="宋体" w:cs="Times New Roman"/>
          <w:b w:val="0"/>
          <w:bCs w:val="0"/>
          <w:sz w:val="22"/>
          <w:szCs w:val="22"/>
          <w:lang w:val="en-US" w:eastAsia="zh-CN"/>
        </w:rPr>
        <w:t>人</w:t>
      </w:r>
      <w:r>
        <w:rPr>
          <w:rFonts w:hint="default" w:ascii="Times New Roman" w:hAnsi="Times New Roman" w:eastAsia="宋体" w:cs="Times New Roman"/>
          <w:b w:val="0"/>
          <w:bCs w:val="0"/>
          <w:sz w:val="22"/>
          <w:szCs w:val="22"/>
        </w:rPr>
        <w:t>按规定提交相关票据，最终按审计报告核定金额一次性支付剩余</w:t>
      </w:r>
      <w:r>
        <w:rPr>
          <w:rFonts w:hint="eastAsia" w:ascii="Times New Roman" w:hAnsi="Times New Roman" w:eastAsia="宋体" w:cs="Times New Roman"/>
          <w:b w:val="0"/>
          <w:bCs w:val="0"/>
          <w:sz w:val="22"/>
          <w:szCs w:val="22"/>
          <w:lang w:val="en-US" w:eastAsia="zh-CN"/>
        </w:rPr>
        <w:t>合同总价的</w:t>
      </w:r>
      <w:r>
        <w:rPr>
          <w:rFonts w:hint="default" w:ascii="Times New Roman" w:hAnsi="Times New Roman" w:eastAsia="宋体" w:cs="Times New Roman"/>
          <w:b w:val="0"/>
          <w:bCs w:val="0"/>
          <w:sz w:val="22"/>
          <w:szCs w:val="22"/>
        </w:rPr>
        <w:t>款项</w:t>
      </w:r>
      <w:r>
        <w:rPr>
          <w:rFonts w:hint="default" w:ascii="Times New Roman" w:hAnsi="Times New Roman" w:eastAsia="宋体" w:cs="Times New Roman"/>
          <w:b w:val="0"/>
          <w:bCs w:val="0"/>
          <w:sz w:val="22"/>
          <w:szCs w:val="22"/>
          <w:lang w:eastAsia="zh-CN"/>
        </w:rPr>
        <w:t>，</w:t>
      </w:r>
      <w:r>
        <w:rPr>
          <w:rFonts w:hint="default" w:ascii="Times New Roman" w:hAnsi="Times New Roman" w:eastAsia="宋体" w:cs="Times New Roman"/>
          <w:sz w:val="22"/>
          <w:szCs w:val="22"/>
        </w:rPr>
        <w:t>具体细节由双方签订合同时协商确定</w:t>
      </w:r>
      <w:r>
        <w:rPr>
          <w:rFonts w:hint="eastAsia" w:ascii="Times New Roman" w:hAnsi="Times New Roman" w:eastAsia="宋体" w:cs="Times New Roman"/>
          <w:sz w:val="22"/>
          <w:szCs w:val="22"/>
          <w:lang w:eastAsia="zh-CN"/>
        </w:rPr>
        <w:t>。（支付每笔款项前</w:t>
      </w:r>
      <w:r>
        <w:rPr>
          <w:rFonts w:hint="eastAsia" w:cs="Times New Roman"/>
          <w:sz w:val="22"/>
          <w:szCs w:val="22"/>
          <w:lang w:eastAsia="zh-CN"/>
        </w:rPr>
        <w:t>成交</w:t>
      </w:r>
      <w:r>
        <w:rPr>
          <w:rFonts w:hint="eastAsia" w:ascii="Times New Roman" w:hAnsi="Times New Roman" w:eastAsia="宋体" w:cs="Times New Roman"/>
          <w:sz w:val="22"/>
          <w:szCs w:val="22"/>
          <w:lang w:eastAsia="zh-CN"/>
        </w:rPr>
        <w:t>人需提供对应发票）</w:t>
      </w:r>
    </w:p>
    <w:p w14:paraId="07057B6E">
      <w:pPr>
        <w:keepNext w:val="0"/>
        <w:keepLines w:val="0"/>
        <w:pageBreakBefore w:val="0"/>
        <w:widowControl w:val="0"/>
        <w:kinsoku/>
        <w:wordWrap/>
        <w:overflowPunct/>
        <w:topLinePunct w:val="0"/>
        <w:autoSpaceDE/>
        <w:autoSpaceDN/>
        <w:bidi w:val="0"/>
        <w:adjustRightInd/>
        <w:snapToGrid/>
        <w:spacing w:line="360" w:lineRule="exact"/>
        <w:ind w:firstLine="440" w:firstLineChars="200"/>
        <w:jc w:val="left"/>
        <w:textAlignment w:val="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以上为预计付款方式，合同订立时，采购人可根据实际情况最终确定支付方式，并在合同中予以明确。</w:t>
      </w:r>
    </w:p>
    <w:p w14:paraId="0A35467D">
      <w:pPr>
        <w:keepNext w:val="0"/>
        <w:keepLines w:val="0"/>
        <w:pageBreakBefore w:val="0"/>
        <w:widowControl w:val="0"/>
        <w:kinsoku/>
        <w:wordWrap/>
        <w:overflowPunct/>
        <w:topLinePunct w:val="0"/>
        <w:autoSpaceDE/>
        <w:autoSpaceDN/>
        <w:bidi w:val="0"/>
        <w:adjustRightInd/>
        <w:snapToGrid/>
        <w:spacing w:line="360" w:lineRule="exact"/>
        <w:ind w:firstLine="442" w:firstLineChars="200"/>
        <w:jc w:val="left"/>
        <w:textAlignment w:val="auto"/>
        <w:rPr>
          <w:rFonts w:hint="default" w:ascii="Times New Roman" w:hAnsi="Times New Roman" w:eastAsia="宋体" w:cs="Times New Roman"/>
          <w:b/>
          <w:bCs/>
          <w:sz w:val="22"/>
          <w:szCs w:val="22"/>
        </w:rPr>
      </w:pPr>
      <w:r>
        <w:rPr>
          <w:rFonts w:hint="default" w:ascii="Times New Roman" w:hAnsi="Times New Roman" w:eastAsia="宋体" w:cs="Times New Roman"/>
          <w:b/>
          <w:bCs/>
          <w:sz w:val="22"/>
          <w:szCs w:val="22"/>
        </w:rPr>
        <w:t>（三）质量考核验收标准及违约金</w:t>
      </w:r>
    </w:p>
    <w:p w14:paraId="6B5B8EC7">
      <w:pPr>
        <w:keepNext w:val="0"/>
        <w:keepLines w:val="0"/>
        <w:pageBreakBefore w:val="0"/>
        <w:widowControl w:val="0"/>
        <w:kinsoku/>
        <w:wordWrap/>
        <w:overflowPunct/>
        <w:topLinePunct w:val="0"/>
        <w:autoSpaceDE/>
        <w:autoSpaceDN/>
        <w:bidi w:val="0"/>
        <w:adjustRightInd/>
        <w:snapToGrid/>
        <w:spacing w:line="360" w:lineRule="exact"/>
        <w:ind w:firstLine="440" w:firstLineChars="200"/>
        <w:jc w:val="left"/>
        <w:textAlignment w:val="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1.质量考核验收标准：完成项目总结和绩效报告。</w:t>
      </w:r>
    </w:p>
    <w:p w14:paraId="254B440C">
      <w:pPr>
        <w:keepNext w:val="0"/>
        <w:keepLines w:val="0"/>
        <w:pageBreakBefore w:val="0"/>
        <w:widowControl w:val="0"/>
        <w:kinsoku/>
        <w:wordWrap/>
        <w:overflowPunct/>
        <w:topLinePunct w:val="0"/>
        <w:autoSpaceDE/>
        <w:autoSpaceDN/>
        <w:bidi w:val="0"/>
        <w:adjustRightInd/>
        <w:snapToGrid/>
        <w:spacing w:line="360" w:lineRule="exact"/>
        <w:ind w:firstLine="440" w:firstLineChars="200"/>
        <w:jc w:val="left"/>
        <w:textAlignment w:val="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2.违约金：如未能通过验收，</w:t>
      </w:r>
      <w:r>
        <w:rPr>
          <w:rFonts w:hint="eastAsia" w:cs="Times New Roman"/>
          <w:sz w:val="22"/>
          <w:szCs w:val="22"/>
          <w:lang w:eastAsia="zh-CN"/>
        </w:rPr>
        <w:t>成交人</w:t>
      </w:r>
      <w:r>
        <w:rPr>
          <w:rFonts w:hint="default" w:ascii="Times New Roman" w:hAnsi="Times New Roman" w:eastAsia="宋体" w:cs="Times New Roman"/>
          <w:sz w:val="22"/>
          <w:szCs w:val="22"/>
        </w:rPr>
        <w:t>应返还采购方已支付的全部费用，并向采购方支付总价款30%的违约金。</w:t>
      </w:r>
    </w:p>
    <w:p w14:paraId="0E519CA4">
      <w:pPr>
        <w:pStyle w:val="3"/>
        <w:spacing w:before="120" w:beforeLines="50" w:after="120" w:afterLines="50"/>
        <w:rPr>
          <w:szCs w:val="24"/>
        </w:rPr>
      </w:pPr>
      <w:r>
        <w:rPr>
          <w:rFonts w:hint="eastAsia"/>
          <w:szCs w:val="24"/>
          <w:lang w:eastAsia="zh-CN"/>
        </w:rPr>
        <w:t>六</w:t>
      </w:r>
      <w:r>
        <w:rPr>
          <w:rFonts w:hint="eastAsia"/>
          <w:szCs w:val="24"/>
        </w:rPr>
        <w:t>、其他重要条款</w:t>
      </w:r>
    </w:p>
    <w:p w14:paraId="015026C0">
      <w:pPr>
        <w:keepNext w:val="0"/>
        <w:keepLines w:val="0"/>
        <w:pageBreakBefore w:val="0"/>
        <w:widowControl w:val="0"/>
        <w:kinsoku/>
        <w:wordWrap/>
        <w:overflowPunct/>
        <w:topLinePunct w:val="0"/>
        <w:autoSpaceDE/>
        <w:autoSpaceDN/>
        <w:bidi w:val="0"/>
        <w:adjustRightInd/>
        <w:snapToGrid/>
        <w:spacing w:line="360" w:lineRule="exact"/>
        <w:ind w:firstLine="440" w:firstLineChars="200"/>
        <w:jc w:val="left"/>
        <w:textAlignment w:val="auto"/>
        <w:rPr>
          <w:bCs/>
          <w:sz w:val="22"/>
          <w:szCs w:val="22"/>
        </w:rPr>
      </w:pPr>
      <w:r>
        <w:rPr>
          <w:rFonts w:hint="eastAsia"/>
          <w:bCs/>
          <w:sz w:val="22"/>
          <w:szCs w:val="22"/>
        </w:rPr>
        <w:t>1、本项目应答报价采用包干制，应包括成本、法定税费和相应的利润，应涵盖本项目采购范围和谈判文件所列的各项内容中所述的全部。由供应商根据采购需求自行测算应答报价；一经成交，应答报价即作为成交单位与采购人</w:t>
      </w:r>
      <w:r>
        <w:rPr>
          <w:rFonts w:hint="eastAsia"/>
          <w:bCs/>
          <w:sz w:val="22"/>
          <w:szCs w:val="22"/>
          <w:lang w:eastAsia="zh-CN"/>
        </w:rPr>
        <w:t>签订</w:t>
      </w:r>
      <w:r>
        <w:rPr>
          <w:rFonts w:hint="eastAsia"/>
          <w:bCs/>
          <w:sz w:val="22"/>
          <w:szCs w:val="22"/>
        </w:rPr>
        <w:t>的合同金额。</w:t>
      </w:r>
    </w:p>
    <w:p w14:paraId="0403E494">
      <w:pPr>
        <w:pStyle w:val="7"/>
        <w:keepNext w:val="0"/>
        <w:keepLines w:val="0"/>
        <w:pageBreakBefore w:val="0"/>
        <w:widowControl w:val="0"/>
        <w:kinsoku/>
        <w:wordWrap/>
        <w:overflowPunct/>
        <w:topLinePunct w:val="0"/>
        <w:autoSpaceDE/>
        <w:autoSpaceDN/>
        <w:bidi w:val="0"/>
        <w:adjustRightInd/>
        <w:snapToGrid/>
        <w:spacing w:line="360" w:lineRule="exact"/>
        <w:ind w:firstLine="440" w:firstLineChars="200"/>
        <w:jc w:val="left"/>
        <w:textAlignment w:val="auto"/>
        <w:rPr>
          <w:rFonts w:ascii="宋体" w:hAnsi="宋体"/>
          <w:sz w:val="22"/>
          <w:szCs w:val="22"/>
        </w:rPr>
      </w:pPr>
      <w:r>
        <w:rPr>
          <w:bCs/>
          <w:sz w:val="22"/>
          <w:szCs w:val="22"/>
        </w:rPr>
        <w:t>2</w:t>
      </w:r>
      <w:r>
        <w:rPr>
          <w:rFonts w:hint="eastAsia"/>
          <w:bCs/>
          <w:sz w:val="22"/>
          <w:szCs w:val="22"/>
        </w:rPr>
        <w:t>、供应商应充分了解项目的位置、情况、道路及任何其它足以影响应答报价的情况，任何因忽视或误解项目情况而导致的索赔或服务期限延长申请将不获批准。</w:t>
      </w:r>
    </w:p>
    <w:p w14:paraId="297A8ACE">
      <w:pPr>
        <w:keepNext w:val="0"/>
        <w:keepLines w:val="0"/>
        <w:pageBreakBefore w:val="0"/>
        <w:widowControl w:val="0"/>
        <w:kinsoku/>
        <w:wordWrap/>
        <w:overflowPunct/>
        <w:topLinePunct w:val="0"/>
        <w:autoSpaceDE/>
        <w:autoSpaceDN/>
        <w:bidi w:val="0"/>
        <w:adjustRightInd/>
        <w:snapToGrid/>
        <w:spacing w:line="360" w:lineRule="exact"/>
        <w:ind w:firstLine="440" w:firstLineChars="200"/>
        <w:jc w:val="left"/>
        <w:textAlignment w:val="auto"/>
        <w:rPr>
          <w:bCs/>
          <w:sz w:val="22"/>
          <w:szCs w:val="22"/>
        </w:rPr>
      </w:pPr>
      <w:r>
        <w:rPr>
          <w:bCs/>
          <w:sz w:val="22"/>
          <w:szCs w:val="22"/>
        </w:rPr>
        <w:t>3</w:t>
      </w:r>
      <w:r>
        <w:rPr>
          <w:rFonts w:hint="eastAsia"/>
          <w:bCs/>
          <w:sz w:val="22"/>
          <w:szCs w:val="22"/>
        </w:rPr>
        <w:t>、供应商不得期望通过索赔等方式获取补偿，否则，除可能遭到拒绝外，还可能将被作为不良行为记录在案，并可能影响其以后正常参与政府采购项目。各供应商在应答报价时，应充分考虑风险。</w:t>
      </w:r>
    </w:p>
    <w:p w14:paraId="65155689">
      <w:pPr>
        <w:keepNext w:val="0"/>
        <w:keepLines w:val="0"/>
        <w:pageBreakBefore w:val="0"/>
        <w:widowControl w:val="0"/>
        <w:kinsoku/>
        <w:wordWrap/>
        <w:overflowPunct/>
        <w:topLinePunct w:val="0"/>
        <w:autoSpaceDE/>
        <w:autoSpaceDN/>
        <w:bidi w:val="0"/>
        <w:adjustRightInd/>
        <w:snapToGrid/>
        <w:spacing w:line="360" w:lineRule="exact"/>
        <w:ind w:firstLine="440" w:firstLineChars="200"/>
        <w:jc w:val="left"/>
        <w:textAlignment w:val="auto"/>
        <w:rPr>
          <w:bCs/>
          <w:sz w:val="22"/>
          <w:szCs w:val="22"/>
        </w:rPr>
      </w:pPr>
      <w:r>
        <w:rPr>
          <w:bCs/>
          <w:sz w:val="22"/>
          <w:szCs w:val="22"/>
        </w:rPr>
        <w:t>4</w:t>
      </w:r>
      <w:r>
        <w:rPr>
          <w:rFonts w:hint="eastAsia"/>
          <w:bCs/>
          <w:sz w:val="22"/>
          <w:szCs w:val="22"/>
        </w:rPr>
        <w:t>、鼓励采购人积极运用公共信用信息，明确对信用记录良好的供应商（特别是中小微企业）免收履约保证金，确需收取履约保证金的，列明通过保函等非现金方式收取。在采购合同中明确对上述企业加大首付款或预付款比例，具体由采购人根据项目实际情况确定。</w:t>
      </w:r>
    </w:p>
    <w:p w14:paraId="614C1A7D">
      <w:pPr>
        <w:keepNext w:val="0"/>
        <w:keepLines w:val="0"/>
        <w:pageBreakBefore w:val="0"/>
        <w:widowControl w:val="0"/>
        <w:kinsoku/>
        <w:wordWrap/>
        <w:overflowPunct/>
        <w:topLinePunct w:val="0"/>
        <w:autoSpaceDE/>
        <w:autoSpaceDN/>
        <w:bidi w:val="0"/>
        <w:adjustRightInd/>
        <w:snapToGrid/>
        <w:spacing w:line="360" w:lineRule="exact"/>
        <w:ind w:firstLine="440" w:firstLineChars="200"/>
        <w:jc w:val="left"/>
        <w:textAlignment w:val="auto"/>
        <w:rPr>
          <w:bCs/>
          <w:sz w:val="22"/>
          <w:szCs w:val="22"/>
        </w:rPr>
      </w:pPr>
      <w:r>
        <w:rPr>
          <w:bCs/>
          <w:sz w:val="22"/>
          <w:szCs w:val="22"/>
        </w:rPr>
        <w:t>5</w:t>
      </w:r>
      <w:r>
        <w:rPr>
          <w:rFonts w:hint="eastAsia"/>
          <w:bCs/>
          <w:sz w:val="22"/>
          <w:szCs w:val="22"/>
        </w:rPr>
        <w:t>、除政府采购合同继续履行将损害国家利益和社会公共利益外，双方当事人不得擅自变更、中止或者终止合同。</w:t>
      </w:r>
    </w:p>
    <w:p w14:paraId="174E4272">
      <w:pPr>
        <w:widowControl/>
        <w:jc w:val="left"/>
        <w:rPr>
          <w:rFonts w:ascii="宋体" w:hAnsi="宋体"/>
          <w:b/>
          <w:bCs/>
          <w:sz w:val="24"/>
          <w:szCs w:val="20"/>
        </w:rPr>
      </w:pPr>
      <w:r>
        <w:br w:type="page"/>
      </w:r>
    </w:p>
    <w:p w14:paraId="798D037C">
      <w:pPr>
        <w:pStyle w:val="3"/>
        <w:rPr>
          <w:kern w:val="2"/>
        </w:rPr>
      </w:pPr>
      <w:r>
        <w:rPr>
          <w:rFonts w:hint="eastAsia"/>
          <w:b/>
          <w:bCs/>
          <w:sz w:val="28"/>
          <w:szCs w:val="28"/>
        </w:rPr>
        <w:t>第四章 应答文件组成要求及格式</w:t>
      </w:r>
    </w:p>
    <w:p w14:paraId="36DB5659">
      <w:pPr>
        <w:rPr>
          <w:rStyle w:val="94"/>
          <w:sz w:val="24"/>
        </w:rPr>
      </w:pPr>
      <w:r>
        <w:rPr>
          <w:rStyle w:val="94"/>
          <w:rFonts w:hint="eastAsia"/>
          <w:sz w:val="24"/>
        </w:rPr>
        <w:t>特别提醒：</w:t>
      </w:r>
    </w:p>
    <w:p w14:paraId="712CC7CC">
      <w:pPr>
        <w:ind w:firstLine="480" w:firstLineChars="200"/>
        <w:rPr>
          <w:rFonts w:ascii="仿宋_GB2312" w:eastAsia="仿宋_GB2312"/>
          <w:sz w:val="24"/>
        </w:rPr>
      </w:pPr>
      <w:r>
        <w:rPr>
          <w:rFonts w:hint="eastAsia" w:ascii="仿宋_GB2312" w:eastAsia="仿宋_GB2312"/>
          <w:sz w:val="24"/>
        </w:rPr>
        <w:t>应答文件正文将对外公开，应答文件附件不公开。供应商在编辑应答文件时，在应答文件目录中属于本节点内容的必须在本节点中填写，填写到其他节点或附件的将可能导致投标（应答）无效，一切后果由供应商自行承担。</w:t>
      </w:r>
    </w:p>
    <w:p w14:paraId="0630ABD7">
      <w:pPr>
        <w:rPr>
          <w:rFonts w:ascii="仿宋_GB2312" w:eastAsia="仿宋_GB2312"/>
          <w:sz w:val="24"/>
        </w:rPr>
      </w:pPr>
      <w:r>
        <w:rPr>
          <w:rFonts w:hint="eastAsia" w:ascii="仿宋_GB2312" w:eastAsia="仿宋_GB2312"/>
          <w:sz w:val="24"/>
        </w:rPr>
        <w:t xml:space="preserve">   应答文件正文（信息公开部分）必须编制于“正文（公开部分）”，应答文件附件（非信息公开部分）必须编制于“附件（不公开部分）”，如下图所示。</w:t>
      </w:r>
    </w:p>
    <w:p w14:paraId="2A87D823">
      <w:pPr>
        <w:rPr>
          <w:rFonts w:ascii="仿宋_GB2312" w:eastAsia="仿宋_GB2312"/>
          <w:sz w:val="24"/>
        </w:rPr>
      </w:pPr>
      <w:r>
        <w:drawing>
          <wp:inline distT="0" distB="0" distL="114300" distR="114300">
            <wp:extent cx="5174615" cy="4020820"/>
            <wp:effectExtent l="0" t="0" r="6985" b="17780"/>
            <wp:docPr id="5" name="图片 5" descr="c66f322b8feee32c1a3f0d48f365c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66f322b8feee32c1a3f0d48f365c82"/>
                    <pic:cNvPicPr>
                      <a:picLocks noChangeAspect="1"/>
                    </pic:cNvPicPr>
                  </pic:nvPicPr>
                  <pic:blipFill>
                    <a:blip r:embed="rId7"/>
                    <a:stretch>
                      <a:fillRect/>
                    </a:stretch>
                  </pic:blipFill>
                  <pic:spPr>
                    <a:xfrm>
                      <a:off x="0" y="0"/>
                      <a:ext cx="5174615" cy="4020820"/>
                    </a:xfrm>
                    <a:prstGeom prst="rect">
                      <a:avLst/>
                    </a:prstGeom>
                  </pic:spPr>
                </pic:pic>
              </a:graphicData>
            </a:graphic>
          </wp:inline>
        </w:drawing>
      </w:r>
    </w:p>
    <w:p w14:paraId="75553CF0">
      <w:pPr>
        <w:ind w:firstLine="480" w:firstLineChars="200"/>
        <w:rPr>
          <w:rFonts w:ascii="仿宋_GB2312" w:eastAsia="仿宋_GB2312"/>
          <w:sz w:val="24"/>
        </w:rPr>
      </w:pPr>
      <w:r>
        <w:rPr>
          <w:rFonts w:hint="eastAsia" w:ascii="仿宋_GB2312" w:eastAsia="仿宋_GB2312"/>
          <w:sz w:val="24"/>
          <w:lang w:eastAsia="zh-CN"/>
        </w:rPr>
        <w:t>招标代理</w:t>
      </w:r>
      <w:r>
        <w:rPr>
          <w:rFonts w:hint="eastAsia" w:ascii="仿宋_GB2312" w:eastAsia="仿宋_GB2312"/>
          <w:sz w:val="24"/>
        </w:rPr>
        <w:t>机构公布应答文件正文（信息公开部分）时为计算机截取信息自动公布，</w:t>
      </w:r>
      <w:r>
        <w:rPr>
          <w:rFonts w:hint="eastAsia" w:ascii="仿宋_GB2312" w:eastAsia="仿宋_GB2312"/>
          <w:b/>
          <w:bCs/>
          <w:sz w:val="24"/>
        </w:rPr>
        <w:t>如供应商误将涉及个人隐私的信息放入应答文件正文，相关后果由供应商自负；如供应商将必须放于应答文件正文（信息公开部分）的内容放入应答文件附件（非信息公开部分），将作响应无效处理。</w:t>
      </w:r>
    </w:p>
    <w:p w14:paraId="0D15BE57">
      <w:pPr>
        <w:rPr>
          <w:rFonts w:ascii="仿宋_GB2312" w:eastAsia="仿宋_GB2312"/>
          <w:sz w:val="24"/>
        </w:rPr>
      </w:pPr>
    </w:p>
    <w:p w14:paraId="221CF61C">
      <w:pPr>
        <w:outlineLvl w:val="9"/>
        <w:rPr>
          <w:rStyle w:val="94"/>
          <w:rFonts w:hint="eastAsia"/>
          <w:bCs/>
          <w:sz w:val="28"/>
          <w:szCs w:val="28"/>
        </w:rPr>
      </w:pPr>
      <w:r>
        <w:rPr>
          <w:rStyle w:val="94"/>
          <w:rFonts w:hint="eastAsia"/>
          <w:bCs/>
          <w:sz w:val="28"/>
          <w:szCs w:val="28"/>
        </w:rPr>
        <w:br w:type="page"/>
      </w:r>
    </w:p>
    <w:p w14:paraId="0A66AB2F">
      <w:pPr>
        <w:outlineLvl w:val="0"/>
        <w:rPr>
          <w:rStyle w:val="94"/>
          <w:rFonts w:hint="eastAsia"/>
          <w:bCs/>
          <w:sz w:val="28"/>
          <w:szCs w:val="28"/>
        </w:rPr>
      </w:pPr>
      <w:r>
        <w:rPr>
          <w:rStyle w:val="94"/>
          <w:rFonts w:hint="eastAsia"/>
          <w:bCs/>
          <w:sz w:val="28"/>
          <w:szCs w:val="28"/>
        </w:rPr>
        <w:t>应答文件组成：</w:t>
      </w:r>
    </w:p>
    <w:p w14:paraId="0E42CB51">
      <w:pPr>
        <w:pStyle w:val="18"/>
        <w:rPr>
          <w:rFonts w:hint="eastAsia"/>
        </w:rPr>
      </w:pPr>
    </w:p>
    <w:p w14:paraId="744DA0A0">
      <w:pPr>
        <w:jc w:val="center"/>
      </w:pPr>
      <w:r>
        <w:rPr>
          <w:rFonts w:hint="eastAsia"/>
        </w:rPr>
        <w:t>1.应答文件正文</w:t>
      </w:r>
      <w:r>
        <w:rPr>
          <w:rFonts w:hint="eastAsia"/>
          <w:b/>
          <w:color w:val="FF0000"/>
        </w:rPr>
        <w:t>（信息公开部分）</w:t>
      </w:r>
      <w:r>
        <w:rPr>
          <w:rFonts w:hint="eastAsia"/>
        </w:rPr>
        <w:t>，主要包括以下内容：</w:t>
      </w:r>
    </w:p>
    <w:p w14:paraId="1C5C65E3">
      <w:pPr>
        <w:ind w:left="718" w:leftChars="342" w:firstLine="917" w:firstLineChars="437"/>
        <w:rPr>
          <w:szCs w:val="21"/>
        </w:rPr>
      </w:pPr>
      <w:r>
        <w:rPr>
          <w:rFonts w:hint="eastAsia"/>
          <w:szCs w:val="21"/>
        </w:rPr>
        <w:t>（1）应答书</w:t>
      </w:r>
    </w:p>
    <w:p w14:paraId="06329112">
      <w:pPr>
        <w:ind w:left="718" w:leftChars="342" w:firstLine="917" w:firstLineChars="437"/>
        <w:rPr>
          <w:szCs w:val="21"/>
        </w:rPr>
      </w:pPr>
      <w:r>
        <w:rPr>
          <w:rFonts w:hint="eastAsia"/>
          <w:szCs w:val="21"/>
        </w:rPr>
        <w:t>（2）政府采购应答及履约承诺函</w:t>
      </w:r>
    </w:p>
    <w:p w14:paraId="13C90DBE">
      <w:pPr>
        <w:ind w:left="718" w:leftChars="342" w:firstLine="917" w:firstLineChars="437"/>
        <w:rPr>
          <w:szCs w:val="21"/>
        </w:rPr>
      </w:pPr>
      <w:r>
        <w:rPr>
          <w:rFonts w:hint="eastAsia"/>
          <w:szCs w:val="21"/>
        </w:rPr>
        <w:t>（3）</w:t>
      </w:r>
      <w:bookmarkStart w:id="30" w:name="_Hlk72257201"/>
      <w:r>
        <w:rPr>
          <w:rFonts w:hint="eastAsia"/>
          <w:szCs w:val="21"/>
        </w:rPr>
        <w:t>项目详细报价</w:t>
      </w:r>
    </w:p>
    <w:p w14:paraId="0DB2BF41">
      <w:pPr>
        <w:ind w:left="718" w:leftChars="342" w:firstLine="917" w:firstLineChars="437"/>
        <w:rPr>
          <w:szCs w:val="21"/>
        </w:rPr>
      </w:pPr>
      <w:r>
        <w:rPr>
          <w:rFonts w:hint="eastAsia"/>
          <w:szCs w:val="21"/>
        </w:rPr>
        <w:t>（</w:t>
      </w:r>
      <w:r>
        <w:rPr>
          <w:rFonts w:hint="eastAsia"/>
          <w:szCs w:val="21"/>
          <w:lang w:val="en-US" w:eastAsia="zh-CN"/>
        </w:rPr>
        <w:t>4</w:t>
      </w:r>
      <w:r>
        <w:rPr>
          <w:rFonts w:hint="eastAsia"/>
          <w:szCs w:val="21"/>
        </w:rPr>
        <w:t>）其它采购文件要求的内容及供应商认为需要补充的内容（格式自定）</w:t>
      </w:r>
    </w:p>
    <w:bookmarkEnd w:id="30"/>
    <w:p w14:paraId="33939FC7">
      <w:pPr>
        <w:rPr>
          <w:szCs w:val="21"/>
        </w:rPr>
      </w:pPr>
    </w:p>
    <w:p w14:paraId="297F7B37">
      <w:pPr>
        <w:ind w:left="718" w:leftChars="342" w:firstLine="917" w:firstLineChars="437"/>
        <w:rPr>
          <w:rFonts w:hint="eastAsia"/>
          <w:szCs w:val="21"/>
        </w:rPr>
      </w:pPr>
      <w:r>
        <w:rPr>
          <w:szCs w:val="21"/>
        </w:rPr>
        <w:t>2</w:t>
      </w:r>
      <w:r>
        <w:rPr>
          <w:rFonts w:hint="eastAsia"/>
          <w:szCs w:val="21"/>
        </w:rPr>
        <w:t>.应答文件附件</w:t>
      </w:r>
      <w:r>
        <w:rPr>
          <w:rFonts w:hint="eastAsia"/>
          <w:b/>
          <w:bCs/>
          <w:color w:val="FF0000"/>
          <w:szCs w:val="21"/>
        </w:rPr>
        <w:t>（信息不公开部分）</w:t>
      </w:r>
      <w:r>
        <w:rPr>
          <w:rFonts w:hint="eastAsia"/>
          <w:szCs w:val="21"/>
        </w:rPr>
        <w:t>：主要包括以下内容：</w:t>
      </w:r>
    </w:p>
    <w:p w14:paraId="4B2EB1DA">
      <w:pPr>
        <w:ind w:left="718" w:leftChars="342" w:firstLine="917" w:firstLineChars="437"/>
        <w:rPr>
          <w:szCs w:val="21"/>
        </w:rPr>
      </w:pPr>
      <w:r>
        <w:rPr>
          <w:rFonts w:hint="eastAsia"/>
          <w:szCs w:val="21"/>
        </w:rPr>
        <w:t>（1）法定代表人（负责人）证明书</w:t>
      </w:r>
    </w:p>
    <w:p w14:paraId="632AE926">
      <w:pPr>
        <w:ind w:left="718" w:leftChars="342" w:firstLine="917" w:firstLineChars="437"/>
        <w:rPr>
          <w:szCs w:val="21"/>
        </w:rPr>
      </w:pPr>
      <w:r>
        <w:rPr>
          <w:rFonts w:hint="eastAsia"/>
          <w:szCs w:val="21"/>
        </w:rPr>
        <w:t>（2）谈判应答文件签署授权委托书</w:t>
      </w:r>
    </w:p>
    <w:p w14:paraId="3851F9C3">
      <w:pPr>
        <w:ind w:left="718" w:leftChars="342" w:firstLine="917" w:firstLineChars="437"/>
        <w:rPr>
          <w:szCs w:val="21"/>
        </w:rPr>
      </w:pPr>
      <w:r>
        <w:rPr>
          <w:rFonts w:hint="eastAsia"/>
          <w:szCs w:val="21"/>
        </w:rPr>
        <w:t>（3）实质性条款响应情况表</w:t>
      </w:r>
    </w:p>
    <w:p w14:paraId="584519F1">
      <w:pPr>
        <w:ind w:left="718" w:leftChars="342" w:firstLine="917" w:firstLineChars="437"/>
        <w:rPr>
          <w:rFonts w:hint="eastAsia"/>
          <w:szCs w:val="21"/>
        </w:rPr>
      </w:pPr>
      <w:r>
        <w:rPr>
          <w:rFonts w:hint="eastAsia"/>
          <w:szCs w:val="21"/>
        </w:rPr>
        <w:t>（4）政府采购违法行为风险知悉确认书</w:t>
      </w:r>
    </w:p>
    <w:p w14:paraId="45CCA104">
      <w:pPr>
        <w:ind w:left="718" w:leftChars="342" w:firstLine="917" w:firstLineChars="437"/>
        <w:rPr>
          <w:rFonts w:hint="eastAsia"/>
          <w:szCs w:val="21"/>
          <w:lang w:eastAsia="zh-CN"/>
        </w:rPr>
      </w:pPr>
      <w:r>
        <w:rPr>
          <w:rFonts w:hint="eastAsia"/>
          <w:szCs w:val="21"/>
          <w:lang w:val="en-US" w:eastAsia="zh-CN"/>
        </w:rPr>
        <w:t>（5）供应商基本情况表</w:t>
      </w:r>
    </w:p>
    <w:p w14:paraId="014BE4DC">
      <w:pPr>
        <w:ind w:left="718" w:leftChars="342" w:firstLine="917" w:firstLineChars="437"/>
        <w:rPr>
          <w:rFonts w:hint="eastAsia"/>
          <w:szCs w:val="21"/>
          <w:lang w:eastAsia="zh-CN"/>
        </w:rPr>
      </w:pPr>
      <w:r>
        <w:rPr>
          <w:rFonts w:hint="eastAsia"/>
          <w:szCs w:val="21"/>
          <w:lang w:eastAsia="zh-CN"/>
        </w:rPr>
        <w:t>（</w:t>
      </w:r>
      <w:r>
        <w:rPr>
          <w:rFonts w:hint="eastAsia"/>
          <w:szCs w:val="21"/>
          <w:lang w:val="en-US" w:eastAsia="zh-CN"/>
        </w:rPr>
        <w:t>6</w:t>
      </w:r>
      <w:r>
        <w:rPr>
          <w:rFonts w:hint="eastAsia"/>
          <w:szCs w:val="21"/>
          <w:lang w:eastAsia="zh-CN"/>
        </w:rPr>
        <w:t>）供应商情况介绍</w:t>
      </w:r>
    </w:p>
    <w:p w14:paraId="41879168">
      <w:pPr>
        <w:ind w:left="718" w:leftChars="342" w:firstLine="917" w:firstLineChars="437"/>
        <w:rPr>
          <w:rFonts w:hint="eastAsia"/>
          <w:szCs w:val="21"/>
          <w:lang w:eastAsia="zh-CN"/>
        </w:rPr>
      </w:pPr>
      <w:r>
        <w:rPr>
          <w:rFonts w:hint="eastAsia"/>
          <w:szCs w:val="21"/>
          <w:lang w:eastAsia="zh-CN"/>
        </w:rPr>
        <w:t>（</w:t>
      </w:r>
      <w:r>
        <w:rPr>
          <w:rFonts w:hint="eastAsia"/>
          <w:szCs w:val="21"/>
          <w:lang w:val="en-US" w:eastAsia="zh-CN"/>
        </w:rPr>
        <w:t>7</w:t>
      </w:r>
      <w:r>
        <w:rPr>
          <w:rFonts w:hint="eastAsia"/>
          <w:szCs w:val="21"/>
          <w:lang w:eastAsia="zh-CN"/>
        </w:rPr>
        <w:t>）项目实施方案</w:t>
      </w:r>
    </w:p>
    <w:p w14:paraId="2197725E">
      <w:pPr>
        <w:ind w:left="718" w:leftChars="342" w:firstLine="917" w:firstLineChars="437"/>
        <w:rPr>
          <w:rFonts w:hint="eastAsia"/>
          <w:szCs w:val="21"/>
          <w:lang w:eastAsia="zh-CN"/>
        </w:rPr>
      </w:pPr>
      <w:r>
        <w:rPr>
          <w:rFonts w:hint="eastAsia"/>
          <w:szCs w:val="21"/>
          <w:lang w:eastAsia="zh-CN"/>
        </w:rPr>
        <w:t>（</w:t>
      </w:r>
      <w:r>
        <w:rPr>
          <w:rFonts w:hint="eastAsia"/>
          <w:szCs w:val="21"/>
          <w:lang w:val="en-US" w:eastAsia="zh-CN"/>
        </w:rPr>
        <w:t>8</w:t>
      </w:r>
      <w:r>
        <w:rPr>
          <w:rFonts w:hint="eastAsia"/>
          <w:szCs w:val="21"/>
          <w:lang w:eastAsia="zh-CN"/>
        </w:rPr>
        <w:t>）人员安排计划</w:t>
      </w:r>
    </w:p>
    <w:p w14:paraId="7CBB8994">
      <w:pPr>
        <w:ind w:left="718" w:leftChars="342" w:firstLine="917" w:firstLineChars="437"/>
        <w:rPr>
          <w:rFonts w:hint="eastAsia"/>
          <w:szCs w:val="21"/>
          <w:lang w:eastAsia="zh-CN"/>
        </w:rPr>
      </w:pPr>
      <w:r>
        <w:rPr>
          <w:rFonts w:hint="eastAsia"/>
          <w:szCs w:val="21"/>
          <w:lang w:eastAsia="zh-CN"/>
        </w:rPr>
        <w:t>（</w:t>
      </w:r>
      <w:r>
        <w:rPr>
          <w:rFonts w:hint="eastAsia"/>
          <w:szCs w:val="21"/>
          <w:lang w:val="en-US" w:eastAsia="zh-CN"/>
        </w:rPr>
        <w:t>9</w:t>
      </w:r>
      <w:r>
        <w:rPr>
          <w:rFonts w:hint="eastAsia"/>
          <w:szCs w:val="21"/>
          <w:lang w:eastAsia="zh-CN"/>
        </w:rPr>
        <w:t>）招标代理服务费承诺函</w:t>
      </w:r>
    </w:p>
    <w:p w14:paraId="6BEFF09E">
      <w:pPr>
        <w:ind w:left="718" w:leftChars="342" w:firstLine="917" w:firstLineChars="437"/>
        <w:rPr>
          <w:szCs w:val="21"/>
        </w:rPr>
      </w:pPr>
      <w:r>
        <w:rPr>
          <w:rFonts w:hint="eastAsia"/>
          <w:szCs w:val="21"/>
          <w:lang w:eastAsia="zh-CN"/>
        </w:rPr>
        <w:t>（</w:t>
      </w:r>
      <w:r>
        <w:rPr>
          <w:rFonts w:hint="eastAsia"/>
          <w:szCs w:val="21"/>
          <w:lang w:val="en-US" w:eastAsia="zh-CN"/>
        </w:rPr>
        <w:t>10</w:t>
      </w:r>
      <w:r>
        <w:rPr>
          <w:rFonts w:hint="eastAsia"/>
          <w:szCs w:val="21"/>
          <w:lang w:eastAsia="zh-CN"/>
        </w:rPr>
        <w:t>）</w:t>
      </w:r>
      <w:r>
        <w:rPr>
          <w:rFonts w:hint="eastAsia"/>
          <w:szCs w:val="21"/>
        </w:rPr>
        <w:t>投标人认为需要加以说明的其他内容（格式自定）</w:t>
      </w:r>
    </w:p>
    <w:p w14:paraId="6A398D2F">
      <w:pPr>
        <w:tabs>
          <w:tab w:val="left" w:pos="4069"/>
        </w:tabs>
        <w:ind w:left="718" w:leftChars="342" w:firstLine="1417" w:firstLineChars="675"/>
        <w:rPr>
          <w:szCs w:val="21"/>
        </w:rPr>
      </w:pPr>
    </w:p>
    <w:p w14:paraId="0E4C8991">
      <w:pPr>
        <w:pStyle w:val="18"/>
        <w:rPr>
          <w:szCs w:val="21"/>
        </w:rPr>
      </w:pPr>
    </w:p>
    <w:p w14:paraId="43C5D38F">
      <w:pPr>
        <w:ind w:firstLine="426" w:firstLineChars="202"/>
        <w:rPr>
          <w:rFonts w:hint="eastAsia" w:ascii="宋体" w:hAnsi="宋体"/>
          <w:b/>
          <w:szCs w:val="21"/>
        </w:rPr>
      </w:pPr>
      <w:r>
        <w:rPr>
          <w:rFonts w:hint="eastAsia" w:ascii="宋体" w:hAnsi="宋体"/>
          <w:b/>
          <w:szCs w:val="21"/>
        </w:rPr>
        <w:t>备注：</w:t>
      </w:r>
    </w:p>
    <w:p w14:paraId="3DEAF0A4">
      <w:pPr>
        <w:ind w:firstLine="426" w:firstLineChars="202"/>
        <w:rPr>
          <w:rFonts w:hint="eastAsia" w:ascii="宋体" w:hAnsi="宋体"/>
          <w:b/>
          <w:szCs w:val="21"/>
        </w:rPr>
      </w:pPr>
      <w:r>
        <w:rPr>
          <w:rFonts w:hint="eastAsia" w:ascii="宋体" w:hAnsi="宋体"/>
          <w:b/>
          <w:szCs w:val="21"/>
        </w:rPr>
        <w:t>1.本项目为网上电子应答项目，应答文件不需法人或授权委托人另行签字，无需加盖单位公章，采购文件另有规定的除外。</w:t>
      </w:r>
    </w:p>
    <w:p w14:paraId="03F825B8">
      <w:pPr>
        <w:pStyle w:val="18"/>
      </w:pPr>
    </w:p>
    <w:p w14:paraId="3A470AD9">
      <w:pPr>
        <w:ind w:left="718" w:leftChars="342" w:firstLine="1417" w:firstLineChars="675"/>
        <w:rPr>
          <w:szCs w:val="21"/>
        </w:rPr>
      </w:pPr>
    </w:p>
    <w:p w14:paraId="3553516F">
      <w:pPr>
        <w:outlineLvl w:val="0"/>
        <w:rPr>
          <w:rFonts w:hint="eastAsia" w:ascii="宋体" w:hAnsi="宋体"/>
          <w:b/>
          <w:color w:val="FF0000"/>
          <w:sz w:val="28"/>
          <w:szCs w:val="28"/>
        </w:rPr>
      </w:pPr>
      <w:r>
        <w:rPr>
          <w:rFonts w:ascii="黑体" w:eastAsia="黑体"/>
          <w:sz w:val="24"/>
        </w:rPr>
        <w:br w:type="page"/>
      </w:r>
      <w:r>
        <w:rPr>
          <w:rStyle w:val="94"/>
          <w:rFonts w:hint="eastAsia"/>
          <w:bCs/>
          <w:color w:val="FF0000"/>
          <w:sz w:val="28"/>
          <w:szCs w:val="28"/>
        </w:rPr>
        <w:t>应答文件正文（信息公开部分）</w:t>
      </w:r>
    </w:p>
    <w:p w14:paraId="2273836A">
      <w:pPr>
        <w:pStyle w:val="4"/>
        <w:spacing w:before="120" w:after="120"/>
        <w:jc w:val="center"/>
        <w:rPr>
          <w:rFonts w:ascii="黑体" w:eastAsia="黑体"/>
          <w:sz w:val="24"/>
        </w:rPr>
      </w:pPr>
      <w:r>
        <w:rPr>
          <w:rFonts w:hint="eastAsia" w:ascii="黑体"/>
          <w:b w:val="0"/>
          <w:sz w:val="24"/>
          <w:lang w:eastAsia="zh-CN"/>
        </w:rPr>
        <w:t>一</w:t>
      </w:r>
      <w:r>
        <w:rPr>
          <w:rFonts w:hint="eastAsia" w:ascii="黑体" w:eastAsia="黑体"/>
          <w:b w:val="0"/>
          <w:sz w:val="24"/>
        </w:rPr>
        <w:t>、应答书</w:t>
      </w:r>
    </w:p>
    <w:p w14:paraId="2CBEB446">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szCs w:val="21"/>
        </w:rPr>
      </w:pPr>
      <w:r>
        <w:rPr>
          <w:rFonts w:hint="eastAsia" w:ascii="宋体" w:hAnsi="宋体"/>
          <w:szCs w:val="21"/>
        </w:rPr>
        <w:t>致：</w:t>
      </w:r>
      <w:r>
        <w:rPr>
          <w:rFonts w:hint="eastAsia" w:ascii="宋体" w:hAnsi="宋体" w:cs="宋体"/>
          <w:kern w:val="0"/>
          <w:sz w:val="22"/>
          <w:szCs w:val="22"/>
        </w:rPr>
        <w:t>深圳市东海国际招标有限公司</w:t>
      </w:r>
    </w:p>
    <w:p w14:paraId="0CCD50E7">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ascii="宋体"/>
          <w:szCs w:val="21"/>
        </w:rPr>
      </w:pPr>
      <w:bookmarkStart w:id="31" w:name="_Hlk73819268"/>
      <w:r>
        <w:rPr>
          <w:szCs w:val="21"/>
        </w:rPr>
        <w:t>1</w:t>
      </w:r>
      <w:r>
        <w:rPr>
          <w:rFonts w:hint="eastAsia"/>
          <w:szCs w:val="21"/>
        </w:rPr>
        <w:t>、根据已收到贵单位的项目编号为</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szCs w:val="21"/>
        </w:rPr>
        <w:t>的</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szCs w:val="21"/>
        </w:rPr>
        <w:t>项目的谈判公告，遵照《深圳经济特区政府采购条例》和《深圳网上政府采购管理暂行办法》等有关规定，我单位经研究谈判文件后，</w:t>
      </w:r>
      <w:r>
        <w:rPr>
          <w:rFonts w:hint="eastAsia" w:ascii="宋体" w:hAnsi="宋体"/>
          <w:szCs w:val="21"/>
        </w:rPr>
        <w:t>代表</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（姓名、职务）经正式授权并代表</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（供应商名称、地址）提交电子谈判应答文件一份。</w:t>
      </w:r>
    </w:p>
    <w:p w14:paraId="6E90B764">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ascii="宋体"/>
          <w:szCs w:val="21"/>
        </w:rPr>
      </w:pPr>
      <w:r>
        <w:rPr>
          <w:rFonts w:ascii="宋体" w:hAnsi="宋体"/>
          <w:szCs w:val="21"/>
        </w:rPr>
        <w:t>2</w:t>
      </w:r>
      <w:r>
        <w:rPr>
          <w:rFonts w:hint="eastAsia" w:ascii="宋体" w:hAnsi="宋体"/>
          <w:szCs w:val="21"/>
        </w:rPr>
        <w:t>、谈判价格具体见“项目详细报价”，具体以谈判最终报价为准。</w:t>
      </w:r>
    </w:p>
    <w:p w14:paraId="6554F274">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ascii="宋体"/>
          <w:szCs w:val="21"/>
        </w:rPr>
      </w:pPr>
      <w:r>
        <w:rPr>
          <w:rFonts w:ascii="宋体" w:hAnsi="宋体"/>
          <w:szCs w:val="21"/>
        </w:rPr>
        <w:t>3</w:t>
      </w:r>
      <w:r>
        <w:rPr>
          <w:rFonts w:hint="eastAsia" w:ascii="宋体" w:hAnsi="宋体"/>
          <w:szCs w:val="21"/>
        </w:rPr>
        <w:t>、如果我单位获得成交资格，我单位将按照谈判文件的要求足额提交履约担保。</w:t>
      </w:r>
    </w:p>
    <w:p w14:paraId="6D4A9776">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ascii="宋体"/>
          <w:szCs w:val="21"/>
        </w:rPr>
      </w:pPr>
      <w:r>
        <w:rPr>
          <w:rFonts w:ascii="宋体" w:hAnsi="宋体"/>
          <w:szCs w:val="21"/>
        </w:rPr>
        <w:t>4</w:t>
      </w:r>
      <w:r>
        <w:rPr>
          <w:rFonts w:hint="eastAsia" w:ascii="宋体" w:hAnsi="宋体"/>
          <w:szCs w:val="21"/>
        </w:rPr>
        <w:t>、我单位同意所递交的应答文件在“对谈判须知条款的补充内容”中明确的谈判应答有效期内有效，在此期间内我单位有可能获得成交资格，我单位将受此约束，履行合同责任和义务。</w:t>
      </w:r>
    </w:p>
    <w:p w14:paraId="2E181654">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ascii="宋体"/>
          <w:szCs w:val="21"/>
        </w:rPr>
      </w:pPr>
      <w:r>
        <w:rPr>
          <w:rFonts w:ascii="宋体" w:hAnsi="宋体"/>
          <w:szCs w:val="21"/>
        </w:rPr>
        <w:t>5</w:t>
      </w:r>
      <w:r>
        <w:rPr>
          <w:rFonts w:hint="eastAsia" w:ascii="宋体" w:hAnsi="宋体"/>
          <w:szCs w:val="21"/>
        </w:rPr>
        <w:t>、除非另外达成协议并生效，贵单位的成交通知书和本应答文件（含谈判过程中的其他承诺）将构成合同的重要内容。</w:t>
      </w:r>
    </w:p>
    <w:p w14:paraId="0667F430">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ascii="宋体"/>
          <w:szCs w:val="21"/>
        </w:rPr>
      </w:pPr>
      <w:r>
        <w:rPr>
          <w:rFonts w:ascii="宋体" w:hAnsi="宋体"/>
          <w:szCs w:val="21"/>
        </w:rPr>
        <w:t>6</w:t>
      </w:r>
      <w:r>
        <w:rPr>
          <w:rFonts w:hint="eastAsia" w:ascii="宋体" w:hAnsi="宋体"/>
          <w:szCs w:val="21"/>
        </w:rPr>
        <w:t>、我单位理解贵单位将不受必须接受所收到的最低报价或其它任何应答文件的约束。</w:t>
      </w:r>
      <w:bookmarkEnd w:id="31"/>
    </w:p>
    <w:p w14:paraId="63D59F50">
      <w:pPr>
        <w:spacing w:line="360" w:lineRule="auto"/>
        <w:rPr>
          <w:rFonts w:ascii="宋体"/>
          <w:szCs w:val="21"/>
        </w:rPr>
      </w:pPr>
    </w:p>
    <w:p w14:paraId="05637679">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ascii="宋体"/>
          <w:szCs w:val="21"/>
        </w:rPr>
      </w:pPr>
      <w:r>
        <w:rPr>
          <w:rFonts w:hint="eastAsia" w:ascii="宋体" w:hAnsi="宋体"/>
          <w:szCs w:val="21"/>
        </w:rPr>
        <w:t>地址：</w:t>
      </w:r>
      <w:r>
        <w:rPr>
          <w:szCs w:val="21"/>
          <w:u w:val="single"/>
        </w:rPr>
        <w:tab/>
      </w:r>
      <w:r>
        <w:rPr>
          <w:szCs w:val="21"/>
          <w:u w:val="single"/>
        </w:rPr>
        <w:tab/>
      </w:r>
      <w:r>
        <w:rPr>
          <w:szCs w:val="21"/>
          <w:u w:val="single"/>
        </w:rPr>
        <w:tab/>
      </w:r>
      <w:r>
        <w:rPr>
          <w:szCs w:val="21"/>
          <w:u w:val="single"/>
        </w:rPr>
        <w:tab/>
      </w:r>
    </w:p>
    <w:p w14:paraId="6B019180">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ascii="宋体"/>
          <w:szCs w:val="21"/>
        </w:rPr>
      </w:pPr>
      <w:r>
        <w:rPr>
          <w:rFonts w:hint="eastAsia" w:ascii="宋体" w:hAnsi="宋体"/>
          <w:szCs w:val="21"/>
        </w:rPr>
        <w:t>邮政编码：</w:t>
      </w:r>
      <w:r>
        <w:rPr>
          <w:szCs w:val="21"/>
          <w:u w:val="single"/>
        </w:rPr>
        <w:tab/>
      </w:r>
      <w:r>
        <w:rPr>
          <w:szCs w:val="21"/>
          <w:u w:val="single"/>
        </w:rPr>
        <w:tab/>
      </w:r>
      <w:r>
        <w:rPr>
          <w:szCs w:val="21"/>
          <w:u w:val="single"/>
        </w:rPr>
        <w:tab/>
      </w:r>
      <w:r>
        <w:rPr>
          <w:szCs w:val="21"/>
          <w:u w:val="single"/>
        </w:rPr>
        <w:tab/>
      </w:r>
      <w:r>
        <w:rPr>
          <w:rFonts w:ascii="宋体" w:hAnsi="宋体"/>
          <w:szCs w:val="21"/>
        </w:rPr>
        <w:t xml:space="preserve"> </w:t>
      </w:r>
      <w:r>
        <w:rPr>
          <w:rFonts w:hint="eastAsia" w:ascii="宋体" w:hAnsi="宋体"/>
          <w:szCs w:val="21"/>
        </w:rPr>
        <w:t>电话：</w:t>
      </w:r>
      <w:r>
        <w:rPr>
          <w:rFonts w:ascii="宋体" w:hAnsi="宋体"/>
          <w:szCs w:val="21"/>
        </w:rPr>
        <w:t xml:space="preserve"> </w:t>
      </w:r>
      <w:r>
        <w:rPr>
          <w:szCs w:val="21"/>
          <w:u w:val="single"/>
        </w:rPr>
        <w:tab/>
      </w:r>
      <w:r>
        <w:rPr>
          <w:szCs w:val="21"/>
          <w:u w:val="single"/>
        </w:rPr>
        <w:tab/>
      </w:r>
      <w:r>
        <w:rPr>
          <w:szCs w:val="21"/>
          <w:u w:val="single"/>
        </w:rPr>
        <w:tab/>
      </w:r>
      <w:r>
        <w:rPr>
          <w:szCs w:val="21"/>
          <w:u w:val="single"/>
        </w:rPr>
        <w:tab/>
      </w:r>
    </w:p>
    <w:p w14:paraId="4C7FEECD">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ascii="宋体"/>
          <w:szCs w:val="21"/>
        </w:rPr>
      </w:pPr>
      <w:r>
        <w:rPr>
          <w:rFonts w:hint="eastAsia" w:ascii="宋体" w:hAnsi="宋体"/>
          <w:szCs w:val="21"/>
        </w:rPr>
        <w:t>传真：</w:t>
      </w:r>
      <w:r>
        <w:rPr>
          <w:szCs w:val="21"/>
          <w:u w:val="single"/>
        </w:rPr>
        <w:tab/>
      </w:r>
      <w:r>
        <w:rPr>
          <w:szCs w:val="21"/>
          <w:u w:val="single"/>
        </w:rPr>
        <w:tab/>
      </w:r>
      <w:r>
        <w:rPr>
          <w:szCs w:val="21"/>
          <w:u w:val="single"/>
        </w:rPr>
        <w:tab/>
      </w:r>
      <w:r>
        <w:rPr>
          <w:szCs w:val="21"/>
          <w:u w:val="single"/>
        </w:rPr>
        <w:tab/>
      </w:r>
      <w:r>
        <w:rPr>
          <w:rFonts w:ascii="宋体" w:hAnsi="宋体"/>
          <w:szCs w:val="21"/>
        </w:rPr>
        <w:t xml:space="preserve">       </w:t>
      </w:r>
      <w:r>
        <w:rPr>
          <w:rFonts w:hint="eastAsia" w:ascii="宋体" w:hAnsi="宋体"/>
          <w:szCs w:val="21"/>
        </w:rPr>
        <w:t>电子邮箱：</w:t>
      </w:r>
      <w:r>
        <w:rPr>
          <w:szCs w:val="21"/>
          <w:u w:val="single"/>
        </w:rPr>
        <w:tab/>
      </w:r>
      <w:r>
        <w:rPr>
          <w:szCs w:val="21"/>
          <w:u w:val="single"/>
        </w:rPr>
        <w:tab/>
      </w:r>
      <w:r>
        <w:rPr>
          <w:szCs w:val="21"/>
          <w:u w:val="single"/>
        </w:rPr>
        <w:tab/>
      </w:r>
      <w:r>
        <w:rPr>
          <w:szCs w:val="21"/>
          <w:u w:val="single"/>
        </w:rPr>
        <w:tab/>
      </w:r>
    </w:p>
    <w:p w14:paraId="05E71FD0">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ascii="宋体"/>
          <w:szCs w:val="21"/>
        </w:rPr>
      </w:pPr>
      <w:r>
        <w:rPr>
          <w:rFonts w:hint="eastAsia" w:ascii="宋体" w:hAnsi="宋体"/>
          <w:szCs w:val="21"/>
        </w:rPr>
        <w:t>供应商代表：</w:t>
      </w:r>
      <w:r>
        <w:rPr>
          <w:szCs w:val="21"/>
          <w:u w:val="single"/>
        </w:rPr>
        <w:tab/>
      </w:r>
      <w:r>
        <w:rPr>
          <w:szCs w:val="21"/>
          <w:u w:val="single"/>
        </w:rPr>
        <w:tab/>
      </w:r>
      <w:r>
        <w:rPr>
          <w:szCs w:val="21"/>
          <w:u w:val="single"/>
        </w:rPr>
        <w:tab/>
      </w:r>
      <w:r>
        <w:rPr>
          <w:szCs w:val="21"/>
          <w:u w:val="single"/>
        </w:rPr>
        <w:tab/>
      </w:r>
    </w:p>
    <w:p w14:paraId="2D28725A">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ascii="宋体"/>
          <w:szCs w:val="21"/>
        </w:rPr>
      </w:pPr>
      <w:r>
        <w:rPr>
          <w:rFonts w:hint="eastAsia" w:ascii="宋体" w:hAnsi="宋体"/>
          <w:szCs w:val="21"/>
        </w:rPr>
        <w:t>供应商名称：</w:t>
      </w:r>
      <w:r>
        <w:rPr>
          <w:szCs w:val="21"/>
          <w:u w:val="single"/>
        </w:rPr>
        <w:tab/>
      </w:r>
      <w:r>
        <w:rPr>
          <w:szCs w:val="21"/>
          <w:u w:val="single"/>
        </w:rPr>
        <w:tab/>
      </w:r>
      <w:r>
        <w:rPr>
          <w:szCs w:val="21"/>
          <w:u w:val="single"/>
        </w:rPr>
        <w:tab/>
      </w:r>
      <w:r>
        <w:rPr>
          <w:szCs w:val="21"/>
          <w:u w:val="single"/>
        </w:rPr>
        <w:tab/>
      </w:r>
    </w:p>
    <w:p w14:paraId="0471A1E1">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sz w:val="24"/>
        </w:rPr>
      </w:pPr>
      <w:r>
        <w:rPr>
          <w:rFonts w:hint="eastAsia"/>
          <w:szCs w:val="21"/>
        </w:rPr>
        <w:t>日期：</w:t>
      </w:r>
      <w:r>
        <w:rPr>
          <w:rFonts w:hint="eastAsia"/>
          <w:szCs w:val="21"/>
          <w:lang w:val="en-US" w:eastAsia="zh-CN"/>
        </w:rPr>
        <w:t xml:space="preserve">        </w:t>
      </w:r>
      <w:r>
        <w:rPr>
          <w:rFonts w:hint="eastAsia"/>
          <w:szCs w:val="21"/>
        </w:rPr>
        <w:t>年</w:t>
      </w:r>
      <w:r>
        <w:rPr>
          <w:rFonts w:hint="eastAsia"/>
          <w:szCs w:val="21"/>
          <w:lang w:val="en-US" w:eastAsia="zh-CN"/>
        </w:rPr>
        <w:t xml:space="preserve">     </w:t>
      </w:r>
      <w:r>
        <w:rPr>
          <w:rFonts w:hint="eastAsia"/>
          <w:szCs w:val="21"/>
        </w:rPr>
        <w:t>月</w:t>
      </w:r>
      <w:r>
        <w:rPr>
          <w:rFonts w:hint="eastAsia"/>
          <w:szCs w:val="21"/>
          <w:lang w:val="en-US" w:eastAsia="zh-CN"/>
        </w:rPr>
        <w:t xml:space="preserve">      </w:t>
      </w:r>
      <w:r>
        <w:rPr>
          <w:rFonts w:hint="eastAsia"/>
          <w:szCs w:val="21"/>
        </w:rPr>
        <w:t>日</w:t>
      </w:r>
    </w:p>
    <w:p w14:paraId="715D8A4F">
      <w:pPr>
        <w:rPr>
          <w:rFonts w:ascii="宋体"/>
          <w:color w:val="FF0000"/>
          <w:sz w:val="24"/>
        </w:rPr>
      </w:pPr>
    </w:p>
    <w:p w14:paraId="1133FE4F">
      <w:pPr>
        <w:pStyle w:val="18"/>
        <w:rPr>
          <w:rFonts w:ascii="宋体"/>
          <w:color w:val="FF0000"/>
          <w:sz w:val="24"/>
        </w:rPr>
      </w:pPr>
    </w:p>
    <w:p w14:paraId="322B3BB0">
      <w:pPr>
        <w:rPr>
          <w:rFonts w:hint="eastAsia" w:ascii="黑体" w:eastAsia="黑体"/>
          <w:b w:val="0"/>
          <w:sz w:val="24"/>
        </w:rPr>
      </w:pPr>
      <w:r>
        <w:rPr>
          <w:rFonts w:hint="eastAsia" w:ascii="黑体" w:eastAsia="黑体"/>
          <w:b w:val="0"/>
          <w:sz w:val="24"/>
        </w:rPr>
        <w:br w:type="page"/>
      </w:r>
    </w:p>
    <w:p w14:paraId="21C1B710">
      <w:pPr>
        <w:pStyle w:val="4"/>
        <w:jc w:val="center"/>
        <w:rPr>
          <w:rFonts w:hint="eastAsia" w:ascii="黑体" w:eastAsia="黑体"/>
          <w:b w:val="0"/>
          <w:color w:val="auto"/>
          <w:sz w:val="24"/>
        </w:rPr>
      </w:pPr>
      <w:r>
        <w:rPr>
          <w:rFonts w:hint="eastAsia" w:ascii="黑体" w:eastAsia="黑体"/>
          <w:b w:val="0"/>
          <w:color w:val="auto"/>
          <w:sz w:val="24"/>
        </w:rPr>
        <w:t>二、政府采购应答及履约承诺函</w:t>
      </w:r>
      <w:bookmarkStart w:id="66" w:name="_GoBack"/>
      <w:bookmarkEnd w:id="66"/>
    </w:p>
    <w:p w14:paraId="68852DD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olor w:val="FF0000"/>
          <w:szCs w:val="21"/>
        </w:rPr>
      </w:pPr>
      <w:r>
        <w:rPr>
          <w:rFonts w:hint="eastAsia" w:ascii="宋体" w:hAnsi="宋体"/>
          <w:color w:val="auto"/>
          <w:szCs w:val="21"/>
        </w:rPr>
        <w:t>致：</w:t>
      </w:r>
      <w:r>
        <w:rPr>
          <w:rFonts w:hint="eastAsia" w:ascii="宋体" w:hAnsi="宋体" w:cs="宋体"/>
          <w:color w:val="auto"/>
          <w:kern w:val="0"/>
          <w:sz w:val="22"/>
          <w:szCs w:val="22"/>
        </w:rPr>
        <w:t>深圳</w:t>
      </w:r>
      <w:r>
        <w:rPr>
          <w:rFonts w:hint="eastAsia" w:ascii="宋体" w:hAnsi="宋体" w:cs="宋体"/>
          <w:kern w:val="0"/>
          <w:sz w:val="22"/>
          <w:szCs w:val="22"/>
        </w:rPr>
        <w:t>市东海国际招标有限公司</w:t>
      </w:r>
    </w:p>
    <w:p w14:paraId="3E25F834">
      <w:pPr>
        <w:keepNext w:val="0"/>
        <w:keepLines w:val="0"/>
        <w:pageBreakBefore w:val="0"/>
        <w:widowControl w:val="0"/>
        <w:kinsoku/>
        <w:wordWrap/>
        <w:overflowPunct/>
        <w:topLinePunct w:val="0"/>
        <w:autoSpaceDE/>
        <w:autoSpaceDN/>
        <w:bidi w:val="0"/>
        <w:adjustRightInd/>
        <w:snapToGrid/>
        <w:spacing w:line="240" w:lineRule="auto"/>
        <w:ind w:right="-815" w:firstLine="420" w:firstLineChars="200"/>
        <w:textAlignment w:val="auto"/>
        <w:rPr>
          <w:rFonts w:hint="eastAsia" w:ascii="宋体" w:hAnsi="宋体"/>
          <w:szCs w:val="21"/>
        </w:rPr>
      </w:pPr>
      <w:r>
        <w:rPr>
          <w:rFonts w:hint="eastAsia" w:ascii="宋体" w:hAnsi="宋体"/>
          <w:szCs w:val="21"/>
        </w:rPr>
        <w:t>我单位承诺：</w:t>
      </w:r>
    </w:p>
    <w:p w14:paraId="1D945739">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szCs w:val="21"/>
        </w:rPr>
      </w:pPr>
      <w:r>
        <w:rPr>
          <w:rFonts w:hint="eastAsia" w:ascii="宋体" w:hAnsi="宋体"/>
          <w:szCs w:val="21"/>
        </w:rPr>
        <w:t>1.我单位参与本项目所投标（响应）的货物、工程或服务，不存在侵犯知识产权的情况。</w:t>
      </w:r>
    </w:p>
    <w:p w14:paraId="23B9DB41">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szCs w:val="21"/>
        </w:rPr>
      </w:pPr>
      <w:r>
        <w:rPr>
          <w:rFonts w:hint="eastAsia" w:ascii="宋体" w:hAnsi="宋体"/>
          <w:szCs w:val="21"/>
        </w:rPr>
        <w:t>2.我单位参与本项目</w:t>
      </w:r>
      <w:r>
        <w:rPr>
          <w:rFonts w:hint="eastAsia"/>
        </w:rPr>
        <w:t>政府采购活动时不存在被有关部门禁止参与政府采购活动且在有效期内的情况。符合招标文件关于联合体及进口产品的相关资格要求。</w:t>
      </w:r>
    </w:p>
    <w:p w14:paraId="5EA159EA">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szCs w:val="21"/>
        </w:rPr>
      </w:pPr>
      <w:r>
        <w:rPr>
          <w:rFonts w:hint="eastAsia" w:ascii="宋体" w:hAnsi="宋体"/>
          <w:szCs w:val="21"/>
        </w:rPr>
        <w:t>3.我单位具备《中华人民共和国政府采购法》第二十二条第一款的条件。</w:t>
      </w:r>
    </w:p>
    <w:p w14:paraId="231270FD">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pPr>
      <w:r>
        <w:rPr>
          <w:rFonts w:hint="eastAsia" w:ascii="宋体" w:hAnsi="宋体"/>
          <w:szCs w:val="21"/>
        </w:rPr>
        <w:t>4.我单位</w:t>
      </w:r>
      <w:r>
        <w:rPr>
          <w:rFonts w:hint="eastAsia"/>
        </w:rPr>
        <w:t>未被列入失信被执行人、重大税收违法案件当事人名单、政府采购严重违法失信行为记录名单。</w:t>
      </w:r>
    </w:p>
    <w:p w14:paraId="6F3E8CC9">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t>5.我单位不存在《深圳市财政局政府采购供应商信用信息管理办法》（深财规〔2023〕3号）列明的严重违法失信行为。</w:t>
      </w:r>
    </w:p>
    <w:p w14:paraId="0A65FEDD">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szCs w:val="21"/>
        </w:rPr>
      </w:pPr>
      <w:r>
        <w:rPr>
          <w:rFonts w:hint="eastAsia" w:ascii="宋体" w:hAnsi="宋体"/>
          <w:szCs w:val="21"/>
        </w:rPr>
        <w:t>6.我单位参与该项目谈判，严格遵守政府采购相关法律，不造假，不围标、串标、陪标。我单位已清楚，如违反上述要求，应答将作无效处理，被列入不良记录名单并在网上曝光，同时将被提请政府采购主管部门给予一定年限内禁止参与政府采购活动或其他处罚。</w:t>
      </w:r>
    </w:p>
    <w:p w14:paraId="3BE458A0">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szCs w:val="21"/>
        </w:rPr>
      </w:pPr>
      <w:r>
        <w:rPr>
          <w:rFonts w:hint="eastAsia" w:ascii="宋体" w:hAnsi="宋体"/>
          <w:szCs w:val="21"/>
        </w:rPr>
        <w:t>7.我单位如果获得成交资格，将做到守信，不偷工减料，依照本项目谈判文件需求内容、签署的采购合同及本单位在谈判中所作的一切承诺履约。我单位对本项目的报价负责，成交后将严格按照本项目谈判文件需求、签署的采购合同及我单位在谈判中所作的全部承诺履行。</w:t>
      </w:r>
    </w:p>
    <w:p w14:paraId="2BEF36A3">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szCs w:val="21"/>
        </w:rPr>
      </w:pPr>
      <w:r>
        <w:rPr>
          <w:rFonts w:hint="eastAsia" w:ascii="宋体" w:hAnsi="宋体"/>
          <w:szCs w:val="21"/>
        </w:rPr>
        <w:t>我单位清楚，若以“报价太低而无法履约”为理由放弃本项目成交资格时，愿意接受主管部门的处理处罚。若我单位成交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p>
    <w:p w14:paraId="35A36507">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szCs w:val="21"/>
        </w:rPr>
      </w:pPr>
      <w:r>
        <w:rPr>
          <w:rFonts w:hint="eastAsia" w:ascii="宋体" w:hAnsi="宋体"/>
          <w:szCs w:val="21"/>
        </w:rPr>
        <w:t>8.我单位已认真核实了应答文件的全部内容，所有资料均为真实资料。我单位对应答文件中全部应答资料的真实性负责，如被证实我单位的应答文件中存在虚假资料的，则视为我单位隐瞒真实情况、提供虚假资料，我单位愿意接受主管部门作出的行政处罚。</w:t>
      </w:r>
    </w:p>
    <w:p w14:paraId="6934A8FC">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szCs w:val="21"/>
        </w:rPr>
      </w:pPr>
      <w:r>
        <w:rPr>
          <w:rFonts w:ascii="宋体" w:hAnsi="宋体"/>
          <w:szCs w:val="21"/>
        </w:rPr>
        <w:t>9</w:t>
      </w:r>
      <w:r>
        <w:rPr>
          <w:rFonts w:hint="eastAsia" w:ascii="宋体" w:hAnsi="宋体"/>
          <w:szCs w:val="21"/>
        </w:rPr>
        <w:t>.我单位承诺成交后项目不转包，未经采购人同意不进行分包。</w:t>
      </w:r>
    </w:p>
    <w:p w14:paraId="5216237A">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rPr>
      </w:pPr>
      <w:r>
        <w:rPr>
          <w:rFonts w:hint="eastAsia" w:ascii="宋体" w:hAnsi="宋体"/>
          <w:szCs w:val="21"/>
        </w:rPr>
        <w:t>10</w:t>
      </w:r>
      <w:r>
        <w:rPr>
          <w:rFonts w:ascii="宋体" w:hAnsi="宋体"/>
          <w:szCs w:val="21"/>
        </w:rPr>
        <w:t>.</w:t>
      </w:r>
      <w:r>
        <w:rPr>
          <w:rFonts w:hint="eastAsia" w:ascii="宋体" w:hAnsi="宋体"/>
        </w:rPr>
        <w:t>我单位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我单位承担全部责任。</w:t>
      </w:r>
    </w:p>
    <w:p w14:paraId="56E0E0AD">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rPr>
      </w:pPr>
      <w:r>
        <w:rPr>
          <w:rFonts w:hint="eastAsia" w:ascii="宋体" w:hAnsi="宋体"/>
        </w:rPr>
        <w:t>11</w:t>
      </w:r>
      <w:r>
        <w:rPr>
          <w:rFonts w:ascii="宋体" w:hAnsi="宋体"/>
        </w:rPr>
        <w:t>.</w:t>
      </w:r>
      <w:r>
        <w:rPr>
          <w:rFonts w:hint="eastAsia" w:ascii="宋体" w:hAnsi="宋体"/>
        </w:rPr>
        <w:t>我单位保证，若所响应货物涉及</w:t>
      </w:r>
      <w:r>
        <w:rPr>
          <w:rFonts w:ascii="宋体" w:hAnsi="宋体"/>
        </w:rPr>
        <w:t>《</w:t>
      </w:r>
      <w:r>
        <w:rPr>
          <w:rFonts w:hint="eastAsia" w:ascii="宋体" w:hAnsi="宋体"/>
        </w:rPr>
        <w:t>财政部生态环境部关于印发节能产品政府采购品目清单的通知》（财库〔20</w:t>
      </w:r>
      <w:r>
        <w:rPr>
          <w:rFonts w:ascii="宋体" w:hAnsi="宋体"/>
        </w:rPr>
        <w:t>19</w:t>
      </w:r>
      <w:r>
        <w:rPr>
          <w:rFonts w:hint="eastAsia" w:ascii="宋体" w:hAnsi="宋体"/>
        </w:rPr>
        <w:t>〕</w:t>
      </w:r>
      <w:r>
        <w:rPr>
          <w:rFonts w:ascii="宋体" w:hAnsi="宋体"/>
        </w:rPr>
        <w:t>19</w:t>
      </w:r>
      <w:r>
        <w:rPr>
          <w:rFonts w:hint="eastAsia" w:ascii="宋体" w:hAnsi="宋体"/>
        </w:rPr>
        <w:t>号）列明的政府采购强制产品，则所投该产品符合节能产品的认证要求。</w:t>
      </w:r>
      <w:r>
        <w:rPr>
          <w:rFonts w:hint="eastAsia"/>
        </w:rPr>
        <w:t>若所投产品涉及国家强制性标准的，所投产品应符合国家强制性标准相关要求。</w:t>
      </w:r>
    </w:p>
    <w:p w14:paraId="7673220A">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bCs/>
        </w:rPr>
      </w:pPr>
      <w:r>
        <w:rPr>
          <w:rFonts w:hint="eastAsia" w:ascii="宋体" w:hAnsi="宋体"/>
          <w:bCs/>
        </w:rPr>
        <w:t>12.我单位已知悉并同意中标（成交）结果信息公示（公开）的内容。</w:t>
      </w:r>
    </w:p>
    <w:p w14:paraId="59B1C3F5">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rFonts w:hint="eastAsia" w:ascii="宋体" w:hAnsi="宋体"/>
          <w:b/>
          <w:szCs w:val="21"/>
        </w:rPr>
      </w:pPr>
      <w:r>
        <w:rPr>
          <w:rFonts w:hint="eastAsia" w:ascii="宋体" w:hAnsi="宋体"/>
          <w:b/>
        </w:rPr>
        <w:t>13.我单位清楚，如存在违反应答承诺行为情节严重的，将根据《深圳市财政局关于印发&lt;深圳市财政局政府采购供应商信用信息管理办法&gt;的通知》，依法被列入失信信息。</w:t>
      </w:r>
    </w:p>
    <w:p w14:paraId="581EAB4B">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rPr>
      </w:pPr>
      <w:r>
        <w:rPr>
          <w:rFonts w:hint="eastAsia" w:ascii="宋体" w:hAnsi="宋体"/>
        </w:rPr>
        <w:t>14.我单位保证，若所投产品列入强制性产品认证目录的，则所投该产品须获得强制性产品认证证书（即CCC认证）；其中适用自我声明评价方式的产品，则所投该产品须具有“强制性认证产品符合性自我声明”；若所投产品列入工业产品生产许可证管理的产品目录的，则所投该产品生产者（制造商）须获得《全国工业产品生产许可证》。</w:t>
      </w:r>
    </w:p>
    <w:p w14:paraId="0FD766EE">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rPr>
      </w:pPr>
    </w:p>
    <w:p w14:paraId="55325F39">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szCs w:val="21"/>
        </w:rPr>
      </w:pPr>
      <w:r>
        <w:rPr>
          <w:rFonts w:hint="eastAsia" w:ascii="宋体" w:hAnsi="宋体"/>
          <w:szCs w:val="21"/>
        </w:rPr>
        <w:t xml:space="preserve">以上承诺，如有违反，愿依照国家相关法律法规处理，并承担由此给采购人带来的损失。                                    </w:t>
      </w:r>
    </w:p>
    <w:p w14:paraId="4C399070">
      <w:pPr>
        <w:keepNext w:val="0"/>
        <w:keepLines w:val="0"/>
        <w:pageBreakBefore w:val="0"/>
        <w:widowControl w:val="0"/>
        <w:kinsoku/>
        <w:wordWrap/>
        <w:overflowPunct/>
        <w:topLinePunct w:val="0"/>
        <w:autoSpaceDE/>
        <w:autoSpaceDN/>
        <w:bidi w:val="0"/>
        <w:adjustRightInd/>
        <w:snapToGrid/>
        <w:spacing w:line="240" w:lineRule="auto"/>
        <w:ind w:firstLine="5460" w:firstLineChars="2600"/>
        <w:textAlignment w:val="auto"/>
        <w:rPr>
          <w:color w:val="FF0000"/>
          <w:szCs w:val="21"/>
        </w:rPr>
      </w:pPr>
    </w:p>
    <w:p w14:paraId="4ADD13A2">
      <w:pPr>
        <w:keepNext w:val="0"/>
        <w:keepLines w:val="0"/>
        <w:pageBreakBefore w:val="0"/>
        <w:widowControl w:val="0"/>
        <w:kinsoku/>
        <w:wordWrap/>
        <w:overflowPunct/>
        <w:topLinePunct w:val="0"/>
        <w:autoSpaceDE/>
        <w:autoSpaceDN/>
        <w:bidi w:val="0"/>
        <w:adjustRightInd/>
        <w:snapToGrid/>
        <w:spacing w:line="240" w:lineRule="auto"/>
        <w:ind w:firstLine="5460" w:firstLineChars="2600"/>
        <w:textAlignment w:val="auto"/>
        <w:rPr>
          <w:rFonts w:hint="eastAsia" w:ascii="宋体" w:hAnsi="宋体"/>
          <w:szCs w:val="21"/>
        </w:rPr>
      </w:pPr>
      <w:r>
        <w:rPr>
          <w:rFonts w:hint="eastAsia"/>
          <w:szCs w:val="21"/>
        </w:rPr>
        <w:t>供应商：</w:t>
      </w:r>
      <w:r>
        <w:rPr>
          <w:rFonts w:hint="eastAsia"/>
          <w:szCs w:val="21"/>
          <w:u w:val="single"/>
        </w:rPr>
        <w:tab/>
      </w:r>
      <w:r>
        <w:rPr>
          <w:rFonts w:hint="eastAsia"/>
          <w:szCs w:val="21"/>
          <w:u w:val="single"/>
        </w:rPr>
        <w:tab/>
      </w:r>
      <w:r>
        <w:rPr>
          <w:rFonts w:hint="eastAsia"/>
          <w:szCs w:val="21"/>
          <w:u w:val="single"/>
        </w:rPr>
        <w:tab/>
      </w:r>
      <w:r>
        <w:rPr>
          <w:rFonts w:hint="eastAsia"/>
          <w:szCs w:val="21"/>
          <w:u w:val="single"/>
        </w:rPr>
        <w:tab/>
      </w:r>
    </w:p>
    <w:p w14:paraId="71296F88">
      <w:pPr>
        <w:keepNext w:val="0"/>
        <w:keepLines w:val="0"/>
        <w:pageBreakBefore w:val="0"/>
        <w:widowControl w:val="0"/>
        <w:kinsoku/>
        <w:wordWrap/>
        <w:overflowPunct/>
        <w:topLinePunct w:val="0"/>
        <w:autoSpaceDE/>
        <w:autoSpaceDN/>
        <w:bidi w:val="0"/>
        <w:adjustRightInd/>
        <w:snapToGrid/>
        <w:spacing w:line="240" w:lineRule="auto"/>
        <w:ind w:firstLine="645"/>
        <w:textAlignment w:val="auto"/>
        <w:rPr>
          <w:rFonts w:hint="eastAsia" w:ascii="宋体" w:hAnsi="宋体"/>
          <w:szCs w:val="21"/>
        </w:rPr>
      </w:pPr>
      <w:r>
        <w:rPr>
          <w:rFonts w:hint="eastAsia" w:ascii="宋体" w:hAnsi="宋体"/>
          <w:szCs w:val="21"/>
        </w:rPr>
        <w:t xml:space="preserve">                                              日   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5290622D">
      <w:pPr>
        <w:pStyle w:val="18"/>
        <w:rPr>
          <w:rFonts w:hint="eastAsia" w:ascii="宋体" w:hAnsi="宋体"/>
          <w:b/>
          <w:color w:val="FF0000"/>
          <w:sz w:val="28"/>
          <w:szCs w:val="28"/>
        </w:rPr>
      </w:pPr>
      <w:r>
        <w:rPr>
          <w:rFonts w:ascii="黑体" w:eastAsia="黑体"/>
          <w:sz w:val="24"/>
        </w:rPr>
        <w:br w:type="page"/>
      </w:r>
    </w:p>
    <w:p w14:paraId="28AC85E2">
      <w:pPr>
        <w:pStyle w:val="4"/>
        <w:jc w:val="center"/>
        <w:rPr>
          <w:rFonts w:hint="eastAsia" w:ascii="黑体" w:eastAsia="黑体"/>
          <w:b w:val="0"/>
          <w:sz w:val="24"/>
          <w:szCs w:val="24"/>
        </w:rPr>
      </w:pPr>
      <w:r>
        <w:rPr>
          <w:rFonts w:hint="eastAsia" w:ascii="黑体" w:eastAsia="黑体"/>
          <w:b w:val="0"/>
          <w:sz w:val="24"/>
          <w:szCs w:val="24"/>
        </w:rPr>
        <w:t>三、项目详细报价</w:t>
      </w:r>
    </w:p>
    <w:p w14:paraId="7055669C">
      <w:pPr>
        <w:widowControl/>
        <w:tabs>
          <w:tab w:val="left" w:pos="720"/>
        </w:tabs>
        <w:ind w:firstLine="3132" w:firstLineChars="1300"/>
        <w:jc w:val="left"/>
        <w:rPr>
          <w:b/>
          <w:sz w:val="24"/>
        </w:rPr>
      </w:pPr>
      <w:r>
        <w:rPr>
          <w:rFonts w:hint="eastAsia"/>
          <w:b/>
          <w:sz w:val="24"/>
        </w:rPr>
        <w:t>（一）项目报价表</w:t>
      </w:r>
    </w:p>
    <w:tbl>
      <w:tblPr>
        <w:tblStyle w:val="45"/>
        <w:tblW w:w="0" w:type="auto"/>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6"/>
        <w:gridCol w:w="2625"/>
        <w:gridCol w:w="2034"/>
      </w:tblGrid>
      <w:tr w14:paraId="2828363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jc w:val="center"/>
        </w:trPr>
        <w:tc>
          <w:tcPr>
            <w:tcW w:w="3246" w:type="dxa"/>
            <w:tcBorders>
              <w:top w:val="double" w:color="auto" w:sz="4" w:space="0"/>
              <w:bottom w:val="single" w:color="auto" w:sz="4" w:space="0"/>
            </w:tcBorders>
            <w:vAlign w:val="center"/>
          </w:tcPr>
          <w:p w14:paraId="442FFDBB">
            <w:pPr>
              <w:widowControl/>
              <w:adjustRightInd w:val="0"/>
              <w:snapToGrid w:val="0"/>
              <w:spacing w:line="300" w:lineRule="auto"/>
              <w:jc w:val="center"/>
              <w:rPr>
                <w:rFonts w:hint="eastAsia" w:ascii="宋体" w:hAnsi="宋体"/>
                <w:snapToGrid w:val="0"/>
                <w:kern w:val="0"/>
                <w:sz w:val="24"/>
                <w:szCs w:val="21"/>
              </w:rPr>
            </w:pPr>
            <w:r>
              <w:rPr>
                <w:rFonts w:hint="eastAsia" w:ascii="宋体" w:hAnsi="宋体"/>
                <w:snapToGrid w:val="0"/>
                <w:kern w:val="0"/>
                <w:sz w:val="24"/>
                <w:szCs w:val="21"/>
              </w:rPr>
              <w:t>项目名称</w:t>
            </w:r>
          </w:p>
        </w:tc>
        <w:tc>
          <w:tcPr>
            <w:tcW w:w="2625" w:type="dxa"/>
            <w:tcBorders>
              <w:top w:val="double" w:color="auto" w:sz="4" w:space="0"/>
              <w:bottom w:val="single" w:color="auto" w:sz="4" w:space="0"/>
            </w:tcBorders>
            <w:vAlign w:val="center"/>
          </w:tcPr>
          <w:p w14:paraId="5B9F32D9">
            <w:pPr>
              <w:widowControl/>
              <w:adjustRightInd w:val="0"/>
              <w:snapToGrid w:val="0"/>
              <w:spacing w:line="300" w:lineRule="auto"/>
              <w:jc w:val="center"/>
              <w:rPr>
                <w:rFonts w:hint="eastAsia" w:ascii="宋体" w:hAnsi="宋体"/>
                <w:snapToGrid w:val="0"/>
                <w:kern w:val="0"/>
                <w:sz w:val="24"/>
                <w:szCs w:val="21"/>
              </w:rPr>
            </w:pPr>
            <w:r>
              <w:rPr>
                <w:rFonts w:hint="eastAsia" w:ascii="宋体" w:hAnsi="宋体"/>
                <w:snapToGrid w:val="0"/>
                <w:kern w:val="0"/>
                <w:sz w:val="24"/>
                <w:szCs w:val="21"/>
              </w:rPr>
              <w:t>投标报价（元）</w:t>
            </w:r>
          </w:p>
        </w:tc>
        <w:tc>
          <w:tcPr>
            <w:tcW w:w="2034" w:type="dxa"/>
            <w:tcBorders>
              <w:top w:val="double" w:color="auto" w:sz="4" w:space="0"/>
              <w:bottom w:val="single" w:color="auto" w:sz="4" w:space="0"/>
            </w:tcBorders>
            <w:vAlign w:val="center"/>
          </w:tcPr>
          <w:p w14:paraId="52F0748D">
            <w:pPr>
              <w:widowControl/>
              <w:adjustRightInd w:val="0"/>
              <w:snapToGrid w:val="0"/>
              <w:spacing w:line="300" w:lineRule="auto"/>
              <w:jc w:val="center"/>
              <w:rPr>
                <w:rFonts w:hint="eastAsia" w:ascii="宋体" w:hAnsi="宋体"/>
                <w:snapToGrid w:val="0"/>
                <w:kern w:val="0"/>
                <w:sz w:val="24"/>
                <w:szCs w:val="21"/>
              </w:rPr>
            </w:pPr>
            <w:r>
              <w:rPr>
                <w:rFonts w:hint="eastAsia" w:ascii="宋体" w:hAnsi="宋体"/>
                <w:snapToGrid w:val="0"/>
                <w:kern w:val="0"/>
                <w:sz w:val="24"/>
                <w:szCs w:val="21"/>
              </w:rPr>
              <w:t>备注</w:t>
            </w:r>
          </w:p>
        </w:tc>
      </w:tr>
      <w:tr w14:paraId="2D8FBC3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738" w:hRule="atLeast"/>
          <w:jc w:val="center"/>
        </w:trPr>
        <w:tc>
          <w:tcPr>
            <w:tcW w:w="3246" w:type="dxa"/>
            <w:tcBorders>
              <w:top w:val="single" w:color="auto" w:sz="4" w:space="0"/>
            </w:tcBorders>
            <w:vAlign w:val="center"/>
          </w:tcPr>
          <w:p w14:paraId="323CA783">
            <w:pPr>
              <w:widowControl/>
              <w:adjustRightInd w:val="0"/>
              <w:snapToGrid w:val="0"/>
              <w:spacing w:line="300" w:lineRule="auto"/>
              <w:jc w:val="center"/>
              <w:rPr>
                <w:rFonts w:hint="eastAsia" w:ascii="宋体" w:hAnsi="宋体"/>
                <w:snapToGrid w:val="0"/>
                <w:kern w:val="0"/>
                <w:sz w:val="24"/>
                <w:szCs w:val="21"/>
                <w:u w:val="single"/>
              </w:rPr>
            </w:pPr>
            <w:r>
              <w:rPr>
                <w:rFonts w:hint="eastAsia" w:ascii="宋体" w:hAnsi="宋体"/>
                <w:snapToGrid w:val="0"/>
                <w:kern w:val="0"/>
                <w:sz w:val="24"/>
                <w:szCs w:val="21"/>
                <w:u w:val="single"/>
              </w:rPr>
              <w:t xml:space="preserve">                 项目</w:t>
            </w:r>
          </w:p>
        </w:tc>
        <w:tc>
          <w:tcPr>
            <w:tcW w:w="2625" w:type="dxa"/>
            <w:tcBorders>
              <w:top w:val="single" w:color="auto" w:sz="4" w:space="0"/>
            </w:tcBorders>
            <w:vAlign w:val="center"/>
          </w:tcPr>
          <w:p w14:paraId="0B4A2C92">
            <w:pPr>
              <w:widowControl/>
              <w:adjustRightInd w:val="0"/>
              <w:snapToGrid w:val="0"/>
              <w:spacing w:line="300" w:lineRule="auto"/>
              <w:jc w:val="left"/>
              <w:rPr>
                <w:rFonts w:hint="eastAsia" w:ascii="宋体" w:hAnsi="宋体"/>
                <w:snapToGrid w:val="0"/>
                <w:kern w:val="0"/>
                <w:sz w:val="24"/>
                <w:szCs w:val="21"/>
              </w:rPr>
            </w:pPr>
            <w:r>
              <w:rPr>
                <w:rFonts w:hint="eastAsia" w:ascii="宋体" w:hAnsi="宋体"/>
                <w:snapToGrid w:val="0"/>
                <w:kern w:val="0"/>
                <w:sz w:val="24"/>
                <w:szCs w:val="21"/>
              </w:rPr>
              <w:t>大写：</w:t>
            </w:r>
          </w:p>
          <w:p w14:paraId="0A33D28B">
            <w:pPr>
              <w:widowControl/>
              <w:adjustRightInd w:val="0"/>
              <w:snapToGrid w:val="0"/>
              <w:spacing w:line="300" w:lineRule="auto"/>
              <w:jc w:val="left"/>
            </w:pPr>
            <w:r>
              <w:rPr>
                <w:rFonts w:hint="eastAsia" w:ascii="宋体" w:hAnsi="宋体"/>
                <w:snapToGrid w:val="0"/>
                <w:kern w:val="0"/>
                <w:sz w:val="24"/>
                <w:szCs w:val="21"/>
              </w:rPr>
              <w:t>小写：</w:t>
            </w:r>
          </w:p>
        </w:tc>
        <w:tc>
          <w:tcPr>
            <w:tcW w:w="2034" w:type="dxa"/>
            <w:tcBorders>
              <w:top w:val="single" w:color="auto" w:sz="4" w:space="0"/>
            </w:tcBorders>
            <w:vAlign w:val="center"/>
          </w:tcPr>
          <w:p w14:paraId="4051094D">
            <w:pPr>
              <w:widowControl/>
              <w:adjustRightInd w:val="0"/>
              <w:snapToGrid w:val="0"/>
              <w:spacing w:line="300" w:lineRule="auto"/>
              <w:jc w:val="center"/>
              <w:rPr>
                <w:rFonts w:hint="eastAsia" w:ascii="宋体" w:hAnsi="宋体"/>
                <w:snapToGrid w:val="0"/>
                <w:kern w:val="0"/>
                <w:sz w:val="24"/>
                <w:szCs w:val="21"/>
              </w:rPr>
            </w:pPr>
          </w:p>
        </w:tc>
      </w:tr>
    </w:tbl>
    <w:p w14:paraId="04B11C2C">
      <w:pPr>
        <w:ind w:left="632" w:hanging="632" w:hangingChars="300"/>
        <w:rPr>
          <w:b/>
          <w:color w:val="0000FF"/>
          <w:szCs w:val="21"/>
        </w:rPr>
      </w:pPr>
      <w:r>
        <w:rPr>
          <w:rFonts w:hint="eastAsia"/>
          <w:b/>
          <w:color w:val="0000FF"/>
          <w:szCs w:val="21"/>
        </w:rPr>
        <w:t>注：</w:t>
      </w:r>
    </w:p>
    <w:p w14:paraId="1854283B">
      <w:pPr>
        <w:widowControl/>
        <w:snapToGrid w:val="0"/>
        <w:ind w:firstLine="420" w:firstLineChars="200"/>
        <w:jc w:val="left"/>
        <w:rPr>
          <w:rFonts w:hint="eastAsia" w:ascii="宋体" w:hAnsi="宋体"/>
          <w:color w:val="0000FF"/>
          <w:kern w:val="0"/>
          <w:szCs w:val="21"/>
        </w:rPr>
      </w:pPr>
      <w:r>
        <w:rPr>
          <w:rFonts w:hint="eastAsia" w:ascii="宋体" w:hAnsi="宋体"/>
          <w:color w:val="0000FF"/>
          <w:kern w:val="0"/>
          <w:szCs w:val="21"/>
        </w:rPr>
        <w:t>1、供应商的报价不得超过预算金额，否则将导致投标被否决。</w:t>
      </w:r>
    </w:p>
    <w:p w14:paraId="34DA168E">
      <w:pPr>
        <w:ind w:firstLine="482" w:firstLineChars="200"/>
        <w:rPr>
          <w:rFonts w:hint="eastAsia" w:hAnsi="宋体"/>
          <w:b/>
          <w:bCs/>
          <w:sz w:val="24"/>
        </w:rPr>
      </w:pPr>
    </w:p>
    <w:p w14:paraId="61575252">
      <w:pPr>
        <w:tabs>
          <w:tab w:val="left" w:pos="720"/>
        </w:tabs>
        <w:jc w:val="center"/>
        <w:rPr>
          <w:b/>
          <w:sz w:val="24"/>
        </w:rPr>
      </w:pPr>
      <w:r>
        <w:rPr>
          <w:rFonts w:hint="eastAsia"/>
          <w:b/>
          <w:sz w:val="24"/>
        </w:rPr>
        <w:t>（二）供应商认为需要涉及的其他内容报价清单</w:t>
      </w:r>
    </w:p>
    <w:p w14:paraId="424C00A1">
      <w:pPr>
        <w:tabs>
          <w:tab w:val="left" w:pos="720"/>
        </w:tabs>
        <w:jc w:val="center"/>
        <w:rPr>
          <w:b/>
          <w:sz w:val="24"/>
        </w:rPr>
      </w:pPr>
    </w:p>
    <w:p w14:paraId="3B80BFAA">
      <w:pPr>
        <w:pStyle w:val="4"/>
        <w:jc w:val="center"/>
        <w:rPr>
          <w:rFonts w:hint="eastAsia" w:ascii="黑体" w:eastAsia="黑体"/>
          <w:b w:val="0"/>
          <w:sz w:val="24"/>
          <w:szCs w:val="24"/>
        </w:rPr>
      </w:pPr>
      <w:r>
        <w:rPr>
          <w:rFonts w:hint="eastAsia" w:ascii="黑体"/>
          <w:b w:val="0"/>
          <w:sz w:val="24"/>
          <w:szCs w:val="24"/>
          <w:lang w:eastAsia="zh-CN"/>
        </w:rPr>
        <w:t>四</w:t>
      </w:r>
      <w:r>
        <w:rPr>
          <w:rFonts w:hint="eastAsia" w:ascii="黑体" w:eastAsia="黑体"/>
          <w:b w:val="0"/>
          <w:sz w:val="24"/>
          <w:szCs w:val="24"/>
        </w:rPr>
        <w:t>、其它采购文件要求的内容及供应商认为需要补充的内容（格式自定）</w:t>
      </w:r>
    </w:p>
    <w:p w14:paraId="5E2AC51D">
      <w:pPr>
        <w:rPr>
          <w:rFonts w:hint="eastAsia" w:ascii="宋体" w:hAnsi="宋体"/>
          <w:b/>
          <w:color w:val="FF0000"/>
          <w:sz w:val="28"/>
          <w:szCs w:val="28"/>
        </w:rPr>
      </w:pPr>
      <w:r>
        <w:rPr>
          <w:rFonts w:hint="eastAsia" w:ascii="黑体" w:eastAsia="黑体"/>
          <w:b w:val="0"/>
          <w:sz w:val="24"/>
          <w:szCs w:val="24"/>
        </w:rPr>
        <w:br w:type="page"/>
      </w:r>
    </w:p>
    <w:p w14:paraId="290680E8">
      <w:pPr>
        <w:outlineLvl w:val="0"/>
        <w:rPr>
          <w:rStyle w:val="94"/>
          <w:rFonts w:hint="eastAsia"/>
          <w:bCs/>
          <w:color w:val="FF0000"/>
          <w:sz w:val="28"/>
          <w:szCs w:val="28"/>
        </w:rPr>
      </w:pPr>
      <w:r>
        <w:rPr>
          <w:rStyle w:val="94"/>
          <w:rFonts w:hint="eastAsia"/>
          <w:bCs/>
          <w:color w:val="FF0000"/>
          <w:sz w:val="28"/>
          <w:szCs w:val="28"/>
        </w:rPr>
        <w:t>应答文件附件（信息不公开部分）</w:t>
      </w:r>
    </w:p>
    <w:p w14:paraId="0C58B43B">
      <w:pPr>
        <w:pStyle w:val="4"/>
        <w:jc w:val="center"/>
        <w:rPr>
          <w:sz w:val="24"/>
        </w:rPr>
      </w:pPr>
      <w:r>
        <w:rPr>
          <w:rFonts w:hint="eastAsia" w:ascii="黑体" w:eastAsia="黑体"/>
          <w:b w:val="0"/>
          <w:sz w:val="24"/>
        </w:rPr>
        <w:t>一、</w:t>
      </w:r>
      <w:bookmarkStart w:id="32" w:name="_Hlk72092499"/>
      <w:r>
        <w:rPr>
          <w:rFonts w:hint="eastAsia" w:ascii="黑体" w:eastAsia="黑体"/>
          <w:b w:val="0"/>
          <w:sz w:val="24"/>
        </w:rPr>
        <w:t>法定代表人（负责人）证明书</w:t>
      </w:r>
      <w:bookmarkEnd w:id="32"/>
    </w:p>
    <w:p w14:paraId="25C0D023">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szCs w:val="21"/>
        </w:rPr>
      </w:pPr>
      <w:r>
        <w:rPr>
          <w:rFonts w:hint="eastAsia"/>
          <w:szCs w:val="21"/>
          <w:u w:val="single"/>
        </w:rPr>
        <w:t xml:space="preserve">                 </w:t>
      </w:r>
      <w:r>
        <w:rPr>
          <w:rFonts w:hint="eastAsia"/>
          <w:szCs w:val="21"/>
        </w:rPr>
        <w:t>（姓名），现任我单位</w:t>
      </w:r>
      <w:r>
        <w:rPr>
          <w:rFonts w:hint="eastAsia"/>
          <w:szCs w:val="21"/>
          <w:u w:val="single"/>
        </w:rPr>
        <w:t xml:space="preserve">             </w:t>
      </w:r>
      <w:r>
        <w:rPr>
          <w:rFonts w:hint="eastAsia"/>
          <w:szCs w:val="21"/>
        </w:rPr>
        <w:t>职务，为法定代表人（负责人），身份证件号为：</w:t>
      </w:r>
      <w:r>
        <w:rPr>
          <w:rFonts w:hint="eastAsia"/>
          <w:szCs w:val="21"/>
          <w:u w:val="single"/>
        </w:rPr>
        <w:t xml:space="preserve">                                     </w:t>
      </w:r>
      <w:r>
        <w:rPr>
          <w:rFonts w:hint="eastAsia"/>
          <w:szCs w:val="21"/>
        </w:rPr>
        <w:t>，联系电话：</w:t>
      </w:r>
      <w:r>
        <w:rPr>
          <w:rFonts w:hint="eastAsia"/>
          <w:szCs w:val="21"/>
          <w:u w:val="single"/>
        </w:rPr>
        <w:t xml:space="preserve">                </w:t>
      </w:r>
      <w:r>
        <w:rPr>
          <w:rFonts w:hint="eastAsia"/>
          <w:szCs w:val="21"/>
        </w:rPr>
        <w:t>。</w:t>
      </w:r>
    </w:p>
    <w:p w14:paraId="1104250A">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szCs w:val="21"/>
        </w:rPr>
      </w:pPr>
      <w:r>
        <w:rPr>
          <w:rFonts w:hint="eastAsia"/>
          <w:szCs w:val="21"/>
        </w:rPr>
        <w:t>特此证明。</w:t>
      </w:r>
    </w:p>
    <w:p w14:paraId="51359100">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szCs w:val="21"/>
        </w:rPr>
      </w:pPr>
      <w:r>
        <w:rPr>
          <w:rFonts w:hint="eastAsia"/>
          <w:szCs w:val="21"/>
        </w:rPr>
        <w:t>说明：1、法定代表人为供应商（企业事业单位、国家机关、社会团体）的主要行政负责人。</w:t>
      </w:r>
    </w:p>
    <w:p w14:paraId="1F6886EE">
      <w:pPr>
        <w:keepNext w:val="0"/>
        <w:keepLines w:val="0"/>
        <w:pageBreakBefore w:val="0"/>
        <w:widowControl w:val="0"/>
        <w:numPr>
          <w:ilvl w:val="0"/>
          <w:numId w:val="8"/>
        </w:numPr>
        <w:kinsoku/>
        <w:wordWrap/>
        <w:overflowPunct/>
        <w:topLinePunct w:val="0"/>
        <w:autoSpaceDE/>
        <w:autoSpaceDN/>
        <w:bidi w:val="0"/>
        <w:adjustRightInd/>
        <w:snapToGrid/>
        <w:spacing w:line="240" w:lineRule="auto"/>
        <w:ind w:firstLine="420" w:firstLineChars="200"/>
        <w:textAlignment w:val="auto"/>
        <w:rPr>
          <w:szCs w:val="21"/>
        </w:rPr>
      </w:pPr>
      <w:r>
        <w:rPr>
          <w:rFonts w:hint="eastAsia"/>
          <w:szCs w:val="21"/>
        </w:rPr>
        <w:t>本证明书要供法定代表人（负责人）相关身份证明文件：身份证扫描件（正反两面）；港澳台居民可提供来往通行证扫描件；非中国国籍管辖范围人员，可提供公安部门认可的身份证明材料扫描件。</w:t>
      </w:r>
    </w:p>
    <w:p w14:paraId="2A640B6C">
      <w:pPr>
        <w:keepNext w:val="0"/>
        <w:keepLines w:val="0"/>
        <w:pageBreakBefore w:val="0"/>
        <w:widowControl w:val="0"/>
        <w:numPr>
          <w:ilvl w:val="0"/>
          <w:numId w:val="8"/>
        </w:numPr>
        <w:kinsoku/>
        <w:wordWrap/>
        <w:overflowPunct/>
        <w:topLinePunct w:val="0"/>
        <w:autoSpaceDE/>
        <w:autoSpaceDN/>
        <w:bidi w:val="0"/>
        <w:adjustRightInd/>
        <w:snapToGrid/>
        <w:spacing w:line="240" w:lineRule="auto"/>
        <w:ind w:firstLine="420" w:firstLineChars="200"/>
        <w:textAlignment w:val="auto"/>
        <w:rPr>
          <w:szCs w:val="21"/>
        </w:rPr>
      </w:pPr>
      <w:r>
        <w:rPr>
          <w:rFonts w:hint="eastAsia"/>
          <w:szCs w:val="21"/>
        </w:rPr>
        <w:t>本项目谈判应答授权代表为法定代表人（负责人）的，无需提供《谈判应答文件签署授权委托书》。</w:t>
      </w:r>
    </w:p>
    <w:p w14:paraId="57E3AD15">
      <w:pPr>
        <w:keepNext w:val="0"/>
        <w:keepLines w:val="0"/>
        <w:pageBreakBefore w:val="0"/>
        <w:widowControl w:val="0"/>
        <w:numPr>
          <w:ilvl w:val="0"/>
          <w:numId w:val="8"/>
        </w:numPr>
        <w:kinsoku/>
        <w:wordWrap/>
        <w:overflowPunct/>
        <w:topLinePunct w:val="0"/>
        <w:autoSpaceDE/>
        <w:autoSpaceDN/>
        <w:bidi w:val="0"/>
        <w:adjustRightInd/>
        <w:snapToGrid/>
        <w:spacing w:line="240" w:lineRule="auto"/>
        <w:ind w:firstLine="420" w:firstLineChars="200"/>
        <w:textAlignment w:val="auto"/>
        <w:rPr>
          <w:szCs w:val="21"/>
        </w:rPr>
      </w:pPr>
      <w:r>
        <w:rPr>
          <w:rFonts w:hint="eastAsia"/>
          <w:szCs w:val="21"/>
        </w:rPr>
        <w:t>内容必须填写真实、清楚，涂改无效，不得转让、买卖。</w:t>
      </w:r>
    </w:p>
    <w:tbl>
      <w:tblPr>
        <w:tblStyle w:val="46"/>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1FBCC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0" w:hRule="atLeast"/>
        </w:trPr>
        <w:tc>
          <w:tcPr>
            <w:tcW w:w="4264" w:type="dxa"/>
          </w:tcPr>
          <w:p w14:paraId="21C00318">
            <w:pPr>
              <w:jc w:val="center"/>
            </w:pPr>
            <w:r>
              <w:rPr>
                <w:rFonts w:hint="eastAsia"/>
              </w:rPr>
              <w:t>证件扫描件正面</w:t>
            </w:r>
          </w:p>
          <w:p w14:paraId="38D8B5B4">
            <w:pPr>
              <w:pStyle w:val="18"/>
              <w:jc w:val="center"/>
            </w:pPr>
          </w:p>
          <w:p w14:paraId="5A0AF632">
            <w:pPr>
              <w:pStyle w:val="19"/>
              <w:jc w:val="center"/>
            </w:pPr>
          </w:p>
        </w:tc>
        <w:tc>
          <w:tcPr>
            <w:tcW w:w="4265" w:type="dxa"/>
          </w:tcPr>
          <w:p w14:paraId="03A6DE15">
            <w:pPr>
              <w:jc w:val="center"/>
            </w:pPr>
            <w:r>
              <w:rPr>
                <w:rFonts w:hint="eastAsia"/>
              </w:rPr>
              <w:t>证件扫描件反面</w:t>
            </w:r>
          </w:p>
          <w:p w14:paraId="174B1189">
            <w:pPr>
              <w:pStyle w:val="18"/>
              <w:jc w:val="center"/>
            </w:pPr>
          </w:p>
          <w:p w14:paraId="00E5D0CE">
            <w:pPr>
              <w:pStyle w:val="19"/>
              <w:jc w:val="center"/>
            </w:pPr>
          </w:p>
        </w:tc>
      </w:tr>
    </w:tbl>
    <w:p w14:paraId="199E0A11">
      <w:pPr>
        <w:pageBreakBefore w:val="0"/>
        <w:widowControl w:val="0"/>
        <w:numPr>
          <w:ilvl w:val="0"/>
          <w:numId w:val="0"/>
        </w:numPr>
        <w:kinsoku/>
        <w:wordWrap/>
        <w:overflowPunct/>
        <w:topLinePunct w:val="0"/>
        <w:autoSpaceDE/>
        <w:autoSpaceDN/>
        <w:bidi w:val="0"/>
        <w:adjustRightInd/>
        <w:snapToGrid/>
        <w:spacing w:line="360" w:lineRule="exact"/>
        <w:ind w:firstLine="442" w:firstLineChars="200"/>
        <w:jc w:val="left"/>
        <w:textAlignment w:val="auto"/>
        <w:rPr>
          <w:rFonts w:hint="eastAsia" w:cs="Times New Roman"/>
          <w:b/>
          <w:color w:val="FF0000"/>
          <w:sz w:val="22"/>
          <w:szCs w:val="22"/>
          <w:lang w:val="en-US" w:eastAsia="zh-CN"/>
        </w:rPr>
      </w:pPr>
    </w:p>
    <w:p w14:paraId="6AEFA76E">
      <w:pPr>
        <w:pageBreakBefore w:val="0"/>
        <w:widowControl w:val="0"/>
        <w:numPr>
          <w:ilvl w:val="0"/>
          <w:numId w:val="0"/>
        </w:numPr>
        <w:kinsoku/>
        <w:wordWrap/>
        <w:overflowPunct/>
        <w:topLinePunct w:val="0"/>
        <w:autoSpaceDE/>
        <w:autoSpaceDN/>
        <w:bidi w:val="0"/>
        <w:adjustRightInd/>
        <w:snapToGrid/>
        <w:spacing w:line="360" w:lineRule="exact"/>
        <w:ind w:firstLine="442" w:firstLineChars="200"/>
        <w:jc w:val="left"/>
        <w:textAlignment w:val="auto"/>
        <w:rPr>
          <w:rFonts w:hint="eastAsia" w:ascii="Times New Roman" w:hAnsi="Times New Roman" w:eastAsia="宋体" w:cs="Times New Roman"/>
          <w:b/>
          <w:color w:val="FF0000"/>
          <w:sz w:val="22"/>
          <w:szCs w:val="22"/>
          <w:lang w:val="en-US" w:eastAsia="zh-CN"/>
        </w:rPr>
      </w:pPr>
      <w:r>
        <w:rPr>
          <w:rFonts w:hint="eastAsia" w:cs="Times New Roman"/>
          <w:b/>
          <w:color w:val="FF0000"/>
          <w:sz w:val="22"/>
          <w:szCs w:val="22"/>
          <w:lang w:val="en-US" w:eastAsia="zh-CN"/>
        </w:rPr>
        <w:t>温馨提示:为避免出现《深圳经济特区政府采购条例实施细则》第七十五条第二项所列情形，请投标供应商核实你单位法定代表人、本项目投标授权代表人、项目负责人(如有)、主要技术人员(如有)等是否在你公司缴纳社会保险。</w:t>
      </w:r>
    </w:p>
    <w:p w14:paraId="103D1507">
      <w:pPr>
        <w:pStyle w:val="4"/>
        <w:jc w:val="center"/>
        <w:rPr>
          <w:rFonts w:hint="eastAsia" w:ascii="黑体" w:eastAsia="黑体"/>
          <w:b w:val="0"/>
          <w:sz w:val="24"/>
        </w:rPr>
      </w:pPr>
      <w:r>
        <w:rPr>
          <w:rFonts w:hint="eastAsia" w:ascii="黑体" w:eastAsia="黑体"/>
          <w:b w:val="0"/>
          <w:sz w:val="24"/>
        </w:rPr>
        <w:br w:type="page"/>
      </w:r>
      <w:r>
        <w:rPr>
          <w:rFonts w:hint="eastAsia" w:ascii="黑体" w:eastAsia="黑体"/>
          <w:b w:val="0"/>
          <w:sz w:val="24"/>
        </w:rPr>
        <w:t>二、谈判应答文件签署授权委托书</w:t>
      </w:r>
    </w:p>
    <w:p w14:paraId="59006D25">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szCs w:val="21"/>
        </w:rPr>
      </w:pPr>
      <w:r>
        <w:rPr>
          <w:rFonts w:hint="eastAsia"/>
          <w:szCs w:val="21"/>
        </w:rPr>
        <w:t>本授权委托书声明：我</w:t>
      </w:r>
      <w:r>
        <w:rPr>
          <w:rFonts w:hint="eastAsia"/>
          <w:szCs w:val="21"/>
          <w:u w:val="single"/>
        </w:rPr>
        <w:t xml:space="preserve">           </w:t>
      </w:r>
      <w:r>
        <w:rPr>
          <w:rFonts w:hint="eastAsia"/>
          <w:szCs w:val="21"/>
        </w:rPr>
        <w:t>（姓名）系</w:t>
      </w:r>
      <w:r>
        <w:rPr>
          <w:rFonts w:hint="eastAsia"/>
          <w:szCs w:val="21"/>
          <w:u w:val="single"/>
        </w:rPr>
        <w:t xml:space="preserve">             </w:t>
      </w:r>
      <w:r>
        <w:rPr>
          <w:rFonts w:hint="eastAsia"/>
          <w:szCs w:val="21"/>
        </w:rPr>
        <w:t>（供应商名称）的法定代表人（负责人），现授权委托</w:t>
      </w:r>
      <w:r>
        <w:rPr>
          <w:rFonts w:hint="eastAsia"/>
          <w:szCs w:val="21"/>
          <w:u w:val="single"/>
        </w:rPr>
        <w:t xml:space="preserve">            </w:t>
      </w:r>
      <w:r>
        <w:rPr>
          <w:rFonts w:hint="eastAsia"/>
          <w:szCs w:val="21"/>
        </w:rPr>
        <w:t>（姓名）为我单位签署本项目已递交的谈判应答文件的法定代表人（负责人）的授权委托代理人，代理人全权代表我所签署的本项目已递交的谈判应答文件内容我均承认。</w:t>
      </w:r>
    </w:p>
    <w:p w14:paraId="5B410E40">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szCs w:val="21"/>
        </w:rPr>
      </w:pPr>
      <w:r>
        <w:rPr>
          <w:rFonts w:hint="eastAsia"/>
          <w:szCs w:val="21"/>
        </w:rPr>
        <w:t>代理人无转委托权，特此委托。</w:t>
      </w:r>
    </w:p>
    <w:p w14:paraId="1A7B4197">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szCs w:val="21"/>
        </w:rPr>
      </w:pPr>
      <w:r>
        <w:rPr>
          <w:rFonts w:hint="eastAsia"/>
          <w:szCs w:val="21"/>
        </w:rPr>
        <w:t>代理人：</w:t>
      </w:r>
      <w:r>
        <w:rPr>
          <w:rFonts w:hint="eastAsia"/>
          <w:szCs w:val="21"/>
          <w:u w:val="single"/>
        </w:rPr>
        <w:t xml:space="preserve">              </w:t>
      </w:r>
      <w:r>
        <w:rPr>
          <w:rFonts w:hint="eastAsia"/>
          <w:szCs w:val="21"/>
        </w:rPr>
        <w:t>；</w:t>
      </w:r>
    </w:p>
    <w:p w14:paraId="041AA45C">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szCs w:val="21"/>
        </w:rPr>
      </w:pPr>
      <w:r>
        <w:rPr>
          <w:rFonts w:hint="eastAsia"/>
          <w:szCs w:val="21"/>
        </w:rPr>
        <w:t>身份证件号：</w:t>
      </w:r>
      <w:r>
        <w:rPr>
          <w:rFonts w:hint="eastAsia"/>
          <w:szCs w:val="21"/>
          <w:u w:val="single"/>
        </w:rPr>
        <w:t xml:space="preserve">                        </w:t>
      </w:r>
      <w:r>
        <w:rPr>
          <w:rFonts w:hint="eastAsia"/>
          <w:szCs w:val="21"/>
        </w:rPr>
        <w:t>，职务：</w:t>
      </w:r>
      <w:r>
        <w:rPr>
          <w:rFonts w:hint="eastAsia"/>
          <w:szCs w:val="21"/>
          <w:u w:val="single"/>
        </w:rPr>
        <w:t xml:space="preserve">                </w:t>
      </w:r>
      <w:r>
        <w:rPr>
          <w:rFonts w:hint="eastAsia"/>
          <w:szCs w:val="21"/>
        </w:rPr>
        <w:t>；</w:t>
      </w:r>
    </w:p>
    <w:p w14:paraId="034CBCD0">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szCs w:val="21"/>
        </w:rPr>
      </w:pPr>
      <w:r>
        <w:rPr>
          <w:rFonts w:hint="eastAsia"/>
          <w:szCs w:val="21"/>
        </w:rPr>
        <w:t>联系电话：</w:t>
      </w:r>
      <w:r>
        <w:rPr>
          <w:rFonts w:hint="eastAsia"/>
          <w:szCs w:val="21"/>
          <w:u w:val="single"/>
        </w:rPr>
        <w:t xml:space="preserve">         </w:t>
      </w:r>
      <w:r>
        <w:rPr>
          <w:rFonts w:hint="eastAsia"/>
          <w:szCs w:val="21"/>
        </w:rPr>
        <w:t>，手机：</w:t>
      </w:r>
      <w:r>
        <w:rPr>
          <w:rFonts w:hint="eastAsia"/>
          <w:szCs w:val="21"/>
          <w:u w:val="single"/>
        </w:rPr>
        <w:t xml:space="preserve">                </w:t>
      </w:r>
      <w:r>
        <w:rPr>
          <w:rFonts w:hint="eastAsia"/>
          <w:szCs w:val="21"/>
        </w:rPr>
        <w:t>，电子邮箱：</w:t>
      </w:r>
      <w:r>
        <w:rPr>
          <w:rFonts w:hint="eastAsia"/>
          <w:szCs w:val="21"/>
          <w:u w:val="single"/>
        </w:rPr>
        <w:t xml:space="preserve">                     </w:t>
      </w:r>
      <w:r>
        <w:rPr>
          <w:rFonts w:hint="eastAsia"/>
          <w:szCs w:val="21"/>
        </w:rPr>
        <w:t>；</w:t>
      </w:r>
    </w:p>
    <w:p w14:paraId="2CA77FE0">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szCs w:val="21"/>
        </w:rPr>
      </w:pPr>
      <w:r>
        <w:rPr>
          <w:rFonts w:hint="eastAsia"/>
          <w:szCs w:val="21"/>
        </w:rPr>
        <w:t>授权委托日期：</w:t>
      </w: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 xml:space="preserve">月 </w:t>
      </w:r>
      <w:r>
        <w:rPr>
          <w:rFonts w:hint="eastAsia"/>
          <w:szCs w:val="21"/>
          <w:u w:val="single"/>
        </w:rPr>
        <w:t xml:space="preserve">      </w:t>
      </w:r>
      <w:r>
        <w:rPr>
          <w:rFonts w:hint="eastAsia"/>
          <w:szCs w:val="21"/>
        </w:rPr>
        <w:t>日。</w:t>
      </w:r>
    </w:p>
    <w:p w14:paraId="0ED159B3">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b/>
          <w:color w:val="FF0000"/>
          <w:szCs w:val="21"/>
        </w:rPr>
      </w:pPr>
      <w:r>
        <w:rPr>
          <w:rFonts w:hint="eastAsia"/>
          <w:b/>
          <w:color w:val="FF0000"/>
          <w:szCs w:val="21"/>
        </w:rPr>
        <w:t>附：请提供代理人身份证扫描件（正反两面）；港澳台居民可提供来往通行证扫描件；非中国国籍管辖范围人员，可提供公安部门认可的身份证明材料扫描件。</w:t>
      </w:r>
    </w:p>
    <w:tbl>
      <w:tblPr>
        <w:tblStyle w:val="46"/>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17393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0" w:hRule="atLeast"/>
        </w:trPr>
        <w:tc>
          <w:tcPr>
            <w:tcW w:w="4264" w:type="dxa"/>
          </w:tcPr>
          <w:p w14:paraId="528BAC1F">
            <w:pPr>
              <w:jc w:val="center"/>
            </w:pPr>
            <w:r>
              <w:rPr>
                <w:rFonts w:hint="eastAsia"/>
              </w:rPr>
              <w:t>证件扫描件正面</w:t>
            </w:r>
          </w:p>
          <w:p w14:paraId="72E99A89">
            <w:pPr>
              <w:pStyle w:val="18"/>
              <w:jc w:val="center"/>
            </w:pPr>
          </w:p>
          <w:p w14:paraId="78D0FFF7">
            <w:pPr>
              <w:pStyle w:val="19"/>
              <w:jc w:val="center"/>
            </w:pPr>
          </w:p>
        </w:tc>
        <w:tc>
          <w:tcPr>
            <w:tcW w:w="4265" w:type="dxa"/>
          </w:tcPr>
          <w:p w14:paraId="6022C5EB">
            <w:pPr>
              <w:jc w:val="center"/>
            </w:pPr>
            <w:r>
              <w:rPr>
                <w:rFonts w:hint="eastAsia"/>
              </w:rPr>
              <w:t>证件扫描件反面</w:t>
            </w:r>
          </w:p>
          <w:p w14:paraId="07E4282F">
            <w:pPr>
              <w:pStyle w:val="18"/>
              <w:jc w:val="center"/>
            </w:pPr>
          </w:p>
          <w:p w14:paraId="6961126F">
            <w:pPr>
              <w:pStyle w:val="19"/>
              <w:jc w:val="center"/>
            </w:pPr>
          </w:p>
        </w:tc>
      </w:tr>
    </w:tbl>
    <w:p w14:paraId="7E67899E">
      <w:pPr>
        <w:pageBreakBefore w:val="0"/>
        <w:widowControl w:val="0"/>
        <w:numPr>
          <w:ilvl w:val="0"/>
          <w:numId w:val="0"/>
        </w:numPr>
        <w:kinsoku/>
        <w:wordWrap/>
        <w:overflowPunct/>
        <w:topLinePunct w:val="0"/>
        <w:autoSpaceDE/>
        <w:autoSpaceDN/>
        <w:bidi w:val="0"/>
        <w:adjustRightInd/>
        <w:snapToGrid/>
        <w:spacing w:line="360" w:lineRule="exact"/>
        <w:ind w:firstLine="442" w:firstLineChars="200"/>
        <w:jc w:val="left"/>
        <w:textAlignment w:val="auto"/>
        <w:rPr>
          <w:rFonts w:hint="eastAsia" w:cs="Times New Roman"/>
          <w:b/>
          <w:color w:val="FF0000"/>
          <w:sz w:val="22"/>
          <w:szCs w:val="22"/>
          <w:lang w:val="en-US" w:eastAsia="zh-CN"/>
        </w:rPr>
      </w:pPr>
    </w:p>
    <w:p w14:paraId="014E5AFF">
      <w:pPr>
        <w:pageBreakBefore w:val="0"/>
        <w:widowControl w:val="0"/>
        <w:numPr>
          <w:ilvl w:val="0"/>
          <w:numId w:val="0"/>
        </w:numPr>
        <w:kinsoku/>
        <w:wordWrap/>
        <w:overflowPunct/>
        <w:topLinePunct w:val="0"/>
        <w:autoSpaceDE/>
        <w:autoSpaceDN/>
        <w:bidi w:val="0"/>
        <w:adjustRightInd/>
        <w:snapToGrid/>
        <w:spacing w:line="360" w:lineRule="exact"/>
        <w:ind w:firstLine="442" w:firstLineChars="200"/>
        <w:jc w:val="left"/>
        <w:textAlignment w:val="auto"/>
        <w:rPr>
          <w:rFonts w:hint="eastAsia" w:ascii="Times New Roman" w:hAnsi="Times New Roman" w:eastAsia="宋体" w:cs="Times New Roman"/>
          <w:b/>
          <w:color w:val="FF0000"/>
          <w:sz w:val="22"/>
          <w:szCs w:val="22"/>
          <w:lang w:val="en-US" w:eastAsia="zh-CN"/>
        </w:rPr>
      </w:pPr>
      <w:r>
        <w:rPr>
          <w:rFonts w:hint="eastAsia" w:cs="Times New Roman"/>
          <w:b/>
          <w:color w:val="FF0000"/>
          <w:sz w:val="22"/>
          <w:szCs w:val="22"/>
          <w:lang w:val="en-US" w:eastAsia="zh-CN"/>
        </w:rPr>
        <w:t>温馨提示:为避免出现《深圳经济特区政府采购条例实施细则》第七十五条第二项所列情形，请投标供应商核实你单位法定代表人、本项目投标授权代表人、项目负责人(如有)、主要技术人员(如有)等是否在你公司缴纳社会保险。</w:t>
      </w:r>
    </w:p>
    <w:p w14:paraId="6F2ED5D5">
      <w:pPr>
        <w:ind w:firstLine="645"/>
        <w:rPr>
          <w:rFonts w:hint="eastAsia" w:ascii="黑体" w:eastAsia="黑体"/>
          <w:b w:val="0"/>
          <w:sz w:val="24"/>
        </w:rPr>
      </w:pPr>
      <w:r>
        <w:rPr>
          <w:rFonts w:hint="eastAsia" w:ascii="黑体" w:eastAsia="黑体"/>
          <w:b w:val="0"/>
          <w:sz w:val="24"/>
        </w:rPr>
        <w:br w:type="page"/>
      </w:r>
    </w:p>
    <w:p w14:paraId="5A8C739D">
      <w:pPr>
        <w:pStyle w:val="4"/>
        <w:jc w:val="center"/>
        <w:rPr>
          <w:rFonts w:hint="eastAsia" w:ascii="黑体" w:eastAsia="黑体"/>
          <w:b w:val="0"/>
          <w:kern w:val="0"/>
          <w:sz w:val="24"/>
          <w:szCs w:val="24"/>
        </w:rPr>
      </w:pPr>
      <w:r>
        <w:rPr>
          <w:rFonts w:hint="eastAsia" w:ascii="黑体" w:eastAsia="黑体"/>
          <w:b w:val="0"/>
          <w:kern w:val="0"/>
          <w:sz w:val="24"/>
          <w:szCs w:val="24"/>
        </w:rPr>
        <w:t>三、实质性条款响应情况表</w:t>
      </w:r>
    </w:p>
    <w:tbl>
      <w:tblPr>
        <w:tblStyle w:val="45"/>
        <w:tblW w:w="8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3231"/>
        <w:gridCol w:w="1701"/>
        <w:gridCol w:w="1162"/>
        <w:gridCol w:w="1418"/>
      </w:tblGrid>
      <w:tr w14:paraId="5233F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trPr>
        <w:tc>
          <w:tcPr>
            <w:tcW w:w="705" w:type="dxa"/>
            <w:vAlign w:val="center"/>
          </w:tcPr>
          <w:p w14:paraId="7FA37CB1">
            <w:pPr>
              <w:adjustRightInd w:val="0"/>
              <w:snapToGrid w:val="0"/>
              <w:spacing w:line="360" w:lineRule="auto"/>
              <w:jc w:val="center"/>
              <w:rPr>
                <w:rFonts w:hint="eastAsia" w:ascii="宋体" w:hAnsi="宋体"/>
                <w:kern w:val="0"/>
                <w:szCs w:val="21"/>
              </w:rPr>
            </w:pPr>
            <w:r>
              <w:rPr>
                <w:rFonts w:hint="eastAsia" w:ascii="宋体" w:hAnsi="宋体"/>
                <w:kern w:val="0"/>
                <w:szCs w:val="21"/>
              </w:rPr>
              <w:t>序号</w:t>
            </w:r>
          </w:p>
        </w:tc>
        <w:tc>
          <w:tcPr>
            <w:tcW w:w="3231" w:type="dxa"/>
            <w:vAlign w:val="center"/>
          </w:tcPr>
          <w:p w14:paraId="153D1027">
            <w:pPr>
              <w:adjustRightInd w:val="0"/>
              <w:snapToGrid w:val="0"/>
              <w:spacing w:line="360" w:lineRule="auto"/>
              <w:jc w:val="center"/>
              <w:rPr>
                <w:rFonts w:hint="eastAsia" w:ascii="宋体" w:hAnsi="宋体"/>
                <w:kern w:val="0"/>
                <w:szCs w:val="21"/>
              </w:rPr>
            </w:pPr>
            <w:r>
              <w:rPr>
                <w:rFonts w:hint="eastAsia" w:ascii="宋体" w:hAnsi="宋体"/>
                <w:kern w:val="0"/>
                <w:szCs w:val="21"/>
              </w:rPr>
              <w:t>实质性条款具体内容</w:t>
            </w:r>
          </w:p>
        </w:tc>
        <w:tc>
          <w:tcPr>
            <w:tcW w:w="1701" w:type="dxa"/>
            <w:vAlign w:val="center"/>
          </w:tcPr>
          <w:p w14:paraId="749CA7BA">
            <w:pPr>
              <w:adjustRightInd w:val="0"/>
              <w:snapToGrid w:val="0"/>
              <w:spacing w:line="360" w:lineRule="auto"/>
              <w:jc w:val="center"/>
              <w:rPr>
                <w:rFonts w:hint="eastAsia" w:ascii="宋体" w:hAnsi="宋体"/>
                <w:kern w:val="0"/>
                <w:szCs w:val="21"/>
              </w:rPr>
            </w:pPr>
            <w:r>
              <w:rPr>
                <w:rFonts w:hint="eastAsia"/>
              </w:rPr>
              <w:t>谈判响应</w:t>
            </w:r>
          </w:p>
        </w:tc>
        <w:tc>
          <w:tcPr>
            <w:tcW w:w="1162" w:type="dxa"/>
            <w:vAlign w:val="center"/>
          </w:tcPr>
          <w:p w14:paraId="56D9A9D4">
            <w:pPr>
              <w:adjustRightInd w:val="0"/>
              <w:snapToGrid w:val="0"/>
              <w:spacing w:line="360" w:lineRule="auto"/>
              <w:jc w:val="center"/>
              <w:rPr>
                <w:rFonts w:hint="eastAsia" w:ascii="宋体" w:hAnsi="宋体"/>
                <w:kern w:val="0"/>
                <w:szCs w:val="21"/>
              </w:rPr>
            </w:pPr>
            <w:r>
              <w:rPr>
                <w:rFonts w:hint="eastAsia"/>
              </w:rPr>
              <w:t>偏离情况</w:t>
            </w:r>
          </w:p>
        </w:tc>
        <w:tc>
          <w:tcPr>
            <w:tcW w:w="1418" w:type="dxa"/>
            <w:vAlign w:val="center"/>
          </w:tcPr>
          <w:p w14:paraId="76ECAB0B">
            <w:pPr>
              <w:adjustRightInd w:val="0"/>
              <w:snapToGrid w:val="0"/>
              <w:spacing w:line="360" w:lineRule="auto"/>
              <w:jc w:val="center"/>
              <w:rPr>
                <w:rFonts w:hint="eastAsia" w:ascii="宋体" w:hAnsi="宋体"/>
                <w:kern w:val="0"/>
                <w:szCs w:val="21"/>
              </w:rPr>
            </w:pPr>
            <w:r>
              <w:rPr>
                <w:rFonts w:hint="eastAsia"/>
              </w:rPr>
              <w:t>说明</w:t>
            </w:r>
          </w:p>
        </w:tc>
      </w:tr>
      <w:tr w14:paraId="4090E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14:paraId="35CE9A44">
            <w:pPr>
              <w:adjustRightInd w:val="0"/>
              <w:snapToGrid w:val="0"/>
              <w:spacing w:line="360" w:lineRule="auto"/>
              <w:rPr>
                <w:rFonts w:hint="eastAsia" w:ascii="宋体" w:hAnsi="宋体"/>
                <w:kern w:val="0"/>
                <w:szCs w:val="21"/>
              </w:rPr>
            </w:pPr>
            <w:r>
              <w:rPr>
                <w:rFonts w:hint="eastAsia" w:ascii="宋体" w:hAnsi="宋体"/>
                <w:kern w:val="0"/>
                <w:szCs w:val="21"/>
              </w:rPr>
              <w:t>1</w:t>
            </w:r>
          </w:p>
        </w:tc>
        <w:tc>
          <w:tcPr>
            <w:tcW w:w="3231" w:type="dxa"/>
            <w:vAlign w:val="center"/>
          </w:tcPr>
          <w:p w14:paraId="2BA0DBE8">
            <w:pPr>
              <w:adjustRightInd w:val="0"/>
              <w:snapToGrid w:val="0"/>
              <w:spacing w:line="360" w:lineRule="auto"/>
              <w:jc w:val="center"/>
              <w:rPr>
                <w:rFonts w:hint="eastAsia" w:hAnsi="宋体"/>
                <w:kern w:val="0"/>
                <w:szCs w:val="21"/>
              </w:rPr>
            </w:pPr>
            <w:r>
              <w:rPr>
                <w:rFonts w:hint="eastAsia" w:hAnsi="宋体"/>
                <w:kern w:val="0"/>
                <w:szCs w:val="21"/>
              </w:rPr>
              <w:t>满足本项目标★的条款要求</w:t>
            </w:r>
          </w:p>
        </w:tc>
        <w:tc>
          <w:tcPr>
            <w:tcW w:w="1701" w:type="dxa"/>
          </w:tcPr>
          <w:p w14:paraId="0917ED26">
            <w:pPr>
              <w:adjustRightInd w:val="0"/>
              <w:snapToGrid w:val="0"/>
              <w:spacing w:line="360" w:lineRule="auto"/>
              <w:rPr>
                <w:rFonts w:hint="eastAsia" w:ascii="宋体" w:hAnsi="宋体"/>
                <w:kern w:val="0"/>
                <w:szCs w:val="21"/>
              </w:rPr>
            </w:pPr>
          </w:p>
        </w:tc>
        <w:tc>
          <w:tcPr>
            <w:tcW w:w="1162" w:type="dxa"/>
          </w:tcPr>
          <w:p w14:paraId="2F286C35">
            <w:pPr>
              <w:adjustRightInd w:val="0"/>
              <w:snapToGrid w:val="0"/>
              <w:spacing w:line="360" w:lineRule="auto"/>
              <w:rPr>
                <w:rFonts w:hint="eastAsia" w:ascii="宋体" w:hAnsi="宋体"/>
                <w:kern w:val="0"/>
                <w:szCs w:val="21"/>
              </w:rPr>
            </w:pPr>
          </w:p>
        </w:tc>
        <w:tc>
          <w:tcPr>
            <w:tcW w:w="1418" w:type="dxa"/>
          </w:tcPr>
          <w:p w14:paraId="0209CEF8">
            <w:pPr>
              <w:adjustRightInd w:val="0"/>
              <w:snapToGrid w:val="0"/>
              <w:spacing w:line="360" w:lineRule="auto"/>
              <w:rPr>
                <w:rFonts w:hint="eastAsia" w:ascii="宋体" w:hAnsi="宋体"/>
                <w:kern w:val="0"/>
                <w:szCs w:val="21"/>
              </w:rPr>
            </w:pPr>
          </w:p>
        </w:tc>
      </w:tr>
    </w:tbl>
    <w:p w14:paraId="29E9C79B">
      <w:pPr>
        <w:keepNext w:val="0"/>
        <w:keepLines w:val="0"/>
        <w:pageBreakBefore w:val="0"/>
        <w:widowControl w:val="0"/>
        <w:kinsoku/>
        <w:wordWrap/>
        <w:overflowPunct/>
        <w:topLinePunct w:val="0"/>
        <w:autoSpaceDE/>
        <w:autoSpaceDN/>
        <w:bidi w:val="0"/>
        <w:adjustRightInd w:val="0"/>
        <w:snapToGrid w:val="0"/>
        <w:spacing w:line="240" w:lineRule="auto"/>
        <w:ind w:firstLine="422" w:firstLineChars="200"/>
        <w:jc w:val="left"/>
        <w:textAlignment w:val="auto"/>
        <w:rPr>
          <w:rFonts w:hint="eastAsia" w:hAnsi="宋体"/>
          <w:b/>
          <w:bCs/>
          <w:kern w:val="0"/>
          <w:szCs w:val="21"/>
        </w:rPr>
      </w:pPr>
      <w:r>
        <w:rPr>
          <w:rFonts w:hint="eastAsia" w:hAnsi="宋体"/>
          <w:b/>
          <w:bCs/>
          <w:kern w:val="0"/>
          <w:szCs w:val="21"/>
        </w:rPr>
        <w:t>注：1.上表所列各项均为不可负偏离条款。</w:t>
      </w:r>
    </w:p>
    <w:p w14:paraId="4E0D4C96">
      <w:pPr>
        <w:keepNext w:val="0"/>
        <w:keepLines w:val="0"/>
        <w:pageBreakBefore w:val="0"/>
        <w:widowControl w:val="0"/>
        <w:kinsoku/>
        <w:wordWrap/>
        <w:overflowPunct/>
        <w:topLinePunct w:val="0"/>
        <w:autoSpaceDE/>
        <w:autoSpaceDN/>
        <w:bidi w:val="0"/>
        <w:adjustRightInd w:val="0"/>
        <w:snapToGrid w:val="0"/>
        <w:spacing w:line="240" w:lineRule="auto"/>
        <w:ind w:firstLine="422" w:firstLineChars="200"/>
        <w:jc w:val="left"/>
        <w:textAlignment w:val="auto"/>
        <w:rPr>
          <w:rFonts w:hint="eastAsia" w:hAnsi="宋体"/>
          <w:b/>
          <w:bCs/>
          <w:kern w:val="0"/>
          <w:szCs w:val="21"/>
        </w:rPr>
      </w:pPr>
      <w:r>
        <w:rPr>
          <w:rFonts w:hint="eastAsia" w:hAnsi="宋体"/>
          <w:b/>
          <w:bCs/>
          <w:kern w:val="0"/>
          <w:szCs w:val="21"/>
        </w:rPr>
        <w:t>2.“谈判响应”一栏应当详细填写供应商自身响应情况，而不能不合理照搬照抄谈判文件实质性条款具体内容。</w:t>
      </w:r>
    </w:p>
    <w:p w14:paraId="3A32BD1E">
      <w:pPr>
        <w:keepNext w:val="0"/>
        <w:keepLines w:val="0"/>
        <w:pageBreakBefore w:val="0"/>
        <w:widowControl w:val="0"/>
        <w:kinsoku/>
        <w:wordWrap/>
        <w:overflowPunct/>
        <w:topLinePunct w:val="0"/>
        <w:autoSpaceDE/>
        <w:autoSpaceDN/>
        <w:bidi w:val="0"/>
        <w:adjustRightInd w:val="0"/>
        <w:snapToGrid w:val="0"/>
        <w:spacing w:line="240" w:lineRule="auto"/>
        <w:ind w:firstLine="422" w:firstLineChars="200"/>
        <w:jc w:val="left"/>
        <w:textAlignment w:val="auto"/>
        <w:rPr>
          <w:rFonts w:hint="eastAsia" w:hAnsi="宋体"/>
          <w:b/>
          <w:bCs/>
          <w:kern w:val="0"/>
          <w:szCs w:val="21"/>
        </w:rPr>
      </w:pPr>
      <w:r>
        <w:rPr>
          <w:rFonts w:hint="eastAsia" w:hAnsi="宋体"/>
          <w:b/>
          <w:bCs/>
          <w:kern w:val="0"/>
          <w:szCs w:val="21"/>
        </w:rPr>
        <w:t>3.“偏离情况”一栏应填写“正偏离”、“负偏离”或“无偏离”，“正偏离”表示“投标（应答）响应优于实质性条款具体内容要求”，“负偏离”表示“投标（应答）响应不满足实质性条款具体内容要求”，“无偏离”表示“投标（应答）响应与实质性条款具体内容要求一致”。</w:t>
      </w:r>
    </w:p>
    <w:p w14:paraId="03DF9C86">
      <w:pPr>
        <w:keepNext w:val="0"/>
        <w:keepLines w:val="0"/>
        <w:pageBreakBefore w:val="0"/>
        <w:widowControl w:val="0"/>
        <w:kinsoku/>
        <w:wordWrap/>
        <w:overflowPunct/>
        <w:topLinePunct w:val="0"/>
        <w:autoSpaceDE/>
        <w:autoSpaceDN/>
        <w:bidi w:val="0"/>
        <w:adjustRightInd w:val="0"/>
        <w:snapToGrid w:val="0"/>
        <w:spacing w:line="240" w:lineRule="auto"/>
        <w:ind w:firstLine="422" w:firstLineChars="200"/>
        <w:jc w:val="left"/>
        <w:textAlignment w:val="auto"/>
        <w:rPr>
          <w:rFonts w:hint="eastAsia" w:hAnsi="宋体"/>
          <w:b/>
          <w:bCs/>
          <w:kern w:val="0"/>
          <w:szCs w:val="21"/>
        </w:rPr>
      </w:pPr>
      <w:r>
        <w:rPr>
          <w:rFonts w:hint="eastAsia" w:hAnsi="宋体"/>
          <w:b/>
          <w:bCs/>
          <w:kern w:val="0"/>
          <w:szCs w:val="21"/>
        </w:rPr>
        <w:t>4.谈判小组有权对谈判响应情况作出判断（作出评审结论）。</w:t>
      </w:r>
    </w:p>
    <w:p w14:paraId="2AF5FE7E">
      <w:pPr>
        <w:keepNext w:val="0"/>
        <w:keepLines w:val="0"/>
        <w:pageBreakBefore w:val="0"/>
        <w:widowControl w:val="0"/>
        <w:kinsoku/>
        <w:wordWrap/>
        <w:overflowPunct/>
        <w:topLinePunct w:val="0"/>
        <w:autoSpaceDE/>
        <w:autoSpaceDN/>
        <w:bidi w:val="0"/>
        <w:adjustRightInd w:val="0"/>
        <w:snapToGrid w:val="0"/>
        <w:spacing w:line="240" w:lineRule="auto"/>
        <w:ind w:firstLine="422" w:firstLineChars="200"/>
        <w:jc w:val="left"/>
        <w:textAlignment w:val="auto"/>
        <w:rPr>
          <w:rFonts w:hint="eastAsia" w:hAnsi="宋体"/>
          <w:b/>
          <w:bCs/>
          <w:kern w:val="0"/>
          <w:szCs w:val="21"/>
        </w:rPr>
      </w:pPr>
      <w:r>
        <w:rPr>
          <w:rFonts w:hint="eastAsia" w:hAnsi="宋体"/>
          <w:b/>
          <w:bCs/>
          <w:kern w:val="0"/>
          <w:szCs w:val="21"/>
        </w:rPr>
        <w:t>5.实质性响应条款“谈判响应”情况与应答文件其它内容冲突的，以实质性响应条款“谈判响应”内容为准。</w:t>
      </w:r>
    </w:p>
    <w:p w14:paraId="694F3D15">
      <w:pPr>
        <w:keepNext w:val="0"/>
        <w:keepLines w:val="0"/>
        <w:pageBreakBefore w:val="0"/>
        <w:widowControl w:val="0"/>
        <w:kinsoku/>
        <w:wordWrap/>
        <w:overflowPunct/>
        <w:topLinePunct w:val="0"/>
        <w:autoSpaceDE/>
        <w:autoSpaceDN/>
        <w:bidi w:val="0"/>
        <w:adjustRightInd w:val="0"/>
        <w:snapToGrid w:val="0"/>
        <w:spacing w:line="240" w:lineRule="auto"/>
        <w:ind w:firstLine="422" w:firstLineChars="200"/>
        <w:jc w:val="left"/>
        <w:textAlignment w:val="auto"/>
        <w:rPr>
          <w:rFonts w:hint="eastAsia" w:hAnsi="宋体"/>
          <w:b/>
          <w:bCs/>
          <w:kern w:val="0"/>
          <w:szCs w:val="21"/>
        </w:rPr>
      </w:pPr>
      <w:r>
        <w:rPr>
          <w:rFonts w:hint="eastAsia" w:hAnsi="宋体"/>
          <w:b/>
          <w:bCs/>
          <w:kern w:val="0"/>
          <w:szCs w:val="21"/>
        </w:rPr>
        <w:t>6. 要求提供证明资料，在“说明”一栏中列明证明资料的位置,，以便谈判；未要求提供证明材料的，供应商可以不提供。</w:t>
      </w:r>
    </w:p>
    <w:p w14:paraId="6200D956">
      <w:pPr>
        <w:pStyle w:val="18"/>
        <w:rPr>
          <w:rFonts w:hint="eastAsia"/>
        </w:rPr>
      </w:pPr>
    </w:p>
    <w:p w14:paraId="421F5AED">
      <w:pPr>
        <w:pStyle w:val="4"/>
        <w:numPr>
          <w:ilvl w:val="0"/>
          <w:numId w:val="0"/>
        </w:numPr>
        <w:jc w:val="center"/>
        <w:rPr>
          <w:rFonts w:ascii="黑体" w:eastAsia="黑体"/>
          <w:b w:val="0"/>
          <w:sz w:val="24"/>
          <w:szCs w:val="24"/>
        </w:rPr>
      </w:pPr>
      <w:r>
        <w:rPr>
          <w:rFonts w:hint="eastAsia" w:ascii="宋体" w:hAnsi="宋体"/>
          <w:szCs w:val="21"/>
        </w:rPr>
        <w:br w:type="page"/>
      </w:r>
      <w:r>
        <w:rPr>
          <w:rFonts w:hint="eastAsia" w:ascii="黑体"/>
          <w:b w:val="0"/>
          <w:kern w:val="2"/>
          <w:sz w:val="24"/>
          <w:szCs w:val="24"/>
          <w:lang w:val="en-US" w:eastAsia="zh-CN"/>
        </w:rPr>
        <w:t>四、</w:t>
      </w:r>
      <w:r>
        <w:rPr>
          <w:rFonts w:hint="eastAsia" w:ascii="黑体" w:eastAsia="黑体"/>
          <w:b w:val="0"/>
          <w:kern w:val="2"/>
          <w:sz w:val="24"/>
          <w:szCs w:val="24"/>
        </w:rPr>
        <w:t>政府采购违法行为风险知悉确认书</w:t>
      </w:r>
    </w:p>
    <w:p w14:paraId="56A922B6">
      <w:pPr>
        <w:spacing w:after="231" w:afterLines="50" w:line="360" w:lineRule="exact"/>
        <w:ind w:firstLine="422" w:firstLineChars="200"/>
        <w:rPr>
          <w:rFonts w:hint="eastAsia" w:ascii="宋体" w:hAnsi="宋体" w:eastAsia="宋体" w:cs="宋体"/>
          <w:b/>
          <w:bCs/>
          <w:szCs w:val="21"/>
        </w:rPr>
      </w:pPr>
      <w:r>
        <w:rPr>
          <w:rFonts w:hint="eastAsia" w:ascii="宋体" w:hAnsi="宋体" w:eastAsia="宋体" w:cs="宋体"/>
          <w:b/>
          <w:bCs/>
          <w:szCs w:val="21"/>
        </w:rPr>
        <w:t>我单位在投标前已充分知悉以下情形为参与政府采购活动时的重大风险事项，并承诺已对下述风险提示事项重点排查，若存在下述情况，我单位愿意依法承担被记入供应商诚信档案、罚款、取消参与政府采购资格、吊销营业执照等处罚；构成犯罪的，依法承担刑事责任。</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7811"/>
      </w:tblGrid>
      <w:tr w14:paraId="330D9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711" w:type="dxa"/>
          </w:tcPr>
          <w:p w14:paraId="4AC3A966">
            <w:pPr>
              <w:spacing w:line="400" w:lineRule="exact"/>
              <w:jc w:val="center"/>
              <w:rPr>
                <w:rFonts w:hint="eastAsia" w:ascii="宋体" w:hAnsi="宋体" w:eastAsia="宋体" w:cs="宋体"/>
                <w:szCs w:val="21"/>
              </w:rPr>
            </w:pPr>
            <w:r>
              <w:rPr>
                <w:rFonts w:hint="eastAsia" w:ascii="宋体" w:hAnsi="宋体" w:eastAsia="宋体" w:cs="宋体"/>
                <w:szCs w:val="21"/>
              </w:rPr>
              <w:t>序号</w:t>
            </w:r>
          </w:p>
        </w:tc>
        <w:tc>
          <w:tcPr>
            <w:tcW w:w="7811" w:type="dxa"/>
          </w:tcPr>
          <w:p w14:paraId="08CAC77B">
            <w:pPr>
              <w:spacing w:line="400" w:lineRule="exact"/>
              <w:jc w:val="center"/>
              <w:rPr>
                <w:rFonts w:hint="eastAsia" w:ascii="宋体" w:hAnsi="宋体" w:eastAsia="宋体" w:cs="宋体"/>
                <w:szCs w:val="21"/>
              </w:rPr>
            </w:pPr>
            <w:r>
              <w:rPr>
                <w:rFonts w:hint="eastAsia" w:ascii="宋体" w:hAnsi="宋体" w:eastAsia="宋体" w:cs="宋体"/>
                <w:b/>
                <w:bCs/>
                <w:szCs w:val="21"/>
              </w:rPr>
              <w:t>供应商参与投标禁止情形</w:t>
            </w:r>
          </w:p>
        </w:tc>
      </w:tr>
      <w:tr w14:paraId="11F6C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09F9073A">
            <w:pPr>
              <w:spacing w:line="400" w:lineRule="exact"/>
              <w:jc w:val="center"/>
              <w:rPr>
                <w:rFonts w:hint="eastAsia" w:ascii="宋体" w:hAnsi="宋体" w:eastAsia="宋体" w:cs="宋体"/>
                <w:szCs w:val="21"/>
              </w:rPr>
            </w:pPr>
            <w:r>
              <w:rPr>
                <w:rFonts w:hint="eastAsia" w:ascii="宋体" w:hAnsi="宋体" w:eastAsia="宋体" w:cs="宋体"/>
                <w:szCs w:val="21"/>
              </w:rPr>
              <w:t>1</w:t>
            </w:r>
          </w:p>
        </w:tc>
        <w:tc>
          <w:tcPr>
            <w:tcW w:w="7811" w:type="dxa"/>
            <w:vAlign w:val="center"/>
          </w:tcPr>
          <w:p w14:paraId="0C62BFFF">
            <w:pPr>
              <w:spacing w:line="400" w:lineRule="exact"/>
              <w:jc w:val="left"/>
              <w:rPr>
                <w:rFonts w:hint="eastAsia" w:ascii="宋体" w:hAnsi="宋体" w:eastAsia="宋体" w:cs="宋体"/>
                <w:szCs w:val="21"/>
              </w:rPr>
            </w:pPr>
            <w:r>
              <w:rPr>
                <w:rFonts w:hint="eastAsia" w:ascii="宋体" w:hAnsi="宋体" w:eastAsia="宋体" w:cs="宋体"/>
                <w:szCs w:val="21"/>
              </w:rPr>
              <w:t>与其他投标供应商的法定代表人、主要经营负责人、投标授权代表人、项目负责人、主要技术人员为</w:t>
            </w:r>
            <w:r>
              <w:rPr>
                <w:rFonts w:hint="eastAsia" w:ascii="宋体" w:hAnsi="宋体" w:eastAsia="宋体" w:cs="宋体"/>
                <w:b/>
                <w:bCs/>
                <w:szCs w:val="21"/>
              </w:rPr>
              <w:t>同一人、属同一单位或者在同一单位缴纳社会保险</w:t>
            </w:r>
            <w:r>
              <w:rPr>
                <w:rFonts w:hint="eastAsia" w:ascii="宋体" w:hAnsi="宋体" w:eastAsia="宋体" w:cs="宋体"/>
                <w:szCs w:val="21"/>
              </w:rPr>
              <w:t>。</w:t>
            </w:r>
          </w:p>
        </w:tc>
      </w:tr>
      <w:tr w14:paraId="3FE5B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tcPr>
          <w:p w14:paraId="34EBE273">
            <w:pPr>
              <w:spacing w:line="400" w:lineRule="exact"/>
              <w:jc w:val="center"/>
              <w:rPr>
                <w:rFonts w:hint="eastAsia" w:ascii="宋体" w:hAnsi="宋体" w:eastAsia="宋体" w:cs="宋体"/>
                <w:szCs w:val="21"/>
              </w:rPr>
            </w:pPr>
            <w:r>
              <w:rPr>
                <w:rFonts w:hint="eastAsia" w:ascii="宋体" w:hAnsi="宋体" w:eastAsia="宋体" w:cs="宋体"/>
                <w:szCs w:val="21"/>
              </w:rPr>
              <w:t>2</w:t>
            </w:r>
          </w:p>
        </w:tc>
        <w:tc>
          <w:tcPr>
            <w:tcW w:w="7811" w:type="dxa"/>
            <w:vAlign w:val="center"/>
          </w:tcPr>
          <w:p w14:paraId="50AEC596">
            <w:pPr>
              <w:spacing w:line="400" w:lineRule="exact"/>
              <w:jc w:val="left"/>
              <w:rPr>
                <w:rFonts w:hint="eastAsia" w:ascii="宋体" w:hAnsi="宋体" w:eastAsia="宋体" w:cs="宋体"/>
                <w:szCs w:val="21"/>
              </w:rPr>
            </w:pPr>
            <w:r>
              <w:rPr>
                <w:rFonts w:hint="eastAsia" w:ascii="宋体" w:hAnsi="宋体" w:eastAsia="宋体" w:cs="宋体"/>
                <w:szCs w:val="21"/>
              </w:rPr>
              <w:t>参与本项目政府采购活动时，与其他投标供应商存在单位负责人为</w:t>
            </w:r>
            <w:r>
              <w:rPr>
                <w:rFonts w:hint="eastAsia" w:ascii="宋体" w:hAnsi="宋体" w:eastAsia="宋体" w:cs="宋体"/>
                <w:b/>
                <w:bCs/>
                <w:szCs w:val="21"/>
              </w:rPr>
              <w:t>同一人或直接控股、管理关系</w:t>
            </w:r>
            <w:r>
              <w:rPr>
                <w:rFonts w:hint="eastAsia" w:ascii="宋体" w:hAnsi="宋体" w:eastAsia="宋体" w:cs="宋体"/>
                <w:szCs w:val="21"/>
              </w:rPr>
              <w:t>。</w:t>
            </w:r>
          </w:p>
        </w:tc>
      </w:tr>
      <w:tr w14:paraId="49C35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7ABFE69E">
            <w:pPr>
              <w:spacing w:line="400" w:lineRule="exact"/>
              <w:jc w:val="center"/>
              <w:rPr>
                <w:rFonts w:hint="eastAsia" w:ascii="宋体" w:hAnsi="宋体" w:eastAsia="宋体" w:cs="宋体"/>
                <w:szCs w:val="21"/>
              </w:rPr>
            </w:pPr>
            <w:r>
              <w:rPr>
                <w:rFonts w:hint="eastAsia" w:ascii="宋体" w:hAnsi="宋体" w:eastAsia="宋体" w:cs="宋体"/>
                <w:szCs w:val="21"/>
              </w:rPr>
              <w:t>3</w:t>
            </w:r>
          </w:p>
        </w:tc>
        <w:tc>
          <w:tcPr>
            <w:tcW w:w="7811" w:type="dxa"/>
            <w:vAlign w:val="center"/>
          </w:tcPr>
          <w:p w14:paraId="2CFCF9BC">
            <w:pPr>
              <w:spacing w:line="400" w:lineRule="exact"/>
              <w:jc w:val="left"/>
              <w:rPr>
                <w:rFonts w:hint="eastAsia" w:ascii="宋体" w:hAnsi="宋体" w:eastAsia="宋体" w:cs="宋体"/>
                <w:szCs w:val="21"/>
              </w:rPr>
            </w:pPr>
            <w:r>
              <w:rPr>
                <w:rFonts w:hint="eastAsia" w:ascii="宋体" w:hAnsi="宋体" w:eastAsia="宋体" w:cs="宋体"/>
                <w:szCs w:val="21"/>
              </w:rPr>
              <w:t>与其他投标供应商的</w:t>
            </w:r>
            <w:r>
              <w:rPr>
                <w:rFonts w:hint="eastAsia" w:ascii="宋体" w:hAnsi="宋体" w:cs="宋体"/>
                <w:szCs w:val="21"/>
                <w:lang w:eastAsia="zh-CN"/>
              </w:rPr>
              <w:t>应答文件</w:t>
            </w:r>
            <w:r>
              <w:rPr>
                <w:rFonts w:hint="eastAsia" w:ascii="宋体" w:hAnsi="宋体" w:eastAsia="宋体" w:cs="宋体"/>
                <w:szCs w:val="21"/>
              </w:rPr>
              <w:t>或部分</w:t>
            </w:r>
            <w:r>
              <w:rPr>
                <w:rFonts w:hint="eastAsia" w:ascii="宋体" w:hAnsi="宋体" w:cs="宋体"/>
                <w:szCs w:val="21"/>
                <w:lang w:eastAsia="zh-CN"/>
              </w:rPr>
              <w:t>应答文件</w:t>
            </w:r>
            <w:r>
              <w:rPr>
                <w:rFonts w:hint="eastAsia" w:ascii="宋体" w:hAnsi="宋体" w:eastAsia="宋体" w:cs="宋体"/>
                <w:b/>
                <w:bCs/>
                <w:szCs w:val="21"/>
              </w:rPr>
              <w:t>相互混装或存在非正常一致</w:t>
            </w:r>
            <w:r>
              <w:rPr>
                <w:rFonts w:hint="eastAsia" w:ascii="宋体" w:hAnsi="宋体" w:eastAsia="宋体" w:cs="宋体"/>
                <w:szCs w:val="21"/>
              </w:rPr>
              <w:t>。</w:t>
            </w:r>
          </w:p>
        </w:tc>
      </w:tr>
      <w:tr w14:paraId="01178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166C07B1">
            <w:pPr>
              <w:spacing w:line="400" w:lineRule="exact"/>
              <w:jc w:val="center"/>
              <w:rPr>
                <w:rFonts w:hint="eastAsia" w:ascii="宋体" w:hAnsi="宋体" w:eastAsia="宋体" w:cs="宋体"/>
                <w:szCs w:val="21"/>
              </w:rPr>
            </w:pPr>
            <w:r>
              <w:rPr>
                <w:rFonts w:hint="eastAsia" w:ascii="宋体" w:hAnsi="宋体" w:eastAsia="宋体" w:cs="宋体"/>
                <w:szCs w:val="21"/>
              </w:rPr>
              <w:t>4</w:t>
            </w:r>
          </w:p>
        </w:tc>
        <w:tc>
          <w:tcPr>
            <w:tcW w:w="7811" w:type="dxa"/>
            <w:vAlign w:val="center"/>
          </w:tcPr>
          <w:p w14:paraId="7BB5A74F">
            <w:pPr>
              <w:spacing w:line="400" w:lineRule="exact"/>
              <w:jc w:val="left"/>
              <w:rPr>
                <w:rFonts w:hint="eastAsia" w:ascii="宋体" w:hAnsi="宋体" w:eastAsia="宋体" w:cs="宋体"/>
                <w:szCs w:val="21"/>
              </w:rPr>
            </w:pPr>
            <w:r>
              <w:rPr>
                <w:rFonts w:hint="eastAsia" w:ascii="宋体" w:hAnsi="宋体" w:eastAsia="宋体" w:cs="宋体"/>
                <w:szCs w:val="21"/>
              </w:rPr>
              <w:t>与其他投标供应商的</w:t>
            </w:r>
            <w:r>
              <w:rPr>
                <w:rFonts w:hint="eastAsia" w:ascii="宋体" w:hAnsi="宋体" w:cs="宋体"/>
                <w:szCs w:val="21"/>
                <w:lang w:eastAsia="zh-CN"/>
              </w:rPr>
              <w:t>应答文件</w:t>
            </w:r>
            <w:r>
              <w:rPr>
                <w:rFonts w:hint="eastAsia" w:ascii="宋体" w:hAnsi="宋体" w:eastAsia="宋体" w:cs="宋体"/>
                <w:szCs w:val="21"/>
              </w:rPr>
              <w:t>由</w:t>
            </w:r>
            <w:r>
              <w:rPr>
                <w:rFonts w:hint="eastAsia" w:ascii="宋体" w:hAnsi="宋体" w:eastAsia="宋体" w:cs="宋体"/>
                <w:b/>
                <w:bCs/>
                <w:szCs w:val="21"/>
              </w:rPr>
              <w:t>同一单位或者同一人编制</w:t>
            </w:r>
            <w:r>
              <w:rPr>
                <w:rFonts w:hint="eastAsia" w:ascii="宋体" w:hAnsi="宋体" w:eastAsia="宋体" w:cs="宋体"/>
                <w:szCs w:val="21"/>
              </w:rPr>
              <w:t>，或者使用</w:t>
            </w:r>
            <w:r>
              <w:rPr>
                <w:rFonts w:hint="eastAsia" w:ascii="宋体" w:hAnsi="宋体" w:eastAsia="宋体" w:cs="宋体"/>
                <w:b/>
                <w:bCs/>
                <w:szCs w:val="21"/>
              </w:rPr>
              <w:t>同一设备编制</w:t>
            </w:r>
            <w:r>
              <w:rPr>
                <w:rFonts w:hint="eastAsia" w:ascii="宋体" w:hAnsi="宋体" w:eastAsia="宋体" w:cs="宋体"/>
                <w:szCs w:val="21"/>
              </w:rPr>
              <w:t>（“文件制作机器码”“文件创建标识码”一致）。</w:t>
            </w:r>
          </w:p>
        </w:tc>
      </w:tr>
      <w:tr w14:paraId="0D9E5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tcPr>
          <w:p w14:paraId="3759C987">
            <w:pPr>
              <w:spacing w:line="400" w:lineRule="exact"/>
              <w:jc w:val="center"/>
              <w:rPr>
                <w:rFonts w:hint="eastAsia" w:ascii="宋体" w:hAnsi="宋体" w:eastAsia="宋体" w:cs="宋体"/>
                <w:szCs w:val="21"/>
              </w:rPr>
            </w:pPr>
            <w:r>
              <w:rPr>
                <w:rFonts w:hint="eastAsia" w:ascii="宋体" w:hAnsi="宋体" w:eastAsia="宋体" w:cs="宋体"/>
                <w:szCs w:val="21"/>
              </w:rPr>
              <w:t>5</w:t>
            </w:r>
          </w:p>
        </w:tc>
        <w:tc>
          <w:tcPr>
            <w:tcW w:w="7811" w:type="dxa"/>
            <w:vAlign w:val="center"/>
          </w:tcPr>
          <w:p w14:paraId="3D9CBAC5">
            <w:pPr>
              <w:spacing w:line="400" w:lineRule="exact"/>
              <w:jc w:val="left"/>
              <w:rPr>
                <w:rFonts w:hint="eastAsia" w:ascii="宋体" w:hAnsi="宋体" w:eastAsia="宋体" w:cs="宋体"/>
                <w:szCs w:val="21"/>
              </w:rPr>
            </w:pPr>
            <w:r>
              <w:rPr>
                <w:rFonts w:hint="eastAsia" w:ascii="宋体" w:hAnsi="宋体" w:eastAsia="宋体" w:cs="宋体"/>
                <w:szCs w:val="21"/>
              </w:rPr>
              <w:t>提供</w:t>
            </w:r>
            <w:r>
              <w:rPr>
                <w:rFonts w:hint="eastAsia" w:ascii="宋体" w:hAnsi="宋体" w:eastAsia="宋体" w:cs="宋体"/>
                <w:b/>
                <w:bCs/>
                <w:szCs w:val="21"/>
              </w:rPr>
              <w:t>未经出具机构核实</w:t>
            </w:r>
            <w:r>
              <w:rPr>
                <w:rFonts w:hint="eastAsia" w:ascii="宋体" w:hAnsi="宋体" w:eastAsia="宋体" w:cs="宋体"/>
                <w:szCs w:val="21"/>
              </w:rPr>
              <w:t>的虚假的检验检测报告、业绩材料、社保缴纳证明、学历学位证书、职称认证证书等材料。</w:t>
            </w:r>
          </w:p>
        </w:tc>
      </w:tr>
      <w:tr w14:paraId="36C86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4189F02D">
            <w:pPr>
              <w:spacing w:line="400" w:lineRule="exact"/>
              <w:jc w:val="center"/>
              <w:rPr>
                <w:rFonts w:hint="eastAsia" w:ascii="宋体" w:hAnsi="宋体" w:eastAsia="宋体" w:cs="宋体"/>
                <w:szCs w:val="21"/>
              </w:rPr>
            </w:pPr>
            <w:r>
              <w:rPr>
                <w:rFonts w:hint="eastAsia" w:ascii="宋体" w:hAnsi="宋体" w:eastAsia="宋体" w:cs="宋体"/>
                <w:szCs w:val="21"/>
              </w:rPr>
              <w:t>6</w:t>
            </w:r>
          </w:p>
        </w:tc>
        <w:tc>
          <w:tcPr>
            <w:tcW w:w="7811" w:type="dxa"/>
            <w:vAlign w:val="center"/>
          </w:tcPr>
          <w:p w14:paraId="4C2689B8">
            <w:pPr>
              <w:spacing w:line="400" w:lineRule="exact"/>
              <w:jc w:val="left"/>
              <w:rPr>
                <w:rFonts w:hint="eastAsia" w:ascii="宋体" w:hAnsi="宋体" w:eastAsia="宋体" w:cs="宋体"/>
                <w:szCs w:val="21"/>
              </w:rPr>
            </w:pPr>
            <w:r>
              <w:rPr>
                <w:rFonts w:hint="eastAsia" w:ascii="宋体" w:hAnsi="宋体" w:eastAsia="宋体" w:cs="宋体"/>
                <w:szCs w:val="21"/>
              </w:rPr>
              <w:t>擅自将投标密钥或电子营业执照出借他人使用或未妥善保管。</w:t>
            </w:r>
          </w:p>
        </w:tc>
      </w:tr>
    </w:tbl>
    <w:p w14:paraId="534A6092">
      <w:pPr>
        <w:spacing w:before="231" w:beforeLines="50" w:line="380" w:lineRule="exact"/>
        <w:ind w:firstLine="422" w:firstLineChars="200"/>
        <w:rPr>
          <w:rFonts w:hint="eastAsia" w:ascii="宋体" w:hAnsi="宋体" w:eastAsia="宋体" w:cs="宋体"/>
          <w:b/>
          <w:szCs w:val="21"/>
        </w:rPr>
      </w:pPr>
      <w:r>
        <w:rPr>
          <w:rFonts w:hint="eastAsia" w:ascii="宋体" w:hAnsi="宋体" w:eastAsia="宋体" w:cs="宋体"/>
          <w:b/>
          <w:szCs w:val="21"/>
        </w:rPr>
        <w:t>一、我单位已充分知悉“隐瞒真实情况，提供虚假资料”的法定情形，包括但不限于：</w:t>
      </w:r>
    </w:p>
    <w:p w14:paraId="31920665">
      <w:pPr>
        <w:spacing w:line="380" w:lineRule="exact"/>
        <w:ind w:firstLine="420" w:firstLineChars="200"/>
        <w:rPr>
          <w:rFonts w:hint="eastAsia" w:ascii="宋体" w:hAnsi="宋体" w:eastAsia="宋体" w:cs="宋体"/>
          <w:szCs w:val="21"/>
        </w:rPr>
      </w:pPr>
      <w:r>
        <w:rPr>
          <w:rFonts w:hint="eastAsia" w:ascii="宋体" w:hAnsi="宋体" w:eastAsia="宋体" w:cs="宋体"/>
          <w:szCs w:val="21"/>
        </w:rPr>
        <w:t>（一）通过转让或者租借等方式从其他单位获取资格或者资质证书投标的。</w:t>
      </w:r>
    </w:p>
    <w:p w14:paraId="6DE5C756">
      <w:pPr>
        <w:spacing w:line="380" w:lineRule="exact"/>
        <w:ind w:firstLine="420" w:firstLineChars="200"/>
        <w:rPr>
          <w:rFonts w:hint="eastAsia" w:ascii="宋体" w:hAnsi="宋体" w:eastAsia="宋体" w:cs="宋体"/>
          <w:szCs w:val="21"/>
        </w:rPr>
      </w:pPr>
      <w:r>
        <w:rPr>
          <w:rFonts w:hint="eastAsia" w:ascii="宋体" w:hAnsi="宋体" w:eastAsia="宋体" w:cs="宋体"/>
          <w:szCs w:val="21"/>
        </w:rPr>
        <w:t>（二）由其他单位或者其他单位负责人在投标供应商编制的</w:t>
      </w:r>
      <w:r>
        <w:rPr>
          <w:rFonts w:hint="eastAsia" w:ascii="宋体" w:hAnsi="宋体" w:cs="宋体"/>
          <w:szCs w:val="21"/>
          <w:lang w:eastAsia="zh-CN"/>
        </w:rPr>
        <w:t>应答文件</w:t>
      </w:r>
      <w:r>
        <w:rPr>
          <w:rFonts w:hint="eastAsia" w:ascii="宋体" w:hAnsi="宋体" w:eastAsia="宋体" w:cs="宋体"/>
          <w:szCs w:val="21"/>
        </w:rPr>
        <w:t>上加盖印章或者签字的。</w:t>
      </w:r>
    </w:p>
    <w:p w14:paraId="1F72E8BC">
      <w:pPr>
        <w:spacing w:line="380" w:lineRule="exact"/>
        <w:ind w:firstLine="420" w:firstLineChars="200"/>
        <w:rPr>
          <w:rFonts w:hint="eastAsia" w:ascii="宋体" w:hAnsi="宋体" w:eastAsia="宋体" w:cs="宋体"/>
          <w:szCs w:val="21"/>
        </w:rPr>
      </w:pPr>
      <w:r>
        <w:rPr>
          <w:rFonts w:hint="eastAsia" w:ascii="宋体" w:hAnsi="宋体" w:eastAsia="宋体" w:cs="宋体"/>
          <w:szCs w:val="21"/>
        </w:rPr>
        <w:t>（三）项目负责人或者主要技术人员不是本单位人员的。</w:t>
      </w:r>
    </w:p>
    <w:p w14:paraId="07FEF965">
      <w:pPr>
        <w:spacing w:line="380" w:lineRule="exact"/>
        <w:ind w:firstLine="420" w:firstLineChars="200"/>
        <w:rPr>
          <w:rFonts w:hint="eastAsia" w:ascii="宋体" w:hAnsi="宋体" w:eastAsia="宋体" w:cs="宋体"/>
          <w:szCs w:val="21"/>
        </w:rPr>
      </w:pPr>
      <w:r>
        <w:rPr>
          <w:rFonts w:hint="eastAsia" w:ascii="宋体" w:hAnsi="宋体" w:eastAsia="宋体" w:cs="宋体"/>
          <w:szCs w:val="21"/>
        </w:rPr>
        <w:t>（四）投标保证金不是从投标供应商基本账户转出的。</w:t>
      </w:r>
    </w:p>
    <w:p w14:paraId="1524C71E">
      <w:pPr>
        <w:spacing w:line="380" w:lineRule="exact"/>
        <w:ind w:firstLine="420" w:firstLineChars="200"/>
        <w:rPr>
          <w:rFonts w:hint="eastAsia" w:ascii="宋体" w:hAnsi="宋体" w:eastAsia="宋体" w:cs="宋体"/>
          <w:szCs w:val="21"/>
        </w:rPr>
      </w:pPr>
      <w:r>
        <w:rPr>
          <w:rFonts w:hint="eastAsia" w:ascii="宋体" w:hAnsi="宋体" w:eastAsia="宋体" w:cs="宋体"/>
          <w:szCs w:val="21"/>
        </w:rPr>
        <w:t>（五）其他隐瞒真实情况、提供虚假资料的行为。</w:t>
      </w:r>
    </w:p>
    <w:p w14:paraId="5331D59A">
      <w:pPr>
        <w:spacing w:line="380" w:lineRule="exact"/>
        <w:ind w:firstLine="422" w:firstLineChars="200"/>
        <w:rPr>
          <w:rFonts w:hint="eastAsia" w:ascii="宋体" w:hAnsi="宋体" w:eastAsia="宋体" w:cs="宋体"/>
          <w:b/>
          <w:szCs w:val="21"/>
        </w:rPr>
      </w:pPr>
      <w:r>
        <w:rPr>
          <w:rFonts w:hint="eastAsia" w:ascii="宋体" w:hAnsi="宋体" w:eastAsia="宋体" w:cs="宋体"/>
          <w:b/>
          <w:szCs w:val="21"/>
        </w:rPr>
        <w:t>二、我单位已充分知悉“与其他采购参加人串通投标”的法定情形，包括但不限于：</w:t>
      </w:r>
    </w:p>
    <w:p w14:paraId="7D4E3AA5">
      <w:pPr>
        <w:spacing w:line="380" w:lineRule="exact"/>
        <w:ind w:firstLine="420" w:firstLineChars="200"/>
        <w:rPr>
          <w:rFonts w:hint="eastAsia" w:ascii="宋体" w:hAnsi="宋体" w:eastAsia="宋体" w:cs="宋体"/>
          <w:szCs w:val="21"/>
        </w:rPr>
      </w:pPr>
      <w:r>
        <w:rPr>
          <w:rFonts w:hint="eastAsia" w:ascii="宋体" w:hAnsi="宋体" w:eastAsia="宋体" w:cs="宋体"/>
          <w:szCs w:val="21"/>
        </w:rPr>
        <w:t>（一）投标供应商之间相互约定给予未中标</w:t>
      </w:r>
      <w:r>
        <w:rPr>
          <w:rFonts w:hint="eastAsia" w:ascii="宋体" w:hAnsi="宋体" w:eastAsia="宋体" w:cs="宋体"/>
          <w:sz w:val="22"/>
          <w:szCs w:val="22"/>
        </w:rPr>
        <w:t>/</w:t>
      </w:r>
      <w:r>
        <w:rPr>
          <w:rFonts w:hint="eastAsia" w:ascii="宋体" w:hAnsi="宋体" w:eastAsia="宋体" w:cs="宋体"/>
          <w:sz w:val="22"/>
          <w:szCs w:val="22"/>
          <w:lang w:val="zh-CN"/>
        </w:rPr>
        <w:t>成交</w:t>
      </w:r>
      <w:r>
        <w:rPr>
          <w:rFonts w:hint="eastAsia" w:ascii="宋体" w:hAnsi="宋体" w:eastAsia="宋体" w:cs="宋体"/>
          <w:szCs w:val="21"/>
        </w:rPr>
        <w:t>的供应商利益补偿。</w:t>
      </w:r>
    </w:p>
    <w:p w14:paraId="59D5DBEC">
      <w:pPr>
        <w:spacing w:line="380" w:lineRule="exact"/>
        <w:ind w:firstLine="420" w:firstLineChars="200"/>
        <w:rPr>
          <w:rFonts w:hint="eastAsia" w:ascii="宋体" w:hAnsi="宋体" w:eastAsia="宋体" w:cs="宋体"/>
          <w:szCs w:val="21"/>
        </w:rPr>
      </w:pPr>
      <w:r>
        <w:rPr>
          <w:rFonts w:hint="eastAsia" w:ascii="宋体" w:hAnsi="宋体" w:eastAsia="宋体" w:cs="宋体"/>
          <w:szCs w:val="21"/>
        </w:rPr>
        <w:t>（二）不同投标供应商的法定代表人、主要经营负责人、项目投标授权代表人、项目负责人、主要技术人员为同一人、属同一单位或者在同一单位缴纳社会保险。</w:t>
      </w:r>
    </w:p>
    <w:p w14:paraId="16D5E424">
      <w:pPr>
        <w:spacing w:line="340" w:lineRule="exact"/>
        <w:ind w:firstLine="420" w:firstLineChars="200"/>
        <w:rPr>
          <w:rFonts w:hint="eastAsia" w:ascii="宋体" w:hAnsi="宋体" w:eastAsia="宋体" w:cs="宋体"/>
          <w:szCs w:val="21"/>
        </w:rPr>
      </w:pPr>
      <w:r>
        <w:rPr>
          <w:rFonts w:hint="eastAsia" w:ascii="宋体" w:hAnsi="宋体" w:eastAsia="宋体" w:cs="宋体"/>
          <w:szCs w:val="21"/>
        </w:rPr>
        <w:t>（三）不同投标供应商的</w:t>
      </w:r>
      <w:r>
        <w:rPr>
          <w:rFonts w:hint="eastAsia" w:ascii="宋体" w:hAnsi="宋体" w:cs="宋体"/>
          <w:szCs w:val="21"/>
          <w:lang w:eastAsia="zh-CN"/>
        </w:rPr>
        <w:t>应答文件</w:t>
      </w:r>
      <w:r>
        <w:rPr>
          <w:rFonts w:hint="eastAsia" w:ascii="宋体" w:hAnsi="宋体" w:eastAsia="宋体" w:cs="宋体"/>
          <w:szCs w:val="21"/>
        </w:rPr>
        <w:t>由同一单位或者同一人编制，或者由同一人分阶段参与编制的。</w:t>
      </w:r>
    </w:p>
    <w:p w14:paraId="6399940A">
      <w:pPr>
        <w:spacing w:line="340" w:lineRule="exact"/>
        <w:ind w:firstLine="420" w:firstLineChars="200"/>
        <w:rPr>
          <w:rFonts w:hint="eastAsia" w:ascii="宋体" w:hAnsi="宋体" w:eastAsia="宋体" w:cs="宋体"/>
          <w:szCs w:val="21"/>
        </w:rPr>
      </w:pPr>
      <w:r>
        <w:rPr>
          <w:rFonts w:hint="eastAsia" w:ascii="宋体" w:hAnsi="宋体" w:eastAsia="宋体" w:cs="宋体"/>
          <w:szCs w:val="21"/>
        </w:rPr>
        <w:t>（四）不同投标供应商的</w:t>
      </w:r>
      <w:r>
        <w:rPr>
          <w:rFonts w:hint="eastAsia" w:ascii="宋体" w:hAnsi="宋体" w:cs="宋体"/>
          <w:szCs w:val="21"/>
          <w:lang w:eastAsia="zh-CN"/>
        </w:rPr>
        <w:t>应答文件</w:t>
      </w:r>
      <w:r>
        <w:rPr>
          <w:rFonts w:hint="eastAsia" w:ascii="宋体" w:hAnsi="宋体" w:eastAsia="宋体" w:cs="宋体"/>
          <w:szCs w:val="21"/>
        </w:rPr>
        <w:t>或部分</w:t>
      </w:r>
      <w:r>
        <w:rPr>
          <w:rFonts w:hint="eastAsia" w:ascii="宋体" w:hAnsi="宋体" w:cs="宋体"/>
          <w:szCs w:val="21"/>
          <w:lang w:eastAsia="zh-CN"/>
        </w:rPr>
        <w:t>应答文件</w:t>
      </w:r>
      <w:r>
        <w:rPr>
          <w:rFonts w:hint="eastAsia" w:ascii="宋体" w:hAnsi="宋体" w:eastAsia="宋体" w:cs="宋体"/>
          <w:szCs w:val="21"/>
        </w:rPr>
        <w:t>相互混装。</w:t>
      </w:r>
    </w:p>
    <w:p w14:paraId="5CB1E64D">
      <w:pPr>
        <w:spacing w:line="340" w:lineRule="exact"/>
        <w:ind w:firstLine="420" w:firstLineChars="200"/>
        <w:rPr>
          <w:rFonts w:hint="eastAsia" w:ascii="宋体" w:hAnsi="宋体" w:eastAsia="宋体" w:cs="宋体"/>
          <w:szCs w:val="21"/>
        </w:rPr>
      </w:pPr>
      <w:r>
        <w:rPr>
          <w:rFonts w:hint="eastAsia" w:ascii="宋体" w:hAnsi="宋体" w:eastAsia="宋体" w:cs="宋体"/>
          <w:szCs w:val="21"/>
        </w:rPr>
        <w:t>（五）不同投标供应商的</w:t>
      </w:r>
      <w:r>
        <w:rPr>
          <w:rFonts w:hint="eastAsia" w:ascii="宋体" w:hAnsi="宋体" w:cs="宋体"/>
          <w:szCs w:val="21"/>
          <w:lang w:eastAsia="zh-CN"/>
        </w:rPr>
        <w:t>应答文件</w:t>
      </w:r>
      <w:r>
        <w:rPr>
          <w:rFonts w:hint="eastAsia" w:ascii="宋体" w:hAnsi="宋体" w:eastAsia="宋体" w:cs="宋体"/>
          <w:szCs w:val="21"/>
        </w:rPr>
        <w:t>内容存在非正常一致。</w:t>
      </w:r>
    </w:p>
    <w:p w14:paraId="47D12EF6">
      <w:pPr>
        <w:spacing w:line="340" w:lineRule="exact"/>
        <w:ind w:firstLine="420" w:firstLineChars="200"/>
        <w:rPr>
          <w:rFonts w:hint="eastAsia" w:ascii="宋体" w:hAnsi="宋体" w:eastAsia="宋体" w:cs="宋体"/>
          <w:szCs w:val="21"/>
        </w:rPr>
      </w:pPr>
      <w:r>
        <w:rPr>
          <w:rFonts w:hint="eastAsia" w:ascii="宋体" w:hAnsi="宋体" w:eastAsia="宋体" w:cs="宋体"/>
          <w:szCs w:val="21"/>
        </w:rPr>
        <w:t>（六）由同一单位工作人员为两家以上（含两家）供应商进行同一项投标活动的。</w:t>
      </w:r>
    </w:p>
    <w:p w14:paraId="58727067">
      <w:pPr>
        <w:spacing w:line="340" w:lineRule="exact"/>
        <w:ind w:firstLine="420" w:firstLineChars="200"/>
        <w:rPr>
          <w:rFonts w:hint="eastAsia" w:ascii="宋体" w:hAnsi="宋体" w:eastAsia="宋体" w:cs="宋体"/>
          <w:szCs w:val="21"/>
        </w:rPr>
      </w:pPr>
      <w:r>
        <w:rPr>
          <w:rFonts w:hint="eastAsia" w:ascii="宋体" w:hAnsi="宋体" w:eastAsia="宋体" w:cs="宋体"/>
          <w:szCs w:val="21"/>
        </w:rPr>
        <w:t>（七）不同投标人的投标报价呈规律性差异。</w:t>
      </w:r>
    </w:p>
    <w:p w14:paraId="73FD4016">
      <w:pPr>
        <w:spacing w:line="340" w:lineRule="exact"/>
        <w:ind w:firstLine="420" w:firstLineChars="200"/>
        <w:rPr>
          <w:rFonts w:hint="eastAsia" w:ascii="宋体" w:hAnsi="宋体" w:eastAsia="宋体" w:cs="宋体"/>
          <w:szCs w:val="21"/>
        </w:rPr>
      </w:pPr>
      <w:r>
        <w:rPr>
          <w:rFonts w:hint="eastAsia" w:ascii="宋体" w:hAnsi="宋体" w:eastAsia="宋体" w:cs="宋体"/>
          <w:szCs w:val="21"/>
        </w:rPr>
        <w:t>（八）不同投标人的投标保证金从同一单位或者个人的账户转出。</w:t>
      </w:r>
    </w:p>
    <w:p w14:paraId="019528C7">
      <w:pPr>
        <w:spacing w:line="340" w:lineRule="exact"/>
        <w:ind w:firstLine="420" w:firstLineChars="200"/>
        <w:rPr>
          <w:rFonts w:hint="eastAsia" w:ascii="宋体" w:hAnsi="宋体" w:eastAsia="宋体" w:cs="宋体"/>
          <w:szCs w:val="21"/>
        </w:rPr>
      </w:pPr>
      <w:r>
        <w:rPr>
          <w:rFonts w:hint="eastAsia" w:ascii="宋体" w:hAnsi="宋体" w:eastAsia="宋体" w:cs="宋体"/>
          <w:szCs w:val="21"/>
        </w:rPr>
        <w:t>（九）主管部门依照法律、法规认定的其他情形。</w:t>
      </w:r>
    </w:p>
    <w:p w14:paraId="22A074FA">
      <w:pPr>
        <w:spacing w:line="340" w:lineRule="exact"/>
        <w:ind w:firstLine="422" w:firstLineChars="200"/>
        <w:rPr>
          <w:rFonts w:hint="eastAsia" w:ascii="宋体" w:hAnsi="宋体" w:eastAsia="宋体" w:cs="宋体"/>
          <w:b/>
          <w:szCs w:val="21"/>
        </w:rPr>
      </w:pPr>
      <w:r>
        <w:rPr>
          <w:rFonts w:hint="eastAsia" w:ascii="宋体" w:hAnsi="宋体" w:eastAsia="宋体" w:cs="宋体"/>
          <w:b/>
          <w:szCs w:val="21"/>
        </w:rPr>
        <w:t>三、我单位已充分知悉下列情形存在法律风险，在投标前已对相关风险事项进行排查。</w:t>
      </w:r>
    </w:p>
    <w:p w14:paraId="1C07F75D">
      <w:pPr>
        <w:spacing w:line="340" w:lineRule="exact"/>
        <w:ind w:firstLine="420" w:firstLineChars="200"/>
        <w:rPr>
          <w:rFonts w:hint="eastAsia" w:ascii="宋体" w:hAnsi="宋体" w:eastAsia="宋体" w:cs="宋体"/>
          <w:b/>
          <w:szCs w:val="21"/>
        </w:rPr>
      </w:pPr>
      <w:r>
        <w:rPr>
          <w:rFonts w:hint="eastAsia" w:ascii="宋体" w:hAnsi="宋体" w:eastAsia="宋体" w:cs="宋体"/>
          <w:szCs w:val="21"/>
        </w:rPr>
        <w:t>（一）对于从其他主体获取的投标资料，我单位应审慎核查，确保其真实性。</w:t>
      </w:r>
      <w:r>
        <w:rPr>
          <w:rFonts w:hint="eastAsia" w:ascii="宋体" w:hAnsi="宋体" w:eastAsia="宋体" w:cs="宋体"/>
          <w:b/>
          <w:szCs w:val="21"/>
        </w:rPr>
        <w:t>如主管部门查实</w:t>
      </w:r>
      <w:r>
        <w:rPr>
          <w:rFonts w:hint="eastAsia" w:ascii="宋体" w:hAnsi="宋体" w:cs="宋体"/>
          <w:b/>
          <w:szCs w:val="21"/>
          <w:lang w:eastAsia="zh-CN"/>
        </w:rPr>
        <w:t>应答文件</w:t>
      </w:r>
      <w:r>
        <w:rPr>
          <w:rFonts w:hint="eastAsia" w:ascii="宋体" w:hAnsi="宋体" w:eastAsia="宋体" w:cs="宋体"/>
          <w:b/>
          <w:szCs w:val="21"/>
        </w:rPr>
        <w:t>中存在虚假资料的，无论相关资料是否由第三方或本公司员工提供，均不影响主管部门对供应商存在“隐瞒真实情况，提供虚假资料”违法行为的认定。</w:t>
      </w:r>
    </w:p>
    <w:p w14:paraId="2EB023CF">
      <w:pPr>
        <w:spacing w:line="340" w:lineRule="exact"/>
        <w:ind w:firstLine="420" w:firstLineChars="200"/>
        <w:rPr>
          <w:rFonts w:hint="eastAsia" w:ascii="宋体" w:hAnsi="宋体" w:eastAsia="宋体" w:cs="宋体"/>
          <w:szCs w:val="21"/>
        </w:rPr>
      </w:pPr>
      <w:r>
        <w:rPr>
          <w:rFonts w:hint="eastAsia" w:ascii="宋体" w:hAnsi="宋体" w:eastAsia="宋体" w:cs="宋体"/>
          <w:szCs w:val="21"/>
        </w:rPr>
        <w:t>（二）对于涉及国家机关出具的公文、证件、证明材料等文件，一旦涉嫌虚假，经查实，主管部门将依法从严处理，并移送有关部门追究法律责任；涉嫌犯罪的，移送司法机关处理。</w:t>
      </w:r>
    </w:p>
    <w:p w14:paraId="641F293D">
      <w:pPr>
        <w:spacing w:line="340" w:lineRule="exact"/>
        <w:ind w:firstLine="420" w:firstLineChars="200"/>
        <w:rPr>
          <w:rFonts w:hint="eastAsia" w:ascii="宋体" w:hAnsi="宋体" w:eastAsia="宋体" w:cs="宋体"/>
          <w:szCs w:val="21"/>
        </w:rPr>
      </w:pPr>
      <w:r>
        <w:rPr>
          <w:rFonts w:hint="eastAsia" w:ascii="宋体" w:hAnsi="宋体" w:eastAsia="宋体" w:cs="宋体"/>
          <w:szCs w:val="21"/>
        </w:rPr>
        <w:t>（三）我单位对投标电子密钥或电子营业执照负有妥善保管、及时变更和续期等主体责任；使用电子密钥或电子营业执照在深圳政府采购网站进行的活动，均具有法律效力，须承担相应的法律后果。若</w:t>
      </w:r>
      <w:r>
        <w:rPr>
          <w:rFonts w:hint="eastAsia" w:ascii="宋体" w:hAnsi="宋体" w:eastAsia="宋体" w:cs="宋体"/>
          <w:b/>
          <w:bCs/>
          <w:szCs w:val="21"/>
        </w:rPr>
        <w:t>擅自将投标密钥或电子营业执照出借他人使用所造成的法律后果，由我单位自行承担</w:t>
      </w:r>
      <w:r>
        <w:rPr>
          <w:rFonts w:hint="eastAsia" w:ascii="宋体" w:hAnsi="宋体" w:eastAsia="宋体" w:cs="宋体"/>
          <w:szCs w:val="21"/>
        </w:rPr>
        <w:t>。</w:t>
      </w:r>
    </w:p>
    <w:p w14:paraId="504BF8D1">
      <w:pPr>
        <w:spacing w:line="340" w:lineRule="exact"/>
        <w:ind w:firstLine="422" w:firstLineChars="200"/>
        <w:rPr>
          <w:rFonts w:hint="eastAsia" w:ascii="宋体" w:hAnsi="宋体" w:eastAsia="宋体" w:cs="宋体"/>
          <w:b/>
          <w:szCs w:val="21"/>
        </w:rPr>
      </w:pPr>
      <w:r>
        <w:rPr>
          <w:rFonts w:hint="eastAsia" w:ascii="宋体" w:hAnsi="宋体" w:eastAsia="宋体" w:cs="宋体"/>
          <w:b/>
          <w:szCs w:val="21"/>
        </w:rPr>
        <w:t>四、我单位已充分知悉政府采购违法、违规行为的法律后果。</w:t>
      </w:r>
    </w:p>
    <w:p w14:paraId="11C478EF">
      <w:pPr>
        <w:spacing w:line="340" w:lineRule="exact"/>
        <w:ind w:firstLine="420" w:firstLineChars="200"/>
        <w:rPr>
          <w:rFonts w:hint="eastAsia" w:ascii="宋体" w:hAnsi="宋体" w:eastAsia="宋体" w:cs="宋体"/>
          <w:szCs w:val="21"/>
        </w:rPr>
      </w:pPr>
      <w:r>
        <w:rPr>
          <w:rFonts w:hint="eastAsia" w:ascii="宋体" w:hAnsi="宋体" w:eastAsia="宋体" w:cs="宋体"/>
          <w:szCs w:val="21"/>
        </w:rPr>
        <w:t>经查实，若我单位存在政府采购违法、违规行为，主管部门将依据《深圳经济特区政府采购条例》第五十七条的规定，处以一至三年内禁止参与本市政府采购，并记入供应商诚信档案，处采购金额千分之十以上千分之二十以下罚款；情节严重的，取消参与本市政府采购资格，处采购金额千分之二十以上千分之三十以下罚款，由市场监管部门依法吊销营业执照。</w:t>
      </w:r>
    </w:p>
    <w:p w14:paraId="02B08425">
      <w:pPr>
        <w:widowControl/>
        <w:jc w:val="left"/>
        <w:rPr>
          <w:rFonts w:hint="eastAsia" w:ascii="宋体" w:hAnsi="宋体" w:eastAsia="宋体" w:cs="宋体"/>
          <w:b/>
          <w:bCs/>
          <w:color w:val="FF0000"/>
          <w:kern w:val="0"/>
          <w:sz w:val="22"/>
          <w:szCs w:val="22"/>
        </w:rPr>
      </w:pPr>
      <w:r>
        <w:rPr>
          <w:rFonts w:hint="eastAsia" w:ascii="宋体" w:hAnsi="宋体" w:eastAsia="宋体" w:cs="宋体"/>
          <w:b/>
          <w:bCs/>
          <w:color w:val="FF0000"/>
          <w:szCs w:val="21"/>
          <w:highlight w:val="yellow"/>
        </w:rPr>
        <w:t>以下文字请投标供应商抄写并确认：“我单位已仔细阅读《政府采购违法行为风险知悉确认书》，充分知悉违法行为的法律后果，并承诺将严谨、诚信、依法依规参与政府采购活动”。</w:t>
      </w:r>
      <w:r>
        <w:rPr>
          <w:rFonts w:hint="eastAsia" w:ascii="宋体" w:hAnsi="宋体" w:eastAsia="宋体" w:cs="宋体"/>
          <w:b/>
          <w:bCs/>
          <w:color w:val="FF0000"/>
          <w:kern w:val="0"/>
          <w:sz w:val="22"/>
          <w:szCs w:val="22"/>
        </w:rPr>
        <w:t xml:space="preserve"> </w:t>
      </w:r>
    </w:p>
    <w:p w14:paraId="4826891A">
      <w:pPr>
        <w:autoSpaceDE w:val="0"/>
        <w:autoSpaceDN w:val="0"/>
        <w:adjustRightInd w:val="0"/>
        <w:rPr>
          <w:rFonts w:hint="eastAsia" w:ascii="宋体" w:hAnsi="宋体" w:eastAsia="宋体" w:cs="宋体"/>
          <w:sz w:val="22"/>
          <w:szCs w:val="22"/>
          <w:u w:val="single"/>
        </w:rPr>
      </w:pPr>
      <w:r>
        <w:rPr>
          <w:rFonts w:hint="eastAsia" w:ascii="宋体" w:hAnsi="宋体" w:eastAsia="宋体" w:cs="宋体"/>
          <w:sz w:val="22"/>
          <w:szCs w:val="22"/>
          <w:u w:val="single"/>
        </w:rPr>
        <w:t xml:space="preserve">                                                                           </w:t>
      </w:r>
    </w:p>
    <w:p w14:paraId="1EA67F74">
      <w:pPr>
        <w:autoSpaceDE w:val="0"/>
        <w:autoSpaceDN w:val="0"/>
        <w:adjustRightInd w:val="0"/>
        <w:rPr>
          <w:rFonts w:hint="eastAsia" w:ascii="宋体" w:hAnsi="宋体" w:eastAsia="宋体" w:cs="宋体"/>
          <w:sz w:val="22"/>
          <w:szCs w:val="22"/>
          <w:u w:val="single"/>
        </w:rPr>
      </w:pPr>
      <w:r>
        <w:rPr>
          <w:rFonts w:hint="eastAsia" w:ascii="宋体" w:hAnsi="宋体" w:eastAsia="宋体" w:cs="宋体"/>
          <w:sz w:val="22"/>
          <w:szCs w:val="22"/>
          <w:u w:val="single"/>
        </w:rPr>
        <w:t xml:space="preserve">                                                                           </w:t>
      </w:r>
    </w:p>
    <w:p w14:paraId="6F195D6B">
      <w:pPr>
        <w:autoSpaceDE w:val="0"/>
        <w:autoSpaceDN w:val="0"/>
        <w:adjustRightInd w:val="0"/>
        <w:rPr>
          <w:rFonts w:hint="eastAsia" w:ascii="宋体" w:hAnsi="宋体" w:eastAsia="宋体" w:cs="宋体"/>
          <w:sz w:val="22"/>
          <w:szCs w:val="22"/>
          <w:u w:val="single"/>
        </w:rPr>
      </w:pPr>
      <w:r>
        <w:rPr>
          <w:rFonts w:hint="eastAsia" w:ascii="宋体" w:hAnsi="宋体" w:eastAsia="宋体" w:cs="宋体"/>
          <w:sz w:val="22"/>
          <w:szCs w:val="22"/>
          <w:u w:val="single"/>
        </w:rPr>
        <w:t xml:space="preserve">                                                                           </w:t>
      </w:r>
    </w:p>
    <w:p w14:paraId="09819949">
      <w:pPr>
        <w:autoSpaceDE w:val="0"/>
        <w:autoSpaceDN w:val="0"/>
        <w:adjustRightInd w:val="0"/>
        <w:rPr>
          <w:rFonts w:hint="eastAsia" w:ascii="宋体" w:hAnsi="宋体" w:eastAsia="宋体" w:cs="宋体"/>
          <w:sz w:val="22"/>
          <w:szCs w:val="22"/>
          <w:u w:val="single"/>
        </w:rPr>
      </w:pPr>
      <w:r>
        <w:rPr>
          <w:rFonts w:hint="eastAsia" w:ascii="宋体" w:hAnsi="宋体" w:eastAsia="宋体" w:cs="宋体"/>
          <w:sz w:val="22"/>
          <w:szCs w:val="22"/>
          <w:u w:val="single"/>
        </w:rPr>
        <w:t xml:space="preserve">                                                                           </w:t>
      </w:r>
    </w:p>
    <w:p w14:paraId="2E5261C4">
      <w:pPr>
        <w:widowControl/>
        <w:jc w:val="center"/>
        <w:rPr>
          <w:rFonts w:hint="eastAsia" w:ascii="宋体" w:hAnsi="宋体" w:eastAsia="宋体" w:cs="宋体"/>
          <w:kern w:val="0"/>
          <w:sz w:val="22"/>
          <w:szCs w:val="22"/>
        </w:rPr>
      </w:pPr>
    </w:p>
    <w:p w14:paraId="3A3F796B">
      <w:pPr>
        <w:widowControl/>
        <w:jc w:val="center"/>
        <w:rPr>
          <w:rFonts w:hint="eastAsia" w:ascii="宋体" w:hAnsi="宋体" w:eastAsia="宋体" w:cs="宋体"/>
          <w:sz w:val="22"/>
          <w:szCs w:val="22"/>
        </w:rPr>
      </w:pPr>
      <w:r>
        <w:rPr>
          <w:rFonts w:hint="eastAsia" w:ascii="宋体" w:hAnsi="宋体" w:eastAsia="宋体" w:cs="宋体"/>
          <w:kern w:val="0"/>
          <w:sz w:val="22"/>
          <w:szCs w:val="22"/>
        </w:rPr>
        <w:t>负责人/投标授权代表签名：</w:t>
      </w:r>
      <w:r>
        <w:rPr>
          <w:rFonts w:hint="eastAsia" w:ascii="宋体" w:hAnsi="宋体" w:cs="宋体"/>
          <w:kern w:val="0"/>
          <w:sz w:val="22"/>
          <w:szCs w:val="22"/>
          <w:lang w:val="en-US" w:eastAsia="zh-CN"/>
        </w:rPr>
        <w:t xml:space="preserve"> </w:t>
      </w:r>
      <w:r>
        <w:rPr>
          <w:rFonts w:hint="eastAsia" w:ascii="宋体" w:hAnsi="宋体"/>
          <w:spacing w:val="-4"/>
          <w:kern w:val="0"/>
          <w:u w:val="single"/>
        </w:rPr>
        <w:t xml:space="preserve">              </w:t>
      </w:r>
      <w:r>
        <w:rPr>
          <w:rFonts w:hint="eastAsia" w:ascii="宋体" w:hAnsi="宋体" w:eastAsia="宋体" w:cs="宋体"/>
          <w:kern w:val="0"/>
          <w:sz w:val="22"/>
          <w:szCs w:val="22"/>
          <w:lang w:val="en-US" w:eastAsia="zh-CN"/>
        </w:rPr>
        <w:t xml:space="preserve"> </w:t>
      </w:r>
      <w:r>
        <w:rPr>
          <w:rFonts w:hint="eastAsia" w:ascii="宋体" w:hAnsi="宋体" w:eastAsia="宋体" w:cs="宋体"/>
          <w:kern w:val="0"/>
          <w:sz w:val="22"/>
          <w:szCs w:val="22"/>
        </w:rPr>
        <w:t xml:space="preserve"> </w:t>
      </w:r>
    </w:p>
    <w:p w14:paraId="51799B40">
      <w:pPr>
        <w:widowControl/>
        <w:jc w:val="center"/>
        <w:rPr>
          <w:rFonts w:hint="eastAsia" w:ascii="宋体" w:hAnsi="宋体" w:eastAsia="宋体" w:cs="宋体"/>
          <w:sz w:val="22"/>
          <w:szCs w:val="22"/>
        </w:rPr>
      </w:pPr>
      <w:r>
        <w:rPr>
          <w:rFonts w:hint="eastAsia" w:ascii="宋体" w:hAnsi="宋体" w:cs="宋体"/>
          <w:kern w:val="0"/>
          <w:sz w:val="22"/>
          <w:szCs w:val="22"/>
          <w:lang w:val="en-US" w:eastAsia="zh-CN"/>
        </w:rPr>
        <w:t xml:space="preserve">         </w:t>
      </w:r>
      <w:r>
        <w:rPr>
          <w:rFonts w:hint="eastAsia" w:ascii="宋体" w:hAnsi="宋体" w:eastAsia="宋体" w:cs="宋体"/>
          <w:kern w:val="0"/>
          <w:sz w:val="22"/>
          <w:szCs w:val="22"/>
        </w:rPr>
        <w:t>知悉人（公章）：</w:t>
      </w:r>
      <w:r>
        <w:rPr>
          <w:rFonts w:hint="eastAsia" w:ascii="宋体" w:hAnsi="宋体"/>
          <w:spacing w:val="-4"/>
          <w:kern w:val="0"/>
          <w:u w:val="single"/>
        </w:rPr>
        <w:t xml:space="preserve">              </w:t>
      </w:r>
      <w:r>
        <w:rPr>
          <w:rFonts w:hint="eastAsia" w:ascii="宋体" w:hAnsi="宋体" w:eastAsia="宋体" w:cs="宋体"/>
          <w:kern w:val="0"/>
          <w:sz w:val="22"/>
          <w:szCs w:val="22"/>
        </w:rPr>
        <w:t xml:space="preserve"> </w:t>
      </w:r>
    </w:p>
    <w:p w14:paraId="53C66BD6">
      <w:pPr>
        <w:widowControl/>
        <w:jc w:val="center"/>
        <w:rPr>
          <w:rFonts w:hint="eastAsia" w:ascii="宋体" w:hAnsi="宋体"/>
          <w:spacing w:val="-4"/>
          <w:kern w:val="0"/>
          <w:u w:val="single"/>
        </w:rPr>
      </w:pPr>
      <w:r>
        <w:rPr>
          <w:rFonts w:hint="eastAsia" w:ascii="宋体" w:hAnsi="宋体" w:cs="宋体"/>
          <w:kern w:val="0"/>
          <w:sz w:val="22"/>
          <w:szCs w:val="22"/>
          <w:lang w:val="en-US" w:eastAsia="zh-CN"/>
        </w:rPr>
        <w:t xml:space="preserve">     </w:t>
      </w:r>
      <w:r>
        <w:rPr>
          <w:rFonts w:hint="eastAsia" w:ascii="宋体" w:hAnsi="宋体" w:eastAsia="宋体" w:cs="宋体"/>
          <w:kern w:val="0"/>
          <w:sz w:val="22"/>
          <w:szCs w:val="22"/>
        </w:rPr>
        <w:t>日期：</w:t>
      </w:r>
      <w:r>
        <w:rPr>
          <w:rFonts w:hint="eastAsia" w:ascii="宋体" w:hAnsi="宋体"/>
          <w:spacing w:val="-4"/>
          <w:kern w:val="0"/>
          <w:u w:val="single"/>
        </w:rPr>
        <w:t xml:space="preserve">              </w:t>
      </w:r>
    </w:p>
    <w:p w14:paraId="0FD9C1D7">
      <w:pPr>
        <w:pStyle w:val="18"/>
        <w:keepNext w:val="0"/>
        <w:keepLines w:val="0"/>
        <w:pageBreakBefore w:val="0"/>
        <w:widowControl w:val="0"/>
        <w:kinsoku/>
        <w:wordWrap/>
        <w:overflowPunct/>
        <w:topLinePunct w:val="0"/>
        <w:autoSpaceDE/>
        <w:autoSpaceDN/>
        <w:bidi w:val="0"/>
        <w:adjustRightInd/>
        <w:snapToGrid/>
        <w:spacing w:line="240" w:lineRule="auto"/>
        <w:ind w:firstLine="406" w:firstLineChars="200"/>
        <w:textAlignment w:val="auto"/>
        <w:rPr>
          <w:rFonts w:hint="eastAsia" w:ascii="宋体" w:hAnsi="宋体"/>
          <w:color w:val="FF0000"/>
          <w:spacing w:val="-4"/>
          <w:kern w:val="0"/>
          <w:sz w:val="21"/>
          <w:szCs w:val="21"/>
          <w:u w:val="single"/>
          <w:lang w:val="en-US" w:eastAsia="zh-CN"/>
        </w:rPr>
      </w:pPr>
      <w:r>
        <w:rPr>
          <w:rFonts w:hint="eastAsia" w:ascii="宋体" w:hAnsi="宋体"/>
          <w:color w:val="FF0000"/>
          <w:spacing w:val="-4"/>
          <w:kern w:val="0"/>
          <w:sz w:val="21"/>
          <w:szCs w:val="21"/>
          <w:u w:val="single"/>
          <w:lang w:val="en-US" w:eastAsia="zh-CN"/>
        </w:rPr>
        <w:t>注：1.《政府采购违法行为风险知悉确认书》需由投标供应商负责人签字并加盖单位公章后，扫描上传至应答文件一并提交。</w:t>
      </w:r>
    </w:p>
    <w:p w14:paraId="75776535">
      <w:pPr>
        <w:pStyle w:val="18"/>
        <w:keepNext w:val="0"/>
        <w:keepLines w:val="0"/>
        <w:pageBreakBefore w:val="0"/>
        <w:widowControl w:val="0"/>
        <w:kinsoku/>
        <w:wordWrap/>
        <w:overflowPunct/>
        <w:topLinePunct w:val="0"/>
        <w:autoSpaceDE/>
        <w:autoSpaceDN/>
        <w:bidi w:val="0"/>
        <w:adjustRightInd/>
        <w:snapToGrid/>
        <w:spacing w:line="240" w:lineRule="auto"/>
        <w:ind w:firstLine="406" w:firstLineChars="200"/>
        <w:textAlignment w:val="auto"/>
        <w:rPr>
          <w:rFonts w:hint="eastAsia" w:eastAsia="宋体"/>
          <w:color w:val="FF0000"/>
          <w:sz w:val="21"/>
          <w:szCs w:val="21"/>
          <w:lang w:val="en-US" w:eastAsia="zh-CN"/>
        </w:rPr>
      </w:pPr>
      <w:r>
        <w:rPr>
          <w:rFonts w:hint="eastAsia" w:ascii="宋体" w:hAnsi="宋体"/>
          <w:color w:val="FF0000"/>
          <w:spacing w:val="-4"/>
          <w:kern w:val="0"/>
          <w:sz w:val="21"/>
          <w:szCs w:val="21"/>
          <w:u w:val="single"/>
          <w:lang w:val="en-US" w:eastAsia="zh-CN"/>
        </w:rPr>
        <w:t>2.根据《深圳市财政局关于在采购文件及深圳政府采购智慧平台增设供应商投标特别警示条款等事宜的通知》（深财购〔2025〕7号）的要求，《政府采购违法行为风险知悉确认书》用于对供应商违法行为的提醒，不作为供应商资格性审查及符合性审查条件。</w:t>
      </w:r>
    </w:p>
    <w:p w14:paraId="3D4A3542">
      <w:pPr>
        <w:spacing w:before="231" w:beforeLines="50"/>
        <w:ind w:firstLine="420" w:firstLineChars="200"/>
        <w:rPr>
          <w:b/>
          <w:bCs/>
          <w:color w:val="FF0000"/>
        </w:rPr>
      </w:pPr>
      <w:r>
        <w:rPr>
          <w:rFonts w:hint="eastAsia" w:cs="宋体"/>
          <w:lang w:val="en-US" w:eastAsia="zh-CN"/>
        </w:rPr>
        <w:br w:type="page"/>
      </w:r>
    </w:p>
    <w:p w14:paraId="4041398E">
      <w:pPr>
        <w:rPr>
          <w:rFonts w:hint="eastAsia"/>
          <w:b/>
          <w:bCs/>
          <w:sz w:val="24"/>
        </w:rPr>
      </w:pPr>
    </w:p>
    <w:p w14:paraId="71093010">
      <w:pPr>
        <w:pStyle w:val="18"/>
        <w:jc w:val="center"/>
        <w:rPr>
          <w:rFonts w:hint="default"/>
          <w:lang w:val="en-US" w:eastAsia="zh-CN"/>
        </w:rPr>
      </w:pPr>
      <w:r>
        <w:rPr>
          <w:rFonts w:hint="eastAsia"/>
          <w:lang w:val="en-US" w:eastAsia="zh-CN"/>
        </w:rPr>
        <w:t>五、供应商基本情况表（必填）</w:t>
      </w:r>
    </w:p>
    <w:p w14:paraId="5BD4FBB6">
      <w:pPr>
        <w:spacing w:before="220" w:line="198" w:lineRule="auto"/>
        <w:rPr>
          <w:rFonts w:hint="eastAsia" w:ascii="宋体" w:hAnsi="宋体" w:eastAsia="宋体" w:cs="宋体"/>
          <w:sz w:val="22"/>
          <w:szCs w:val="22"/>
        </w:rPr>
      </w:pPr>
      <w:r>
        <w:rPr>
          <w:rFonts w:hint="eastAsia" w:ascii="宋体" w:hAnsi="宋体" w:eastAsia="宋体" w:cs="宋体"/>
          <w:sz w:val="22"/>
          <w:szCs w:val="22"/>
        </w:rPr>
        <w:t>填表日期：</w:t>
      </w:r>
      <w:r>
        <w:rPr>
          <w:rFonts w:hint="eastAsia" w:ascii="宋体" w:hAnsi="宋体" w:eastAsia="宋体" w:cs="宋体"/>
          <w:spacing w:val="13"/>
          <w:sz w:val="22"/>
          <w:szCs w:val="22"/>
        </w:rPr>
        <w:t xml:space="preserve">      </w:t>
      </w:r>
      <w:r>
        <w:rPr>
          <w:rFonts w:hint="eastAsia" w:ascii="宋体" w:hAnsi="宋体" w:eastAsia="宋体" w:cs="宋体"/>
          <w:sz w:val="22"/>
          <w:szCs w:val="22"/>
        </w:rPr>
        <w:t>年     月      日</w:t>
      </w:r>
    </w:p>
    <w:p w14:paraId="30829ABD">
      <w:pPr>
        <w:spacing w:line="75" w:lineRule="exact"/>
        <w:rPr>
          <w:rFonts w:hint="eastAsia" w:ascii="宋体" w:hAnsi="宋体" w:eastAsia="宋体" w:cs="宋体"/>
          <w:sz w:val="24"/>
          <w:szCs w:val="24"/>
        </w:rPr>
      </w:pPr>
    </w:p>
    <w:tbl>
      <w:tblPr>
        <w:tblStyle w:val="495"/>
        <w:tblW w:w="875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0"/>
        <w:gridCol w:w="676"/>
        <w:gridCol w:w="1605"/>
        <w:gridCol w:w="946"/>
        <w:gridCol w:w="791"/>
        <w:gridCol w:w="1199"/>
        <w:gridCol w:w="1499"/>
        <w:gridCol w:w="1303"/>
      </w:tblGrid>
      <w:tr w14:paraId="0F51D3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jc w:val="center"/>
        </w:trPr>
        <w:tc>
          <w:tcPr>
            <w:tcW w:w="1416" w:type="dxa"/>
            <w:gridSpan w:val="2"/>
            <w:vAlign w:val="center"/>
          </w:tcPr>
          <w:p w14:paraId="59E06CA0">
            <w:pPr>
              <w:pStyle w:val="494"/>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r>
              <w:rPr>
                <w:rFonts w:hint="eastAsia" w:ascii="宋体" w:hAnsi="宋体" w:eastAsia="宋体" w:cs="宋体"/>
                <w:spacing w:val="-4"/>
                <w:sz w:val="22"/>
                <w:szCs w:val="22"/>
              </w:rPr>
              <w:t>采购人</w:t>
            </w:r>
          </w:p>
        </w:tc>
        <w:tc>
          <w:tcPr>
            <w:tcW w:w="7343" w:type="dxa"/>
            <w:gridSpan w:val="6"/>
            <w:vAlign w:val="center"/>
          </w:tcPr>
          <w:p w14:paraId="4FFC3C1C">
            <w:pPr>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color w:val="auto"/>
                <w:sz w:val="22"/>
                <w:szCs w:val="22"/>
                <w:lang w:eastAsia="zh-CN"/>
              </w:rPr>
            </w:pPr>
          </w:p>
        </w:tc>
      </w:tr>
      <w:tr w14:paraId="4E552E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6" w:hRule="atLeast"/>
          <w:jc w:val="center"/>
        </w:trPr>
        <w:tc>
          <w:tcPr>
            <w:tcW w:w="1416" w:type="dxa"/>
            <w:gridSpan w:val="2"/>
            <w:shd w:val="clear" w:color="auto" w:fill="auto"/>
            <w:vAlign w:val="center"/>
          </w:tcPr>
          <w:p w14:paraId="58FA44E9">
            <w:pPr>
              <w:pStyle w:val="494"/>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kern w:val="2"/>
                <w:sz w:val="22"/>
                <w:szCs w:val="22"/>
                <w:lang w:val="en-US" w:eastAsia="en-US" w:bidi="ar-SA"/>
              </w:rPr>
            </w:pPr>
            <w:r>
              <w:rPr>
                <w:rFonts w:hint="eastAsia" w:ascii="宋体" w:hAnsi="宋体" w:eastAsia="宋体" w:cs="宋体"/>
                <w:spacing w:val="-3"/>
                <w:sz w:val="22"/>
                <w:szCs w:val="22"/>
              </w:rPr>
              <w:t>项目名称</w:t>
            </w:r>
          </w:p>
        </w:tc>
        <w:tc>
          <w:tcPr>
            <w:tcW w:w="2551" w:type="dxa"/>
            <w:gridSpan w:val="2"/>
            <w:shd w:val="clear" w:color="auto" w:fill="auto"/>
            <w:vAlign w:val="center"/>
          </w:tcPr>
          <w:p w14:paraId="5187024A">
            <w:pPr>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color w:val="auto"/>
                <w:kern w:val="2"/>
                <w:sz w:val="22"/>
                <w:szCs w:val="22"/>
                <w:lang w:val="en-US" w:eastAsia="zh-CN" w:bidi="ar-SA"/>
              </w:rPr>
            </w:pPr>
          </w:p>
        </w:tc>
        <w:tc>
          <w:tcPr>
            <w:tcW w:w="1990" w:type="dxa"/>
            <w:gridSpan w:val="2"/>
            <w:vAlign w:val="center"/>
          </w:tcPr>
          <w:p w14:paraId="2BC07CBF">
            <w:pPr>
              <w:pStyle w:val="494"/>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color w:val="auto"/>
                <w:spacing w:val="-2"/>
                <w:sz w:val="22"/>
                <w:szCs w:val="22"/>
                <w:lang w:val="en-US" w:eastAsia="zh-CN"/>
              </w:rPr>
            </w:pPr>
            <w:r>
              <w:rPr>
                <w:rFonts w:hint="eastAsia" w:ascii="宋体" w:hAnsi="宋体" w:eastAsia="宋体" w:cs="宋体"/>
                <w:color w:val="auto"/>
                <w:spacing w:val="-2"/>
                <w:sz w:val="22"/>
                <w:szCs w:val="22"/>
                <w:lang w:val="en-US" w:eastAsia="zh-CN"/>
              </w:rPr>
              <w:t>项目编号</w:t>
            </w:r>
          </w:p>
        </w:tc>
        <w:tc>
          <w:tcPr>
            <w:tcW w:w="2802" w:type="dxa"/>
            <w:gridSpan w:val="2"/>
            <w:vAlign w:val="center"/>
          </w:tcPr>
          <w:p w14:paraId="335D1233">
            <w:pPr>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color w:val="auto"/>
                <w:sz w:val="22"/>
                <w:szCs w:val="22"/>
                <w:lang w:eastAsia="zh-CN"/>
              </w:rPr>
            </w:pPr>
          </w:p>
        </w:tc>
      </w:tr>
      <w:tr w14:paraId="7F4886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6" w:hRule="atLeast"/>
          <w:jc w:val="center"/>
        </w:trPr>
        <w:tc>
          <w:tcPr>
            <w:tcW w:w="1416" w:type="dxa"/>
            <w:gridSpan w:val="2"/>
            <w:vAlign w:val="center"/>
          </w:tcPr>
          <w:p w14:paraId="7ADE6FA7">
            <w:pPr>
              <w:pStyle w:val="494"/>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lang w:val="en-US" w:eastAsia="zh-CN"/>
              </w:rPr>
            </w:pPr>
            <w:r>
              <w:rPr>
                <w:rFonts w:hint="eastAsia" w:ascii="宋体" w:hAnsi="宋体" w:eastAsia="宋体" w:cs="宋体"/>
                <w:spacing w:val="-4"/>
                <w:sz w:val="22"/>
                <w:szCs w:val="22"/>
              </w:rPr>
              <w:t>投标（响</w:t>
            </w:r>
            <w:r>
              <w:rPr>
                <w:rFonts w:hint="eastAsia" w:ascii="宋体" w:hAnsi="宋体" w:eastAsia="宋体" w:cs="宋体"/>
                <w:spacing w:val="-5"/>
                <w:sz w:val="22"/>
                <w:szCs w:val="22"/>
              </w:rPr>
              <w:t>应）供应商</w:t>
            </w:r>
            <w:r>
              <w:rPr>
                <w:rFonts w:hint="eastAsia" w:ascii="宋体" w:hAnsi="宋体" w:eastAsia="宋体" w:cs="宋体"/>
                <w:spacing w:val="-5"/>
                <w:sz w:val="22"/>
                <w:szCs w:val="22"/>
                <w:lang w:val="en-US" w:eastAsia="zh-CN"/>
              </w:rPr>
              <w:t>名称</w:t>
            </w:r>
          </w:p>
        </w:tc>
        <w:tc>
          <w:tcPr>
            <w:tcW w:w="2551" w:type="dxa"/>
            <w:gridSpan w:val="2"/>
            <w:vAlign w:val="center"/>
          </w:tcPr>
          <w:p w14:paraId="7DEF67F3">
            <w:pPr>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p>
        </w:tc>
        <w:tc>
          <w:tcPr>
            <w:tcW w:w="1990" w:type="dxa"/>
            <w:gridSpan w:val="2"/>
            <w:vAlign w:val="center"/>
          </w:tcPr>
          <w:p w14:paraId="76FE2917">
            <w:pPr>
              <w:pStyle w:val="494"/>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r>
              <w:rPr>
                <w:rFonts w:hint="eastAsia" w:ascii="宋体" w:hAnsi="宋体" w:eastAsia="宋体" w:cs="宋体"/>
                <w:spacing w:val="-2"/>
                <w:sz w:val="22"/>
                <w:szCs w:val="22"/>
              </w:rPr>
              <w:t>供应商统一社会</w:t>
            </w:r>
            <w:r>
              <w:rPr>
                <w:rFonts w:hint="eastAsia" w:ascii="宋体" w:hAnsi="宋体" w:eastAsia="宋体" w:cs="宋体"/>
                <w:spacing w:val="-3"/>
                <w:sz w:val="22"/>
                <w:szCs w:val="22"/>
              </w:rPr>
              <w:t>信用代码</w:t>
            </w:r>
          </w:p>
        </w:tc>
        <w:tc>
          <w:tcPr>
            <w:tcW w:w="2802" w:type="dxa"/>
            <w:gridSpan w:val="2"/>
            <w:vAlign w:val="center"/>
          </w:tcPr>
          <w:p w14:paraId="3EAEC78C">
            <w:pPr>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p>
        </w:tc>
      </w:tr>
      <w:tr w14:paraId="45488D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8759" w:type="dxa"/>
            <w:gridSpan w:val="8"/>
            <w:vAlign w:val="center"/>
          </w:tcPr>
          <w:p w14:paraId="685908A8">
            <w:pPr>
              <w:pStyle w:val="494"/>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r>
              <w:rPr>
                <w:rFonts w:hint="eastAsia" w:ascii="宋体" w:hAnsi="宋体" w:eastAsia="宋体" w:cs="宋体"/>
                <w:b/>
                <w:bCs/>
                <w:sz w:val="22"/>
                <w:szCs w:val="22"/>
              </w:rPr>
              <w:t>投标（响应）供应商相关人员情况</w:t>
            </w:r>
          </w:p>
        </w:tc>
      </w:tr>
      <w:tr w14:paraId="61E4AB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jc w:val="center"/>
        </w:trPr>
        <w:tc>
          <w:tcPr>
            <w:tcW w:w="740" w:type="dxa"/>
            <w:vAlign w:val="center"/>
          </w:tcPr>
          <w:p w14:paraId="273AA6FD">
            <w:pPr>
              <w:pStyle w:val="494"/>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r>
              <w:rPr>
                <w:rFonts w:hint="eastAsia" w:ascii="宋体" w:hAnsi="宋体" w:eastAsia="宋体" w:cs="宋体"/>
                <w:spacing w:val="-5"/>
                <w:sz w:val="22"/>
                <w:szCs w:val="22"/>
              </w:rPr>
              <w:t>序号</w:t>
            </w:r>
          </w:p>
        </w:tc>
        <w:tc>
          <w:tcPr>
            <w:tcW w:w="2281" w:type="dxa"/>
            <w:gridSpan w:val="2"/>
            <w:vAlign w:val="center"/>
          </w:tcPr>
          <w:p w14:paraId="6BA31D2D">
            <w:pPr>
              <w:pStyle w:val="494"/>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r>
              <w:rPr>
                <w:rFonts w:hint="eastAsia" w:ascii="宋体" w:hAnsi="宋体" w:eastAsia="宋体" w:cs="宋体"/>
                <w:spacing w:val="-6"/>
                <w:sz w:val="22"/>
                <w:szCs w:val="22"/>
              </w:rPr>
              <w:t>职务</w:t>
            </w:r>
          </w:p>
        </w:tc>
        <w:tc>
          <w:tcPr>
            <w:tcW w:w="946" w:type="dxa"/>
            <w:vAlign w:val="center"/>
          </w:tcPr>
          <w:p w14:paraId="7E7F0D72">
            <w:pPr>
              <w:pStyle w:val="494"/>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r>
              <w:rPr>
                <w:rFonts w:hint="eastAsia" w:ascii="宋体" w:hAnsi="宋体" w:eastAsia="宋体" w:cs="宋体"/>
                <w:spacing w:val="-4"/>
                <w:sz w:val="22"/>
                <w:szCs w:val="22"/>
              </w:rPr>
              <w:t>姓名</w:t>
            </w:r>
          </w:p>
        </w:tc>
        <w:tc>
          <w:tcPr>
            <w:tcW w:w="1990" w:type="dxa"/>
            <w:gridSpan w:val="2"/>
            <w:vAlign w:val="center"/>
          </w:tcPr>
          <w:p w14:paraId="3950CDB8">
            <w:pPr>
              <w:pStyle w:val="494"/>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r>
              <w:rPr>
                <w:rFonts w:hint="eastAsia" w:ascii="宋体" w:hAnsi="宋体" w:eastAsia="宋体" w:cs="宋体"/>
                <w:spacing w:val="-3"/>
                <w:sz w:val="22"/>
                <w:szCs w:val="22"/>
              </w:rPr>
              <w:t>身份证号码</w:t>
            </w:r>
          </w:p>
        </w:tc>
        <w:tc>
          <w:tcPr>
            <w:tcW w:w="1499" w:type="dxa"/>
            <w:vAlign w:val="center"/>
          </w:tcPr>
          <w:p w14:paraId="59D41891">
            <w:pPr>
              <w:pStyle w:val="494"/>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r>
              <w:rPr>
                <w:rFonts w:hint="eastAsia" w:ascii="宋体" w:hAnsi="宋体" w:eastAsia="宋体" w:cs="宋体"/>
                <w:spacing w:val="-7"/>
                <w:sz w:val="22"/>
                <w:szCs w:val="22"/>
              </w:rPr>
              <w:t>劳动合同</w:t>
            </w:r>
            <w:r>
              <w:rPr>
                <w:rFonts w:hint="eastAsia" w:ascii="宋体" w:hAnsi="宋体" w:eastAsia="宋体" w:cs="宋体"/>
                <w:spacing w:val="-6"/>
                <w:sz w:val="22"/>
                <w:szCs w:val="22"/>
              </w:rPr>
              <w:t>关系单位</w:t>
            </w:r>
          </w:p>
        </w:tc>
        <w:tc>
          <w:tcPr>
            <w:tcW w:w="1303" w:type="dxa"/>
            <w:vAlign w:val="center"/>
          </w:tcPr>
          <w:p w14:paraId="062CCFCD">
            <w:pPr>
              <w:pStyle w:val="494"/>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r>
              <w:rPr>
                <w:rFonts w:hint="eastAsia" w:ascii="宋体" w:hAnsi="宋体" w:eastAsia="宋体" w:cs="宋体"/>
                <w:spacing w:val="-5"/>
                <w:sz w:val="22"/>
                <w:szCs w:val="22"/>
              </w:rPr>
              <w:t>缴纳社会</w:t>
            </w:r>
            <w:r>
              <w:rPr>
                <w:rFonts w:hint="eastAsia" w:ascii="宋体" w:hAnsi="宋体" w:eastAsia="宋体" w:cs="宋体"/>
                <w:spacing w:val="-3"/>
                <w:sz w:val="22"/>
                <w:szCs w:val="22"/>
              </w:rPr>
              <w:t>保险单位</w:t>
            </w:r>
          </w:p>
        </w:tc>
      </w:tr>
      <w:tr w14:paraId="0C7744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6" w:hRule="atLeast"/>
          <w:jc w:val="center"/>
        </w:trPr>
        <w:tc>
          <w:tcPr>
            <w:tcW w:w="740" w:type="dxa"/>
            <w:vAlign w:val="center"/>
          </w:tcPr>
          <w:p w14:paraId="2D79EB38">
            <w:pPr>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p>
          <w:p w14:paraId="2FD73589">
            <w:pPr>
              <w:pStyle w:val="494"/>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r>
              <w:rPr>
                <w:rFonts w:hint="eastAsia" w:ascii="宋体" w:hAnsi="宋体" w:eastAsia="宋体" w:cs="宋体"/>
                <w:sz w:val="22"/>
                <w:szCs w:val="22"/>
              </w:rPr>
              <w:t>1</w:t>
            </w:r>
          </w:p>
        </w:tc>
        <w:tc>
          <w:tcPr>
            <w:tcW w:w="2281" w:type="dxa"/>
            <w:gridSpan w:val="2"/>
            <w:vAlign w:val="center"/>
          </w:tcPr>
          <w:p w14:paraId="008F722F">
            <w:pPr>
              <w:pStyle w:val="494"/>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r>
              <w:rPr>
                <w:rFonts w:hint="eastAsia" w:ascii="宋体" w:hAnsi="宋体" w:eastAsia="宋体" w:cs="宋体"/>
                <w:spacing w:val="-6"/>
                <w:sz w:val="22"/>
                <w:szCs w:val="22"/>
              </w:rPr>
              <w:t>法定代表人/单位负责人/主要经营负责人</w:t>
            </w:r>
          </w:p>
        </w:tc>
        <w:tc>
          <w:tcPr>
            <w:tcW w:w="946" w:type="dxa"/>
            <w:vAlign w:val="center"/>
          </w:tcPr>
          <w:p w14:paraId="338E801D">
            <w:pPr>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p>
        </w:tc>
        <w:tc>
          <w:tcPr>
            <w:tcW w:w="1990" w:type="dxa"/>
            <w:gridSpan w:val="2"/>
            <w:vAlign w:val="center"/>
          </w:tcPr>
          <w:p w14:paraId="6B85E6E4">
            <w:pPr>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p>
        </w:tc>
        <w:tc>
          <w:tcPr>
            <w:tcW w:w="1499" w:type="dxa"/>
            <w:vAlign w:val="center"/>
          </w:tcPr>
          <w:p w14:paraId="779DCEA8">
            <w:pPr>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p>
        </w:tc>
        <w:tc>
          <w:tcPr>
            <w:tcW w:w="1303" w:type="dxa"/>
            <w:vAlign w:val="center"/>
          </w:tcPr>
          <w:p w14:paraId="39E51CB0">
            <w:pPr>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p>
        </w:tc>
      </w:tr>
      <w:tr w14:paraId="290FFB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740" w:type="dxa"/>
            <w:vAlign w:val="center"/>
          </w:tcPr>
          <w:p w14:paraId="56CCC17E">
            <w:pPr>
              <w:pStyle w:val="494"/>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r>
              <w:rPr>
                <w:rFonts w:hint="eastAsia" w:ascii="宋体" w:hAnsi="宋体" w:eastAsia="宋体" w:cs="宋体"/>
                <w:sz w:val="22"/>
                <w:szCs w:val="22"/>
              </w:rPr>
              <w:t>2</w:t>
            </w:r>
          </w:p>
        </w:tc>
        <w:tc>
          <w:tcPr>
            <w:tcW w:w="2281" w:type="dxa"/>
            <w:gridSpan w:val="2"/>
            <w:vAlign w:val="center"/>
          </w:tcPr>
          <w:p w14:paraId="2F4678B8">
            <w:pPr>
              <w:pStyle w:val="494"/>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r>
              <w:rPr>
                <w:rFonts w:hint="eastAsia" w:ascii="宋体" w:hAnsi="宋体" w:eastAsia="宋体" w:cs="宋体"/>
                <w:spacing w:val="-2"/>
                <w:sz w:val="22"/>
                <w:szCs w:val="22"/>
              </w:rPr>
              <w:t>项目投标授权代表人</w:t>
            </w:r>
          </w:p>
        </w:tc>
        <w:tc>
          <w:tcPr>
            <w:tcW w:w="946" w:type="dxa"/>
            <w:vAlign w:val="center"/>
          </w:tcPr>
          <w:p w14:paraId="2E874BD9">
            <w:pPr>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p>
        </w:tc>
        <w:tc>
          <w:tcPr>
            <w:tcW w:w="1990" w:type="dxa"/>
            <w:gridSpan w:val="2"/>
            <w:vAlign w:val="center"/>
          </w:tcPr>
          <w:p w14:paraId="4191AD1C">
            <w:pPr>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p>
        </w:tc>
        <w:tc>
          <w:tcPr>
            <w:tcW w:w="1499" w:type="dxa"/>
            <w:vAlign w:val="center"/>
          </w:tcPr>
          <w:p w14:paraId="1369D6BC">
            <w:pPr>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p>
        </w:tc>
        <w:tc>
          <w:tcPr>
            <w:tcW w:w="1303" w:type="dxa"/>
            <w:vAlign w:val="center"/>
          </w:tcPr>
          <w:p w14:paraId="242ED1F7">
            <w:pPr>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p>
        </w:tc>
      </w:tr>
      <w:tr w14:paraId="3EA124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740" w:type="dxa"/>
            <w:vAlign w:val="center"/>
          </w:tcPr>
          <w:p w14:paraId="6EEA30A4">
            <w:pPr>
              <w:pStyle w:val="494"/>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r>
              <w:rPr>
                <w:rFonts w:hint="eastAsia" w:ascii="宋体" w:hAnsi="宋体" w:eastAsia="宋体" w:cs="宋体"/>
                <w:sz w:val="22"/>
                <w:szCs w:val="22"/>
              </w:rPr>
              <w:t>3</w:t>
            </w:r>
          </w:p>
        </w:tc>
        <w:tc>
          <w:tcPr>
            <w:tcW w:w="2281" w:type="dxa"/>
            <w:gridSpan w:val="2"/>
            <w:vAlign w:val="center"/>
          </w:tcPr>
          <w:p w14:paraId="73253A7D">
            <w:pPr>
              <w:pStyle w:val="494"/>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r>
              <w:rPr>
                <w:rFonts w:hint="eastAsia" w:ascii="宋体" w:hAnsi="宋体" w:eastAsia="宋体" w:cs="宋体"/>
                <w:spacing w:val="-3"/>
                <w:sz w:val="22"/>
                <w:szCs w:val="22"/>
              </w:rPr>
              <w:t>项目负责人</w:t>
            </w:r>
          </w:p>
        </w:tc>
        <w:tc>
          <w:tcPr>
            <w:tcW w:w="946" w:type="dxa"/>
            <w:vAlign w:val="center"/>
          </w:tcPr>
          <w:p w14:paraId="7CCEBC6F">
            <w:pPr>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p>
        </w:tc>
        <w:tc>
          <w:tcPr>
            <w:tcW w:w="1990" w:type="dxa"/>
            <w:gridSpan w:val="2"/>
            <w:vAlign w:val="center"/>
          </w:tcPr>
          <w:p w14:paraId="5F3A439F">
            <w:pPr>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p>
        </w:tc>
        <w:tc>
          <w:tcPr>
            <w:tcW w:w="1499" w:type="dxa"/>
            <w:vAlign w:val="center"/>
          </w:tcPr>
          <w:p w14:paraId="3DC35B08">
            <w:pPr>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p>
        </w:tc>
        <w:tc>
          <w:tcPr>
            <w:tcW w:w="1303" w:type="dxa"/>
            <w:vAlign w:val="center"/>
          </w:tcPr>
          <w:p w14:paraId="56275A7B">
            <w:pPr>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p>
        </w:tc>
      </w:tr>
      <w:tr w14:paraId="291F2E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740" w:type="dxa"/>
            <w:vAlign w:val="center"/>
          </w:tcPr>
          <w:p w14:paraId="066B61BB">
            <w:pPr>
              <w:pStyle w:val="494"/>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r>
              <w:rPr>
                <w:rFonts w:hint="eastAsia" w:ascii="宋体" w:hAnsi="宋体" w:eastAsia="宋体" w:cs="宋体"/>
                <w:sz w:val="22"/>
                <w:szCs w:val="22"/>
              </w:rPr>
              <w:t>4</w:t>
            </w:r>
          </w:p>
        </w:tc>
        <w:tc>
          <w:tcPr>
            <w:tcW w:w="2281" w:type="dxa"/>
            <w:gridSpan w:val="2"/>
            <w:vAlign w:val="center"/>
          </w:tcPr>
          <w:p w14:paraId="47A14856">
            <w:pPr>
              <w:pStyle w:val="494"/>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r>
              <w:rPr>
                <w:rFonts w:hint="eastAsia" w:ascii="宋体" w:hAnsi="宋体" w:eastAsia="宋体" w:cs="宋体"/>
                <w:spacing w:val="-4"/>
                <w:sz w:val="22"/>
                <w:szCs w:val="22"/>
              </w:rPr>
              <w:t>主要技术人员</w:t>
            </w:r>
          </w:p>
        </w:tc>
        <w:tc>
          <w:tcPr>
            <w:tcW w:w="946" w:type="dxa"/>
            <w:vAlign w:val="center"/>
          </w:tcPr>
          <w:p w14:paraId="512043E6">
            <w:pPr>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p>
        </w:tc>
        <w:tc>
          <w:tcPr>
            <w:tcW w:w="1990" w:type="dxa"/>
            <w:gridSpan w:val="2"/>
            <w:vAlign w:val="center"/>
          </w:tcPr>
          <w:p w14:paraId="19ADA7DA">
            <w:pPr>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p>
        </w:tc>
        <w:tc>
          <w:tcPr>
            <w:tcW w:w="1499" w:type="dxa"/>
            <w:vAlign w:val="center"/>
          </w:tcPr>
          <w:p w14:paraId="7CAB2E3F">
            <w:pPr>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p>
        </w:tc>
        <w:tc>
          <w:tcPr>
            <w:tcW w:w="1303" w:type="dxa"/>
            <w:vAlign w:val="center"/>
          </w:tcPr>
          <w:p w14:paraId="2BD39B49">
            <w:pPr>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p>
        </w:tc>
      </w:tr>
      <w:tr w14:paraId="3A9993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740" w:type="dxa"/>
            <w:vAlign w:val="center"/>
          </w:tcPr>
          <w:p w14:paraId="285009BE">
            <w:pPr>
              <w:pStyle w:val="494"/>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r>
              <w:rPr>
                <w:rFonts w:hint="eastAsia" w:ascii="宋体" w:hAnsi="宋体" w:eastAsia="宋体" w:cs="宋体"/>
                <w:sz w:val="22"/>
                <w:szCs w:val="22"/>
              </w:rPr>
              <w:t>5</w:t>
            </w:r>
          </w:p>
        </w:tc>
        <w:tc>
          <w:tcPr>
            <w:tcW w:w="2281" w:type="dxa"/>
            <w:gridSpan w:val="2"/>
            <w:vAlign w:val="center"/>
          </w:tcPr>
          <w:p w14:paraId="5798CF59">
            <w:pPr>
              <w:pStyle w:val="494"/>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r>
              <w:rPr>
                <w:rFonts w:hint="eastAsia" w:ascii="宋体" w:hAnsi="宋体" w:eastAsia="宋体" w:cs="宋体"/>
                <w:spacing w:val="-2"/>
                <w:sz w:val="22"/>
                <w:szCs w:val="22"/>
                <w:lang w:eastAsia="zh-CN"/>
              </w:rPr>
              <w:t>应答文件</w:t>
            </w:r>
            <w:r>
              <w:rPr>
                <w:rFonts w:hint="eastAsia" w:ascii="宋体" w:hAnsi="宋体" w:eastAsia="宋体" w:cs="宋体"/>
                <w:spacing w:val="-2"/>
                <w:sz w:val="22"/>
                <w:szCs w:val="22"/>
              </w:rPr>
              <w:t>编制人员</w:t>
            </w:r>
          </w:p>
        </w:tc>
        <w:tc>
          <w:tcPr>
            <w:tcW w:w="946" w:type="dxa"/>
            <w:vAlign w:val="center"/>
          </w:tcPr>
          <w:p w14:paraId="47FCB783">
            <w:pPr>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p>
        </w:tc>
        <w:tc>
          <w:tcPr>
            <w:tcW w:w="1990" w:type="dxa"/>
            <w:gridSpan w:val="2"/>
            <w:vAlign w:val="center"/>
          </w:tcPr>
          <w:p w14:paraId="69F525AC">
            <w:pPr>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p>
        </w:tc>
        <w:tc>
          <w:tcPr>
            <w:tcW w:w="1499" w:type="dxa"/>
            <w:vAlign w:val="center"/>
          </w:tcPr>
          <w:p w14:paraId="22C89331">
            <w:pPr>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p>
        </w:tc>
        <w:tc>
          <w:tcPr>
            <w:tcW w:w="1303" w:type="dxa"/>
            <w:vAlign w:val="center"/>
          </w:tcPr>
          <w:p w14:paraId="1FC04424">
            <w:pPr>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p>
        </w:tc>
      </w:tr>
      <w:tr w14:paraId="66C911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8759" w:type="dxa"/>
            <w:gridSpan w:val="8"/>
            <w:vAlign w:val="center"/>
          </w:tcPr>
          <w:p w14:paraId="57A8D266">
            <w:pPr>
              <w:pStyle w:val="494"/>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r>
              <w:rPr>
                <w:rFonts w:hint="eastAsia" w:ascii="宋体" w:hAnsi="宋体" w:eastAsia="宋体" w:cs="宋体"/>
                <w:b/>
                <w:bCs/>
                <w:spacing w:val="-1"/>
                <w:sz w:val="22"/>
                <w:szCs w:val="22"/>
              </w:rPr>
              <w:t>说明：同一职务有多人担任（如主要技术人员</w:t>
            </w:r>
            <w:r>
              <w:rPr>
                <w:rFonts w:hint="eastAsia" w:ascii="宋体" w:hAnsi="宋体" w:eastAsia="宋体" w:cs="宋体"/>
                <w:b/>
                <w:bCs/>
                <w:spacing w:val="-42"/>
                <w:w w:val="95"/>
                <w:sz w:val="22"/>
                <w:szCs w:val="22"/>
              </w:rPr>
              <w:t>），</w:t>
            </w:r>
            <w:r>
              <w:rPr>
                <w:rFonts w:hint="eastAsia" w:ascii="宋体" w:hAnsi="宋体" w:eastAsia="宋体" w:cs="宋体"/>
                <w:b/>
                <w:bCs/>
                <w:spacing w:val="-1"/>
                <w:sz w:val="22"/>
                <w:szCs w:val="22"/>
              </w:rPr>
              <w:t>应分行填写。</w:t>
            </w:r>
          </w:p>
        </w:tc>
      </w:tr>
      <w:tr w14:paraId="05D6DA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8759" w:type="dxa"/>
            <w:gridSpan w:val="8"/>
            <w:vAlign w:val="center"/>
          </w:tcPr>
          <w:p w14:paraId="47234037">
            <w:pPr>
              <w:pStyle w:val="494"/>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r>
              <w:rPr>
                <w:rFonts w:hint="eastAsia" w:ascii="宋体" w:hAnsi="宋体" w:eastAsia="宋体" w:cs="宋体"/>
                <w:b/>
                <w:bCs/>
                <w:sz w:val="22"/>
                <w:szCs w:val="22"/>
              </w:rPr>
              <w:t>投标（响应）供应商关联关系情况</w:t>
            </w:r>
          </w:p>
        </w:tc>
      </w:tr>
      <w:tr w14:paraId="7EA063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740" w:type="dxa"/>
            <w:vAlign w:val="center"/>
          </w:tcPr>
          <w:p w14:paraId="0B1FF2D6">
            <w:pPr>
              <w:pStyle w:val="494"/>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r>
              <w:rPr>
                <w:rFonts w:hint="eastAsia" w:ascii="宋体" w:hAnsi="宋体" w:eastAsia="宋体" w:cs="宋体"/>
                <w:spacing w:val="-5"/>
                <w:sz w:val="22"/>
                <w:szCs w:val="22"/>
              </w:rPr>
              <w:t>序号</w:t>
            </w:r>
          </w:p>
        </w:tc>
        <w:tc>
          <w:tcPr>
            <w:tcW w:w="2281" w:type="dxa"/>
            <w:gridSpan w:val="2"/>
            <w:vAlign w:val="center"/>
          </w:tcPr>
          <w:p w14:paraId="42859B9B">
            <w:pPr>
              <w:pStyle w:val="494"/>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r>
              <w:rPr>
                <w:rFonts w:hint="eastAsia" w:ascii="宋体" w:hAnsi="宋体" w:eastAsia="宋体" w:cs="宋体"/>
                <w:spacing w:val="-3"/>
                <w:sz w:val="22"/>
                <w:szCs w:val="22"/>
              </w:rPr>
              <w:t>关联关系类型</w:t>
            </w:r>
          </w:p>
        </w:tc>
        <w:tc>
          <w:tcPr>
            <w:tcW w:w="1737" w:type="dxa"/>
            <w:gridSpan w:val="2"/>
            <w:vAlign w:val="center"/>
          </w:tcPr>
          <w:p w14:paraId="7C9F645E">
            <w:pPr>
              <w:pStyle w:val="494"/>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r>
              <w:rPr>
                <w:rFonts w:hint="eastAsia" w:ascii="宋体" w:hAnsi="宋体" w:eastAsia="宋体" w:cs="宋体"/>
                <w:spacing w:val="-3"/>
                <w:sz w:val="22"/>
                <w:szCs w:val="22"/>
              </w:rPr>
              <w:t>关联主体名称</w:t>
            </w:r>
          </w:p>
        </w:tc>
        <w:tc>
          <w:tcPr>
            <w:tcW w:w="4001" w:type="dxa"/>
            <w:gridSpan w:val="3"/>
            <w:vAlign w:val="center"/>
          </w:tcPr>
          <w:p w14:paraId="0DBFB46C">
            <w:pPr>
              <w:pStyle w:val="494"/>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r>
              <w:rPr>
                <w:rFonts w:hint="eastAsia" w:ascii="宋体" w:hAnsi="宋体" w:eastAsia="宋体" w:cs="宋体"/>
                <w:spacing w:val="-4"/>
                <w:sz w:val="22"/>
                <w:szCs w:val="22"/>
              </w:rPr>
              <w:t>备注</w:t>
            </w:r>
          </w:p>
        </w:tc>
      </w:tr>
      <w:tr w14:paraId="1780F3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82" w:hRule="atLeast"/>
          <w:jc w:val="center"/>
        </w:trPr>
        <w:tc>
          <w:tcPr>
            <w:tcW w:w="740" w:type="dxa"/>
            <w:vAlign w:val="center"/>
          </w:tcPr>
          <w:p w14:paraId="202274FE">
            <w:pPr>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p>
          <w:p w14:paraId="3617AF27">
            <w:pPr>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p>
          <w:p w14:paraId="71A17E2F">
            <w:pPr>
              <w:pStyle w:val="494"/>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r>
              <w:rPr>
                <w:rFonts w:hint="eastAsia" w:ascii="宋体" w:hAnsi="宋体" w:eastAsia="宋体" w:cs="宋体"/>
                <w:sz w:val="22"/>
                <w:szCs w:val="22"/>
              </w:rPr>
              <w:t>1</w:t>
            </w:r>
          </w:p>
        </w:tc>
        <w:tc>
          <w:tcPr>
            <w:tcW w:w="2281" w:type="dxa"/>
            <w:gridSpan w:val="2"/>
            <w:vAlign w:val="center"/>
          </w:tcPr>
          <w:p w14:paraId="03ADD5EB">
            <w:pPr>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p>
          <w:p w14:paraId="2D207323">
            <w:pPr>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p>
          <w:p w14:paraId="1050159C">
            <w:pPr>
              <w:pStyle w:val="494"/>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r>
              <w:rPr>
                <w:rFonts w:hint="eastAsia" w:ascii="宋体" w:hAnsi="宋体" w:eastAsia="宋体" w:cs="宋体"/>
                <w:spacing w:val="-3"/>
                <w:sz w:val="22"/>
                <w:szCs w:val="22"/>
              </w:rPr>
              <w:t>控股股东</w:t>
            </w:r>
          </w:p>
        </w:tc>
        <w:tc>
          <w:tcPr>
            <w:tcW w:w="1737" w:type="dxa"/>
            <w:gridSpan w:val="2"/>
            <w:vAlign w:val="center"/>
          </w:tcPr>
          <w:p w14:paraId="0260D82A">
            <w:pPr>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p>
        </w:tc>
        <w:tc>
          <w:tcPr>
            <w:tcW w:w="4001" w:type="dxa"/>
            <w:gridSpan w:val="3"/>
            <w:vAlign w:val="center"/>
          </w:tcPr>
          <w:p w14:paraId="1D65B93F">
            <w:pPr>
              <w:pStyle w:val="494"/>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r>
              <w:rPr>
                <w:rFonts w:hint="eastAsia" w:ascii="宋体" w:hAnsi="宋体" w:eastAsia="宋体" w:cs="宋体"/>
                <w:spacing w:val="-1"/>
                <w:sz w:val="22"/>
                <w:szCs w:val="22"/>
              </w:rPr>
              <w:t>指出资额（或持有股份）占投标（响应）供应商资</w:t>
            </w:r>
            <w:r>
              <w:rPr>
                <w:rFonts w:hint="eastAsia" w:ascii="宋体" w:hAnsi="宋体" w:eastAsia="宋体" w:cs="宋体"/>
                <w:spacing w:val="-8"/>
                <w:sz w:val="22"/>
                <w:szCs w:val="22"/>
              </w:rPr>
              <w:t>本总额（或股本总额）50%以上的股东，以及出资额</w:t>
            </w:r>
            <w:r>
              <w:rPr>
                <w:rFonts w:hint="eastAsia" w:ascii="宋体" w:hAnsi="宋体" w:eastAsia="宋体" w:cs="宋体"/>
                <w:spacing w:val="-5"/>
                <w:sz w:val="22"/>
                <w:szCs w:val="22"/>
              </w:rPr>
              <w:t>（或持有股份）的比例虽然不足</w:t>
            </w:r>
            <w:r>
              <w:rPr>
                <w:rFonts w:hint="eastAsia" w:ascii="宋体" w:hAnsi="宋体" w:eastAsia="宋体" w:cs="宋体"/>
                <w:spacing w:val="15"/>
                <w:sz w:val="22"/>
                <w:szCs w:val="22"/>
              </w:rPr>
              <w:t xml:space="preserve"> </w:t>
            </w:r>
            <w:r>
              <w:rPr>
                <w:rFonts w:hint="eastAsia" w:ascii="宋体" w:hAnsi="宋体" w:eastAsia="宋体" w:cs="宋体"/>
                <w:spacing w:val="-5"/>
                <w:sz w:val="22"/>
                <w:szCs w:val="22"/>
              </w:rPr>
              <w:t>50%，但依</w:t>
            </w:r>
            <w:r>
              <w:rPr>
                <w:rFonts w:hint="eastAsia" w:ascii="宋体" w:hAnsi="宋体" w:eastAsia="宋体" w:cs="宋体"/>
                <w:spacing w:val="-6"/>
                <w:sz w:val="22"/>
                <w:szCs w:val="22"/>
              </w:rPr>
              <w:t>其出资</w:t>
            </w:r>
            <w:r>
              <w:rPr>
                <w:rFonts w:hint="eastAsia" w:ascii="宋体" w:hAnsi="宋体" w:eastAsia="宋体" w:cs="宋体"/>
                <w:spacing w:val="-9"/>
                <w:sz w:val="22"/>
                <w:szCs w:val="22"/>
              </w:rPr>
              <w:t>额（或持有股份）所享有的表决权已足以对投标（响</w:t>
            </w:r>
            <w:r>
              <w:rPr>
                <w:rFonts w:hint="eastAsia" w:ascii="宋体" w:hAnsi="宋体" w:eastAsia="宋体" w:cs="宋体"/>
                <w:spacing w:val="18"/>
                <w:w w:val="101"/>
                <w:sz w:val="22"/>
                <w:szCs w:val="22"/>
              </w:rPr>
              <w:t xml:space="preserve"> </w:t>
            </w:r>
            <w:r>
              <w:rPr>
                <w:rFonts w:hint="eastAsia" w:ascii="宋体" w:hAnsi="宋体" w:eastAsia="宋体" w:cs="宋体"/>
                <w:sz w:val="22"/>
                <w:szCs w:val="22"/>
              </w:rPr>
              <w:t>应）供应商股东会（或股东大会）的决议产生重要</w:t>
            </w:r>
            <w:r>
              <w:rPr>
                <w:rFonts w:hint="eastAsia" w:ascii="宋体" w:hAnsi="宋体" w:eastAsia="宋体" w:cs="宋体"/>
                <w:spacing w:val="6"/>
                <w:sz w:val="22"/>
                <w:szCs w:val="22"/>
              </w:rPr>
              <w:t xml:space="preserve"> </w:t>
            </w:r>
            <w:r>
              <w:rPr>
                <w:rFonts w:hint="eastAsia" w:ascii="宋体" w:hAnsi="宋体" w:eastAsia="宋体" w:cs="宋体"/>
                <w:spacing w:val="-2"/>
                <w:sz w:val="22"/>
                <w:szCs w:val="22"/>
              </w:rPr>
              <w:t>影响的股东。</w:t>
            </w:r>
          </w:p>
        </w:tc>
      </w:tr>
      <w:tr w14:paraId="3817FD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jc w:val="center"/>
        </w:trPr>
        <w:tc>
          <w:tcPr>
            <w:tcW w:w="740" w:type="dxa"/>
            <w:vAlign w:val="center"/>
          </w:tcPr>
          <w:p w14:paraId="4EF6EF08">
            <w:pPr>
              <w:pStyle w:val="494"/>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r>
              <w:rPr>
                <w:rFonts w:hint="eastAsia" w:ascii="宋体" w:hAnsi="宋体" w:eastAsia="宋体" w:cs="宋体"/>
                <w:sz w:val="22"/>
                <w:szCs w:val="22"/>
              </w:rPr>
              <w:t>2</w:t>
            </w:r>
          </w:p>
        </w:tc>
        <w:tc>
          <w:tcPr>
            <w:tcW w:w="2281" w:type="dxa"/>
            <w:gridSpan w:val="2"/>
            <w:vAlign w:val="center"/>
          </w:tcPr>
          <w:p w14:paraId="39D6802D">
            <w:pPr>
              <w:pStyle w:val="494"/>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r>
              <w:rPr>
                <w:rFonts w:hint="eastAsia" w:ascii="宋体" w:hAnsi="宋体" w:eastAsia="宋体" w:cs="宋体"/>
                <w:spacing w:val="-5"/>
                <w:sz w:val="22"/>
                <w:szCs w:val="22"/>
              </w:rPr>
              <w:t>管理关系</w:t>
            </w:r>
          </w:p>
        </w:tc>
        <w:tc>
          <w:tcPr>
            <w:tcW w:w="1737" w:type="dxa"/>
            <w:gridSpan w:val="2"/>
            <w:vAlign w:val="center"/>
          </w:tcPr>
          <w:p w14:paraId="08E09F23">
            <w:pPr>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p>
        </w:tc>
        <w:tc>
          <w:tcPr>
            <w:tcW w:w="4001" w:type="dxa"/>
            <w:gridSpan w:val="3"/>
            <w:vAlign w:val="center"/>
          </w:tcPr>
          <w:p w14:paraId="27CE2952">
            <w:pPr>
              <w:pStyle w:val="494"/>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r>
              <w:rPr>
                <w:rFonts w:hint="eastAsia" w:ascii="宋体" w:hAnsi="宋体" w:eastAsia="宋体" w:cs="宋体"/>
                <w:spacing w:val="-8"/>
                <w:sz w:val="22"/>
                <w:szCs w:val="22"/>
              </w:rPr>
              <w:t>指对投标（响应）供应商不具有出资持</w:t>
            </w:r>
            <w:r>
              <w:rPr>
                <w:rFonts w:hint="eastAsia" w:ascii="宋体" w:hAnsi="宋体" w:eastAsia="宋体" w:cs="宋体"/>
                <w:spacing w:val="-3"/>
                <w:sz w:val="22"/>
                <w:szCs w:val="22"/>
              </w:rPr>
              <w:t>股关系，但对其存在管理关系的主体。</w:t>
            </w:r>
          </w:p>
        </w:tc>
      </w:tr>
      <w:tr w14:paraId="7E5E21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1" w:hRule="atLeast"/>
          <w:jc w:val="center"/>
        </w:trPr>
        <w:tc>
          <w:tcPr>
            <w:tcW w:w="8759" w:type="dxa"/>
            <w:gridSpan w:val="8"/>
            <w:vAlign w:val="center"/>
          </w:tcPr>
          <w:p w14:paraId="5F5A63F4">
            <w:pPr>
              <w:pStyle w:val="494"/>
              <w:keepNext w:val="0"/>
              <w:keepLines w:val="0"/>
              <w:pageBreakBefore w:val="0"/>
              <w:widowControl/>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2"/>
                <w:szCs w:val="22"/>
              </w:rPr>
            </w:pPr>
            <w:r>
              <w:rPr>
                <w:rFonts w:hint="eastAsia" w:ascii="宋体" w:hAnsi="宋体" w:eastAsia="宋体" w:cs="宋体"/>
                <w:b/>
                <w:bCs/>
                <w:spacing w:val="-1"/>
                <w:sz w:val="22"/>
                <w:szCs w:val="22"/>
              </w:rPr>
              <w:t>说明：同一关联关系类型有多个主体的，应分行填写。</w:t>
            </w:r>
          </w:p>
        </w:tc>
      </w:tr>
    </w:tbl>
    <w:p w14:paraId="48005F5B">
      <w:pPr>
        <w:keepNext w:val="0"/>
        <w:keepLines w:val="0"/>
        <w:pageBreakBefore w:val="0"/>
        <w:widowControl w:val="0"/>
        <w:kinsoku/>
        <w:wordWrap/>
        <w:overflowPunct/>
        <w:topLinePunct w:val="0"/>
        <w:autoSpaceDE/>
        <w:autoSpaceDN/>
        <w:bidi w:val="0"/>
        <w:adjustRightInd/>
        <w:snapToGrid/>
        <w:spacing w:line="240" w:lineRule="auto"/>
        <w:ind w:firstLine="442" w:firstLineChars="200"/>
        <w:textAlignment w:val="auto"/>
        <w:rPr>
          <w:rFonts w:hint="eastAsia" w:ascii="宋体" w:hAnsi="宋体" w:eastAsia="宋体" w:cs="宋体"/>
          <w:b w:val="0"/>
          <w:bCs w:val="0"/>
          <w:sz w:val="22"/>
          <w:szCs w:val="22"/>
          <w:highlight w:val="none"/>
        </w:rPr>
      </w:pPr>
      <w:r>
        <w:rPr>
          <w:rFonts w:hint="eastAsia" w:ascii="宋体" w:hAnsi="宋体" w:eastAsia="宋体" w:cs="宋体"/>
          <w:b/>
          <w:sz w:val="22"/>
          <w:szCs w:val="22"/>
          <w:lang w:val="en-US" w:eastAsia="zh-CN"/>
        </w:rPr>
        <w:t>注</w:t>
      </w:r>
      <w:r>
        <w:rPr>
          <w:rFonts w:hint="eastAsia" w:ascii="宋体" w:hAnsi="宋体" w:eastAsia="宋体" w:cs="宋体"/>
          <w:sz w:val="22"/>
          <w:szCs w:val="22"/>
        </w:rPr>
        <w:t>：</w:t>
      </w:r>
      <w:r>
        <w:rPr>
          <w:rFonts w:hint="eastAsia" w:ascii="宋体" w:hAnsi="宋体" w:eastAsia="宋体" w:cs="宋体"/>
          <w:b w:val="0"/>
          <w:bCs w:val="0"/>
          <w:sz w:val="22"/>
          <w:szCs w:val="22"/>
          <w:lang w:val="en-US" w:eastAsia="zh-CN" w:bidi="ar-SA"/>
        </w:rPr>
        <w:t>1.</w:t>
      </w:r>
      <w:r>
        <w:rPr>
          <w:rFonts w:hint="eastAsia" w:ascii="宋体" w:hAnsi="宋体" w:eastAsia="宋体" w:cs="宋体"/>
          <w:b w:val="0"/>
          <w:bCs w:val="0"/>
          <w:sz w:val="22"/>
          <w:szCs w:val="22"/>
          <w:highlight w:val="none"/>
        </w:rPr>
        <w:t>主要经营负责人</w:t>
      </w:r>
      <w:r>
        <w:rPr>
          <w:rFonts w:hint="eastAsia" w:ascii="宋体" w:hAnsi="宋体" w:eastAsia="宋体" w:cs="宋体"/>
          <w:b w:val="0"/>
          <w:bCs w:val="0"/>
          <w:sz w:val="22"/>
          <w:szCs w:val="22"/>
          <w:highlight w:val="none"/>
          <w:lang w:val="en-US" w:eastAsia="zh-CN"/>
        </w:rPr>
        <w:t>即实际控制人，是指通过投资关系、协议或者其他安排，能够实际支配公司行为的人。</w:t>
      </w:r>
    </w:p>
    <w:p w14:paraId="2F60BB9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54" w:firstLineChars="0"/>
        <w:textAlignment w:val="auto"/>
        <w:rPr>
          <w:rFonts w:hint="eastAsia" w:ascii="宋体" w:hAnsi="宋体" w:eastAsia="宋体" w:cs="宋体"/>
          <w:b w:val="0"/>
        </w:rPr>
      </w:pPr>
      <w:r>
        <w:rPr>
          <w:rFonts w:hint="eastAsia" w:ascii="宋体" w:hAnsi="宋体" w:eastAsia="宋体" w:cs="宋体"/>
          <w:b w:val="0"/>
          <w:sz w:val="24"/>
          <w:szCs w:val="24"/>
          <w:lang w:val="en-US" w:eastAsia="zh-CN" w:bidi="ar-SA"/>
        </w:rPr>
        <w:t>2.</w:t>
      </w:r>
      <w:r>
        <w:rPr>
          <w:rFonts w:hint="eastAsia" w:ascii="宋体" w:hAnsi="宋体" w:eastAsia="宋体" w:cs="宋体"/>
          <w:b w:val="0"/>
          <w:bCs w:val="0"/>
          <w:sz w:val="22"/>
          <w:szCs w:val="22"/>
        </w:rPr>
        <w:t>如未有相关情况，请在相应栏填写“无”。</w:t>
      </w:r>
    </w:p>
    <w:p w14:paraId="5050FFC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54" w:firstLineChars="0"/>
        <w:textAlignment w:val="auto"/>
        <w:rPr>
          <w:rFonts w:hint="eastAsia" w:ascii="宋体" w:hAnsi="宋体" w:eastAsia="宋体" w:cs="宋体"/>
          <w:b w:val="0"/>
          <w:bCs w:val="0"/>
          <w:sz w:val="22"/>
          <w:szCs w:val="22"/>
        </w:rPr>
      </w:pPr>
      <w:r>
        <w:rPr>
          <w:rFonts w:hint="eastAsia" w:ascii="宋体" w:hAnsi="宋体" w:eastAsia="宋体" w:cs="宋体"/>
          <w:b w:val="0"/>
          <w:sz w:val="24"/>
          <w:szCs w:val="24"/>
          <w:lang w:val="en-US" w:eastAsia="zh-CN" w:bidi="ar-SA"/>
        </w:rPr>
        <w:t>3.</w:t>
      </w:r>
      <w:r>
        <w:rPr>
          <w:rFonts w:hint="eastAsia" w:ascii="宋体" w:hAnsi="宋体" w:eastAsia="宋体" w:cs="宋体"/>
          <w:b w:val="0"/>
          <w:bCs w:val="0"/>
          <w:sz w:val="22"/>
          <w:szCs w:val="22"/>
          <w:lang w:eastAsia="zh-CN"/>
        </w:rPr>
        <w:t>投标供应商</w:t>
      </w:r>
      <w:r>
        <w:rPr>
          <w:rFonts w:hint="eastAsia" w:ascii="宋体" w:hAnsi="宋体" w:eastAsia="宋体" w:cs="宋体"/>
          <w:b w:val="0"/>
          <w:bCs w:val="0"/>
          <w:sz w:val="22"/>
          <w:szCs w:val="22"/>
        </w:rPr>
        <w:t>应如实申报本单位控股及管理关系人员信息，如存在隐瞒真实情况，提供虚假资料的，经查实，主管部门将依据《深圳经济特区政府采购条例》第五十七条的规定进行处罚。</w:t>
      </w:r>
    </w:p>
    <w:p w14:paraId="38AA6F56">
      <w:pPr>
        <w:rPr>
          <w:rFonts w:hint="eastAsia" w:ascii="宋体" w:hAnsi="宋体" w:eastAsia="宋体" w:cs="宋体"/>
          <w:b w:val="0"/>
          <w:bCs w:val="0"/>
          <w:sz w:val="22"/>
          <w:szCs w:val="22"/>
        </w:rPr>
      </w:pPr>
      <w:r>
        <w:rPr>
          <w:rFonts w:hint="eastAsia" w:ascii="宋体" w:hAnsi="宋体" w:eastAsia="宋体" w:cs="宋体"/>
          <w:b w:val="0"/>
          <w:bCs w:val="0"/>
          <w:sz w:val="22"/>
          <w:szCs w:val="22"/>
        </w:rPr>
        <w:br w:type="page"/>
      </w:r>
    </w:p>
    <w:p w14:paraId="5515B613">
      <w:pPr>
        <w:pStyle w:val="18"/>
        <w:rPr>
          <w:rFonts w:hint="eastAsia"/>
        </w:rPr>
      </w:pPr>
    </w:p>
    <w:p w14:paraId="7D621ADB">
      <w:pPr>
        <w:spacing w:line="340" w:lineRule="exact"/>
        <w:ind w:firstLine="482" w:firstLineChars="200"/>
        <w:jc w:val="center"/>
        <w:outlineLvl w:val="2"/>
        <w:rPr>
          <w:rFonts w:hint="eastAsia" w:ascii="黑体" w:hAnsi="宋体" w:eastAsia="黑体" w:cs="Times New Roman"/>
          <w:b/>
          <w:bCs w:val="0"/>
          <w:kern w:val="2"/>
          <w:sz w:val="24"/>
          <w:szCs w:val="24"/>
          <w:lang w:val="en-US" w:eastAsia="zh-CN" w:bidi="ar-SA"/>
        </w:rPr>
      </w:pPr>
      <w:r>
        <w:rPr>
          <w:rFonts w:hint="eastAsia" w:ascii="黑体" w:hAnsi="宋体" w:eastAsia="黑体" w:cs="Times New Roman"/>
          <w:b/>
          <w:bCs w:val="0"/>
          <w:kern w:val="2"/>
          <w:sz w:val="24"/>
          <w:szCs w:val="24"/>
          <w:lang w:val="en-US" w:eastAsia="zh-CN" w:bidi="ar-SA"/>
        </w:rPr>
        <w:t>六、供应商情况介绍</w:t>
      </w:r>
    </w:p>
    <w:p w14:paraId="3D8F59D5">
      <w:pPr>
        <w:ind w:firstLine="2640" w:firstLineChars="1100"/>
        <w:outlineLvl w:val="3"/>
        <w:rPr>
          <w:rFonts w:hint="eastAsia" w:ascii="黑体" w:hAnsi="宋体" w:eastAsia="黑体"/>
          <w:bCs/>
          <w:kern w:val="0"/>
          <w:sz w:val="24"/>
          <w:szCs w:val="32"/>
        </w:rPr>
      </w:pPr>
      <w:r>
        <w:rPr>
          <w:rFonts w:hint="eastAsia" w:ascii="黑体" w:hAnsi="宋体" w:eastAsia="黑体"/>
          <w:bCs/>
          <w:kern w:val="0"/>
          <w:sz w:val="24"/>
          <w:szCs w:val="32"/>
        </w:rPr>
        <w:t>（一）供应商资格证明文件</w:t>
      </w:r>
    </w:p>
    <w:p w14:paraId="311B235D">
      <w:pPr>
        <w:pStyle w:val="7"/>
        <w:rPr>
          <w:rFonts w:hint="eastAsia" w:ascii="宋体" w:hAnsi="宋体" w:eastAsia="宋体" w:cs="宋体"/>
          <w:b w:val="0"/>
          <w:bCs w:val="0"/>
          <w:sz w:val="22"/>
          <w:szCs w:val="22"/>
        </w:rPr>
      </w:pPr>
      <w:r>
        <w:rPr>
          <w:rFonts w:hint="eastAsia"/>
          <w:b/>
          <w:bCs/>
          <w:color w:val="FF0000"/>
        </w:rPr>
        <w:t>【特别提示：供应商须按本谈判文件第一章谈判公告 “申请人的资格要求”（即供应商资格要求）提供相关的资格证明资料，未提供或提供不完整、不符合要求的，将作应答无效处理，其中要求提供《</w:t>
      </w:r>
      <w:r>
        <w:rPr>
          <w:rFonts w:hint="eastAsia" w:eastAsia="宋体"/>
          <w:b/>
          <w:bCs/>
          <w:color w:val="FF0000"/>
          <w:lang w:eastAsia="zh-CN"/>
        </w:rPr>
        <w:t>政府采购应答及履约承诺函</w:t>
      </w:r>
      <w:r>
        <w:rPr>
          <w:rFonts w:hint="eastAsia"/>
          <w:b/>
          <w:bCs/>
          <w:color w:val="FF0000"/>
        </w:rPr>
        <w:t>》且已在“二、</w:t>
      </w:r>
      <w:r>
        <w:rPr>
          <w:rFonts w:hint="eastAsia" w:eastAsia="宋体"/>
          <w:b/>
          <w:bCs/>
          <w:color w:val="FF0000"/>
          <w:lang w:eastAsia="zh-CN"/>
        </w:rPr>
        <w:t>政府采购应答及履约承诺函</w:t>
      </w:r>
      <w:r>
        <w:rPr>
          <w:rFonts w:hint="eastAsia"/>
          <w:b/>
          <w:bCs/>
          <w:color w:val="FF0000"/>
        </w:rPr>
        <w:t>”章节中提供了，此处可不重复提供。】</w:t>
      </w:r>
    </w:p>
    <w:p w14:paraId="4BAEE673">
      <w:pPr>
        <w:ind w:firstLine="482" w:firstLineChars="200"/>
        <w:jc w:val="center"/>
        <w:outlineLvl w:val="3"/>
        <w:rPr>
          <w:rFonts w:hint="eastAsia"/>
          <w:b/>
          <w:bCs/>
          <w:sz w:val="24"/>
        </w:rPr>
      </w:pPr>
    </w:p>
    <w:p w14:paraId="28C28C94">
      <w:pPr>
        <w:ind w:firstLine="482" w:firstLineChars="200"/>
        <w:jc w:val="center"/>
        <w:outlineLvl w:val="3"/>
        <w:rPr>
          <w:rFonts w:hint="eastAsia"/>
          <w:b/>
          <w:bCs/>
          <w:sz w:val="24"/>
        </w:rPr>
      </w:pPr>
      <w:r>
        <w:rPr>
          <w:rFonts w:hint="eastAsia"/>
          <w:b/>
          <w:bCs/>
          <w:sz w:val="24"/>
        </w:rPr>
        <w:t>（</w:t>
      </w:r>
      <w:r>
        <w:rPr>
          <w:rFonts w:hint="eastAsia"/>
          <w:b/>
          <w:bCs/>
          <w:sz w:val="24"/>
          <w:lang w:val="en-US" w:eastAsia="zh-CN"/>
        </w:rPr>
        <w:t>二</w:t>
      </w:r>
      <w:r>
        <w:rPr>
          <w:rFonts w:hint="eastAsia"/>
          <w:b/>
          <w:bCs/>
          <w:sz w:val="24"/>
        </w:rPr>
        <w:t>）供应商认为需提供的其他相关证明文件</w:t>
      </w:r>
    </w:p>
    <w:p w14:paraId="4B145EE0">
      <w:pPr>
        <w:spacing w:before="231" w:beforeLines="50"/>
        <w:ind w:firstLine="422" w:firstLineChars="200"/>
        <w:rPr>
          <w:rFonts w:hint="eastAsia" w:ascii="Times New Roman" w:hAnsi="Times New Roman" w:cs="Times New Roman"/>
          <w:b/>
          <w:bCs/>
          <w:color w:val="FF0000"/>
        </w:rPr>
      </w:pPr>
      <w:r>
        <w:rPr>
          <w:rFonts w:hint="eastAsia" w:ascii="Times New Roman" w:hAnsi="Times New Roman" w:cs="Times New Roman"/>
          <w:b/>
          <w:bCs/>
          <w:color w:val="FF0000"/>
        </w:rPr>
        <w:t>提供供应商认为须提供的其他相关证明文件</w:t>
      </w:r>
    </w:p>
    <w:p w14:paraId="4EB7D288">
      <w:pPr>
        <w:pStyle w:val="7"/>
        <w:rPr>
          <w:rFonts w:hint="eastAsia" w:ascii="Times New Roman" w:hAnsi="Times New Roman" w:cs="Times New Roman"/>
          <w:b/>
          <w:bCs/>
          <w:color w:val="FF0000"/>
        </w:rPr>
      </w:pPr>
    </w:p>
    <w:p w14:paraId="6D020EE3">
      <w:pPr>
        <w:numPr>
          <w:ilvl w:val="0"/>
          <w:numId w:val="0"/>
        </w:numPr>
        <w:ind w:firstLine="482" w:firstLineChars="200"/>
        <w:jc w:val="center"/>
        <w:outlineLvl w:val="3"/>
        <w:rPr>
          <w:rFonts w:hint="eastAsia"/>
          <w:b/>
          <w:bCs/>
          <w:sz w:val="24"/>
          <w:lang w:val="en-US" w:eastAsia="zh-CN"/>
        </w:rPr>
      </w:pPr>
      <w:r>
        <w:rPr>
          <w:rFonts w:hint="eastAsia" w:ascii="Times New Roman" w:hAnsi="Times New Roman" w:eastAsia="宋体" w:cs="Times New Roman"/>
          <w:b/>
          <w:bCs/>
          <w:kern w:val="2"/>
          <w:sz w:val="24"/>
          <w:szCs w:val="24"/>
          <w:lang w:val="en-US" w:eastAsia="zh-CN" w:bidi="ar-SA"/>
        </w:rPr>
        <w:t>（</w:t>
      </w:r>
      <w:r>
        <w:rPr>
          <w:rFonts w:hint="eastAsia" w:cs="Times New Roman"/>
          <w:b/>
          <w:bCs/>
          <w:kern w:val="2"/>
          <w:sz w:val="24"/>
          <w:szCs w:val="24"/>
          <w:lang w:val="en-US" w:eastAsia="zh-CN" w:bidi="ar-SA"/>
        </w:rPr>
        <w:t>三</w:t>
      </w:r>
      <w:r>
        <w:rPr>
          <w:rFonts w:hint="eastAsia" w:ascii="Times New Roman" w:hAnsi="Times New Roman" w:eastAsia="宋体" w:cs="Times New Roman"/>
          <w:b/>
          <w:bCs/>
          <w:kern w:val="2"/>
          <w:sz w:val="24"/>
          <w:szCs w:val="24"/>
          <w:lang w:val="en-US" w:eastAsia="zh-CN" w:bidi="ar-SA"/>
        </w:rPr>
        <w:t>）</w:t>
      </w:r>
      <w:r>
        <w:rPr>
          <w:rFonts w:hint="eastAsia"/>
          <w:b/>
          <w:bCs/>
          <w:sz w:val="24"/>
          <w:lang w:val="en-US" w:eastAsia="zh-CN"/>
        </w:rPr>
        <w:t>中小企业声明函</w:t>
      </w:r>
    </w:p>
    <w:p w14:paraId="65FFC9E2">
      <w:pPr>
        <w:keepNext w:val="0"/>
        <w:keepLines w:val="0"/>
        <w:pageBreakBefore w:val="0"/>
        <w:kinsoku/>
        <w:wordWrap/>
        <w:overflowPunct/>
        <w:topLinePunct w:val="0"/>
        <w:autoSpaceDE/>
        <w:autoSpaceDN/>
        <w:bidi w:val="0"/>
        <w:adjustRightInd/>
        <w:snapToGrid/>
        <w:spacing w:line="360" w:lineRule="exact"/>
        <w:jc w:val="left"/>
        <w:textAlignment w:val="auto"/>
        <w:rPr>
          <w:rFonts w:ascii="Times New Roman" w:hAnsi="Times New Roman" w:eastAsia="宋体" w:cs="Times New Roman"/>
          <w:sz w:val="22"/>
          <w:szCs w:val="22"/>
        </w:rPr>
      </w:pPr>
    </w:p>
    <w:p w14:paraId="25C77DD5">
      <w:pPr>
        <w:keepNext w:val="0"/>
        <w:keepLines w:val="0"/>
        <w:pageBreakBefore w:val="0"/>
        <w:kinsoku/>
        <w:wordWrap/>
        <w:overflowPunct/>
        <w:topLinePunct w:val="0"/>
        <w:autoSpaceDE/>
        <w:autoSpaceDN/>
        <w:bidi w:val="0"/>
        <w:adjustRightInd/>
        <w:snapToGrid/>
        <w:spacing w:line="360" w:lineRule="exact"/>
        <w:ind w:firstLine="440" w:firstLineChars="200"/>
        <w:jc w:val="left"/>
        <w:textAlignment w:val="auto"/>
        <w:rPr>
          <w:rFonts w:hint="eastAsia" w:ascii="黑体" w:hAnsi="黑体" w:eastAsia="黑体" w:cs="黑体"/>
          <w:color w:val="auto"/>
          <w:sz w:val="22"/>
          <w:szCs w:val="22"/>
        </w:rPr>
      </w:pPr>
      <w:r>
        <w:rPr>
          <w:rFonts w:hint="eastAsia" w:ascii="黑体" w:hAnsi="黑体" w:eastAsia="黑体" w:cs="黑体"/>
          <w:color w:val="auto"/>
          <w:sz w:val="22"/>
          <w:szCs w:val="22"/>
        </w:rPr>
        <w:t>填写指引：</w:t>
      </w:r>
    </w:p>
    <w:p w14:paraId="52B227FB">
      <w:pPr>
        <w:keepNext w:val="0"/>
        <w:keepLines w:val="0"/>
        <w:pageBreakBefore w:val="0"/>
        <w:kinsoku/>
        <w:wordWrap/>
        <w:overflowPunct/>
        <w:topLinePunct w:val="0"/>
        <w:autoSpaceDE/>
        <w:autoSpaceDN/>
        <w:bidi w:val="0"/>
        <w:adjustRightInd/>
        <w:snapToGrid/>
        <w:spacing w:line="360" w:lineRule="exact"/>
        <w:ind w:firstLine="440" w:firstLineChars="200"/>
        <w:jc w:val="left"/>
        <w:textAlignment w:val="auto"/>
        <w:rPr>
          <w:rFonts w:hint="eastAsia" w:ascii="黑体" w:hAnsi="黑体" w:eastAsia="黑体" w:cs="黑体"/>
          <w:color w:val="auto"/>
          <w:sz w:val="22"/>
          <w:szCs w:val="22"/>
        </w:rPr>
      </w:pPr>
      <w:r>
        <w:rPr>
          <w:rFonts w:hint="eastAsia" w:ascii="黑体" w:hAnsi="黑体" w:eastAsia="黑体" w:cs="黑体"/>
          <w:color w:val="auto"/>
          <w:sz w:val="22"/>
          <w:szCs w:val="22"/>
        </w:rPr>
        <w:t>1、该部分内容由投标人根据自身实际情况填写。投标人提供的声明函不属实的，属于提供虚假资料谋取中标/成交，依照《中华人民共和国政府采购法》等国家有关规定追究相应责任。</w:t>
      </w:r>
    </w:p>
    <w:p w14:paraId="40A894D8">
      <w:pPr>
        <w:keepNext w:val="0"/>
        <w:keepLines w:val="0"/>
        <w:pageBreakBefore w:val="0"/>
        <w:kinsoku/>
        <w:wordWrap/>
        <w:overflowPunct/>
        <w:topLinePunct w:val="0"/>
        <w:autoSpaceDE/>
        <w:autoSpaceDN/>
        <w:bidi w:val="0"/>
        <w:adjustRightInd/>
        <w:snapToGrid/>
        <w:spacing w:line="360" w:lineRule="exact"/>
        <w:ind w:firstLine="440" w:firstLineChars="200"/>
        <w:jc w:val="left"/>
        <w:textAlignment w:val="auto"/>
        <w:rPr>
          <w:rFonts w:hint="eastAsia" w:ascii="黑体" w:hAnsi="黑体" w:eastAsia="黑体" w:cs="黑体"/>
          <w:color w:val="auto"/>
          <w:sz w:val="22"/>
          <w:szCs w:val="22"/>
        </w:rPr>
      </w:pPr>
      <w:r>
        <w:rPr>
          <w:rFonts w:hint="eastAsia" w:ascii="黑体" w:hAnsi="黑体" w:eastAsia="黑体" w:cs="黑体"/>
          <w:color w:val="auto"/>
          <w:sz w:val="22"/>
          <w:szCs w:val="22"/>
        </w:rPr>
        <w:t>2、该部分内容填写需要参考的相关文件：</w:t>
      </w:r>
    </w:p>
    <w:p w14:paraId="1742D913">
      <w:pPr>
        <w:keepNext w:val="0"/>
        <w:keepLines w:val="0"/>
        <w:pageBreakBefore w:val="0"/>
        <w:kinsoku/>
        <w:wordWrap/>
        <w:overflowPunct/>
        <w:topLinePunct w:val="0"/>
        <w:autoSpaceDE/>
        <w:autoSpaceDN/>
        <w:bidi w:val="0"/>
        <w:adjustRightInd/>
        <w:snapToGrid/>
        <w:spacing w:line="360" w:lineRule="exact"/>
        <w:ind w:firstLine="440" w:firstLineChars="200"/>
        <w:jc w:val="left"/>
        <w:textAlignment w:val="auto"/>
        <w:rPr>
          <w:rFonts w:hint="eastAsia" w:ascii="黑体" w:hAnsi="黑体" w:eastAsia="黑体" w:cs="黑体"/>
          <w:color w:val="auto"/>
          <w:sz w:val="22"/>
          <w:szCs w:val="22"/>
        </w:rPr>
      </w:pPr>
      <w:r>
        <w:rPr>
          <w:rFonts w:hint="eastAsia" w:ascii="黑体" w:hAnsi="黑体" w:eastAsia="黑体" w:cs="黑体"/>
          <w:color w:val="auto"/>
          <w:sz w:val="22"/>
          <w:szCs w:val="22"/>
        </w:rPr>
        <w:t>(1)财政部《政府采购促进中小企业发展管理办法》（财库〔2020〕46号）</w:t>
      </w:r>
    </w:p>
    <w:p w14:paraId="0DBBCA51">
      <w:pPr>
        <w:keepNext w:val="0"/>
        <w:keepLines w:val="0"/>
        <w:pageBreakBefore w:val="0"/>
        <w:kinsoku/>
        <w:wordWrap/>
        <w:overflowPunct/>
        <w:topLinePunct w:val="0"/>
        <w:autoSpaceDE/>
        <w:autoSpaceDN/>
        <w:bidi w:val="0"/>
        <w:adjustRightInd/>
        <w:snapToGrid/>
        <w:spacing w:line="360" w:lineRule="exact"/>
        <w:ind w:firstLine="440" w:firstLineChars="200"/>
        <w:jc w:val="left"/>
        <w:textAlignment w:val="auto"/>
        <w:rPr>
          <w:rFonts w:hint="eastAsia" w:ascii="黑体" w:hAnsi="黑体" w:eastAsia="黑体" w:cs="黑体"/>
          <w:color w:val="auto"/>
          <w:sz w:val="22"/>
          <w:szCs w:val="22"/>
        </w:rPr>
      </w:pPr>
      <w:r>
        <w:rPr>
          <w:rFonts w:hint="eastAsia" w:ascii="黑体" w:hAnsi="黑体" w:eastAsia="黑体" w:cs="黑体"/>
          <w:color w:val="auto"/>
          <w:sz w:val="22"/>
          <w:szCs w:val="22"/>
        </w:rPr>
        <w:t>(2)《工业和信息化部、国家统计局、国家发展和改革委员会、财政部关于印发中小企业划型标准规定的通知》（工信部联企业〔2011〕300 号，以下简称300号文）</w:t>
      </w:r>
    </w:p>
    <w:p w14:paraId="6B45A2E5">
      <w:pPr>
        <w:keepNext w:val="0"/>
        <w:keepLines w:val="0"/>
        <w:pageBreakBefore w:val="0"/>
        <w:kinsoku/>
        <w:wordWrap/>
        <w:overflowPunct/>
        <w:topLinePunct w:val="0"/>
        <w:autoSpaceDE/>
        <w:autoSpaceDN/>
        <w:bidi w:val="0"/>
        <w:adjustRightInd/>
        <w:snapToGrid/>
        <w:spacing w:line="360" w:lineRule="exact"/>
        <w:ind w:firstLine="440" w:firstLineChars="200"/>
        <w:jc w:val="left"/>
        <w:textAlignment w:val="auto"/>
        <w:rPr>
          <w:rFonts w:hint="eastAsia" w:ascii="黑体" w:hAnsi="黑体" w:eastAsia="黑体" w:cs="黑体"/>
          <w:color w:val="auto"/>
          <w:sz w:val="22"/>
          <w:szCs w:val="22"/>
        </w:rPr>
      </w:pPr>
      <w:r>
        <w:rPr>
          <w:rFonts w:hint="eastAsia" w:ascii="黑体" w:hAnsi="黑体" w:eastAsia="黑体" w:cs="黑体"/>
          <w:color w:val="auto"/>
          <w:sz w:val="22"/>
          <w:szCs w:val="22"/>
        </w:rPr>
        <w:t>(3)《统计上大中小微型企业划分办法(2017)》（国统字〔2017〕213 号）</w:t>
      </w:r>
    </w:p>
    <w:p w14:paraId="180C3AC6">
      <w:pPr>
        <w:keepNext w:val="0"/>
        <w:keepLines w:val="0"/>
        <w:pageBreakBefore w:val="0"/>
        <w:kinsoku/>
        <w:wordWrap/>
        <w:overflowPunct/>
        <w:topLinePunct w:val="0"/>
        <w:autoSpaceDE/>
        <w:autoSpaceDN/>
        <w:bidi w:val="0"/>
        <w:adjustRightInd/>
        <w:snapToGrid/>
        <w:spacing w:line="360" w:lineRule="exact"/>
        <w:ind w:firstLine="440" w:firstLineChars="200"/>
        <w:jc w:val="left"/>
        <w:textAlignment w:val="auto"/>
        <w:rPr>
          <w:rFonts w:hint="eastAsia" w:ascii="黑体" w:hAnsi="黑体" w:eastAsia="黑体" w:cs="黑体"/>
          <w:color w:val="auto"/>
          <w:sz w:val="22"/>
          <w:szCs w:val="22"/>
        </w:rPr>
      </w:pPr>
      <w:r>
        <w:rPr>
          <w:rFonts w:hint="eastAsia" w:ascii="黑体" w:hAnsi="黑体" w:eastAsia="黑体" w:cs="黑体"/>
          <w:color w:val="auto"/>
          <w:sz w:val="22"/>
          <w:szCs w:val="22"/>
        </w:rPr>
        <w:t>(4)《关于促进残疾人就业政府采购政策的通知》（财库〔2017〕141号）</w:t>
      </w:r>
    </w:p>
    <w:p w14:paraId="4BAD3EF7">
      <w:pPr>
        <w:keepNext w:val="0"/>
        <w:keepLines w:val="0"/>
        <w:pageBreakBefore w:val="0"/>
        <w:kinsoku/>
        <w:wordWrap/>
        <w:overflowPunct/>
        <w:topLinePunct w:val="0"/>
        <w:autoSpaceDE/>
        <w:autoSpaceDN/>
        <w:bidi w:val="0"/>
        <w:adjustRightInd/>
        <w:snapToGrid/>
        <w:spacing w:line="360" w:lineRule="exact"/>
        <w:ind w:firstLine="440" w:firstLineChars="200"/>
        <w:jc w:val="left"/>
        <w:textAlignment w:val="auto"/>
        <w:rPr>
          <w:rFonts w:hint="eastAsia" w:ascii="黑体" w:hAnsi="黑体" w:eastAsia="黑体" w:cs="黑体"/>
          <w:color w:val="auto"/>
          <w:sz w:val="22"/>
          <w:szCs w:val="22"/>
        </w:rPr>
      </w:pPr>
      <w:r>
        <w:rPr>
          <w:rFonts w:hint="eastAsia" w:ascii="黑体" w:hAnsi="黑体" w:eastAsia="黑体" w:cs="黑体"/>
          <w:color w:val="auto"/>
          <w:sz w:val="22"/>
          <w:szCs w:val="22"/>
        </w:rPr>
        <w:t>(5)《关于政府采购支持监狱企业发展有关问题的通知》（财库〔2014〕68号）</w:t>
      </w:r>
    </w:p>
    <w:p w14:paraId="28220874">
      <w:pPr>
        <w:keepNext w:val="0"/>
        <w:keepLines w:val="0"/>
        <w:pageBreakBefore w:val="0"/>
        <w:kinsoku/>
        <w:wordWrap/>
        <w:overflowPunct/>
        <w:topLinePunct w:val="0"/>
        <w:autoSpaceDE/>
        <w:autoSpaceDN/>
        <w:bidi w:val="0"/>
        <w:adjustRightInd/>
        <w:snapToGrid/>
        <w:spacing w:line="360" w:lineRule="exact"/>
        <w:ind w:firstLine="440" w:firstLineChars="200"/>
        <w:jc w:val="left"/>
        <w:textAlignment w:val="auto"/>
        <w:rPr>
          <w:rFonts w:hint="eastAsia" w:ascii="黑体" w:hAnsi="黑体" w:eastAsia="黑体" w:cs="黑体"/>
          <w:color w:val="auto"/>
          <w:sz w:val="22"/>
          <w:szCs w:val="22"/>
        </w:rPr>
      </w:pPr>
      <w:r>
        <w:rPr>
          <w:rFonts w:hint="eastAsia" w:ascii="黑体" w:hAnsi="黑体" w:eastAsia="黑体" w:cs="黑体"/>
          <w:color w:val="auto"/>
          <w:sz w:val="22"/>
          <w:szCs w:val="22"/>
        </w:rPr>
        <w:t>（7）《国民经济行业分类》(GB/T4754-2002)</w:t>
      </w:r>
    </w:p>
    <w:p w14:paraId="12CBC302">
      <w:pPr>
        <w:keepNext w:val="0"/>
        <w:keepLines w:val="0"/>
        <w:pageBreakBefore w:val="0"/>
        <w:kinsoku/>
        <w:wordWrap/>
        <w:overflowPunct/>
        <w:topLinePunct w:val="0"/>
        <w:autoSpaceDE/>
        <w:autoSpaceDN/>
        <w:bidi w:val="0"/>
        <w:adjustRightInd/>
        <w:snapToGrid/>
        <w:spacing w:line="360" w:lineRule="exact"/>
        <w:ind w:firstLine="440" w:firstLineChars="200"/>
        <w:jc w:val="left"/>
        <w:textAlignment w:val="auto"/>
        <w:rPr>
          <w:rFonts w:hint="eastAsia" w:ascii="黑体" w:hAnsi="黑体" w:eastAsia="黑体" w:cs="黑体"/>
          <w:color w:val="auto"/>
          <w:sz w:val="22"/>
          <w:szCs w:val="22"/>
        </w:rPr>
      </w:pPr>
      <w:r>
        <w:rPr>
          <w:rFonts w:hint="eastAsia" w:ascii="黑体" w:hAnsi="黑体" w:eastAsia="黑体" w:cs="黑体"/>
          <w:color w:val="auto"/>
          <w:sz w:val="22"/>
          <w:szCs w:val="22"/>
        </w:rPr>
        <w:t>(6)《金融业企业划型标准规定》（银发〔2015〕 309 号）</w:t>
      </w:r>
    </w:p>
    <w:p w14:paraId="4FB8175F">
      <w:pPr>
        <w:keepNext w:val="0"/>
        <w:keepLines w:val="0"/>
        <w:pageBreakBefore w:val="0"/>
        <w:kinsoku/>
        <w:wordWrap/>
        <w:overflowPunct/>
        <w:topLinePunct w:val="0"/>
        <w:autoSpaceDE/>
        <w:autoSpaceDN/>
        <w:bidi w:val="0"/>
        <w:adjustRightInd/>
        <w:snapToGrid/>
        <w:spacing w:line="360" w:lineRule="exact"/>
        <w:ind w:firstLine="440" w:firstLineChars="200"/>
        <w:jc w:val="left"/>
        <w:textAlignment w:val="auto"/>
        <w:rPr>
          <w:rFonts w:hint="eastAsia" w:ascii="黑体" w:hAnsi="黑体" w:eastAsia="黑体" w:cs="黑体"/>
          <w:color w:val="auto"/>
          <w:sz w:val="22"/>
          <w:szCs w:val="22"/>
        </w:rPr>
      </w:pPr>
      <w:r>
        <w:rPr>
          <w:rFonts w:hint="eastAsia" w:ascii="黑体" w:hAnsi="黑体" w:eastAsia="黑体" w:cs="黑体"/>
          <w:color w:val="auto"/>
          <w:sz w:val="22"/>
          <w:szCs w:val="22"/>
        </w:rPr>
        <w:t>3、请依照提供的格式和内容填写声明函，不要随意变更格式；满足多项优惠政策的投标人，不重复享受多项价格扣除政策。</w:t>
      </w:r>
    </w:p>
    <w:p w14:paraId="7E28BA5A">
      <w:pPr>
        <w:keepNext w:val="0"/>
        <w:keepLines w:val="0"/>
        <w:pageBreakBefore w:val="0"/>
        <w:kinsoku/>
        <w:wordWrap/>
        <w:overflowPunct/>
        <w:topLinePunct w:val="0"/>
        <w:autoSpaceDE/>
        <w:autoSpaceDN/>
        <w:bidi w:val="0"/>
        <w:adjustRightInd/>
        <w:snapToGrid/>
        <w:spacing w:line="360" w:lineRule="exact"/>
        <w:ind w:firstLine="440" w:firstLineChars="200"/>
        <w:jc w:val="left"/>
        <w:textAlignment w:val="auto"/>
        <w:rPr>
          <w:rFonts w:hint="eastAsia" w:ascii="黑体" w:hAnsi="黑体" w:eastAsia="黑体" w:cs="黑体"/>
          <w:color w:val="auto"/>
          <w:sz w:val="22"/>
          <w:szCs w:val="22"/>
        </w:rPr>
      </w:pPr>
      <w:r>
        <w:rPr>
          <w:rFonts w:hint="eastAsia" w:ascii="黑体" w:hAnsi="黑体" w:eastAsia="黑体" w:cs="黑体"/>
          <w:color w:val="auto"/>
          <w:sz w:val="22"/>
          <w:szCs w:val="22"/>
        </w:rPr>
        <w:t>4、</w:t>
      </w:r>
      <w:r>
        <w:rPr>
          <w:rFonts w:hint="eastAsia" w:ascii="黑体" w:hAnsi="黑体" w:eastAsia="黑体" w:cs="黑体"/>
          <w:color w:val="FF0000"/>
          <w:sz w:val="22"/>
          <w:szCs w:val="22"/>
        </w:rPr>
        <w:t>声明函具体填写要求：</w:t>
      </w:r>
    </w:p>
    <w:p w14:paraId="29A5769C">
      <w:pPr>
        <w:keepNext w:val="0"/>
        <w:keepLines w:val="0"/>
        <w:pageBreakBefore w:val="0"/>
        <w:kinsoku/>
        <w:wordWrap/>
        <w:overflowPunct/>
        <w:topLinePunct w:val="0"/>
        <w:autoSpaceDE/>
        <w:autoSpaceDN/>
        <w:bidi w:val="0"/>
        <w:adjustRightInd/>
        <w:snapToGrid/>
        <w:spacing w:line="360" w:lineRule="exact"/>
        <w:ind w:firstLine="440" w:firstLineChars="200"/>
        <w:jc w:val="left"/>
        <w:textAlignment w:val="auto"/>
        <w:rPr>
          <w:rFonts w:hint="eastAsia" w:ascii="黑体" w:hAnsi="黑体" w:eastAsia="黑体" w:cs="黑体"/>
          <w:color w:val="auto"/>
          <w:sz w:val="22"/>
          <w:szCs w:val="22"/>
        </w:rPr>
      </w:pPr>
      <w:r>
        <w:rPr>
          <w:rFonts w:hint="eastAsia" w:ascii="黑体" w:hAnsi="黑体" w:eastAsia="黑体" w:cs="黑体"/>
          <w:color w:val="auto"/>
          <w:sz w:val="22"/>
          <w:szCs w:val="22"/>
        </w:rPr>
        <w:t>（1）声明是中小企业须填写《中小企业声明函》的以下内容：</w:t>
      </w:r>
    </w:p>
    <w:p w14:paraId="019244B4">
      <w:pPr>
        <w:keepNext w:val="0"/>
        <w:keepLines w:val="0"/>
        <w:pageBreakBefore w:val="0"/>
        <w:kinsoku/>
        <w:wordWrap/>
        <w:overflowPunct/>
        <w:topLinePunct w:val="0"/>
        <w:autoSpaceDE/>
        <w:autoSpaceDN/>
        <w:bidi w:val="0"/>
        <w:adjustRightInd/>
        <w:snapToGrid/>
        <w:spacing w:line="360" w:lineRule="exact"/>
        <w:ind w:firstLine="440" w:firstLineChars="200"/>
        <w:jc w:val="left"/>
        <w:textAlignment w:val="auto"/>
        <w:rPr>
          <w:rFonts w:hint="eastAsia" w:ascii="黑体" w:hAnsi="黑体" w:eastAsia="黑体" w:cs="黑体"/>
          <w:color w:val="auto"/>
          <w:sz w:val="22"/>
          <w:szCs w:val="22"/>
        </w:rPr>
      </w:pPr>
      <w:r>
        <w:rPr>
          <w:rFonts w:hint="eastAsia" w:ascii="黑体" w:hAnsi="黑体" w:eastAsia="黑体" w:cs="黑体"/>
          <w:color w:val="auto"/>
          <w:sz w:val="22"/>
          <w:szCs w:val="22"/>
        </w:rPr>
        <w:t>第一处，在“采购单位名称”下划线处如实填写采购人名称（深圳市东海国际招标有限公司不是本项目的采购人，而是组织实施机构）；</w:t>
      </w:r>
    </w:p>
    <w:p w14:paraId="449EF336">
      <w:pPr>
        <w:keepNext w:val="0"/>
        <w:keepLines w:val="0"/>
        <w:pageBreakBefore w:val="0"/>
        <w:kinsoku/>
        <w:wordWrap/>
        <w:overflowPunct/>
        <w:topLinePunct w:val="0"/>
        <w:autoSpaceDE/>
        <w:autoSpaceDN/>
        <w:bidi w:val="0"/>
        <w:adjustRightInd/>
        <w:snapToGrid/>
        <w:spacing w:line="360" w:lineRule="exact"/>
        <w:ind w:firstLine="440" w:firstLineChars="200"/>
        <w:jc w:val="left"/>
        <w:textAlignment w:val="auto"/>
        <w:rPr>
          <w:rFonts w:hint="eastAsia" w:ascii="黑体" w:hAnsi="黑体" w:eastAsia="黑体" w:cs="黑体"/>
          <w:color w:val="auto"/>
          <w:sz w:val="22"/>
          <w:szCs w:val="22"/>
        </w:rPr>
      </w:pPr>
      <w:r>
        <w:rPr>
          <w:rFonts w:hint="eastAsia" w:ascii="黑体" w:hAnsi="黑体" w:eastAsia="黑体" w:cs="黑体"/>
          <w:color w:val="auto"/>
          <w:sz w:val="22"/>
          <w:szCs w:val="22"/>
        </w:rPr>
        <w:t>第二处，在“采购项目名称”下划线处如实填写采购项目名称；</w:t>
      </w:r>
    </w:p>
    <w:p w14:paraId="23E5230A">
      <w:pPr>
        <w:keepNext w:val="0"/>
        <w:keepLines w:val="0"/>
        <w:pageBreakBefore w:val="0"/>
        <w:kinsoku/>
        <w:wordWrap/>
        <w:overflowPunct/>
        <w:topLinePunct w:val="0"/>
        <w:autoSpaceDE/>
        <w:autoSpaceDN/>
        <w:bidi w:val="0"/>
        <w:adjustRightInd/>
        <w:snapToGrid/>
        <w:spacing w:line="360" w:lineRule="exact"/>
        <w:ind w:firstLine="440" w:firstLineChars="200"/>
        <w:jc w:val="left"/>
        <w:textAlignment w:val="auto"/>
        <w:rPr>
          <w:rFonts w:hint="eastAsia" w:ascii="黑体" w:hAnsi="黑体" w:eastAsia="黑体" w:cs="黑体"/>
          <w:color w:val="auto"/>
          <w:sz w:val="22"/>
          <w:szCs w:val="22"/>
        </w:rPr>
      </w:pPr>
      <w:r>
        <w:rPr>
          <w:rFonts w:hint="eastAsia" w:ascii="黑体" w:hAnsi="黑体" w:eastAsia="黑体" w:cs="黑体"/>
          <w:color w:val="auto"/>
          <w:sz w:val="22"/>
          <w:szCs w:val="22"/>
        </w:rPr>
        <w:t>第三处，在“标的名称”下划线处填写所采购服务（标的）的具体名称（以招标文件第一册第二章招标项目需求“三、项目清单”的“服务内容”一栏为准）；如果涉及多个服务需求（标的）由同一企业承接，“标的名称”下划线处可以如实填写多个服务需求（标的）；</w:t>
      </w:r>
    </w:p>
    <w:p w14:paraId="55FC8C04">
      <w:pPr>
        <w:keepNext w:val="0"/>
        <w:keepLines w:val="0"/>
        <w:pageBreakBefore w:val="0"/>
        <w:kinsoku/>
        <w:wordWrap/>
        <w:overflowPunct/>
        <w:topLinePunct w:val="0"/>
        <w:autoSpaceDE/>
        <w:autoSpaceDN/>
        <w:bidi w:val="0"/>
        <w:adjustRightInd/>
        <w:snapToGrid/>
        <w:spacing w:line="360" w:lineRule="exact"/>
        <w:ind w:firstLine="440" w:firstLineChars="200"/>
        <w:jc w:val="left"/>
        <w:textAlignment w:val="auto"/>
        <w:rPr>
          <w:rFonts w:hint="eastAsia" w:ascii="黑体" w:hAnsi="黑体" w:eastAsia="黑体" w:cs="黑体"/>
          <w:color w:val="auto"/>
          <w:sz w:val="22"/>
          <w:szCs w:val="22"/>
        </w:rPr>
      </w:pPr>
      <w:r>
        <w:rPr>
          <w:rFonts w:hint="eastAsia" w:ascii="黑体" w:hAnsi="黑体" w:eastAsia="黑体" w:cs="黑体"/>
          <w:color w:val="auto"/>
          <w:sz w:val="22"/>
          <w:szCs w:val="22"/>
        </w:rPr>
        <w:t>第四处，在“采购文件中明确的所属行业”下划线处填写采购标的对应的中小企业划分标准所属行业（所属行业可在招标文件“其他关键信息”章节查看）；</w:t>
      </w:r>
    </w:p>
    <w:p w14:paraId="40B81BCA">
      <w:pPr>
        <w:keepNext w:val="0"/>
        <w:keepLines w:val="0"/>
        <w:pageBreakBefore w:val="0"/>
        <w:kinsoku/>
        <w:wordWrap/>
        <w:overflowPunct/>
        <w:topLinePunct w:val="0"/>
        <w:autoSpaceDE/>
        <w:autoSpaceDN/>
        <w:bidi w:val="0"/>
        <w:adjustRightInd/>
        <w:snapToGrid/>
        <w:spacing w:line="360" w:lineRule="exact"/>
        <w:ind w:firstLine="440" w:firstLineChars="200"/>
        <w:jc w:val="left"/>
        <w:textAlignment w:val="auto"/>
        <w:rPr>
          <w:rFonts w:hint="eastAsia" w:ascii="黑体" w:hAnsi="黑体" w:eastAsia="黑体" w:cs="黑体"/>
          <w:color w:val="auto"/>
          <w:sz w:val="22"/>
          <w:szCs w:val="22"/>
        </w:rPr>
      </w:pPr>
      <w:r>
        <w:rPr>
          <w:rFonts w:hint="eastAsia" w:ascii="黑体" w:hAnsi="黑体" w:eastAsia="黑体" w:cs="黑体"/>
          <w:color w:val="auto"/>
          <w:sz w:val="22"/>
          <w:szCs w:val="22"/>
        </w:rPr>
        <w:t>第五处，在“企业名称”下划线处如实填写承接企业名称；在“从业人员”、“营业收入”、“资产总额”下划线处如实填写从业人员、营业收入、资产总额；在“中型企业、小型企业、微型企业”下划线处如实依照300号文填写相应的企业类型；从业人员、营业收入、资产总额填报上一年度数据，无上一年度数据的新成立企业可以不填报。</w:t>
      </w:r>
    </w:p>
    <w:p w14:paraId="4B480309">
      <w:pPr>
        <w:keepNext w:val="0"/>
        <w:keepLines w:val="0"/>
        <w:pageBreakBefore w:val="0"/>
        <w:kinsoku/>
        <w:wordWrap/>
        <w:overflowPunct/>
        <w:topLinePunct w:val="0"/>
        <w:autoSpaceDE/>
        <w:autoSpaceDN/>
        <w:bidi w:val="0"/>
        <w:adjustRightInd/>
        <w:snapToGrid/>
        <w:spacing w:line="360" w:lineRule="exact"/>
        <w:ind w:firstLine="440" w:firstLineChars="200"/>
        <w:jc w:val="left"/>
        <w:textAlignment w:val="auto"/>
        <w:rPr>
          <w:rFonts w:hint="eastAsia" w:ascii="黑体" w:hAnsi="黑体" w:eastAsia="黑体" w:cs="黑体"/>
          <w:color w:val="auto"/>
          <w:sz w:val="22"/>
          <w:szCs w:val="22"/>
        </w:rPr>
      </w:pPr>
      <w:r>
        <w:rPr>
          <w:rFonts w:hint="eastAsia" w:ascii="黑体" w:hAnsi="黑体" w:eastAsia="黑体" w:cs="黑体"/>
          <w:color w:val="auto"/>
          <w:sz w:val="22"/>
          <w:szCs w:val="22"/>
        </w:rPr>
        <w:t>（2）声明是残疾人福利性单位须填写《残疾人福利性单位声明函》的相关内容，具体参照以上《中小企业声明函》填写要求执行。</w:t>
      </w:r>
    </w:p>
    <w:p w14:paraId="50D7F216">
      <w:pPr>
        <w:keepNext w:val="0"/>
        <w:keepLines w:val="0"/>
        <w:pageBreakBefore w:val="0"/>
        <w:kinsoku/>
        <w:wordWrap/>
        <w:overflowPunct/>
        <w:topLinePunct w:val="0"/>
        <w:autoSpaceDE/>
        <w:autoSpaceDN/>
        <w:bidi w:val="0"/>
        <w:adjustRightInd/>
        <w:snapToGrid/>
        <w:spacing w:line="360" w:lineRule="exact"/>
        <w:ind w:firstLine="440" w:firstLineChars="200"/>
        <w:jc w:val="left"/>
        <w:textAlignment w:val="auto"/>
        <w:rPr>
          <w:rFonts w:hint="eastAsia" w:ascii="黑体" w:hAnsi="黑体" w:eastAsia="黑体" w:cs="黑体"/>
          <w:color w:val="auto"/>
          <w:sz w:val="22"/>
          <w:szCs w:val="22"/>
        </w:rPr>
      </w:pPr>
      <w:r>
        <w:rPr>
          <w:rFonts w:hint="eastAsia" w:ascii="黑体" w:hAnsi="黑体" w:eastAsia="黑体" w:cs="黑体"/>
          <w:color w:val="auto"/>
          <w:sz w:val="22"/>
          <w:szCs w:val="22"/>
        </w:rPr>
        <w:t>（3）声明是监狱企业须填写《监狱企业声明函》的三项内容（填写位置的字体已加粗），具体参照以上《中小企业声明函》填写要求执行。</w:t>
      </w:r>
    </w:p>
    <w:p w14:paraId="3F8689E7">
      <w:pPr>
        <w:keepNext w:val="0"/>
        <w:keepLines w:val="0"/>
        <w:pageBreakBefore w:val="0"/>
        <w:kinsoku/>
        <w:wordWrap/>
        <w:overflowPunct/>
        <w:topLinePunct w:val="0"/>
        <w:autoSpaceDE/>
        <w:autoSpaceDN/>
        <w:bidi w:val="0"/>
        <w:adjustRightInd/>
        <w:snapToGrid/>
        <w:spacing w:line="360" w:lineRule="exact"/>
        <w:ind w:firstLine="440" w:firstLineChars="200"/>
        <w:jc w:val="left"/>
        <w:textAlignment w:val="auto"/>
        <w:rPr>
          <w:rFonts w:hint="eastAsia" w:ascii="黑体" w:hAnsi="黑体" w:eastAsia="黑体" w:cs="黑体"/>
          <w:color w:val="auto"/>
          <w:sz w:val="22"/>
          <w:szCs w:val="22"/>
        </w:rPr>
      </w:pPr>
      <w:r>
        <w:rPr>
          <w:rFonts w:hint="eastAsia" w:ascii="黑体" w:hAnsi="黑体" w:eastAsia="黑体" w:cs="黑体"/>
          <w:color w:val="auto"/>
          <w:sz w:val="22"/>
          <w:szCs w:val="22"/>
        </w:rPr>
        <w:t>5、声明函的有效性最终由评审委员会判定。</w:t>
      </w:r>
    </w:p>
    <w:p w14:paraId="4DDC316D">
      <w:pPr>
        <w:keepNext w:val="0"/>
        <w:keepLines w:val="0"/>
        <w:pageBreakBefore w:val="0"/>
        <w:kinsoku/>
        <w:wordWrap/>
        <w:overflowPunct/>
        <w:topLinePunct w:val="0"/>
        <w:autoSpaceDE/>
        <w:autoSpaceDN/>
        <w:bidi w:val="0"/>
        <w:adjustRightInd/>
        <w:snapToGrid/>
        <w:spacing w:line="360" w:lineRule="exact"/>
        <w:ind w:firstLine="440" w:firstLineChars="200"/>
        <w:jc w:val="left"/>
        <w:textAlignment w:val="auto"/>
        <w:rPr>
          <w:rFonts w:hint="eastAsia" w:ascii="黑体" w:hAnsi="黑体" w:eastAsia="黑体" w:cs="黑体"/>
          <w:color w:val="auto"/>
          <w:sz w:val="22"/>
          <w:szCs w:val="22"/>
        </w:rPr>
      </w:pPr>
      <w:r>
        <w:rPr>
          <w:rFonts w:hint="eastAsia" w:ascii="黑体" w:hAnsi="黑体" w:eastAsia="黑体" w:cs="黑体"/>
          <w:color w:val="auto"/>
          <w:sz w:val="22"/>
          <w:szCs w:val="22"/>
        </w:rPr>
        <w:t>6、中标、成交供应商享受《政府采购促进中小企业发展管理办法》（财库〔2020〕46号）规定的中小企业扶持政策的，《中小企业声明函》随中标、成交结果公示。</w:t>
      </w:r>
    </w:p>
    <w:p w14:paraId="67E7C4A0">
      <w:pPr>
        <w:ind w:firstLine="422" w:firstLineChars="200"/>
        <w:jc w:val="center"/>
        <w:rPr>
          <w:b/>
          <w:bCs/>
        </w:rPr>
      </w:pPr>
    </w:p>
    <w:p w14:paraId="72139BF2">
      <w:pPr>
        <w:ind w:firstLine="422" w:firstLineChars="200"/>
        <w:jc w:val="center"/>
        <w:rPr>
          <w:b/>
          <w:bCs/>
        </w:rPr>
      </w:pPr>
      <w:r>
        <w:rPr>
          <w:rFonts w:hint="eastAsia" w:eastAsia="宋体"/>
          <w:b/>
          <w:bCs/>
          <w:lang w:eastAsia="zh-CN"/>
        </w:rPr>
        <w:t>（</w:t>
      </w:r>
      <w:r>
        <w:rPr>
          <w:rFonts w:hint="eastAsia" w:eastAsia="宋体"/>
          <w:b/>
          <w:bCs/>
          <w:lang w:val="en-US" w:eastAsia="zh-CN"/>
        </w:rPr>
        <w:t>一</w:t>
      </w:r>
      <w:r>
        <w:rPr>
          <w:rFonts w:hint="eastAsia" w:eastAsia="宋体"/>
          <w:b/>
          <w:bCs/>
          <w:lang w:eastAsia="zh-CN"/>
        </w:rPr>
        <w:t>）</w:t>
      </w:r>
      <w:r>
        <w:rPr>
          <w:b/>
          <w:bCs/>
        </w:rPr>
        <w:t>中小企业声明函</w:t>
      </w:r>
    </w:p>
    <w:p w14:paraId="7ED276A7">
      <w:pPr>
        <w:ind w:firstLine="440" w:firstLineChars="200"/>
        <w:rPr>
          <w:rFonts w:hint="eastAsia" w:ascii="宋体" w:hAnsi="宋体" w:eastAsia="宋体" w:cs="宋体"/>
          <w:sz w:val="22"/>
          <w:szCs w:val="22"/>
        </w:rPr>
      </w:pPr>
      <w:r>
        <w:rPr>
          <w:rFonts w:hint="eastAsia" w:ascii="宋体" w:hAnsi="宋体" w:eastAsia="宋体" w:cs="宋体"/>
          <w:sz w:val="22"/>
          <w:szCs w:val="22"/>
        </w:rPr>
        <w:t>本公司（联合体）郑重声明，根据《政府采购促进中小企业发展管理办法》（财库﹝2020﹞46 号）的规定，本公司（联合体）参加</w:t>
      </w:r>
      <w:r>
        <w:rPr>
          <w:rFonts w:hint="eastAsia" w:ascii="宋体" w:hAnsi="宋体" w:eastAsia="宋体" w:cs="宋体"/>
          <w:b/>
          <w:bCs/>
          <w:sz w:val="22"/>
          <w:szCs w:val="22"/>
          <w:u w:val="single"/>
        </w:rPr>
        <w:t>（采购单位名称）</w:t>
      </w:r>
      <w:r>
        <w:rPr>
          <w:rFonts w:hint="eastAsia" w:ascii="宋体" w:hAnsi="宋体" w:eastAsia="宋体" w:cs="宋体"/>
          <w:sz w:val="22"/>
          <w:szCs w:val="22"/>
        </w:rPr>
        <w:t>的</w:t>
      </w:r>
      <w:r>
        <w:rPr>
          <w:rFonts w:hint="eastAsia" w:ascii="宋体" w:hAnsi="宋体" w:eastAsia="宋体" w:cs="宋体"/>
          <w:b/>
          <w:bCs/>
          <w:sz w:val="22"/>
          <w:szCs w:val="22"/>
          <w:u w:val="single"/>
        </w:rPr>
        <w:t>（采购项目名称）</w:t>
      </w:r>
      <w:r>
        <w:rPr>
          <w:rFonts w:hint="eastAsia" w:ascii="宋体" w:hAnsi="宋体" w:eastAsia="宋体" w:cs="宋体"/>
          <w:sz w:val="22"/>
          <w:szCs w:val="22"/>
        </w:rPr>
        <w:t>采购活动，服务全部由符合政策要求的中小企业承接。相关企业（含联合体中的中小企业、签订分包意向协议的中小企业）的具体情况如下：</w:t>
      </w:r>
    </w:p>
    <w:p w14:paraId="685F9F00">
      <w:pPr>
        <w:ind w:firstLine="442" w:firstLineChars="200"/>
        <w:rPr>
          <w:rFonts w:hint="eastAsia" w:ascii="宋体" w:hAnsi="宋体" w:eastAsia="宋体" w:cs="宋体"/>
          <w:sz w:val="22"/>
          <w:szCs w:val="22"/>
        </w:rPr>
      </w:pPr>
      <w:r>
        <w:rPr>
          <w:rFonts w:hint="eastAsia" w:ascii="宋体" w:hAnsi="宋体" w:eastAsia="宋体" w:cs="宋体"/>
          <w:b/>
          <w:bCs/>
          <w:sz w:val="22"/>
          <w:szCs w:val="22"/>
          <w:u w:val="single"/>
        </w:rPr>
        <w:t>（</w:t>
      </w:r>
      <w:r>
        <w:rPr>
          <w:rFonts w:hint="eastAsia" w:ascii="宋体" w:hAnsi="宋体" w:cs="宋体"/>
          <w:b/>
          <w:bCs/>
          <w:sz w:val="22"/>
          <w:szCs w:val="22"/>
          <w:u w:val="single"/>
          <w:lang w:eastAsia="zh-CN"/>
        </w:rPr>
        <w:t>**************项目</w:t>
      </w:r>
      <w:r>
        <w:rPr>
          <w:rFonts w:hint="eastAsia" w:ascii="宋体" w:hAnsi="宋体" w:eastAsia="宋体" w:cs="宋体"/>
          <w:b/>
          <w:bCs/>
          <w:sz w:val="22"/>
          <w:szCs w:val="22"/>
          <w:u w:val="single"/>
        </w:rPr>
        <w:t>）</w:t>
      </w:r>
      <w:r>
        <w:rPr>
          <w:rFonts w:hint="eastAsia" w:ascii="宋体" w:hAnsi="宋体" w:eastAsia="宋体" w:cs="宋体"/>
          <w:sz w:val="22"/>
          <w:szCs w:val="22"/>
        </w:rPr>
        <w:t>，属于</w:t>
      </w:r>
      <w:r>
        <w:rPr>
          <w:rFonts w:hint="eastAsia" w:ascii="宋体" w:hAnsi="宋体" w:eastAsia="宋体" w:cs="宋体"/>
          <w:b/>
          <w:bCs/>
          <w:sz w:val="22"/>
          <w:szCs w:val="22"/>
          <w:u w:val="single"/>
        </w:rPr>
        <w:t>（</w:t>
      </w:r>
      <w:r>
        <w:rPr>
          <w:rFonts w:hint="eastAsia" w:ascii="宋体" w:hAnsi="宋体" w:eastAsia="宋体" w:cs="宋体"/>
          <w:b/>
          <w:bCs/>
          <w:color w:val="FF0000"/>
          <w:sz w:val="22"/>
          <w:szCs w:val="22"/>
          <w:u w:val="single"/>
          <w:lang w:val="en-US" w:eastAsia="zh-CN"/>
        </w:rPr>
        <w:t>其他未列明行业</w:t>
      </w:r>
      <w:r>
        <w:rPr>
          <w:rFonts w:hint="eastAsia" w:ascii="宋体" w:hAnsi="宋体" w:eastAsia="宋体" w:cs="宋体"/>
          <w:b/>
          <w:bCs/>
          <w:sz w:val="22"/>
          <w:szCs w:val="22"/>
          <w:u w:val="single"/>
        </w:rPr>
        <w:t>）</w:t>
      </w:r>
      <w:r>
        <w:rPr>
          <w:rFonts w:hint="eastAsia" w:ascii="宋体" w:hAnsi="宋体" w:eastAsia="宋体" w:cs="宋体"/>
          <w:sz w:val="22"/>
          <w:szCs w:val="22"/>
        </w:rPr>
        <w:t>；承接企业为</w:t>
      </w:r>
      <w:r>
        <w:rPr>
          <w:rFonts w:hint="eastAsia" w:ascii="宋体" w:hAnsi="宋体" w:eastAsia="宋体" w:cs="宋体"/>
          <w:b/>
          <w:bCs/>
          <w:sz w:val="22"/>
          <w:szCs w:val="22"/>
          <w:u w:val="single"/>
        </w:rPr>
        <w:t>（企业名称）</w:t>
      </w:r>
      <w:r>
        <w:rPr>
          <w:rFonts w:hint="eastAsia" w:ascii="宋体" w:hAnsi="宋体" w:eastAsia="宋体" w:cs="宋体"/>
          <w:b/>
          <w:bCs/>
          <w:sz w:val="22"/>
          <w:szCs w:val="22"/>
        </w:rPr>
        <w:t>，从业人员</w:t>
      </w:r>
      <w:r>
        <w:rPr>
          <w:rFonts w:hint="eastAsia" w:ascii="宋体" w:hAnsi="宋体" w:eastAsia="宋体" w:cs="宋体"/>
          <w:b/>
          <w:bCs/>
          <w:sz w:val="22"/>
          <w:szCs w:val="22"/>
          <w:u w:val="single"/>
        </w:rPr>
        <w:tab/>
      </w:r>
      <w:r>
        <w:rPr>
          <w:rFonts w:hint="eastAsia" w:ascii="宋体" w:hAnsi="宋体" w:eastAsia="宋体" w:cs="宋体"/>
          <w:b/>
          <w:bCs/>
          <w:sz w:val="22"/>
          <w:szCs w:val="22"/>
          <w:u w:val="single"/>
        </w:rPr>
        <w:t xml:space="preserve">  </w:t>
      </w:r>
      <w:r>
        <w:rPr>
          <w:rFonts w:hint="eastAsia" w:ascii="宋体" w:hAnsi="宋体" w:eastAsia="宋体" w:cs="宋体"/>
          <w:b/>
          <w:bCs/>
          <w:sz w:val="22"/>
          <w:szCs w:val="22"/>
        </w:rPr>
        <w:t>人，营业收入为</w:t>
      </w:r>
      <w:r>
        <w:rPr>
          <w:rFonts w:hint="eastAsia" w:ascii="宋体" w:hAnsi="宋体" w:eastAsia="宋体" w:cs="宋体"/>
          <w:b/>
          <w:bCs/>
          <w:sz w:val="22"/>
          <w:szCs w:val="22"/>
          <w:u w:val="single"/>
        </w:rPr>
        <w:tab/>
      </w:r>
      <w:r>
        <w:rPr>
          <w:rFonts w:hint="eastAsia" w:ascii="宋体" w:hAnsi="宋体" w:eastAsia="宋体" w:cs="宋体"/>
          <w:b/>
          <w:bCs/>
          <w:sz w:val="22"/>
          <w:szCs w:val="22"/>
        </w:rPr>
        <w:t>万元，资产总额为</w:t>
      </w:r>
      <w:r>
        <w:rPr>
          <w:rFonts w:hint="eastAsia" w:ascii="宋体" w:hAnsi="宋体" w:eastAsia="宋体" w:cs="宋体"/>
          <w:b/>
          <w:bCs/>
          <w:sz w:val="22"/>
          <w:szCs w:val="22"/>
          <w:u w:val="single"/>
        </w:rPr>
        <w:tab/>
      </w:r>
      <w:r>
        <w:rPr>
          <w:rFonts w:hint="eastAsia" w:ascii="宋体" w:hAnsi="宋体" w:eastAsia="宋体" w:cs="宋体"/>
          <w:b/>
          <w:bCs/>
          <w:sz w:val="22"/>
          <w:szCs w:val="22"/>
        </w:rPr>
        <w:t>万元，属于</w:t>
      </w:r>
      <w:r>
        <w:rPr>
          <w:rFonts w:hint="eastAsia" w:ascii="宋体" w:hAnsi="宋体" w:eastAsia="宋体" w:cs="宋体"/>
          <w:b/>
          <w:bCs/>
          <w:sz w:val="22"/>
          <w:szCs w:val="22"/>
          <w:u w:val="single"/>
        </w:rPr>
        <w:t>（中型企业、小型企业、微型企业）</w:t>
      </w:r>
    </w:p>
    <w:p w14:paraId="2A91E751">
      <w:pPr>
        <w:ind w:firstLine="442" w:firstLineChars="200"/>
        <w:rPr>
          <w:rFonts w:hint="eastAsia" w:ascii="宋体" w:hAnsi="宋体" w:eastAsia="宋体" w:cs="宋体"/>
          <w:sz w:val="22"/>
          <w:szCs w:val="22"/>
        </w:rPr>
      </w:pPr>
      <w:r>
        <w:rPr>
          <w:rFonts w:hint="eastAsia" w:ascii="宋体" w:hAnsi="宋体" w:eastAsia="宋体" w:cs="宋体"/>
          <w:b/>
          <w:bCs/>
          <w:sz w:val="22"/>
          <w:szCs w:val="22"/>
          <w:u w:val="single"/>
        </w:rPr>
        <w:t>（标的名称）</w:t>
      </w:r>
      <w:r>
        <w:rPr>
          <w:rFonts w:hint="eastAsia" w:ascii="宋体" w:hAnsi="宋体" w:eastAsia="宋体" w:cs="宋体"/>
          <w:sz w:val="22"/>
          <w:szCs w:val="22"/>
        </w:rPr>
        <w:t>，属于</w:t>
      </w:r>
      <w:r>
        <w:rPr>
          <w:rFonts w:hint="eastAsia" w:ascii="宋体" w:hAnsi="宋体" w:eastAsia="宋体" w:cs="宋体"/>
          <w:b/>
          <w:bCs/>
          <w:sz w:val="22"/>
          <w:szCs w:val="22"/>
          <w:u w:val="single"/>
        </w:rPr>
        <w:t>（采购文件中明确的所属行业）</w:t>
      </w:r>
      <w:r>
        <w:rPr>
          <w:rFonts w:hint="eastAsia" w:ascii="宋体" w:hAnsi="宋体" w:eastAsia="宋体" w:cs="宋体"/>
          <w:sz w:val="22"/>
          <w:szCs w:val="22"/>
        </w:rPr>
        <w:t>；承接企业为</w:t>
      </w:r>
      <w:r>
        <w:rPr>
          <w:rFonts w:hint="eastAsia" w:ascii="宋体" w:hAnsi="宋体" w:eastAsia="宋体" w:cs="宋体"/>
          <w:b/>
          <w:bCs/>
          <w:sz w:val="22"/>
          <w:szCs w:val="22"/>
          <w:u w:val="single"/>
        </w:rPr>
        <w:t>（企业名称）</w:t>
      </w:r>
      <w:r>
        <w:rPr>
          <w:rFonts w:hint="eastAsia" w:ascii="宋体" w:hAnsi="宋体" w:eastAsia="宋体" w:cs="宋体"/>
          <w:b/>
          <w:bCs/>
          <w:sz w:val="22"/>
          <w:szCs w:val="22"/>
        </w:rPr>
        <w:t>，从业人员</w:t>
      </w:r>
      <w:r>
        <w:rPr>
          <w:rFonts w:hint="eastAsia" w:ascii="宋体" w:hAnsi="宋体" w:eastAsia="宋体" w:cs="宋体"/>
          <w:b/>
          <w:bCs/>
          <w:sz w:val="22"/>
          <w:szCs w:val="22"/>
          <w:u w:val="single"/>
        </w:rPr>
        <w:tab/>
      </w:r>
      <w:r>
        <w:rPr>
          <w:rFonts w:hint="eastAsia" w:ascii="宋体" w:hAnsi="宋体" w:eastAsia="宋体" w:cs="宋体"/>
          <w:b/>
          <w:bCs/>
          <w:sz w:val="22"/>
          <w:szCs w:val="22"/>
          <w:u w:val="single"/>
        </w:rPr>
        <w:t xml:space="preserve">  </w:t>
      </w:r>
      <w:r>
        <w:rPr>
          <w:rFonts w:hint="eastAsia" w:ascii="宋体" w:hAnsi="宋体" w:eastAsia="宋体" w:cs="宋体"/>
          <w:b/>
          <w:bCs/>
          <w:sz w:val="22"/>
          <w:szCs w:val="22"/>
        </w:rPr>
        <w:t>人，营业收入为</w:t>
      </w:r>
      <w:r>
        <w:rPr>
          <w:rFonts w:hint="eastAsia" w:ascii="宋体" w:hAnsi="宋体" w:eastAsia="宋体" w:cs="宋体"/>
          <w:b/>
          <w:bCs/>
          <w:sz w:val="22"/>
          <w:szCs w:val="22"/>
          <w:u w:val="single"/>
        </w:rPr>
        <w:tab/>
      </w:r>
      <w:r>
        <w:rPr>
          <w:rFonts w:hint="eastAsia" w:ascii="宋体" w:hAnsi="宋体" w:eastAsia="宋体" w:cs="宋体"/>
          <w:b/>
          <w:bCs/>
          <w:sz w:val="22"/>
          <w:szCs w:val="22"/>
        </w:rPr>
        <w:t>万元，资产总额为</w:t>
      </w:r>
      <w:r>
        <w:rPr>
          <w:rFonts w:hint="eastAsia" w:ascii="宋体" w:hAnsi="宋体" w:eastAsia="宋体" w:cs="宋体"/>
          <w:b/>
          <w:bCs/>
          <w:sz w:val="22"/>
          <w:szCs w:val="22"/>
          <w:u w:val="single"/>
        </w:rPr>
        <w:tab/>
      </w:r>
      <w:r>
        <w:rPr>
          <w:rFonts w:hint="eastAsia" w:ascii="宋体" w:hAnsi="宋体" w:eastAsia="宋体" w:cs="宋体"/>
          <w:b/>
          <w:bCs/>
          <w:sz w:val="22"/>
          <w:szCs w:val="22"/>
        </w:rPr>
        <w:t>万元，属于</w:t>
      </w:r>
      <w:r>
        <w:rPr>
          <w:rFonts w:hint="eastAsia" w:ascii="宋体" w:hAnsi="宋体" w:eastAsia="宋体" w:cs="宋体"/>
          <w:b/>
          <w:bCs/>
          <w:sz w:val="22"/>
          <w:szCs w:val="22"/>
          <w:u w:val="single"/>
        </w:rPr>
        <w:t>（中型企业、小型企业、微型企业）</w:t>
      </w:r>
    </w:p>
    <w:p w14:paraId="513132CB">
      <w:pPr>
        <w:ind w:firstLine="440" w:firstLineChars="200"/>
        <w:rPr>
          <w:rFonts w:hint="eastAsia" w:ascii="宋体" w:hAnsi="宋体" w:eastAsia="宋体" w:cs="宋体"/>
          <w:sz w:val="22"/>
          <w:szCs w:val="22"/>
        </w:rPr>
      </w:pPr>
      <w:r>
        <w:rPr>
          <w:rFonts w:hint="eastAsia" w:ascii="宋体" w:hAnsi="宋体" w:eastAsia="宋体" w:cs="宋体"/>
          <w:sz w:val="22"/>
          <w:szCs w:val="22"/>
        </w:rPr>
        <w:t>……</w:t>
      </w:r>
    </w:p>
    <w:p w14:paraId="6C01DA08">
      <w:pPr>
        <w:ind w:firstLine="440" w:firstLineChars="200"/>
        <w:rPr>
          <w:rFonts w:hint="eastAsia" w:ascii="宋体" w:hAnsi="宋体" w:eastAsia="宋体" w:cs="宋体"/>
          <w:sz w:val="22"/>
          <w:szCs w:val="22"/>
        </w:rPr>
      </w:pPr>
      <w:r>
        <w:rPr>
          <w:rFonts w:hint="eastAsia" w:ascii="宋体" w:hAnsi="宋体" w:eastAsia="宋体" w:cs="宋体"/>
          <w:sz w:val="22"/>
          <w:szCs w:val="22"/>
        </w:rPr>
        <w:t>以上企业，不属于大企业的分支机构，不存在控股股东为大企业的情形，也不存在与大企业的负责人为同一人的情形。</w:t>
      </w:r>
    </w:p>
    <w:p w14:paraId="51EA1A45">
      <w:pPr>
        <w:ind w:firstLine="440" w:firstLineChars="200"/>
        <w:rPr>
          <w:rFonts w:hint="eastAsia" w:ascii="宋体" w:hAnsi="宋体" w:eastAsia="宋体" w:cs="宋体"/>
          <w:sz w:val="22"/>
          <w:szCs w:val="22"/>
        </w:rPr>
      </w:pPr>
      <w:r>
        <w:rPr>
          <w:rFonts w:hint="eastAsia" w:ascii="宋体" w:hAnsi="宋体" w:eastAsia="宋体" w:cs="宋体"/>
          <w:sz w:val="22"/>
          <w:szCs w:val="22"/>
        </w:rPr>
        <w:t>本企业对上述声明内容的真实性负责。如有虚假，将依法承担相应责任。</w:t>
      </w:r>
    </w:p>
    <w:p w14:paraId="118972E7">
      <w:pPr>
        <w:ind w:firstLine="440" w:firstLineChars="200"/>
        <w:rPr>
          <w:sz w:val="22"/>
          <w:szCs w:val="22"/>
        </w:rPr>
      </w:pPr>
      <w:r>
        <w:rPr>
          <w:rFonts w:hint="eastAsia" w:ascii="宋体" w:hAnsi="宋体" w:eastAsia="宋体" w:cs="宋体"/>
          <w:sz w:val="22"/>
          <w:szCs w:val="22"/>
        </w:rPr>
        <w:t>本公司知悉《政府采购促进中小企业发展管理办法》（财库〔2020〕 46 号）、《中小企业划型标准规定》（工信部联企〔2011〕 300 号）、《统计上大中小微型企业划分办法（2017）》等 规定，承诺提供的声明函内容是真实的，并知悉根据《政府 采购促进中小企业发展管理办法》（财库〔2020〕46 号）第二十条规定，本公司按照本办法规定提供声明函内容不实的，属于提供虚假材料谋取中标、成交，依照《政府采购法》等政府采购有关法律法规规定追究相应责任。</w:t>
      </w:r>
    </w:p>
    <w:p w14:paraId="046B90F3">
      <w:pPr>
        <w:ind w:firstLine="440" w:firstLineChars="200"/>
        <w:jc w:val="center"/>
        <w:rPr>
          <w:rFonts w:ascii="宋体" w:hAnsi="宋体" w:cs="宋体"/>
          <w:sz w:val="22"/>
          <w:szCs w:val="22"/>
          <w:u w:val="single"/>
        </w:rPr>
      </w:pPr>
      <w:r>
        <w:rPr>
          <w:rFonts w:hint="eastAsia" w:ascii="宋体" w:hAnsi="宋体" w:cs="宋体"/>
          <w:sz w:val="22"/>
          <w:szCs w:val="22"/>
        </w:rPr>
        <w:t>企业名称：</w:t>
      </w:r>
      <w:r>
        <w:rPr>
          <w:rFonts w:hint="eastAsia" w:ascii="宋体" w:hAnsi="宋体" w:cs="宋体"/>
          <w:sz w:val="22"/>
          <w:szCs w:val="22"/>
          <w:u w:val="single"/>
        </w:rPr>
        <w:t xml:space="preserve">          </w:t>
      </w:r>
    </w:p>
    <w:p w14:paraId="1ADCA394">
      <w:pPr>
        <w:ind w:firstLine="420" w:firstLineChars="200"/>
        <w:jc w:val="center"/>
      </w:pPr>
      <w:r>
        <w:rPr>
          <w:rFonts w:hint="eastAsia" w:ascii="宋体" w:hAnsi="宋体"/>
        </w:rPr>
        <w:t>日期：</w:t>
      </w:r>
      <w:r>
        <w:rPr>
          <w:rFonts w:hint="eastAsia"/>
          <w:u w:val="single"/>
        </w:rPr>
        <w:t xml:space="preserve">               </w:t>
      </w:r>
    </w:p>
    <w:p w14:paraId="21149437">
      <w:r>
        <w:rPr>
          <w:rFonts w:hint="eastAsia" w:ascii="宋体" w:hAnsi="宋体"/>
        </w:rPr>
        <w:t>（从业人员、营业收入、资产总额上一年度数据，无上一年度数据的新成立企业可不填报）</w:t>
      </w:r>
    </w:p>
    <w:p w14:paraId="3ACD6080">
      <w:pPr>
        <w:rPr>
          <w:rFonts w:hint="eastAsia"/>
          <w:b/>
          <w:bCs/>
        </w:rPr>
      </w:pPr>
    </w:p>
    <w:p w14:paraId="0C5A21A8">
      <w:pPr>
        <w:ind w:firstLine="422" w:firstLineChars="200"/>
        <w:jc w:val="center"/>
        <w:rPr>
          <w:b/>
          <w:bCs/>
        </w:rPr>
      </w:pPr>
      <w:r>
        <w:rPr>
          <w:rFonts w:hint="eastAsia" w:eastAsia="宋体"/>
          <w:b/>
          <w:bCs/>
          <w:lang w:eastAsia="zh-CN"/>
        </w:rPr>
        <w:t>（</w:t>
      </w:r>
      <w:r>
        <w:rPr>
          <w:rFonts w:hint="eastAsia" w:eastAsia="宋体"/>
          <w:b/>
          <w:bCs/>
          <w:lang w:val="en-US" w:eastAsia="zh-CN"/>
        </w:rPr>
        <w:t>二</w:t>
      </w:r>
      <w:r>
        <w:rPr>
          <w:rFonts w:hint="eastAsia" w:eastAsia="宋体"/>
          <w:b/>
          <w:bCs/>
          <w:lang w:eastAsia="zh-CN"/>
        </w:rPr>
        <w:t>）</w:t>
      </w:r>
      <w:r>
        <w:rPr>
          <w:rFonts w:hint="eastAsia"/>
          <w:b/>
          <w:bCs/>
        </w:rPr>
        <w:t>残疾人福利性单位声明函</w:t>
      </w:r>
    </w:p>
    <w:p w14:paraId="15573AFF">
      <w:pPr>
        <w:keepNext w:val="0"/>
        <w:keepLines w:val="0"/>
        <w:pageBreakBefore w:val="0"/>
        <w:widowControl/>
        <w:kinsoku/>
        <w:wordWrap/>
        <w:overflowPunct/>
        <w:topLinePunct w:val="0"/>
        <w:autoSpaceDE/>
        <w:autoSpaceDN/>
        <w:bidi w:val="0"/>
        <w:adjustRightInd/>
        <w:snapToGrid/>
        <w:spacing w:line="360" w:lineRule="exact"/>
        <w:ind w:firstLine="464" w:firstLineChars="200"/>
        <w:jc w:val="left"/>
        <w:textAlignment w:val="auto"/>
        <w:rPr>
          <w:spacing w:val="6"/>
          <w:sz w:val="22"/>
        </w:rPr>
      </w:pPr>
      <w:r>
        <w:rPr>
          <w:spacing w:val="6"/>
          <w:sz w:val="22"/>
        </w:rPr>
        <w:t>本单位郑重声明，根据《财政部 民政部 中国残疾人联合会关于促进残疾人就业政府采购政策的通知》（财库</w:t>
      </w:r>
      <w:r>
        <w:rPr>
          <w:sz w:val="22"/>
        </w:rPr>
        <w:t>〔2017〕 141</w:t>
      </w:r>
      <w:r>
        <w:rPr>
          <w:spacing w:val="6"/>
          <w:sz w:val="22"/>
        </w:rPr>
        <w:t>号）的规定，本单位为符合条件的残疾人福利性单位，</w:t>
      </w:r>
      <w:r>
        <w:rPr>
          <w:rFonts w:hint="eastAsia" w:ascii="宋体" w:hAnsi="宋体"/>
          <w:szCs w:val="21"/>
        </w:rPr>
        <w:t>且本单位参加</w:t>
      </w:r>
      <w:r>
        <w:rPr>
          <w:rFonts w:hint="eastAsia" w:ascii="宋体" w:hAnsi="宋体"/>
          <w:b/>
          <w:szCs w:val="21"/>
          <w:u w:val="single"/>
        </w:rPr>
        <w:t xml:space="preserve">  （采购单位名称）</w:t>
      </w:r>
      <w:r>
        <w:rPr>
          <w:rFonts w:hint="eastAsia" w:ascii="宋体" w:hAnsi="宋体"/>
          <w:szCs w:val="21"/>
        </w:rPr>
        <w:t>单位的</w:t>
      </w:r>
      <w:r>
        <w:rPr>
          <w:rFonts w:hint="eastAsia" w:ascii="宋体" w:hAnsi="宋体"/>
          <w:b/>
          <w:szCs w:val="21"/>
          <w:u w:val="single"/>
        </w:rPr>
        <w:t>（采购项目名称）</w:t>
      </w:r>
      <w:r>
        <w:rPr>
          <w:rFonts w:hint="eastAsia" w:ascii="宋体" w:hAnsi="宋体"/>
          <w:szCs w:val="21"/>
        </w:rPr>
        <w:t>项目采购活动，并由本单位提供服务</w:t>
      </w:r>
      <w:r>
        <w:rPr>
          <w:spacing w:val="6"/>
          <w:sz w:val="22"/>
        </w:rPr>
        <w:t>。</w:t>
      </w:r>
    </w:p>
    <w:p w14:paraId="132FFC03">
      <w:pPr>
        <w:spacing w:line="360" w:lineRule="exact"/>
        <w:ind w:firstLine="464" w:firstLineChars="200"/>
        <w:jc w:val="left"/>
        <w:rPr>
          <w:spacing w:val="6"/>
          <w:sz w:val="22"/>
        </w:rPr>
      </w:pPr>
      <w:r>
        <w:rPr>
          <w:rFonts w:hint="eastAsia"/>
          <w:spacing w:val="6"/>
          <w:sz w:val="22"/>
        </w:rPr>
        <w:t>本单位对上述声明的真实性负责。如有虚假，将依法承担相应责任。</w:t>
      </w:r>
    </w:p>
    <w:p w14:paraId="10989B46">
      <w:pPr>
        <w:spacing w:line="360" w:lineRule="exact"/>
        <w:ind w:firstLine="464" w:firstLineChars="200"/>
        <w:jc w:val="left"/>
        <w:rPr>
          <w:rFonts w:ascii="宋体" w:hAnsi="宋体" w:cs="宋体"/>
          <w:b/>
          <w:spacing w:val="6"/>
          <w:sz w:val="22"/>
        </w:rPr>
      </w:pPr>
      <w:r>
        <w:rPr>
          <w:rFonts w:hint="eastAsia"/>
          <w:spacing w:val="6"/>
          <w:sz w:val="22"/>
        </w:rPr>
        <w:t>本单位知悉《关于促进残疾人就业政府采购政策的通知》(财库(2017141号)的规定,承诺提供的声明函内容是真实的,如提供声明函内容不实,则依法追究相关法律责任。</w:t>
      </w:r>
    </w:p>
    <w:p w14:paraId="2AB6B272">
      <w:pPr>
        <w:spacing w:line="360" w:lineRule="exact"/>
        <w:ind w:firstLine="440" w:firstLineChars="200"/>
        <w:rPr>
          <w:rFonts w:ascii="宋体" w:hAnsi="宋体" w:cs="宋体"/>
          <w:sz w:val="22"/>
        </w:rPr>
      </w:pPr>
    </w:p>
    <w:p w14:paraId="63BDAA89">
      <w:pPr>
        <w:jc w:val="center"/>
        <w:rPr>
          <w:rFonts w:hint="default" w:eastAsia="宋体"/>
          <w:lang w:val="en-US" w:eastAsia="zh-CN"/>
        </w:rPr>
      </w:pPr>
      <w:r>
        <w:rPr>
          <w:rFonts w:hint="eastAsia" w:ascii="宋体" w:hAnsi="宋体" w:eastAsia="宋体"/>
          <w:lang w:val="en-US" w:eastAsia="zh-CN"/>
        </w:rPr>
        <w:t xml:space="preserve">                                    </w:t>
      </w:r>
      <w:r>
        <w:rPr>
          <w:rFonts w:hint="eastAsia" w:ascii="宋体" w:hAnsi="宋体"/>
        </w:rPr>
        <w:t>单位名称：</w:t>
      </w:r>
      <w:r>
        <w:rPr>
          <w:rFonts w:hint="eastAsia" w:ascii="宋体" w:hAnsi="宋体" w:eastAsia="宋体"/>
          <w:u w:val="single"/>
          <w:lang w:val="en-US" w:eastAsia="zh-CN"/>
        </w:rPr>
        <w:t xml:space="preserve">           </w:t>
      </w:r>
    </w:p>
    <w:p w14:paraId="677A9E97">
      <w:pPr>
        <w:ind w:firstLine="420" w:firstLineChars="200"/>
        <w:jc w:val="center"/>
      </w:pPr>
      <w:r>
        <w:rPr>
          <w:rFonts w:hint="eastAsia" w:ascii="宋体" w:hAnsi="宋体"/>
        </w:rPr>
        <w:t xml:space="preserve">                                 日期：</w:t>
      </w:r>
      <w:r>
        <w:rPr>
          <w:rFonts w:hint="eastAsia"/>
          <w:u w:val="single"/>
        </w:rPr>
        <w:t xml:space="preserve">               </w:t>
      </w:r>
    </w:p>
    <w:p w14:paraId="7475D39F">
      <w:pPr>
        <w:spacing w:line="360" w:lineRule="exact"/>
        <w:jc w:val="center"/>
        <w:rPr>
          <w:rFonts w:hint="eastAsia" w:ascii="宋体" w:hAnsi="宋体" w:cs="宋体"/>
          <w:b/>
          <w:spacing w:val="6"/>
          <w:sz w:val="22"/>
        </w:rPr>
      </w:pPr>
    </w:p>
    <w:p w14:paraId="036D12E1">
      <w:pPr>
        <w:spacing w:line="360" w:lineRule="exact"/>
        <w:jc w:val="center"/>
        <w:rPr>
          <w:rFonts w:hint="eastAsia" w:ascii="宋体" w:hAnsi="宋体" w:cs="宋体"/>
          <w:b/>
          <w:spacing w:val="6"/>
          <w:sz w:val="22"/>
        </w:rPr>
      </w:pPr>
    </w:p>
    <w:p w14:paraId="5356F72D">
      <w:pPr>
        <w:spacing w:line="360" w:lineRule="exact"/>
        <w:jc w:val="center"/>
        <w:rPr>
          <w:rFonts w:ascii="宋体" w:hAnsi="宋体" w:cs="宋体"/>
          <w:b/>
          <w:bCs/>
          <w:sz w:val="22"/>
        </w:rPr>
      </w:pPr>
      <w:r>
        <w:rPr>
          <w:rFonts w:hint="eastAsia" w:ascii="宋体" w:hAnsi="宋体" w:cs="宋体"/>
          <w:b/>
          <w:spacing w:val="6"/>
          <w:sz w:val="22"/>
        </w:rPr>
        <w:t>（三）</w:t>
      </w:r>
      <w:r>
        <w:rPr>
          <w:rFonts w:hint="eastAsia"/>
          <w:b/>
          <w:sz w:val="24"/>
        </w:rPr>
        <w:t>监狱企业声明函（</w:t>
      </w:r>
      <w:r>
        <w:rPr>
          <w:b/>
          <w:spacing w:val="6"/>
          <w:sz w:val="22"/>
        </w:rPr>
        <w:t>省级以上监狱管理局、戒毒管理局(含新疆生产建设兵团)出具的属于监狱企业的证明文件原件的扫描件</w:t>
      </w:r>
      <w:r>
        <w:rPr>
          <w:rFonts w:hint="eastAsia"/>
          <w:b/>
          <w:sz w:val="24"/>
        </w:rPr>
        <w:t>）</w:t>
      </w:r>
    </w:p>
    <w:p w14:paraId="343287E5">
      <w:pPr>
        <w:spacing w:line="360" w:lineRule="exact"/>
        <w:jc w:val="left"/>
        <w:rPr>
          <w:rFonts w:hint="eastAsia" w:eastAsia="宋体"/>
          <w:b/>
          <w:spacing w:val="6"/>
          <w:sz w:val="22"/>
          <w:lang w:val="en-US" w:eastAsia="zh-CN"/>
        </w:rPr>
      </w:pPr>
      <w:r>
        <w:rPr>
          <w:b/>
          <w:spacing w:val="6"/>
          <w:sz w:val="22"/>
        </w:rPr>
        <w:t xml:space="preserve"> </w:t>
      </w:r>
      <w:r>
        <w:rPr>
          <w:rFonts w:hint="eastAsia" w:eastAsia="宋体"/>
          <w:b/>
          <w:spacing w:val="6"/>
          <w:sz w:val="22"/>
          <w:lang w:val="en-US" w:eastAsia="zh-CN"/>
        </w:rPr>
        <w:t xml:space="preserve">   </w:t>
      </w:r>
    </w:p>
    <w:p w14:paraId="5D353A29">
      <w:pPr>
        <w:spacing w:line="360" w:lineRule="exact"/>
        <w:ind w:firstLine="464" w:firstLineChars="200"/>
        <w:jc w:val="left"/>
        <w:rPr>
          <w:rFonts w:hint="eastAsia" w:ascii="Times New Roman" w:hAnsi="Times New Roman" w:eastAsia="Times New Roman" w:cs="Times New Roman"/>
          <w:spacing w:val="6"/>
          <w:sz w:val="22"/>
        </w:rPr>
      </w:pPr>
      <w:r>
        <w:rPr>
          <w:rFonts w:hint="eastAsia" w:ascii="Times New Roman" w:hAnsi="Times New Roman" w:eastAsia="Times New Roman" w:cs="Times New Roman"/>
          <w:spacing w:val="6"/>
          <w:sz w:val="22"/>
        </w:rPr>
        <w:t>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eastAsia="Times New Roman" w:cs="Times New Roman"/>
          <w:b/>
          <w:bCs/>
          <w:spacing w:val="6"/>
          <w:sz w:val="22"/>
          <w:u w:val="single"/>
        </w:rPr>
        <w:t>（采购单位名称）</w:t>
      </w:r>
      <w:r>
        <w:rPr>
          <w:rFonts w:hint="eastAsia" w:ascii="Times New Roman" w:hAnsi="Times New Roman" w:eastAsia="Times New Roman" w:cs="Times New Roman"/>
          <w:spacing w:val="6"/>
          <w:sz w:val="22"/>
          <w:u w:val="none"/>
        </w:rPr>
        <w:t>单位的</w:t>
      </w:r>
      <w:r>
        <w:rPr>
          <w:rFonts w:hint="eastAsia" w:ascii="Times New Roman" w:hAnsi="Times New Roman" w:eastAsia="Times New Roman" w:cs="Times New Roman"/>
          <w:b/>
          <w:bCs/>
          <w:spacing w:val="6"/>
          <w:sz w:val="22"/>
          <w:u w:val="single"/>
        </w:rPr>
        <w:t>（采购项目名称）</w:t>
      </w:r>
      <w:r>
        <w:rPr>
          <w:rFonts w:hint="eastAsia" w:ascii="Times New Roman" w:hAnsi="Times New Roman" w:eastAsia="Times New Roman" w:cs="Times New Roman"/>
          <w:spacing w:val="6"/>
          <w:sz w:val="22"/>
        </w:rPr>
        <w:t>项目采购活动，并由本单位提供服务。</w:t>
      </w:r>
    </w:p>
    <w:p w14:paraId="49D28D24">
      <w:pPr>
        <w:spacing w:line="360" w:lineRule="exact"/>
        <w:ind w:firstLine="464" w:firstLineChars="200"/>
        <w:jc w:val="left"/>
        <w:rPr>
          <w:spacing w:val="6"/>
          <w:sz w:val="22"/>
        </w:rPr>
      </w:pPr>
      <w:r>
        <w:rPr>
          <w:rFonts w:hint="eastAsia"/>
          <w:spacing w:val="6"/>
          <w:sz w:val="22"/>
        </w:rPr>
        <w:t>本单位对上述声明的真实性负责。如有虚假，将依法承担相应责任。</w:t>
      </w:r>
    </w:p>
    <w:p w14:paraId="42C2AADC">
      <w:pPr>
        <w:spacing w:line="360" w:lineRule="exact"/>
        <w:ind w:firstLine="464" w:firstLineChars="200"/>
        <w:jc w:val="left"/>
        <w:rPr>
          <w:rFonts w:ascii="宋体" w:hAnsi="宋体" w:cs="宋体"/>
          <w:b/>
          <w:spacing w:val="6"/>
          <w:sz w:val="22"/>
        </w:rPr>
      </w:pPr>
      <w:r>
        <w:rPr>
          <w:rFonts w:hint="eastAsia"/>
          <w:spacing w:val="6"/>
          <w:sz w:val="22"/>
        </w:rPr>
        <w:t>本单位知悉《关于促进残疾人就业政府采购政策的通知》(财库(2017141号)的规定,承诺提供的声明函内容是真实的,如提供声明函内容不实,则依法追究相关法律责任。</w:t>
      </w:r>
    </w:p>
    <w:p w14:paraId="26F74443">
      <w:pPr>
        <w:ind w:firstLine="4200" w:firstLineChars="2000"/>
        <w:jc w:val="left"/>
        <w:rPr>
          <w:rFonts w:hint="eastAsia" w:ascii="宋体" w:hAnsi="宋体"/>
        </w:rPr>
      </w:pPr>
    </w:p>
    <w:p w14:paraId="5198D856">
      <w:pPr>
        <w:ind w:firstLine="4200" w:firstLineChars="2000"/>
        <w:jc w:val="left"/>
      </w:pPr>
      <w:r>
        <w:rPr>
          <w:rFonts w:hint="eastAsia" w:ascii="宋体" w:hAnsi="宋体"/>
        </w:rPr>
        <w:t>单位名称：</w:t>
      </w:r>
      <w:r>
        <w:rPr>
          <w:rFonts w:hint="eastAsia" w:ascii="宋体" w:hAnsi="宋体" w:eastAsia="宋体"/>
          <w:u w:val="single"/>
          <w:lang w:val="en-US" w:eastAsia="zh-CN"/>
        </w:rPr>
        <w:t xml:space="preserve">  </w:t>
      </w:r>
      <w:r>
        <w:rPr>
          <w:rFonts w:hint="eastAsia"/>
          <w:u w:val="single"/>
        </w:rPr>
        <w:t xml:space="preserve">           </w:t>
      </w:r>
    </w:p>
    <w:p w14:paraId="1DE72E85">
      <w:pPr>
        <w:ind w:firstLine="420" w:firstLineChars="200"/>
        <w:jc w:val="center"/>
      </w:pPr>
      <w:r>
        <w:rPr>
          <w:rFonts w:hint="eastAsia" w:ascii="宋体" w:hAnsi="宋体"/>
        </w:rPr>
        <w:t xml:space="preserve">                                  日期：</w:t>
      </w:r>
      <w:r>
        <w:rPr>
          <w:rFonts w:hint="eastAsia"/>
          <w:u w:val="single"/>
        </w:rPr>
        <w:t xml:space="preserve">               </w:t>
      </w:r>
    </w:p>
    <w:p w14:paraId="05FFDB8C">
      <w:pPr>
        <w:rPr>
          <w:rFonts w:hint="eastAsia" w:eastAsia="黑体" w:cs="宋体"/>
          <w:lang w:val="en-US" w:eastAsia="zh-CN"/>
        </w:rPr>
      </w:pPr>
      <w:r>
        <w:rPr>
          <w:rFonts w:hint="eastAsia"/>
          <w:lang w:eastAsia="zh-CN"/>
        </w:rPr>
        <w:br w:type="page"/>
      </w:r>
    </w:p>
    <w:p w14:paraId="632F2525">
      <w:pPr>
        <w:spacing w:line="340" w:lineRule="exact"/>
        <w:ind w:firstLine="480" w:firstLineChars="200"/>
        <w:jc w:val="center"/>
        <w:outlineLvl w:val="2"/>
        <w:rPr>
          <w:rFonts w:hint="eastAsia" w:ascii="黑体" w:hAnsi="宋体" w:eastAsia="黑体" w:cs="Times New Roman"/>
          <w:b w:val="0"/>
          <w:bCs/>
          <w:kern w:val="2"/>
          <w:sz w:val="24"/>
          <w:szCs w:val="24"/>
          <w:lang w:val="en-US" w:eastAsia="zh-CN" w:bidi="ar-SA"/>
        </w:rPr>
      </w:pPr>
      <w:r>
        <w:rPr>
          <w:rFonts w:hint="eastAsia" w:ascii="黑体" w:hAnsi="宋体" w:eastAsia="黑体" w:cs="Times New Roman"/>
          <w:b w:val="0"/>
          <w:bCs/>
          <w:kern w:val="2"/>
          <w:sz w:val="24"/>
          <w:szCs w:val="24"/>
          <w:lang w:val="en-US" w:eastAsia="zh-CN" w:bidi="ar-SA"/>
        </w:rPr>
        <w:t>七、项目实施方案（格式自定）</w:t>
      </w:r>
    </w:p>
    <w:p w14:paraId="2CF9418A">
      <w:pPr>
        <w:rPr>
          <w:rFonts w:hint="eastAsia" w:ascii="黑体" w:hAnsi="宋体" w:eastAsia="黑体" w:cs="Times New Roman"/>
          <w:b w:val="0"/>
          <w:bCs/>
          <w:kern w:val="2"/>
          <w:sz w:val="24"/>
          <w:szCs w:val="24"/>
          <w:lang w:val="en-US" w:eastAsia="zh-CN" w:bidi="ar-SA"/>
        </w:rPr>
      </w:pPr>
      <w:r>
        <w:rPr>
          <w:rFonts w:hint="eastAsia" w:ascii="黑体" w:hAnsi="宋体" w:eastAsia="黑体" w:cs="Times New Roman"/>
          <w:b w:val="0"/>
          <w:bCs/>
          <w:kern w:val="2"/>
          <w:sz w:val="24"/>
          <w:szCs w:val="24"/>
          <w:lang w:val="en-US" w:eastAsia="zh-CN" w:bidi="ar-SA"/>
        </w:rPr>
        <w:br w:type="page"/>
      </w:r>
    </w:p>
    <w:p w14:paraId="6EAAB235">
      <w:pPr>
        <w:spacing w:line="340" w:lineRule="exact"/>
        <w:ind w:firstLine="480" w:firstLineChars="200"/>
        <w:jc w:val="center"/>
        <w:outlineLvl w:val="2"/>
        <w:rPr>
          <w:rFonts w:hint="eastAsia" w:ascii="黑体" w:hAnsi="宋体" w:eastAsia="黑体" w:cs="Times New Roman"/>
          <w:b w:val="0"/>
          <w:bCs/>
          <w:kern w:val="2"/>
          <w:sz w:val="24"/>
          <w:szCs w:val="24"/>
          <w:lang w:val="en-US" w:eastAsia="zh-CN" w:bidi="ar-SA"/>
        </w:rPr>
      </w:pPr>
      <w:r>
        <w:rPr>
          <w:rFonts w:hint="eastAsia" w:ascii="黑体" w:hAnsi="宋体" w:eastAsia="黑体" w:cs="Times New Roman"/>
          <w:b w:val="0"/>
          <w:bCs/>
          <w:kern w:val="2"/>
          <w:sz w:val="24"/>
          <w:szCs w:val="24"/>
          <w:lang w:val="en-US" w:eastAsia="zh-CN" w:bidi="ar-SA"/>
        </w:rPr>
        <w:t>八、人员安排计划（格式自定）</w:t>
      </w:r>
    </w:p>
    <w:p w14:paraId="2D28A28D">
      <w:pPr>
        <w:numPr>
          <w:ilvl w:val="0"/>
          <w:numId w:val="0"/>
        </w:numPr>
        <w:ind w:leftChars="0"/>
        <w:rPr>
          <w:rFonts w:hint="eastAsia"/>
        </w:rPr>
      </w:pPr>
    </w:p>
    <w:p w14:paraId="7A09420A">
      <w:pPr>
        <w:rPr>
          <w:rFonts w:hint="eastAsia" w:ascii="黑体" w:hAnsi="宋体" w:eastAsia="黑体" w:cs="Times New Roman"/>
          <w:b w:val="0"/>
          <w:bCs/>
          <w:kern w:val="2"/>
          <w:sz w:val="24"/>
          <w:szCs w:val="24"/>
          <w:lang w:val="en-US" w:eastAsia="zh-CN" w:bidi="ar-SA"/>
        </w:rPr>
      </w:pPr>
      <w:r>
        <w:rPr>
          <w:rFonts w:hint="eastAsia" w:ascii="黑体" w:hAnsi="宋体" w:eastAsia="黑体" w:cs="Times New Roman"/>
          <w:b w:val="0"/>
          <w:bCs/>
          <w:kern w:val="2"/>
          <w:sz w:val="24"/>
          <w:szCs w:val="24"/>
          <w:lang w:val="en-US" w:eastAsia="zh-CN" w:bidi="ar-SA"/>
        </w:rPr>
        <w:br w:type="page"/>
      </w:r>
    </w:p>
    <w:p w14:paraId="7B48FD79">
      <w:pPr>
        <w:spacing w:line="340" w:lineRule="exact"/>
        <w:ind w:firstLine="480" w:firstLineChars="200"/>
        <w:jc w:val="center"/>
        <w:outlineLvl w:val="2"/>
        <w:rPr>
          <w:rFonts w:hint="eastAsia" w:cs="宋体"/>
        </w:rPr>
      </w:pPr>
      <w:r>
        <w:rPr>
          <w:rFonts w:hint="eastAsia" w:ascii="黑体" w:hAnsi="宋体" w:eastAsia="黑体" w:cs="Times New Roman"/>
          <w:b w:val="0"/>
          <w:bCs/>
          <w:kern w:val="2"/>
          <w:sz w:val="24"/>
          <w:szCs w:val="24"/>
          <w:lang w:val="en-US" w:eastAsia="zh-CN" w:bidi="ar-SA"/>
        </w:rPr>
        <w:t>九、招标代理服务费承诺函</w:t>
      </w:r>
    </w:p>
    <w:p w14:paraId="79990AE0">
      <w:pPr>
        <w:spacing w:line="360" w:lineRule="exact"/>
        <w:rPr>
          <w:b/>
          <w:sz w:val="22"/>
        </w:rPr>
      </w:pPr>
      <w:r>
        <w:rPr>
          <w:rFonts w:hint="eastAsia"/>
          <w:sz w:val="22"/>
        </w:rPr>
        <w:t>致：深圳市东海国际招标有限公司</w:t>
      </w:r>
    </w:p>
    <w:p w14:paraId="51D6D035">
      <w:pPr>
        <w:widowControl/>
        <w:autoSpaceDE w:val="0"/>
        <w:autoSpaceDN w:val="0"/>
        <w:spacing w:line="360" w:lineRule="exact"/>
        <w:ind w:right="17" w:firstLine="440" w:firstLineChars="200"/>
        <w:textAlignment w:val="bottom"/>
        <w:rPr>
          <w:sz w:val="22"/>
        </w:rPr>
      </w:pPr>
    </w:p>
    <w:p w14:paraId="4523F239">
      <w:pPr>
        <w:pStyle w:val="44"/>
        <w:spacing w:line="360" w:lineRule="exact"/>
        <w:ind w:firstLine="415" w:firstLineChars="189"/>
        <w:rPr>
          <w:rFonts w:ascii="Times New Roman" w:hAnsi="Times New Roman"/>
          <w:sz w:val="22"/>
          <w:szCs w:val="22"/>
        </w:rPr>
      </w:pPr>
      <w:r>
        <w:rPr>
          <w:rFonts w:hint="eastAsia" w:ascii="宋体" w:hAnsi="宋体" w:cs="宋体"/>
          <w:sz w:val="22"/>
          <w:szCs w:val="22"/>
        </w:rPr>
        <w:t>我们在贵司代理的（项目名称：</w:t>
      </w:r>
      <w:r>
        <w:rPr>
          <w:rFonts w:hint="eastAsia" w:ascii="宋体" w:hAnsi="宋体" w:cs="宋体"/>
          <w:sz w:val="22"/>
          <w:szCs w:val="22"/>
          <w:u w:val="single"/>
          <w:lang w:val="en-US" w:eastAsia="zh-CN"/>
        </w:rPr>
        <w:t xml:space="preserve">                   </w:t>
      </w:r>
      <w:r>
        <w:rPr>
          <w:rFonts w:hint="eastAsia" w:ascii="宋体" w:hAnsi="宋体" w:cs="宋体"/>
          <w:sz w:val="22"/>
          <w:szCs w:val="22"/>
        </w:rPr>
        <w:t>）招标中若获中标/成交（项目编号：</w:t>
      </w:r>
      <w:r>
        <w:rPr>
          <w:rFonts w:hint="eastAsia" w:ascii="宋体" w:hAnsi="宋体" w:cs="宋体"/>
          <w:sz w:val="22"/>
          <w:szCs w:val="22"/>
          <w:u w:val="single"/>
          <w:lang w:val="en-US" w:eastAsia="zh-CN"/>
        </w:rPr>
        <w:t xml:space="preserve">             </w:t>
      </w:r>
      <w:r>
        <w:rPr>
          <w:rFonts w:hint="eastAsia" w:ascii="宋体" w:hAnsi="宋体" w:cs="宋体"/>
          <w:sz w:val="22"/>
          <w:szCs w:val="22"/>
        </w:rPr>
        <w:t xml:space="preserve"> ），我们保证在收到中标/成交通知书原件的同时按招标文件的规定，以转账、支票、汇票、电汇、现金或经贵公司认可的一种方式，向贵公司即深圳市东海国际招标有限公司指定的银行账号，一次性支付招标代理服务费。招标代理服务费依据深财购[2018]27号文及相关规定收费。</w:t>
      </w:r>
    </w:p>
    <w:p w14:paraId="025D5FAF">
      <w:pPr>
        <w:widowControl/>
        <w:autoSpaceDE w:val="0"/>
        <w:autoSpaceDN w:val="0"/>
        <w:spacing w:line="360" w:lineRule="exact"/>
        <w:ind w:right="893"/>
        <w:textAlignment w:val="bottom"/>
        <w:rPr>
          <w:sz w:val="22"/>
        </w:rPr>
      </w:pPr>
    </w:p>
    <w:p w14:paraId="5EDA4576">
      <w:pPr>
        <w:widowControl/>
        <w:autoSpaceDE w:val="0"/>
        <w:autoSpaceDN w:val="0"/>
        <w:spacing w:line="360" w:lineRule="exact"/>
        <w:ind w:right="893"/>
        <w:textAlignment w:val="bottom"/>
        <w:rPr>
          <w:sz w:val="22"/>
        </w:rPr>
      </w:pPr>
    </w:p>
    <w:p w14:paraId="57D659F8">
      <w:pPr>
        <w:widowControl/>
        <w:autoSpaceDE w:val="0"/>
        <w:autoSpaceDN w:val="0"/>
        <w:spacing w:line="360" w:lineRule="exact"/>
        <w:ind w:right="893" w:firstLine="440" w:firstLineChars="200"/>
        <w:textAlignment w:val="bottom"/>
        <w:rPr>
          <w:sz w:val="22"/>
        </w:rPr>
      </w:pPr>
      <w:r>
        <w:rPr>
          <w:rFonts w:hint="eastAsia"/>
          <w:sz w:val="22"/>
        </w:rPr>
        <w:t>特此承诺。</w:t>
      </w:r>
    </w:p>
    <w:p w14:paraId="60B90159">
      <w:pPr>
        <w:widowControl/>
        <w:autoSpaceDE w:val="0"/>
        <w:autoSpaceDN w:val="0"/>
        <w:spacing w:line="360" w:lineRule="exact"/>
        <w:ind w:right="893"/>
        <w:textAlignment w:val="bottom"/>
        <w:rPr>
          <w:sz w:val="22"/>
        </w:rPr>
      </w:pPr>
    </w:p>
    <w:p w14:paraId="0830CB6C">
      <w:pPr>
        <w:widowControl/>
        <w:autoSpaceDE w:val="0"/>
        <w:autoSpaceDN w:val="0"/>
        <w:spacing w:line="360" w:lineRule="exact"/>
        <w:ind w:right="893"/>
        <w:textAlignment w:val="bottom"/>
        <w:rPr>
          <w:sz w:val="22"/>
        </w:rPr>
      </w:pPr>
    </w:p>
    <w:p w14:paraId="00A892EA">
      <w:pPr>
        <w:spacing w:line="360" w:lineRule="exact"/>
        <w:rPr>
          <w:sz w:val="22"/>
        </w:rPr>
      </w:pPr>
    </w:p>
    <w:p w14:paraId="22649576">
      <w:pPr>
        <w:spacing w:line="360" w:lineRule="exact"/>
        <w:ind w:right="440"/>
        <w:jc w:val="right"/>
        <w:rPr>
          <w:bCs/>
          <w:sz w:val="22"/>
        </w:rPr>
      </w:pPr>
      <w:r>
        <w:rPr>
          <w:rFonts w:hint="eastAsia"/>
          <w:bCs/>
          <w:sz w:val="22"/>
        </w:rPr>
        <w:t>投标人（公章）：</w:t>
      </w:r>
    </w:p>
    <w:p w14:paraId="52BFE4C2">
      <w:pPr>
        <w:spacing w:line="360" w:lineRule="exact"/>
        <w:jc w:val="right"/>
        <w:rPr>
          <w:bCs/>
          <w:sz w:val="22"/>
        </w:rPr>
      </w:pPr>
    </w:p>
    <w:p w14:paraId="0A7EF0E8">
      <w:pPr>
        <w:spacing w:line="360" w:lineRule="exact"/>
        <w:jc w:val="right"/>
        <w:rPr>
          <w:bCs/>
          <w:sz w:val="22"/>
        </w:rPr>
      </w:pPr>
      <w:r>
        <w:rPr>
          <w:rFonts w:hint="eastAsia"/>
          <w:bCs/>
          <w:sz w:val="22"/>
        </w:rPr>
        <w:t>日期：</w:t>
      </w:r>
      <w:r>
        <w:rPr>
          <w:bCs/>
          <w:sz w:val="22"/>
        </w:rPr>
        <w:t xml:space="preserve">   </w:t>
      </w:r>
      <w:r>
        <w:rPr>
          <w:rFonts w:hint="eastAsia"/>
          <w:bCs/>
          <w:sz w:val="22"/>
        </w:rPr>
        <w:t>年</w:t>
      </w:r>
      <w:r>
        <w:rPr>
          <w:bCs/>
          <w:sz w:val="22"/>
        </w:rPr>
        <w:t xml:space="preserve">  </w:t>
      </w:r>
      <w:r>
        <w:rPr>
          <w:rFonts w:hint="eastAsia"/>
          <w:bCs/>
          <w:sz w:val="22"/>
        </w:rPr>
        <w:t>月</w:t>
      </w:r>
      <w:r>
        <w:rPr>
          <w:bCs/>
          <w:sz w:val="22"/>
        </w:rPr>
        <w:t xml:space="preserve">  </w:t>
      </w:r>
      <w:r>
        <w:rPr>
          <w:rFonts w:hint="eastAsia"/>
          <w:bCs/>
          <w:sz w:val="22"/>
        </w:rPr>
        <w:t>日</w:t>
      </w:r>
    </w:p>
    <w:p w14:paraId="5D07C601"/>
    <w:p w14:paraId="53FDADEB"/>
    <w:p w14:paraId="367BEA2F">
      <w:pPr>
        <w:jc w:val="center"/>
        <w:rPr>
          <w:rFonts w:ascii="宋体" w:cs="宋体"/>
          <w:sz w:val="22"/>
        </w:rPr>
      </w:pPr>
      <w:r>
        <w:rPr>
          <w:rFonts w:ascii="宋体" w:hAnsi="宋体" w:cs="宋体"/>
          <w:sz w:val="22"/>
        </w:rPr>
        <w:t>(</w:t>
      </w:r>
      <w:r>
        <w:rPr>
          <w:rFonts w:hint="eastAsia" w:ascii="宋体" w:hAnsi="宋体" w:cs="宋体"/>
          <w:sz w:val="22"/>
        </w:rPr>
        <w:t>注：按要求填写，不得更改承诺内容</w:t>
      </w:r>
      <w:r>
        <w:rPr>
          <w:rFonts w:ascii="宋体" w:hAnsi="宋体" w:cs="宋体"/>
          <w:sz w:val="22"/>
        </w:rPr>
        <w:t>)</w:t>
      </w:r>
    </w:p>
    <w:p w14:paraId="642FD146">
      <w:pPr>
        <w:rPr>
          <w:rFonts w:ascii="宋体"/>
          <w:color w:val="FF0000"/>
          <w:sz w:val="24"/>
        </w:rPr>
      </w:pPr>
    </w:p>
    <w:p w14:paraId="261E7511">
      <w:bookmarkStart w:id="33" w:name="_Hlk72260501"/>
      <w:bookmarkEnd w:id="33"/>
      <w:bookmarkStart w:id="34" w:name="_Hlk72259976"/>
    </w:p>
    <w:bookmarkEnd w:id="34"/>
    <w:p w14:paraId="7191A537">
      <w:pPr>
        <w:rPr>
          <w:rFonts w:hint="eastAsia" w:ascii="宋体" w:hAnsi="宋体" w:cs="宋体"/>
          <w:b/>
          <w:bCs/>
          <w:kern w:val="0"/>
          <w:sz w:val="24"/>
          <w:szCs w:val="20"/>
        </w:rPr>
      </w:pPr>
      <w:r>
        <w:rPr>
          <w:rFonts w:hint="eastAsia" w:ascii="宋体" w:hAnsi="宋体" w:cs="宋体"/>
          <w:b/>
          <w:bCs/>
          <w:kern w:val="0"/>
          <w:sz w:val="24"/>
          <w:szCs w:val="20"/>
        </w:rPr>
        <w:br w:type="page"/>
      </w:r>
    </w:p>
    <w:p w14:paraId="6855FC7B">
      <w:pPr>
        <w:pStyle w:val="4"/>
        <w:jc w:val="center"/>
        <w:rPr>
          <w:rFonts w:ascii="黑体" w:eastAsia="黑体"/>
          <w:sz w:val="24"/>
          <w:szCs w:val="20"/>
        </w:rPr>
      </w:pPr>
      <w:r>
        <w:rPr>
          <w:rFonts w:hint="eastAsia" w:cs="宋体"/>
          <w:b/>
          <w:bCs/>
          <w:kern w:val="0"/>
          <w:sz w:val="24"/>
          <w:szCs w:val="20"/>
          <w:lang w:val="en-US" w:eastAsia="zh-CN"/>
        </w:rPr>
        <w:t>十</w:t>
      </w:r>
      <w:r>
        <w:rPr>
          <w:rFonts w:hint="eastAsia" w:ascii="宋体" w:hAnsi="宋体" w:cs="宋体"/>
          <w:b/>
          <w:bCs/>
          <w:kern w:val="0"/>
          <w:sz w:val="24"/>
          <w:szCs w:val="20"/>
        </w:rPr>
        <w:t>、投标人认为需要加以说明的其他内容</w:t>
      </w:r>
    </w:p>
    <w:p w14:paraId="6204A4E3">
      <w:pPr>
        <w:rPr>
          <w:sz w:val="24"/>
        </w:rPr>
      </w:pPr>
    </w:p>
    <w:p w14:paraId="587D4F9A">
      <w:pPr>
        <w:rPr>
          <w:b/>
          <w:bCs/>
          <w:sz w:val="24"/>
        </w:rPr>
      </w:pPr>
      <w:bookmarkStart w:id="35" w:name="_Hlk72260576"/>
    </w:p>
    <w:p w14:paraId="1380D6D6">
      <w:pPr>
        <w:jc w:val="center"/>
      </w:pPr>
      <w:r>
        <w:rPr>
          <w:rFonts w:hint="eastAsia" w:ascii="宋体" w:hAnsi="宋体"/>
        </w:rPr>
        <w:t>………………（可根据项目具体情况增加与评审相关的节点）………………</w:t>
      </w:r>
    </w:p>
    <w:p w14:paraId="3EB86856">
      <w:pPr>
        <w:rPr>
          <w:sz w:val="24"/>
        </w:rPr>
      </w:pPr>
    </w:p>
    <w:bookmarkEnd w:id="35"/>
    <w:p w14:paraId="14516D20"/>
    <w:p w14:paraId="17C3823C"/>
    <w:p w14:paraId="2FE44BA1">
      <w:pPr>
        <w:rPr>
          <w:rFonts w:hint="eastAsia"/>
        </w:rPr>
      </w:pPr>
      <w:r>
        <w:rPr>
          <w:rFonts w:hint="eastAsia"/>
        </w:rPr>
        <w:br w:type="page"/>
      </w:r>
    </w:p>
    <w:p w14:paraId="410D730C">
      <w:pPr>
        <w:pStyle w:val="3"/>
      </w:pPr>
      <w:r>
        <w:rPr>
          <w:rFonts w:hint="eastAsia"/>
        </w:rPr>
        <w:t>第五章</w:t>
      </w:r>
      <w:r>
        <w:t xml:space="preserve">  </w:t>
      </w:r>
      <w:r>
        <w:rPr>
          <w:rFonts w:hint="eastAsia"/>
        </w:rPr>
        <w:t>合同条款及格式</w:t>
      </w:r>
    </w:p>
    <w:p w14:paraId="38D22220">
      <w:pPr>
        <w:jc w:val="center"/>
        <w:rPr>
          <w:b/>
          <w:sz w:val="24"/>
        </w:rPr>
      </w:pPr>
      <w:r>
        <w:rPr>
          <w:rFonts w:hint="eastAsia"/>
          <w:b/>
          <w:sz w:val="24"/>
        </w:rPr>
        <w:t>合同条款</w:t>
      </w:r>
    </w:p>
    <w:p w14:paraId="59D449EF">
      <w:pPr>
        <w:jc w:val="center"/>
      </w:pPr>
      <w:r>
        <w:rPr>
          <w:rFonts w:hint="eastAsia"/>
          <w:b/>
          <w:sz w:val="24"/>
        </w:rPr>
        <w:t>（仅供参考，项目具体要求以招标（采购）项目需求为准）</w:t>
      </w:r>
    </w:p>
    <w:p w14:paraId="1F7292D2">
      <w:pPr>
        <w:rPr>
          <w:rFonts w:ascii="宋体" w:hAnsi="宋体"/>
          <w:b/>
          <w:bCs/>
          <w:szCs w:val="21"/>
        </w:rPr>
      </w:pPr>
      <w:r>
        <w:rPr>
          <w:rFonts w:hint="eastAsia" w:ascii="宋体" w:hAnsi="宋体"/>
          <w:b/>
          <w:bCs/>
          <w:szCs w:val="21"/>
        </w:rPr>
        <w:t>甲方：</w:t>
      </w:r>
      <w:r>
        <w:rPr>
          <w:rFonts w:ascii="宋体" w:hAnsi="宋体"/>
          <w:b/>
          <w:bCs/>
          <w:szCs w:val="21"/>
        </w:rPr>
        <w:t xml:space="preserve"> </w:t>
      </w:r>
      <w:r>
        <w:rPr>
          <w:rFonts w:hint="eastAsia" w:ascii="宋体" w:hAnsi="宋体"/>
          <w:b/>
          <w:bCs/>
          <w:szCs w:val="21"/>
        </w:rPr>
        <w:t xml:space="preserve"> </w:t>
      </w:r>
      <w:r>
        <w:rPr>
          <w:rFonts w:ascii="宋体" w:hAnsi="宋体"/>
          <w:b/>
          <w:bCs/>
          <w:szCs w:val="21"/>
        </w:rPr>
        <w:t xml:space="preserve"> </w:t>
      </w:r>
    </w:p>
    <w:p w14:paraId="15B01DF7">
      <w:pPr>
        <w:rPr>
          <w:rFonts w:ascii="宋体" w:hAnsi="宋体"/>
          <w:b/>
          <w:bCs/>
          <w:szCs w:val="21"/>
        </w:rPr>
      </w:pPr>
      <w:r>
        <w:rPr>
          <w:rFonts w:hint="eastAsia" w:ascii="宋体" w:hAnsi="宋体"/>
          <w:b/>
          <w:bCs/>
          <w:szCs w:val="21"/>
        </w:rPr>
        <w:t>乙方：</w:t>
      </w:r>
      <w:r>
        <w:rPr>
          <w:rFonts w:ascii="宋体" w:hAnsi="宋体"/>
          <w:b/>
          <w:bCs/>
          <w:szCs w:val="21"/>
        </w:rPr>
        <w:t xml:space="preserve">            </w:t>
      </w:r>
      <w:r>
        <w:rPr>
          <w:rFonts w:hint="eastAsia" w:ascii="宋体" w:hAnsi="宋体"/>
          <w:b/>
          <w:bCs/>
          <w:szCs w:val="21"/>
        </w:rPr>
        <w:t xml:space="preserve">                            </w:t>
      </w:r>
      <w:r>
        <w:rPr>
          <w:rFonts w:ascii="宋体" w:hAnsi="宋体"/>
          <w:b/>
          <w:bCs/>
          <w:szCs w:val="21"/>
        </w:rPr>
        <w:t xml:space="preserve">  </w:t>
      </w:r>
    </w:p>
    <w:p w14:paraId="79497DCD">
      <w:pPr>
        <w:spacing w:line="360" w:lineRule="auto"/>
        <w:ind w:firstLine="560"/>
        <w:jc w:val="left"/>
        <w:rPr>
          <w:rFonts w:ascii="宋体" w:hAnsi="宋体"/>
          <w:szCs w:val="21"/>
        </w:rPr>
      </w:pPr>
      <w:r>
        <w:rPr>
          <w:rFonts w:hint="eastAsia"/>
          <w:szCs w:val="21"/>
        </w:rPr>
        <w:t>根据</w:t>
      </w:r>
      <w:r>
        <w:rPr>
          <w:rFonts w:hint="eastAsia"/>
          <w:szCs w:val="21"/>
          <w:lang w:val="en-US" w:eastAsia="zh-CN"/>
        </w:rPr>
        <w:t>深圳市东海国际招标</w:t>
      </w:r>
      <w:r>
        <w:rPr>
          <w:rFonts w:hint="eastAsia"/>
          <w:szCs w:val="21"/>
        </w:rPr>
        <w:t>有限公司就xxx项目（编号：xxxx）的招标采购结果，由</w:t>
      </w:r>
      <w:r>
        <w:rPr>
          <w:rFonts w:hint="eastAsia"/>
          <w:szCs w:val="21"/>
          <w:u w:val="single"/>
        </w:rPr>
        <w:t>xxxxx</w:t>
      </w:r>
      <w:r>
        <w:rPr>
          <w:rFonts w:hint="eastAsia"/>
          <w:szCs w:val="21"/>
        </w:rPr>
        <w:t>单位为中标（成交）方。按照《中华人民共和国民法典》和《深圳经济特区政府采购条例》，依照采购文件和中标（成交）方的响应与承诺，</w:t>
      </w:r>
      <w:r>
        <w:rPr>
          <w:rFonts w:hint="eastAsia" w:ascii="宋体" w:hAnsi="宋体"/>
          <w:szCs w:val="21"/>
        </w:rPr>
        <w:t>就</w:t>
      </w:r>
      <w:r>
        <w:rPr>
          <w:rFonts w:hint="eastAsia"/>
          <w:szCs w:val="21"/>
        </w:rPr>
        <w:t>采购人</w:t>
      </w:r>
      <w:r>
        <w:rPr>
          <w:rFonts w:hint="eastAsia"/>
          <w:szCs w:val="21"/>
          <w:u w:val="single"/>
        </w:rPr>
        <w:t>xxxxx</w:t>
      </w:r>
      <w:r>
        <w:rPr>
          <w:rFonts w:hint="eastAsia"/>
          <w:szCs w:val="21"/>
        </w:rPr>
        <w:t>（以下简称甲方）</w:t>
      </w:r>
      <w:r>
        <w:rPr>
          <w:rFonts w:hint="eastAsia" w:ascii="宋体" w:hAnsi="宋体"/>
          <w:szCs w:val="21"/>
        </w:rPr>
        <w:t>委托</w:t>
      </w:r>
      <w:r>
        <w:rPr>
          <w:rFonts w:hint="eastAsia"/>
          <w:szCs w:val="21"/>
        </w:rPr>
        <w:t>中标（成交）方</w:t>
      </w:r>
      <w:r>
        <w:rPr>
          <w:rFonts w:hint="eastAsia"/>
          <w:szCs w:val="21"/>
          <w:u w:val="single"/>
        </w:rPr>
        <w:t>xxxxx</w:t>
      </w:r>
      <w:r>
        <w:rPr>
          <w:rFonts w:hint="eastAsia"/>
          <w:szCs w:val="21"/>
        </w:rPr>
        <w:t>（以下简称乙方）</w:t>
      </w:r>
      <w:r>
        <w:rPr>
          <w:rFonts w:hint="eastAsia" w:ascii="宋体" w:hAnsi="宋体"/>
          <w:szCs w:val="21"/>
        </w:rPr>
        <w:t>承担</w:t>
      </w:r>
      <w:r>
        <w:rPr>
          <w:rFonts w:hint="eastAsia" w:ascii="宋体" w:hAnsi="宋体"/>
          <w:b/>
          <w:bCs/>
          <w:snapToGrid w:val="0"/>
          <w:kern w:val="0"/>
          <w:szCs w:val="21"/>
          <w:u w:val="single"/>
          <w:lang w:val="zh-CN"/>
        </w:rPr>
        <w:t xml:space="preserve">                    服务项目</w:t>
      </w:r>
      <w:r>
        <w:rPr>
          <w:rFonts w:hint="eastAsia" w:ascii="宋体" w:hAnsi="宋体"/>
          <w:szCs w:val="21"/>
        </w:rPr>
        <w:t>，</w:t>
      </w:r>
      <w:r>
        <w:rPr>
          <w:rFonts w:hint="eastAsia"/>
          <w:szCs w:val="21"/>
        </w:rPr>
        <w:t>经甲乙双方协商、确定，</w:t>
      </w:r>
      <w:r>
        <w:rPr>
          <w:rFonts w:hint="eastAsia" w:ascii="宋体" w:hAnsi="宋体"/>
          <w:szCs w:val="21"/>
        </w:rPr>
        <w:t>达成以下合同条款：</w:t>
      </w:r>
    </w:p>
    <w:p w14:paraId="17884FAC">
      <w:pPr>
        <w:ind w:firstLine="422" w:firstLineChars="200"/>
        <w:rPr>
          <w:rFonts w:ascii="宋体" w:hAnsi="宋体"/>
          <w:b/>
          <w:bCs/>
          <w:szCs w:val="21"/>
        </w:rPr>
      </w:pPr>
      <w:r>
        <w:rPr>
          <w:rFonts w:hint="eastAsia" w:ascii="宋体" w:hAnsi="宋体"/>
          <w:b/>
          <w:bCs/>
          <w:szCs w:val="21"/>
        </w:rPr>
        <w:t>第一条  项目概况</w:t>
      </w:r>
    </w:p>
    <w:p w14:paraId="60968F70">
      <w:pPr>
        <w:ind w:firstLine="420" w:firstLineChars="200"/>
        <w:rPr>
          <w:rFonts w:ascii="宋体" w:hAnsi="宋体"/>
          <w:szCs w:val="21"/>
        </w:rPr>
      </w:pPr>
      <w:r>
        <w:rPr>
          <w:rFonts w:hint="eastAsia" w:ascii="宋体" w:hAnsi="宋体"/>
          <w:szCs w:val="21"/>
        </w:rPr>
        <w:t xml:space="preserve">项目名称： </w:t>
      </w:r>
    </w:p>
    <w:p w14:paraId="0F183FA3">
      <w:pPr>
        <w:ind w:firstLine="420" w:firstLineChars="200"/>
        <w:rPr>
          <w:rFonts w:ascii="宋体" w:hAnsi="宋体"/>
          <w:szCs w:val="21"/>
        </w:rPr>
      </w:pPr>
      <w:r>
        <w:rPr>
          <w:rFonts w:hint="eastAsia" w:ascii="宋体" w:hAnsi="宋体"/>
          <w:szCs w:val="21"/>
        </w:rPr>
        <w:t xml:space="preserve">项目内容： </w:t>
      </w:r>
    </w:p>
    <w:p w14:paraId="7F8BF087">
      <w:pPr>
        <w:ind w:firstLine="420" w:firstLineChars="200"/>
        <w:rPr>
          <w:rFonts w:hint="eastAsia" w:ascii="宋体" w:hAnsi="宋体"/>
          <w:szCs w:val="21"/>
        </w:rPr>
      </w:pPr>
      <w:r>
        <w:rPr>
          <w:rFonts w:hint="eastAsia" w:ascii="宋体" w:hAnsi="宋体"/>
          <w:szCs w:val="21"/>
        </w:rPr>
        <w:t>服务（履约）时间：</w:t>
      </w:r>
    </w:p>
    <w:p w14:paraId="41AEC4ED">
      <w:pPr>
        <w:ind w:firstLine="420" w:firstLineChars="200"/>
        <w:rPr>
          <w:rFonts w:hint="eastAsia" w:ascii="宋体" w:hAnsi="宋体"/>
          <w:szCs w:val="21"/>
        </w:rPr>
      </w:pPr>
      <w:r>
        <w:rPr>
          <w:rFonts w:hint="eastAsia" w:ascii="宋体" w:hAnsi="宋体"/>
          <w:szCs w:val="21"/>
        </w:rPr>
        <w:t>服务（履约）地点：</w:t>
      </w:r>
    </w:p>
    <w:p w14:paraId="3B4D1BD7">
      <w:pPr>
        <w:ind w:firstLine="420" w:firstLineChars="200"/>
        <w:rPr>
          <w:rFonts w:hint="eastAsia" w:ascii="宋体" w:hAnsi="宋体"/>
          <w:szCs w:val="21"/>
        </w:rPr>
      </w:pPr>
      <w:r>
        <w:rPr>
          <w:rFonts w:hint="eastAsia" w:ascii="宋体" w:hAnsi="宋体"/>
          <w:szCs w:val="21"/>
        </w:rPr>
        <w:t>合同价款：合同总价为</w:t>
      </w:r>
      <w:r>
        <w:rPr>
          <w:rFonts w:hint="eastAsia" w:ascii="宋体" w:hAnsi="宋体"/>
          <w:szCs w:val="21"/>
          <w:u w:val="single"/>
        </w:rPr>
        <w:t xml:space="preserve">         </w:t>
      </w:r>
      <w:r>
        <w:rPr>
          <w:rFonts w:hint="eastAsia" w:ascii="宋体" w:hAnsi="宋体"/>
          <w:szCs w:val="21"/>
        </w:rPr>
        <w:t>元，含一切税、费。</w:t>
      </w:r>
    </w:p>
    <w:p w14:paraId="32E97327">
      <w:pPr>
        <w:ind w:firstLine="420" w:firstLineChars="200"/>
        <w:rPr>
          <w:rFonts w:ascii="宋体" w:hAnsi="宋体"/>
          <w:szCs w:val="21"/>
        </w:rPr>
      </w:pPr>
      <w:r>
        <w:t>本合同总价包括</w:t>
      </w:r>
      <w:r>
        <w:rPr>
          <w:rFonts w:hint="eastAsia" w:ascii="宋体" w:hAnsi="宋体"/>
          <w:szCs w:val="21"/>
        </w:rPr>
        <w:t>乙方为实施本项目所需的</w:t>
      </w:r>
      <w:r>
        <w:t>费用，为固定不变价格，且不随通货膨胀的影响而波动。合同总价包括</w:t>
      </w:r>
      <w:r>
        <w:rPr>
          <w:rFonts w:hint="eastAsia" w:ascii="宋体" w:hAnsi="宋体"/>
          <w:szCs w:val="21"/>
        </w:rPr>
        <w:t>乙方</w:t>
      </w:r>
      <w:r>
        <w:t>履行本合同义务所发生的一切费用和支出和以各种方式寄送技术资料到</w:t>
      </w:r>
      <w:r>
        <w:rPr>
          <w:rFonts w:hint="eastAsia"/>
        </w:rPr>
        <w:t>甲</w:t>
      </w:r>
      <w:r>
        <w:t>方办公室所发生的费用。如发生本合同规定的不可抗力，合同总价可经双方友好协商予以调整。</w:t>
      </w:r>
    </w:p>
    <w:p w14:paraId="691804AF">
      <w:pPr>
        <w:ind w:firstLine="422" w:firstLineChars="200"/>
        <w:rPr>
          <w:rFonts w:ascii="宋体" w:hAnsi="宋体"/>
          <w:b/>
          <w:bCs/>
          <w:szCs w:val="21"/>
        </w:rPr>
      </w:pPr>
      <w:r>
        <w:rPr>
          <w:rFonts w:hint="eastAsia" w:ascii="宋体" w:hAnsi="宋体"/>
          <w:b/>
          <w:bCs/>
          <w:szCs w:val="21"/>
        </w:rPr>
        <w:t>第二条  服务范围</w:t>
      </w:r>
    </w:p>
    <w:p w14:paraId="43ACFE46">
      <w:pPr>
        <w:ind w:firstLine="420" w:firstLineChars="200"/>
        <w:rPr>
          <w:rFonts w:ascii="宋体" w:hAnsi="宋体"/>
          <w:szCs w:val="21"/>
        </w:rPr>
      </w:pPr>
      <w:r>
        <w:rPr>
          <w:rFonts w:hint="eastAsia" w:ascii="宋体" w:hAnsi="宋体"/>
          <w:szCs w:val="21"/>
        </w:rPr>
        <w:t xml:space="preserve">1、  </w:t>
      </w:r>
    </w:p>
    <w:p w14:paraId="2A760DF0">
      <w:pPr>
        <w:ind w:firstLine="420" w:firstLineChars="200"/>
        <w:rPr>
          <w:rFonts w:ascii="宋体" w:hAnsi="宋体"/>
          <w:szCs w:val="21"/>
        </w:rPr>
      </w:pPr>
      <w:r>
        <w:rPr>
          <w:rFonts w:hint="eastAsia" w:ascii="宋体" w:hAnsi="宋体"/>
          <w:szCs w:val="21"/>
        </w:rPr>
        <w:t xml:space="preserve">2、  </w:t>
      </w:r>
    </w:p>
    <w:p w14:paraId="682C2DA4">
      <w:pPr>
        <w:ind w:firstLine="420" w:firstLineChars="200"/>
        <w:rPr>
          <w:rFonts w:ascii="宋体" w:hAnsi="宋体"/>
          <w:szCs w:val="21"/>
        </w:rPr>
      </w:pPr>
      <w:r>
        <w:rPr>
          <w:rFonts w:hint="eastAsia" w:ascii="宋体" w:hAnsi="宋体"/>
          <w:szCs w:val="21"/>
        </w:rPr>
        <w:t xml:space="preserve">3、  </w:t>
      </w:r>
    </w:p>
    <w:p w14:paraId="49CDC3F6">
      <w:pPr>
        <w:ind w:firstLine="420" w:firstLineChars="200"/>
        <w:rPr>
          <w:rFonts w:ascii="宋体" w:hAnsi="宋体"/>
          <w:szCs w:val="21"/>
        </w:rPr>
      </w:pPr>
      <w:r>
        <w:rPr>
          <w:rFonts w:hint="eastAsia" w:ascii="宋体" w:hAnsi="宋体"/>
          <w:szCs w:val="21"/>
        </w:rPr>
        <w:t>4、 其他合同未明示的相关工作。</w:t>
      </w:r>
    </w:p>
    <w:p w14:paraId="746434C8">
      <w:pPr>
        <w:ind w:firstLine="422" w:firstLineChars="200"/>
        <w:rPr>
          <w:rFonts w:ascii="宋体" w:hAnsi="宋体"/>
          <w:b/>
          <w:bCs/>
          <w:szCs w:val="21"/>
        </w:rPr>
      </w:pPr>
      <w:r>
        <w:rPr>
          <w:rFonts w:hint="eastAsia" w:ascii="宋体" w:hAnsi="宋体"/>
          <w:b/>
          <w:bCs/>
          <w:szCs w:val="21"/>
        </w:rPr>
        <w:t>第三条  时间要求及阶段成果</w:t>
      </w:r>
    </w:p>
    <w:p w14:paraId="43D8F98A">
      <w:pPr>
        <w:ind w:firstLine="420" w:firstLineChars="200"/>
        <w:rPr>
          <w:rFonts w:ascii="宋体" w:hAnsi="宋体"/>
          <w:szCs w:val="21"/>
        </w:rPr>
      </w:pPr>
      <w:r>
        <w:rPr>
          <w:rFonts w:hint="eastAsia" w:ascii="宋体" w:hAnsi="宋体"/>
          <w:szCs w:val="21"/>
        </w:rPr>
        <w:t>1、合同签订</w:t>
      </w:r>
      <w:r>
        <w:rPr>
          <w:rFonts w:hint="eastAsia" w:ascii="宋体" w:hAnsi="宋体"/>
          <w:szCs w:val="21"/>
          <w:u w:val="single"/>
        </w:rPr>
        <w:t xml:space="preserve">   </w:t>
      </w:r>
      <w:r>
        <w:rPr>
          <w:rFonts w:hint="eastAsia" w:ascii="宋体" w:hAnsi="宋体"/>
          <w:szCs w:val="21"/>
        </w:rPr>
        <w:t>天内完成项目实施的准备工作，包括工作大纲和试验细则的编制；</w:t>
      </w:r>
    </w:p>
    <w:p w14:paraId="3F29BB52">
      <w:pPr>
        <w:ind w:firstLine="420" w:firstLineChars="200"/>
        <w:rPr>
          <w:rFonts w:ascii="宋体" w:hAnsi="宋体"/>
          <w:szCs w:val="21"/>
        </w:rPr>
      </w:pPr>
      <w:r>
        <w:rPr>
          <w:rFonts w:hint="eastAsia" w:ascii="宋体" w:hAnsi="宋体"/>
          <w:szCs w:val="21"/>
        </w:rPr>
        <w:t xml:space="preserve">2、 </w:t>
      </w:r>
    </w:p>
    <w:p w14:paraId="573E5DB5">
      <w:pPr>
        <w:ind w:firstLine="420" w:firstLineChars="200"/>
        <w:rPr>
          <w:rFonts w:ascii="宋体" w:hAnsi="宋体"/>
          <w:szCs w:val="21"/>
        </w:rPr>
      </w:pPr>
      <w:r>
        <w:rPr>
          <w:rFonts w:hint="eastAsia" w:ascii="宋体" w:hAnsi="宋体"/>
          <w:szCs w:val="21"/>
        </w:rPr>
        <w:t>3、</w:t>
      </w:r>
    </w:p>
    <w:p w14:paraId="13803CD9">
      <w:pPr>
        <w:ind w:firstLine="420" w:firstLineChars="200"/>
        <w:rPr>
          <w:rFonts w:ascii="宋体" w:hAnsi="宋体"/>
          <w:szCs w:val="21"/>
        </w:rPr>
      </w:pPr>
      <w:r>
        <w:rPr>
          <w:rFonts w:hint="eastAsia" w:ascii="宋体" w:hAnsi="宋体"/>
          <w:szCs w:val="21"/>
        </w:rPr>
        <w:t>4、</w:t>
      </w:r>
    </w:p>
    <w:p w14:paraId="522454BB">
      <w:pPr>
        <w:ind w:firstLine="422" w:firstLineChars="200"/>
        <w:rPr>
          <w:rFonts w:ascii="宋体" w:hAnsi="宋体"/>
          <w:b/>
          <w:bCs/>
          <w:szCs w:val="21"/>
        </w:rPr>
      </w:pPr>
      <w:r>
        <w:rPr>
          <w:rFonts w:hint="eastAsia" w:ascii="宋体" w:hAnsi="宋体"/>
          <w:b/>
          <w:bCs/>
          <w:szCs w:val="21"/>
        </w:rPr>
        <w:t>第四条  咨询服务资料归属</w:t>
      </w:r>
    </w:p>
    <w:p w14:paraId="4145B847">
      <w:pPr>
        <w:ind w:firstLine="420" w:firstLineChars="200"/>
      </w:pPr>
      <w:r>
        <w:t>1</w:t>
      </w:r>
      <w:r>
        <w:rPr>
          <w:rFonts w:hint="eastAsia"/>
        </w:rPr>
        <w:t>、</w:t>
      </w:r>
      <w:r>
        <w:t>所有提交给</w:t>
      </w:r>
      <w:r>
        <w:rPr>
          <w:rFonts w:hint="eastAsia"/>
        </w:rPr>
        <w:t>甲</w:t>
      </w:r>
      <w:r>
        <w:t>方的咨询服务</w:t>
      </w:r>
      <w:r>
        <w:rPr>
          <w:rFonts w:hint="eastAsia"/>
        </w:rPr>
        <w:t>文件</w:t>
      </w:r>
      <w:r>
        <w:t>及相关的资料的最后文本，包括为履行技术咨询服务范围所编制的图纸、计划和证明资料等，都属于</w:t>
      </w:r>
      <w:r>
        <w:rPr>
          <w:rFonts w:hint="eastAsia"/>
        </w:rPr>
        <w:t>甲</w:t>
      </w:r>
      <w:r>
        <w:t>方的财产，</w:t>
      </w:r>
      <w:r>
        <w:rPr>
          <w:rFonts w:hint="eastAsia" w:ascii="宋体" w:hAnsi="宋体"/>
          <w:szCs w:val="21"/>
        </w:rPr>
        <w:t>乙</w:t>
      </w:r>
      <w:r>
        <w:t>方在提交给</w:t>
      </w:r>
      <w:r>
        <w:rPr>
          <w:rFonts w:hint="eastAsia"/>
        </w:rPr>
        <w:t>甲</w:t>
      </w:r>
      <w:r>
        <w:t>方之前应将上述资料进行整理归类和编制索引</w:t>
      </w:r>
      <w:r>
        <w:rPr>
          <w:rFonts w:hint="eastAsia"/>
        </w:rPr>
        <w:t>。</w:t>
      </w:r>
    </w:p>
    <w:p w14:paraId="17566A73">
      <w:pPr>
        <w:ind w:firstLine="420" w:firstLineChars="200"/>
      </w:pPr>
      <w:r>
        <w:t>2</w:t>
      </w:r>
      <w:r>
        <w:rPr>
          <w:rFonts w:hint="eastAsia"/>
        </w:rPr>
        <w:t>、</w:t>
      </w:r>
      <w:r>
        <w:rPr>
          <w:rFonts w:hint="eastAsia" w:ascii="宋体" w:hAnsi="宋体"/>
          <w:szCs w:val="21"/>
        </w:rPr>
        <w:t>乙</w:t>
      </w:r>
      <w:r>
        <w:t>方未经</w:t>
      </w:r>
      <w:r>
        <w:rPr>
          <w:rFonts w:hint="eastAsia"/>
        </w:rPr>
        <w:t>甲</w:t>
      </w:r>
      <w:r>
        <w:t>方的书面同意，不得将上述资料用于与本咨询服务项目之外的任何项目</w:t>
      </w:r>
      <w:r>
        <w:rPr>
          <w:rFonts w:hint="eastAsia"/>
        </w:rPr>
        <w:t>。</w:t>
      </w:r>
    </w:p>
    <w:p w14:paraId="2777D676">
      <w:pPr>
        <w:ind w:firstLine="420" w:firstLineChars="200"/>
      </w:pPr>
      <w:r>
        <w:rPr>
          <w:rFonts w:hint="eastAsia"/>
        </w:rPr>
        <w:t>3、</w:t>
      </w:r>
      <w:r>
        <w:t>合同履行</w:t>
      </w:r>
      <w:r>
        <w:rPr>
          <w:rFonts w:hint="eastAsia"/>
        </w:rPr>
        <w:t>完毕，</w:t>
      </w:r>
      <w:r>
        <w:t>未经</w:t>
      </w:r>
      <w:r>
        <w:rPr>
          <w:rFonts w:hint="eastAsia"/>
        </w:rPr>
        <w:t>甲</w:t>
      </w:r>
      <w:r>
        <w:t>方的书面同意</w:t>
      </w:r>
      <w:r>
        <w:rPr>
          <w:rFonts w:hint="eastAsia"/>
        </w:rPr>
        <w:t>，</w:t>
      </w:r>
      <w:r>
        <w:rPr>
          <w:rFonts w:hint="eastAsia" w:ascii="宋体" w:hAnsi="宋体"/>
          <w:szCs w:val="21"/>
        </w:rPr>
        <w:t>乙</w:t>
      </w:r>
      <w:r>
        <w:t>方</w:t>
      </w:r>
      <w:r>
        <w:rPr>
          <w:rFonts w:hint="eastAsia"/>
        </w:rPr>
        <w:t>不得保存在</w:t>
      </w:r>
      <w:r>
        <w:t>履行合同过程中所获得或接触到的任何</w:t>
      </w:r>
      <w:r>
        <w:rPr>
          <w:rFonts w:hint="eastAsia" w:ascii="宋体" w:hAnsi="宋体"/>
          <w:szCs w:val="21"/>
        </w:rPr>
        <w:t>内部数据资料。</w:t>
      </w:r>
    </w:p>
    <w:p w14:paraId="6E4FBFB5">
      <w:pPr>
        <w:ind w:firstLine="422" w:firstLineChars="200"/>
        <w:rPr>
          <w:rFonts w:ascii="宋体" w:hAnsi="宋体"/>
          <w:b/>
          <w:bCs/>
          <w:szCs w:val="21"/>
        </w:rPr>
      </w:pPr>
      <w:r>
        <w:rPr>
          <w:rFonts w:hint="eastAsia" w:ascii="宋体" w:hAnsi="宋体"/>
          <w:b/>
          <w:bCs/>
          <w:szCs w:val="21"/>
        </w:rPr>
        <w:t>第五条  甲方的义务</w:t>
      </w:r>
    </w:p>
    <w:p w14:paraId="7D0601EF">
      <w:pPr>
        <w:ind w:firstLine="420" w:firstLineChars="200"/>
        <w:rPr>
          <w:rFonts w:ascii="宋体" w:hAnsi="宋体"/>
          <w:szCs w:val="21"/>
        </w:rPr>
      </w:pPr>
      <w:r>
        <w:rPr>
          <w:rFonts w:hint="eastAsia" w:ascii="宋体" w:hAnsi="宋体"/>
          <w:szCs w:val="21"/>
        </w:rPr>
        <w:t>1、负责与本咨询服务项目有关的第三方的协调，提供开展咨询服务工作的外部条件。</w:t>
      </w:r>
    </w:p>
    <w:p w14:paraId="0D59304F">
      <w:pPr>
        <w:ind w:firstLine="420" w:firstLineChars="200"/>
        <w:rPr>
          <w:rFonts w:ascii="宋体" w:hAnsi="宋体"/>
          <w:szCs w:val="21"/>
        </w:rPr>
      </w:pPr>
      <w:r>
        <w:rPr>
          <w:rFonts w:hint="eastAsia" w:ascii="宋体" w:hAnsi="宋体"/>
          <w:szCs w:val="21"/>
        </w:rPr>
        <w:t>2、向乙方提供与本项目咨询服务工作有关的资料。</w:t>
      </w:r>
    </w:p>
    <w:p w14:paraId="0473CA93">
      <w:pPr>
        <w:ind w:firstLine="420" w:firstLineChars="200"/>
        <w:rPr>
          <w:rFonts w:ascii="宋体" w:hAnsi="宋体"/>
          <w:szCs w:val="21"/>
        </w:rPr>
      </w:pPr>
      <w:r>
        <w:rPr>
          <w:rFonts w:hint="eastAsia" w:ascii="宋体" w:hAnsi="宋体"/>
          <w:szCs w:val="21"/>
        </w:rPr>
        <w:t>3、负责组织有关专家对项目成果评估报告的评审。</w:t>
      </w:r>
    </w:p>
    <w:p w14:paraId="7C2867EC">
      <w:pPr>
        <w:ind w:firstLine="422" w:firstLineChars="200"/>
        <w:rPr>
          <w:rFonts w:ascii="宋体" w:hAnsi="宋体"/>
          <w:b/>
          <w:bCs/>
          <w:szCs w:val="21"/>
        </w:rPr>
      </w:pPr>
      <w:r>
        <w:rPr>
          <w:rFonts w:hint="eastAsia" w:ascii="宋体" w:hAnsi="宋体"/>
          <w:b/>
          <w:bCs/>
          <w:szCs w:val="21"/>
        </w:rPr>
        <w:t>第六条  乙方的义务</w:t>
      </w:r>
    </w:p>
    <w:p w14:paraId="1DA4EE55">
      <w:pPr>
        <w:ind w:firstLine="420" w:firstLineChars="200"/>
        <w:rPr>
          <w:rFonts w:ascii="宋体" w:hAnsi="宋体"/>
          <w:szCs w:val="21"/>
        </w:rPr>
      </w:pPr>
      <w:r>
        <w:rPr>
          <w:rFonts w:hint="eastAsia" w:ascii="宋体" w:hAnsi="宋体"/>
          <w:szCs w:val="21"/>
        </w:rPr>
        <w:t>１、应按照</w:t>
      </w:r>
      <w:r>
        <w:rPr>
          <w:rFonts w:hint="eastAsia" w:ascii="宋体" w:hAnsi="宋体"/>
          <w:szCs w:val="21"/>
          <w:u w:val="single"/>
        </w:rPr>
        <w:t xml:space="preserve">          </w:t>
      </w:r>
      <w:r>
        <w:rPr>
          <w:rFonts w:hint="eastAsia" w:ascii="宋体" w:hAnsi="宋体"/>
          <w:szCs w:val="21"/>
        </w:rPr>
        <w:t>号招标（采购）文件、乙方投标（应答）文件要求按期完成本项目咨询服务工作。</w:t>
      </w:r>
    </w:p>
    <w:p w14:paraId="58D0A0A1">
      <w:pPr>
        <w:ind w:firstLine="420" w:firstLineChars="200"/>
        <w:rPr>
          <w:rFonts w:ascii="宋体" w:hAnsi="宋体"/>
          <w:szCs w:val="21"/>
        </w:rPr>
      </w:pPr>
      <w:r>
        <w:rPr>
          <w:rFonts w:hint="eastAsia" w:ascii="宋体" w:hAnsi="宋体"/>
          <w:szCs w:val="21"/>
        </w:rPr>
        <w:t>2、负责组织项目的实施，保证工作进度和工作质量，并满足交付验收相关标准。</w:t>
      </w:r>
    </w:p>
    <w:p w14:paraId="7EB39D29">
      <w:pPr>
        <w:ind w:firstLine="420" w:firstLineChars="200"/>
        <w:rPr>
          <w:rFonts w:ascii="宋体" w:hAnsi="宋体"/>
          <w:szCs w:val="21"/>
        </w:rPr>
      </w:pPr>
      <w:r>
        <w:rPr>
          <w:rFonts w:hint="eastAsia" w:ascii="宋体" w:hAnsi="宋体"/>
          <w:szCs w:val="21"/>
        </w:rPr>
        <w:t>3、</w:t>
      </w:r>
      <w:r>
        <w:rPr>
          <w:rFonts w:hint="eastAsia" w:ascii="宋体" w:hAnsi="宋体"/>
        </w:rPr>
        <w:t>向甲方提交有关资料等各</w:t>
      </w:r>
      <w:r>
        <w:rPr>
          <w:rFonts w:hint="eastAsia" w:ascii="宋体" w:hAnsi="宋体"/>
          <w:u w:val="single"/>
        </w:rPr>
        <w:t xml:space="preserve">      </w:t>
      </w:r>
      <w:r>
        <w:rPr>
          <w:rFonts w:hint="eastAsia" w:ascii="宋体" w:hAnsi="宋体"/>
        </w:rPr>
        <w:t>套，一套电子版文件。</w:t>
      </w:r>
    </w:p>
    <w:p w14:paraId="4B63D036">
      <w:pPr>
        <w:ind w:firstLine="420" w:firstLineChars="200"/>
        <w:rPr>
          <w:rFonts w:ascii="宋体" w:hAnsi="宋体"/>
          <w:szCs w:val="21"/>
        </w:rPr>
      </w:pPr>
      <w:r>
        <w:rPr>
          <w:rFonts w:hint="eastAsia" w:ascii="宋体" w:hAnsi="宋体"/>
          <w:szCs w:val="21"/>
        </w:rPr>
        <w:t>4、在履行合同期间或合同规定期限内，不得泄露与本合同规定业务活动有关的保密资料。</w:t>
      </w:r>
    </w:p>
    <w:p w14:paraId="2D15AFDE">
      <w:pPr>
        <w:ind w:firstLine="422" w:firstLineChars="200"/>
        <w:rPr>
          <w:rFonts w:ascii="宋体" w:hAnsi="宋体"/>
          <w:b/>
          <w:bCs/>
          <w:szCs w:val="21"/>
        </w:rPr>
      </w:pPr>
      <w:r>
        <w:rPr>
          <w:rFonts w:hint="eastAsia" w:ascii="宋体" w:hAnsi="宋体"/>
          <w:b/>
          <w:bCs/>
          <w:szCs w:val="21"/>
        </w:rPr>
        <w:t>第七条  甲方的权利</w:t>
      </w:r>
    </w:p>
    <w:p w14:paraId="5B03777A">
      <w:pPr>
        <w:ind w:firstLine="420" w:firstLineChars="200"/>
        <w:rPr>
          <w:rFonts w:ascii="宋体" w:hAnsi="宋体"/>
          <w:szCs w:val="21"/>
        </w:rPr>
      </w:pPr>
      <w:r>
        <w:rPr>
          <w:rFonts w:ascii="宋体" w:hAnsi="宋体"/>
          <w:szCs w:val="21"/>
        </w:rPr>
        <w:t>1</w:t>
      </w:r>
      <w:r>
        <w:rPr>
          <w:rFonts w:hint="eastAsia" w:ascii="宋体" w:hAnsi="宋体"/>
          <w:szCs w:val="21"/>
        </w:rPr>
        <w:t>、有权向乙方询问工作进展情况及相关的内容。</w:t>
      </w:r>
    </w:p>
    <w:p w14:paraId="0C6A039D">
      <w:pPr>
        <w:ind w:firstLine="420" w:firstLineChars="200"/>
        <w:rPr>
          <w:rFonts w:ascii="宋体" w:hAnsi="宋体"/>
          <w:szCs w:val="21"/>
        </w:rPr>
      </w:pPr>
      <w:r>
        <w:rPr>
          <w:rFonts w:ascii="宋体" w:hAnsi="宋体"/>
          <w:szCs w:val="21"/>
        </w:rPr>
        <w:t>2</w:t>
      </w:r>
      <w:r>
        <w:rPr>
          <w:rFonts w:hint="eastAsia" w:ascii="宋体" w:hAnsi="宋体"/>
          <w:szCs w:val="21"/>
        </w:rPr>
        <w:t>、有权阐述对具体问题的意见和建议。</w:t>
      </w:r>
    </w:p>
    <w:p w14:paraId="20188D96">
      <w:pPr>
        <w:ind w:firstLine="420" w:firstLineChars="200"/>
        <w:rPr>
          <w:rFonts w:ascii="宋体" w:hAnsi="宋体"/>
          <w:szCs w:val="21"/>
        </w:rPr>
      </w:pPr>
      <w:r>
        <w:rPr>
          <w:rFonts w:ascii="宋体" w:hAnsi="宋体"/>
          <w:szCs w:val="21"/>
        </w:rPr>
        <w:t>3</w:t>
      </w:r>
      <w:r>
        <w:rPr>
          <w:rFonts w:hint="eastAsia" w:ascii="宋体" w:hAnsi="宋体"/>
          <w:szCs w:val="21"/>
        </w:rPr>
        <w:t>、当甲方认定乙方人员不按合同履行其职责，或与第三人串通给甲方造成经济损失的，甲方有权要求更换人员，直至终止合同并要求乙方承担相应的赔偿责任。</w:t>
      </w:r>
    </w:p>
    <w:p w14:paraId="1D502A9B">
      <w:pPr>
        <w:ind w:firstLine="422" w:firstLineChars="200"/>
        <w:rPr>
          <w:rFonts w:ascii="宋体" w:hAnsi="宋体"/>
          <w:b/>
          <w:bCs/>
          <w:szCs w:val="21"/>
        </w:rPr>
      </w:pPr>
      <w:r>
        <w:rPr>
          <w:rFonts w:hint="eastAsia" w:ascii="宋体" w:hAnsi="宋体"/>
          <w:b/>
          <w:bCs/>
          <w:szCs w:val="21"/>
        </w:rPr>
        <w:t>第八条  乙方的权利</w:t>
      </w:r>
    </w:p>
    <w:p w14:paraId="1F2DD595">
      <w:pPr>
        <w:ind w:firstLine="420" w:firstLineChars="200"/>
        <w:rPr>
          <w:rFonts w:ascii="宋体" w:hAnsi="宋体"/>
          <w:szCs w:val="21"/>
        </w:rPr>
      </w:pPr>
      <w:r>
        <w:rPr>
          <w:rFonts w:ascii="宋体" w:hAnsi="宋体"/>
          <w:szCs w:val="21"/>
        </w:rPr>
        <w:t>1</w:t>
      </w:r>
      <w:r>
        <w:rPr>
          <w:rFonts w:hint="eastAsia" w:ascii="宋体" w:hAnsi="宋体"/>
          <w:szCs w:val="21"/>
        </w:rPr>
        <w:t>、乙方在本项目服务过程中，如甲方提供的资料不明确时可向甲方提出书面报告。</w:t>
      </w:r>
    </w:p>
    <w:p w14:paraId="4B869AE3">
      <w:pPr>
        <w:ind w:firstLine="420" w:firstLineChars="200"/>
        <w:rPr>
          <w:rFonts w:ascii="宋体" w:hAnsi="宋体"/>
          <w:szCs w:val="21"/>
        </w:rPr>
      </w:pPr>
      <w:r>
        <w:rPr>
          <w:rFonts w:ascii="宋体" w:hAnsi="宋体"/>
          <w:szCs w:val="21"/>
        </w:rPr>
        <w:t>2</w:t>
      </w:r>
      <w:r>
        <w:rPr>
          <w:rFonts w:hint="eastAsia" w:ascii="宋体" w:hAnsi="宋体"/>
          <w:szCs w:val="21"/>
        </w:rPr>
        <w:t>、乙方在本项目服务过程中，有权对第三方提出与本咨询服务业务有关的问题进行核对或查问。</w:t>
      </w:r>
    </w:p>
    <w:p w14:paraId="6E8D6D54">
      <w:pPr>
        <w:ind w:firstLine="420" w:firstLineChars="200"/>
        <w:rPr>
          <w:rFonts w:ascii="宋体" w:hAnsi="宋体"/>
          <w:szCs w:val="21"/>
        </w:rPr>
      </w:pPr>
      <w:r>
        <w:rPr>
          <w:rFonts w:ascii="宋体" w:hAnsi="宋体"/>
          <w:szCs w:val="21"/>
        </w:rPr>
        <w:t>3</w:t>
      </w:r>
      <w:r>
        <w:rPr>
          <w:rFonts w:hint="eastAsia" w:ascii="宋体" w:hAnsi="宋体"/>
          <w:szCs w:val="21"/>
        </w:rPr>
        <w:t>、乙方在本项目服务过程中，有到项目现场勘察的权利。</w:t>
      </w:r>
    </w:p>
    <w:p w14:paraId="77E2E3AC">
      <w:pPr>
        <w:ind w:firstLine="422" w:firstLineChars="200"/>
        <w:rPr>
          <w:rFonts w:ascii="宋体" w:hAnsi="宋体"/>
          <w:b/>
          <w:bCs/>
          <w:szCs w:val="21"/>
        </w:rPr>
      </w:pPr>
      <w:r>
        <w:rPr>
          <w:rFonts w:hint="eastAsia" w:ascii="宋体" w:hAnsi="宋体"/>
          <w:b/>
          <w:bCs/>
          <w:szCs w:val="21"/>
        </w:rPr>
        <w:t>第九条  甲方的责任与追偿</w:t>
      </w:r>
    </w:p>
    <w:p w14:paraId="4C60AA97">
      <w:pPr>
        <w:ind w:firstLine="420" w:firstLineChars="200"/>
        <w:rPr>
          <w:rFonts w:ascii="宋体" w:hAnsi="宋体"/>
          <w:szCs w:val="21"/>
        </w:rPr>
      </w:pPr>
      <w:r>
        <w:rPr>
          <w:rFonts w:hint="eastAsia" w:ascii="宋体" w:hAnsi="宋体"/>
          <w:szCs w:val="21"/>
        </w:rPr>
        <w:t>1、应当履行本合同约定的义务，如有违反则应当承担违约责任，赔偿给乙方造成的损失。</w:t>
      </w:r>
    </w:p>
    <w:p w14:paraId="7002BED2">
      <w:pPr>
        <w:ind w:firstLine="420" w:firstLineChars="200"/>
        <w:rPr>
          <w:rFonts w:ascii="宋体" w:hAnsi="宋体"/>
          <w:szCs w:val="21"/>
        </w:rPr>
      </w:pPr>
      <w:r>
        <w:rPr>
          <w:rFonts w:hint="eastAsia" w:ascii="宋体" w:hAnsi="宋体"/>
          <w:szCs w:val="21"/>
        </w:rPr>
        <w:t>2、甲方向乙方提出赔偿要求不能成立时，则应补偿由于该赔偿或其他要求所导致乙方的各种费用的支出。</w:t>
      </w:r>
    </w:p>
    <w:p w14:paraId="5357F0AD">
      <w:pPr>
        <w:ind w:firstLine="422" w:firstLineChars="200"/>
        <w:rPr>
          <w:rFonts w:ascii="宋体" w:hAnsi="宋体"/>
          <w:b/>
          <w:bCs/>
          <w:szCs w:val="21"/>
        </w:rPr>
      </w:pPr>
      <w:r>
        <w:rPr>
          <w:rFonts w:hint="eastAsia" w:ascii="宋体" w:hAnsi="宋体"/>
          <w:b/>
          <w:bCs/>
          <w:szCs w:val="21"/>
        </w:rPr>
        <w:t>第十条  乙方的责任与</w:t>
      </w:r>
      <w:r>
        <w:rPr>
          <w:rFonts w:hint="eastAsia" w:ascii="宋体" w:hAnsi="宋体"/>
          <w:b/>
          <w:szCs w:val="21"/>
        </w:rPr>
        <w:t>赔偿</w:t>
      </w:r>
    </w:p>
    <w:p w14:paraId="76DE3F8F">
      <w:pPr>
        <w:ind w:firstLine="420" w:firstLineChars="200"/>
        <w:rPr>
          <w:rFonts w:ascii="宋体" w:hAnsi="宋体"/>
          <w:szCs w:val="21"/>
        </w:rPr>
      </w:pPr>
      <w:r>
        <w:rPr>
          <w:rFonts w:hint="eastAsia" w:ascii="宋体" w:hAnsi="宋体"/>
          <w:szCs w:val="21"/>
        </w:rPr>
        <w:t>1、乙方的责任期即本合同有效期。如因非乙方的责任造成进度的推迟或延误而超过约定的日期，双方应进一步约定相应延长合同有效期。</w:t>
      </w:r>
    </w:p>
    <w:p w14:paraId="25634D6D">
      <w:pPr>
        <w:ind w:firstLine="420" w:firstLineChars="200"/>
        <w:rPr>
          <w:rFonts w:ascii="宋体" w:hAnsi="宋体"/>
          <w:szCs w:val="21"/>
        </w:rPr>
      </w:pPr>
      <w:r>
        <w:rPr>
          <w:rFonts w:hint="eastAsia" w:ascii="宋体" w:hAnsi="宋体"/>
          <w:szCs w:val="21"/>
        </w:rPr>
        <w:t>2、乙方的责任期内，应当履行本合同中约定的义务，因乙方的单方过失造成的经济损失，应当向甲方进行赔偿。</w:t>
      </w:r>
    </w:p>
    <w:p w14:paraId="324556EB">
      <w:pPr>
        <w:ind w:firstLine="420" w:firstLineChars="200"/>
        <w:rPr>
          <w:rFonts w:ascii="宋体" w:hAnsi="宋体"/>
          <w:szCs w:val="21"/>
        </w:rPr>
      </w:pPr>
      <w:r>
        <w:rPr>
          <w:rFonts w:hint="eastAsia" w:ascii="宋体" w:hAnsi="宋体"/>
          <w:szCs w:val="21"/>
        </w:rPr>
        <w:t>3、乙方对甲方或第三方所提出的问题不能及时核对或答复，导致合同不能全部或部分履行，乙方应承担责任。</w:t>
      </w:r>
    </w:p>
    <w:p w14:paraId="7EDDEA1C">
      <w:pPr>
        <w:ind w:firstLine="420" w:firstLineChars="200"/>
        <w:rPr>
          <w:rFonts w:ascii="宋体" w:hAnsi="宋体"/>
          <w:szCs w:val="21"/>
        </w:rPr>
      </w:pPr>
      <w:r>
        <w:rPr>
          <w:rFonts w:hint="eastAsia" w:ascii="宋体" w:hAnsi="宋体"/>
          <w:szCs w:val="21"/>
        </w:rPr>
        <w:t>4、乙方向甲方提出赔偿要求不能成立时，则应补偿由于该赔偿或其他要求所导致甲方的各种费用的支出。</w:t>
      </w:r>
    </w:p>
    <w:p w14:paraId="5911543E">
      <w:pPr>
        <w:ind w:firstLine="422" w:firstLineChars="200"/>
        <w:rPr>
          <w:rFonts w:ascii="宋体" w:hAnsi="宋体"/>
          <w:b/>
          <w:bCs/>
          <w:szCs w:val="21"/>
        </w:rPr>
      </w:pPr>
      <w:r>
        <w:rPr>
          <w:rFonts w:hint="eastAsia" w:ascii="宋体" w:hAnsi="宋体"/>
          <w:b/>
          <w:bCs/>
          <w:szCs w:val="21"/>
        </w:rPr>
        <w:t>第十一条  人员要求</w:t>
      </w:r>
    </w:p>
    <w:p w14:paraId="2487D2CC">
      <w:pPr>
        <w:ind w:firstLine="420" w:firstLineChars="200"/>
        <w:rPr>
          <w:rFonts w:ascii="宋体" w:hAnsi="宋体"/>
          <w:szCs w:val="21"/>
        </w:rPr>
      </w:pPr>
      <w:r>
        <w:rPr>
          <w:rFonts w:hint="eastAsia" w:ascii="宋体" w:hAnsi="宋体"/>
          <w:szCs w:val="21"/>
        </w:rPr>
        <w:t>1、参加本项目试验的人员必须具有国家和有关部门规定的相应资质。</w:t>
      </w:r>
    </w:p>
    <w:p w14:paraId="6FEB38A8">
      <w:pPr>
        <w:ind w:firstLine="420" w:firstLineChars="200"/>
        <w:rPr>
          <w:rFonts w:ascii="宋体" w:hAnsi="宋体"/>
          <w:szCs w:val="21"/>
        </w:rPr>
      </w:pPr>
      <w:r>
        <w:rPr>
          <w:rFonts w:hint="eastAsia" w:ascii="宋体" w:hAnsi="宋体"/>
          <w:szCs w:val="21"/>
        </w:rPr>
        <w:t>2、 参加本项目的人员的配置必须与投标（应答）文件中的服务承诺书和试验服务组织实施方案一致。</w:t>
      </w:r>
    </w:p>
    <w:p w14:paraId="1B777A6D">
      <w:pPr>
        <w:ind w:firstLine="420" w:firstLineChars="200"/>
        <w:rPr>
          <w:rFonts w:ascii="宋体" w:hAnsi="宋体"/>
          <w:szCs w:val="21"/>
        </w:rPr>
      </w:pPr>
      <w:r>
        <w:rPr>
          <w:rFonts w:hint="eastAsia" w:ascii="宋体" w:hAnsi="宋体"/>
          <w:szCs w:val="21"/>
        </w:rPr>
        <w:t>3、必须以直属人员参与本项目服务，不得使用挂靠队伍。</w:t>
      </w:r>
    </w:p>
    <w:p w14:paraId="75104B1F">
      <w:pPr>
        <w:ind w:firstLine="422" w:firstLineChars="200"/>
        <w:rPr>
          <w:rFonts w:ascii="宋体" w:hAnsi="宋体"/>
          <w:b/>
          <w:bCs/>
          <w:szCs w:val="21"/>
        </w:rPr>
      </w:pPr>
      <w:r>
        <w:rPr>
          <w:rFonts w:hint="eastAsia" w:ascii="宋体" w:hAnsi="宋体"/>
          <w:b/>
          <w:bCs/>
          <w:szCs w:val="21"/>
        </w:rPr>
        <w:t>第十二条  乙方咨询服务工具要求</w:t>
      </w:r>
    </w:p>
    <w:p w14:paraId="61DD09B2">
      <w:pPr>
        <w:ind w:firstLine="420" w:firstLineChars="200"/>
        <w:rPr>
          <w:rFonts w:ascii="宋体" w:hAnsi="宋体"/>
          <w:szCs w:val="21"/>
        </w:rPr>
      </w:pPr>
      <w:r>
        <w:rPr>
          <w:rFonts w:hint="eastAsia" w:ascii="宋体" w:hAnsi="宋体"/>
          <w:szCs w:val="21"/>
        </w:rPr>
        <w:t>1、乙方应配备中标项目所需的足够数量的仪器、仪表以及工具等设备。用户不需向乙方提供施工工具和仪器、仪表。</w:t>
      </w:r>
    </w:p>
    <w:p w14:paraId="540A31B9">
      <w:pPr>
        <w:ind w:firstLine="420" w:firstLineChars="200"/>
        <w:rPr>
          <w:rFonts w:ascii="宋体" w:hAnsi="宋体"/>
          <w:szCs w:val="21"/>
        </w:rPr>
      </w:pPr>
      <w:r>
        <w:rPr>
          <w:rFonts w:hint="eastAsia" w:ascii="宋体" w:hAnsi="宋体"/>
          <w:szCs w:val="21"/>
        </w:rPr>
        <w:t>2、乙方在提供服务过程中应自备车辆。</w:t>
      </w:r>
    </w:p>
    <w:p w14:paraId="3B93A26F">
      <w:pPr>
        <w:ind w:firstLine="422" w:firstLineChars="200"/>
        <w:rPr>
          <w:rFonts w:ascii="宋体" w:hAnsi="宋体"/>
          <w:b/>
          <w:bCs/>
          <w:szCs w:val="21"/>
        </w:rPr>
      </w:pPr>
      <w:r>
        <w:rPr>
          <w:rFonts w:hint="eastAsia" w:ascii="宋体" w:hAnsi="宋体"/>
          <w:b/>
          <w:bCs/>
          <w:szCs w:val="21"/>
        </w:rPr>
        <w:t>第十三条  保密要求</w:t>
      </w:r>
    </w:p>
    <w:p w14:paraId="3DA62978">
      <w:pPr>
        <w:ind w:firstLine="420" w:firstLineChars="200"/>
        <w:rPr>
          <w:rFonts w:ascii="宋体" w:hAnsi="宋体"/>
          <w:szCs w:val="21"/>
        </w:rPr>
      </w:pPr>
      <w:r>
        <w:rPr>
          <w:rFonts w:hint="eastAsia" w:ascii="宋体" w:hAnsi="宋体"/>
          <w:szCs w:val="21"/>
        </w:rPr>
        <w:t>1、</w:t>
      </w:r>
      <w:r>
        <w:rPr>
          <w:rFonts w:ascii="宋体" w:hAnsi="宋体"/>
          <w:szCs w:val="21"/>
        </w:rPr>
        <w:t>由甲方收集的、开发的、整理的、复制的、研究的和准备的与本合同项下工作有关的所有资料在提供给乙方时，均被视为保密的，不得泄漏给除甲方或其指定的代表之外的任何人、企业或公司，不管本合同因何种原因终止，本条款一直约束乙方。</w:t>
      </w:r>
    </w:p>
    <w:p w14:paraId="5534692F">
      <w:pPr>
        <w:ind w:firstLine="420" w:firstLineChars="200"/>
        <w:rPr>
          <w:rFonts w:ascii="宋体" w:hAnsi="宋体"/>
          <w:szCs w:val="21"/>
        </w:rPr>
      </w:pPr>
      <w:r>
        <w:rPr>
          <w:rFonts w:hint="eastAsia" w:ascii="宋体" w:hAnsi="宋体"/>
          <w:szCs w:val="21"/>
        </w:rPr>
        <w:t>2、</w:t>
      </w:r>
      <w:r>
        <w:rPr>
          <w:rFonts w:ascii="宋体" w:hAnsi="宋体"/>
          <w:szCs w:val="21"/>
        </w:rPr>
        <w:t>乙方在履行合同过程中所获得或接触到的任何</w:t>
      </w:r>
      <w:r>
        <w:rPr>
          <w:rFonts w:hint="eastAsia" w:ascii="宋体" w:hAnsi="宋体"/>
          <w:szCs w:val="21"/>
        </w:rPr>
        <w:t>内部数据资料，未经甲方同意，不得向第三方透露。</w:t>
      </w:r>
    </w:p>
    <w:p w14:paraId="00E80A62">
      <w:pPr>
        <w:ind w:firstLine="420" w:firstLineChars="200"/>
        <w:rPr>
          <w:rFonts w:ascii="宋体" w:hAnsi="宋体"/>
          <w:szCs w:val="21"/>
        </w:rPr>
      </w:pPr>
      <w:r>
        <w:rPr>
          <w:rFonts w:hint="eastAsia" w:ascii="宋体" w:hAnsi="宋体"/>
          <w:szCs w:val="21"/>
        </w:rPr>
        <w:t>3、</w:t>
      </w:r>
      <w:r>
        <w:rPr>
          <w:rFonts w:ascii="宋体" w:hAnsi="宋体"/>
          <w:szCs w:val="21"/>
        </w:rPr>
        <w:t>乙方</w:t>
      </w:r>
      <w:r>
        <w:rPr>
          <w:rFonts w:hint="eastAsia" w:ascii="宋体" w:hAnsi="宋体"/>
          <w:szCs w:val="21"/>
        </w:rPr>
        <w:t>实施项目的一切程序都应符合国家安全、保密的有关规定和标准。</w:t>
      </w:r>
    </w:p>
    <w:p w14:paraId="60E7516C">
      <w:pPr>
        <w:ind w:firstLine="420" w:firstLineChars="200"/>
        <w:rPr>
          <w:rFonts w:ascii="宋体" w:hAnsi="宋体"/>
          <w:szCs w:val="21"/>
        </w:rPr>
      </w:pPr>
      <w:r>
        <w:rPr>
          <w:rFonts w:hint="eastAsia" w:ascii="宋体" w:hAnsi="宋体"/>
          <w:szCs w:val="21"/>
        </w:rPr>
        <w:t>4、</w:t>
      </w:r>
      <w:r>
        <w:rPr>
          <w:rFonts w:ascii="宋体" w:hAnsi="宋体"/>
          <w:szCs w:val="21"/>
        </w:rPr>
        <w:t>乙方</w:t>
      </w:r>
      <w:r>
        <w:rPr>
          <w:rFonts w:hint="eastAsia" w:ascii="宋体" w:hAnsi="宋体"/>
          <w:szCs w:val="21"/>
        </w:rPr>
        <w:t>参加项目的有关人员均需同甲方签订保密协议。</w:t>
      </w:r>
    </w:p>
    <w:p w14:paraId="4CE9B173">
      <w:pPr>
        <w:ind w:firstLine="422" w:firstLineChars="200"/>
        <w:rPr>
          <w:rFonts w:ascii="宋体" w:hAnsi="宋体"/>
          <w:b/>
          <w:bCs/>
          <w:szCs w:val="21"/>
        </w:rPr>
      </w:pPr>
      <w:r>
        <w:rPr>
          <w:rFonts w:hint="eastAsia" w:ascii="宋体" w:hAnsi="宋体"/>
          <w:b/>
          <w:bCs/>
          <w:szCs w:val="21"/>
        </w:rPr>
        <w:t xml:space="preserve">第十四条  验收 </w:t>
      </w:r>
    </w:p>
    <w:p w14:paraId="5C01328C">
      <w:pPr>
        <w:ind w:firstLine="420" w:firstLineChars="200"/>
        <w:rPr>
          <w:rFonts w:ascii="宋体" w:hAnsi="宋体"/>
          <w:szCs w:val="21"/>
        </w:rPr>
      </w:pPr>
      <w:r>
        <w:rPr>
          <w:rFonts w:hint="eastAsia" w:ascii="宋体" w:hAnsi="宋体"/>
          <w:szCs w:val="21"/>
        </w:rPr>
        <w:t>1、下列文件的验收分为</w:t>
      </w:r>
      <w:r>
        <w:rPr>
          <w:rFonts w:hint="eastAsia" w:ascii="宋体" w:hAnsi="宋体"/>
          <w:szCs w:val="21"/>
          <w:u w:val="single"/>
        </w:rPr>
        <w:t xml:space="preserve">          三</w:t>
      </w:r>
      <w:r>
        <w:rPr>
          <w:rFonts w:hint="eastAsia" w:ascii="宋体" w:hAnsi="宋体"/>
          <w:szCs w:val="21"/>
        </w:rPr>
        <w:t>个阶段:</w:t>
      </w:r>
    </w:p>
    <w:p w14:paraId="61CD48E9">
      <w:pPr>
        <w:ind w:firstLine="420" w:firstLineChars="200"/>
        <w:rPr>
          <w:rFonts w:ascii="宋体" w:hAnsi="宋体"/>
          <w:szCs w:val="21"/>
        </w:rPr>
      </w:pPr>
      <w:r>
        <w:rPr>
          <w:rFonts w:hint="eastAsia" w:ascii="宋体" w:hAnsi="宋体"/>
          <w:szCs w:val="21"/>
        </w:rPr>
        <w:t>2、其余文件和工作由用户组织有关技术人员根据国家和行业有关规范、规程、标准和用户需求直接验收。</w:t>
      </w:r>
    </w:p>
    <w:p w14:paraId="41226179">
      <w:pPr>
        <w:ind w:firstLine="420" w:firstLineChars="200"/>
        <w:rPr>
          <w:rFonts w:ascii="宋体" w:hAnsi="宋体"/>
          <w:szCs w:val="21"/>
        </w:rPr>
      </w:pPr>
      <w:r>
        <w:rPr>
          <w:rFonts w:hint="eastAsia" w:ascii="宋体" w:hAnsi="宋体"/>
          <w:szCs w:val="21"/>
        </w:rPr>
        <w:t>3、验收依据为</w:t>
      </w:r>
      <w:r>
        <w:rPr>
          <w:rFonts w:hint="eastAsia" w:ascii="宋体" w:hAnsi="宋体"/>
          <w:szCs w:val="21"/>
          <w:u w:val="single"/>
        </w:rPr>
        <w:t>本项目</w:t>
      </w:r>
      <w:r>
        <w:rPr>
          <w:rFonts w:hint="eastAsia" w:ascii="宋体" w:hAnsi="宋体"/>
          <w:szCs w:val="21"/>
        </w:rPr>
        <w:t>招标（采购）文件、乙方投标（应答）文件，国家和行业有关规范、规程和标准。</w:t>
      </w:r>
    </w:p>
    <w:p w14:paraId="68E24B49">
      <w:pPr>
        <w:ind w:firstLine="422" w:firstLineChars="200"/>
        <w:rPr>
          <w:rFonts w:ascii="宋体" w:hAnsi="宋体"/>
          <w:b/>
          <w:bCs/>
          <w:szCs w:val="21"/>
        </w:rPr>
      </w:pPr>
      <w:r>
        <w:rPr>
          <w:rFonts w:hint="eastAsia" w:ascii="宋体" w:hAnsi="宋体"/>
          <w:b/>
          <w:bCs/>
          <w:szCs w:val="21"/>
        </w:rPr>
        <w:t>第十五条  付款期限与方式</w:t>
      </w:r>
    </w:p>
    <w:p w14:paraId="4F3F48A1">
      <w:pPr>
        <w:ind w:firstLine="420" w:firstLineChars="200"/>
        <w:rPr>
          <w:rFonts w:ascii="宋体" w:hAnsi="宋体"/>
          <w:szCs w:val="21"/>
        </w:rPr>
      </w:pPr>
      <w:r>
        <w:rPr>
          <w:rFonts w:hint="eastAsia" w:ascii="宋体" w:hAnsi="宋体"/>
          <w:szCs w:val="21"/>
        </w:rPr>
        <w:t>1、合同签订后</w:t>
      </w:r>
      <w:r>
        <w:rPr>
          <w:rFonts w:hint="eastAsia" w:ascii="宋体" w:hAnsi="宋体"/>
          <w:szCs w:val="21"/>
          <w:u w:val="single"/>
        </w:rPr>
        <w:t xml:space="preserve">     </w:t>
      </w:r>
      <w:r>
        <w:rPr>
          <w:rFonts w:hint="eastAsia" w:ascii="宋体" w:hAnsi="宋体"/>
          <w:szCs w:val="21"/>
        </w:rPr>
        <w:t>天内，甲方向乙方支付合同总价</w:t>
      </w:r>
      <w:r>
        <w:rPr>
          <w:rFonts w:hint="eastAsia" w:ascii="宋体" w:hAnsi="宋体"/>
          <w:szCs w:val="21"/>
          <w:u w:val="single"/>
        </w:rPr>
        <w:t xml:space="preserve">    </w:t>
      </w:r>
      <w:r>
        <w:rPr>
          <w:rFonts w:hint="eastAsia" w:ascii="宋体" w:hAnsi="宋体"/>
          <w:szCs w:val="21"/>
        </w:rPr>
        <w:t>%的款项。</w:t>
      </w:r>
    </w:p>
    <w:p w14:paraId="20361E70">
      <w:pPr>
        <w:ind w:firstLine="420" w:firstLineChars="200"/>
        <w:rPr>
          <w:rFonts w:ascii="宋体" w:hAnsi="宋体"/>
          <w:szCs w:val="21"/>
        </w:rPr>
      </w:pPr>
      <w:r>
        <w:rPr>
          <w:rFonts w:hint="eastAsia" w:ascii="宋体" w:hAnsi="宋体"/>
          <w:szCs w:val="21"/>
        </w:rPr>
        <w:t>2、检测完成并提交评估报告后，甲方向乙方支付合同总价</w:t>
      </w:r>
      <w:r>
        <w:rPr>
          <w:rFonts w:hint="eastAsia" w:ascii="宋体" w:hAnsi="宋体"/>
          <w:szCs w:val="21"/>
          <w:u w:val="single"/>
        </w:rPr>
        <w:t xml:space="preserve">    </w:t>
      </w:r>
      <w:r>
        <w:rPr>
          <w:rFonts w:hint="eastAsia" w:ascii="宋体" w:hAnsi="宋体"/>
          <w:szCs w:val="21"/>
        </w:rPr>
        <w:t>%的款项。</w:t>
      </w:r>
    </w:p>
    <w:p w14:paraId="2B84CDA4">
      <w:pPr>
        <w:ind w:firstLine="420" w:firstLineChars="200"/>
        <w:rPr>
          <w:rFonts w:ascii="宋体" w:hAnsi="宋体"/>
          <w:szCs w:val="21"/>
        </w:rPr>
      </w:pPr>
      <w:r>
        <w:rPr>
          <w:rFonts w:hint="eastAsia" w:ascii="宋体" w:hAnsi="宋体"/>
          <w:szCs w:val="21"/>
        </w:rPr>
        <w:t>3、报告通过专家评审后，甲方向乙方支付合同总价</w:t>
      </w:r>
      <w:r>
        <w:rPr>
          <w:rFonts w:hint="eastAsia" w:ascii="宋体" w:hAnsi="宋体"/>
          <w:szCs w:val="21"/>
          <w:u w:val="single"/>
        </w:rPr>
        <w:t xml:space="preserve">    </w:t>
      </w:r>
      <w:r>
        <w:rPr>
          <w:rFonts w:hint="eastAsia" w:ascii="宋体" w:hAnsi="宋体"/>
          <w:szCs w:val="21"/>
        </w:rPr>
        <w:t>%的款项。</w:t>
      </w:r>
    </w:p>
    <w:p w14:paraId="02EE0D50">
      <w:pPr>
        <w:ind w:firstLine="422" w:firstLineChars="200"/>
        <w:rPr>
          <w:rFonts w:ascii="宋体" w:hAnsi="宋体"/>
          <w:b/>
          <w:bCs/>
          <w:szCs w:val="21"/>
        </w:rPr>
      </w:pPr>
      <w:r>
        <w:rPr>
          <w:rFonts w:hint="eastAsia" w:ascii="宋体" w:hAnsi="宋体"/>
          <w:b/>
          <w:bCs/>
          <w:szCs w:val="21"/>
        </w:rPr>
        <w:t>第十六条  争议解决办法</w:t>
      </w:r>
    </w:p>
    <w:p w14:paraId="1DB5DE36">
      <w:pPr>
        <w:spacing w:line="360" w:lineRule="auto"/>
        <w:ind w:firstLine="315" w:firstLineChars="150"/>
        <w:jc w:val="left"/>
        <w:rPr>
          <w:rFonts w:ascii="宋体" w:hAnsi="宋体"/>
          <w:szCs w:val="21"/>
        </w:rPr>
      </w:pPr>
      <w:r>
        <w:rPr>
          <w:rFonts w:hint="eastAsia" w:ascii="宋体" w:hAnsi="宋体"/>
          <w:szCs w:val="21"/>
        </w:rPr>
        <w:t>因履行本合同引起的或与本合同有关的争议，甲、乙双方应首先通过友好协商解决，如果协商不能解决争议，则向甲方所在地有管辖权的人民法院提起诉讼。</w:t>
      </w:r>
    </w:p>
    <w:p w14:paraId="40A4AC94">
      <w:pPr>
        <w:ind w:firstLine="422" w:firstLineChars="200"/>
        <w:rPr>
          <w:rFonts w:ascii="宋体" w:hAnsi="宋体"/>
          <w:b/>
          <w:bCs/>
          <w:szCs w:val="21"/>
        </w:rPr>
      </w:pPr>
      <w:r>
        <w:rPr>
          <w:rFonts w:hint="eastAsia" w:ascii="宋体" w:hAnsi="宋体"/>
          <w:b/>
          <w:bCs/>
          <w:szCs w:val="21"/>
        </w:rPr>
        <w:t>第十七条  风险责任</w:t>
      </w:r>
    </w:p>
    <w:p w14:paraId="75F8DFF5">
      <w:pPr>
        <w:ind w:firstLine="420" w:firstLineChars="200"/>
        <w:rPr>
          <w:rFonts w:ascii="宋体" w:hAnsi="宋体"/>
          <w:szCs w:val="21"/>
        </w:rPr>
      </w:pPr>
      <w:r>
        <w:rPr>
          <w:rFonts w:hint="eastAsia" w:ascii="宋体" w:hAnsi="宋体"/>
          <w:szCs w:val="21"/>
        </w:rPr>
        <w:t>１、乙方应完全地按照</w:t>
      </w:r>
      <w:r>
        <w:rPr>
          <w:rFonts w:hint="eastAsia" w:ascii="宋体" w:hAnsi="宋体"/>
          <w:szCs w:val="21"/>
          <w:u w:val="single"/>
        </w:rPr>
        <w:t>项目</w:t>
      </w:r>
      <w:r>
        <w:rPr>
          <w:rFonts w:hint="eastAsia" w:ascii="宋体" w:hAnsi="宋体"/>
          <w:szCs w:val="21"/>
        </w:rPr>
        <w:t>招标（采购）文件的要求和乙方投标（应答）文件的承诺完成本项目，出于自身财务、技术、人力等原因导致项目失败的，应承担全部责任。</w:t>
      </w:r>
    </w:p>
    <w:p w14:paraId="210E3EFA">
      <w:pPr>
        <w:ind w:firstLine="420" w:firstLineChars="200"/>
        <w:rPr>
          <w:rFonts w:ascii="宋体" w:hAnsi="宋体"/>
          <w:szCs w:val="21"/>
        </w:rPr>
      </w:pPr>
      <w:r>
        <w:rPr>
          <w:rFonts w:hint="eastAsia" w:ascii="宋体" w:hAnsi="宋体"/>
          <w:szCs w:val="21"/>
        </w:rPr>
        <w:t>2、乙方在实施过程中应对自身的安全生产负责，若由乙方原因发生的各种事故甲方不承担任何责任。</w:t>
      </w:r>
    </w:p>
    <w:p w14:paraId="17C088A2">
      <w:pPr>
        <w:ind w:firstLine="422" w:firstLineChars="200"/>
        <w:rPr>
          <w:rFonts w:ascii="宋体" w:hAnsi="宋体"/>
          <w:b/>
          <w:bCs/>
          <w:szCs w:val="21"/>
        </w:rPr>
      </w:pPr>
      <w:r>
        <w:rPr>
          <w:rFonts w:hint="eastAsia" w:ascii="宋体" w:hAnsi="宋体"/>
          <w:b/>
          <w:bCs/>
          <w:szCs w:val="21"/>
        </w:rPr>
        <w:t>第十八条  违约责任</w:t>
      </w:r>
    </w:p>
    <w:p w14:paraId="779588DF">
      <w:pPr>
        <w:pStyle w:val="20"/>
        <w:spacing w:line="240" w:lineRule="auto"/>
        <w:rPr>
          <w:rFonts w:ascii="宋体" w:hAnsi="宋体"/>
          <w:szCs w:val="21"/>
        </w:rPr>
      </w:pPr>
      <w:r>
        <w:rPr>
          <w:rFonts w:hint="eastAsia" w:ascii="宋体" w:hAnsi="宋体"/>
          <w:szCs w:val="21"/>
        </w:rPr>
        <w:t>１、因乙方原因，未能按规定时间完成有关工作的，每延误一天，甲方可在支付合同余款中扣除合同价款千分之一。</w:t>
      </w:r>
    </w:p>
    <w:p w14:paraId="015C1EEA">
      <w:pPr>
        <w:ind w:firstLine="420" w:firstLineChars="200"/>
        <w:rPr>
          <w:rFonts w:ascii="宋体" w:hAnsi="宋体"/>
          <w:szCs w:val="21"/>
        </w:rPr>
      </w:pPr>
      <w:r>
        <w:rPr>
          <w:rFonts w:hint="eastAsia" w:ascii="宋体" w:hAnsi="宋体"/>
          <w:szCs w:val="21"/>
        </w:rPr>
        <w:t>2、由于乙方原因造成试验成果质量低劣，不能满足大纲要求时，应继续完善试验工作，其费用由乙方承担。</w:t>
      </w:r>
    </w:p>
    <w:p w14:paraId="67697B42">
      <w:pPr>
        <w:ind w:firstLine="420" w:firstLineChars="200"/>
        <w:rPr>
          <w:rFonts w:ascii="宋体" w:hAnsi="宋体"/>
          <w:szCs w:val="21"/>
        </w:rPr>
      </w:pPr>
      <w:r>
        <w:rPr>
          <w:rFonts w:hint="eastAsia" w:ascii="宋体" w:hAnsi="宋体"/>
          <w:szCs w:val="21"/>
        </w:rPr>
        <w:t>3、如乙方提供的咨询服务文件不符合质量要求，必须在甲方提出要求后7天内无条件修改，其费用由乙方承担。</w:t>
      </w:r>
    </w:p>
    <w:p w14:paraId="2A95B6F3">
      <w:pPr>
        <w:ind w:firstLine="420" w:firstLineChars="200"/>
        <w:rPr>
          <w:rFonts w:hint="eastAsia" w:ascii="宋体" w:hAnsi="宋体"/>
          <w:szCs w:val="21"/>
        </w:rPr>
      </w:pPr>
      <w:r>
        <w:rPr>
          <w:rFonts w:hint="eastAsia" w:ascii="宋体" w:hAnsi="宋体"/>
          <w:szCs w:val="21"/>
        </w:rPr>
        <w:t>4、若甲方发现乙方派出的试验服务人员或提供的试验仪器设备不符合合同要求，乙方应在3天之内按要求派出人员或提供满足</w:t>
      </w:r>
      <w:r>
        <w:rPr>
          <w:rFonts w:hint="eastAsia" w:ascii="宋体" w:hAnsi="宋体"/>
          <w:szCs w:val="21"/>
          <w:lang w:eastAsia="zh-CN"/>
        </w:rPr>
        <w:t>应答文件</w:t>
      </w:r>
      <w:r>
        <w:rPr>
          <w:rFonts w:hint="eastAsia" w:ascii="宋体" w:hAnsi="宋体"/>
          <w:szCs w:val="21"/>
        </w:rPr>
        <w:t>承诺的仪器设备，否则甲方有权终止合同，并保留追究乙方责任及要求赔偿损失的权利。</w:t>
      </w:r>
    </w:p>
    <w:p w14:paraId="1D9AB3DE">
      <w:pPr>
        <w:spacing w:line="360" w:lineRule="auto"/>
        <w:ind w:firstLine="560"/>
        <w:jc w:val="left"/>
        <w:rPr>
          <w:b/>
          <w:szCs w:val="21"/>
        </w:rPr>
      </w:pPr>
      <w:r>
        <w:rPr>
          <w:rFonts w:hint="eastAsia"/>
          <w:b/>
          <w:szCs w:val="21"/>
        </w:rPr>
        <w:t>第十九条 合同的变更和终止</w:t>
      </w:r>
    </w:p>
    <w:p w14:paraId="381B1326">
      <w:pPr>
        <w:spacing w:line="360" w:lineRule="auto"/>
        <w:ind w:firstLine="560"/>
        <w:jc w:val="left"/>
        <w:rPr>
          <w:rFonts w:ascii="宋体" w:hAnsi="宋体"/>
          <w:szCs w:val="21"/>
        </w:rPr>
      </w:pPr>
      <w:r>
        <w:rPr>
          <w:rFonts w:hint="eastAsia" w:ascii="宋体" w:hAnsi="宋体"/>
          <w:szCs w:val="21"/>
        </w:rPr>
        <w:t>除《中华人民共和国政府采购法》第４９条、第５０条规定的情形外，本合同一经签订，甲乙双方不得擅自变更、中止或终止合同。</w:t>
      </w:r>
    </w:p>
    <w:p w14:paraId="2970AFCA">
      <w:pPr>
        <w:spacing w:line="360" w:lineRule="auto"/>
        <w:ind w:firstLine="560"/>
        <w:jc w:val="left"/>
        <w:rPr>
          <w:b/>
          <w:szCs w:val="21"/>
        </w:rPr>
      </w:pPr>
      <w:r>
        <w:rPr>
          <w:rFonts w:hint="eastAsia" w:ascii="宋体" w:hAnsi="宋体"/>
          <w:b/>
          <w:bCs/>
          <w:szCs w:val="21"/>
        </w:rPr>
        <w:t xml:space="preserve">第二十条  </w:t>
      </w:r>
      <w:r>
        <w:rPr>
          <w:rFonts w:hint="eastAsia"/>
          <w:b/>
          <w:szCs w:val="21"/>
        </w:rPr>
        <w:t>合同生效及其他</w:t>
      </w:r>
    </w:p>
    <w:p w14:paraId="3F89ED7A">
      <w:pPr>
        <w:spacing w:line="360" w:lineRule="auto"/>
        <w:ind w:firstLine="560"/>
        <w:jc w:val="left"/>
        <w:rPr>
          <w:rFonts w:ascii="宋体" w:hAnsi="宋体"/>
          <w:szCs w:val="21"/>
        </w:rPr>
      </w:pPr>
      <w:r>
        <w:rPr>
          <w:rFonts w:hint="eastAsia" w:ascii="宋体" w:hAnsi="宋体"/>
          <w:szCs w:val="21"/>
        </w:rPr>
        <w:t>1、下列文件均为本合同的组成部分：</w:t>
      </w:r>
    </w:p>
    <w:p w14:paraId="2FC7F8D5">
      <w:pPr>
        <w:spacing w:line="360" w:lineRule="auto"/>
        <w:ind w:firstLine="560"/>
        <w:jc w:val="left"/>
        <w:rPr>
          <w:rFonts w:ascii="宋体" w:hAnsi="宋体"/>
          <w:szCs w:val="21"/>
        </w:rPr>
      </w:pPr>
      <w:r>
        <w:rPr>
          <w:rFonts w:hint="eastAsia" w:ascii="宋体" w:hAnsi="宋体"/>
          <w:szCs w:val="21"/>
        </w:rPr>
        <w:t>（1）本项目招标（采购）文件、答疑及补充通知；</w:t>
      </w:r>
    </w:p>
    <w:p w14:paraId="5C5ED8C9">
      <w:pPr>
        <w:spacing w:line="360" w:lineRule="auto"/>
        <w:ind w:firstLine="560"/>
        <w:jc w:val="left"/>
        <w:rPr>
          <w:rFonts w:ascii="宋体" w:hAnsi="宋体"/>
          <w:szCs w:val="21"/>
        </w:rPr>
      </w:pPr>
      <w:r>
        <w:rPr>
          <w:rFonts w:hint="eastAsia" w:ascii="宋体" w:hAnsi="宋体"/>
          <w:szCs w:val="21"/>
        </w:rPr>
        <w:t>（2）乙方的投标（应答）文件；</w:t>
      </w:r>
    </w:p>
    <w:p w14:paraId="75A9F176">
      <w:pPr>
        <w:spacing w:line="360" w:lineRule="auto"/>
        <w:ind w:firstLine="560"/>
        <w:jc w:val="left"/>
        <w:rPr>
          <w:rFonts w:ascii="宋体" w:hAnsi="宋体"/>
          <w:szCs w:val="21"/>
        </w:rPr>
      </w:pPr>
      <w:r>
        <w:rPr>
          <w:rFonts w:hint="eastAsia" w:ascii="宋体" w:hAnsi="宋体"/>
          <w:szCs w:val="21"/>
        </w:rPr>
        <w:t>（3）本合同执行中甲乙双方共同签署的补充与修正文件。</w:t>
      </w:r>
    </w:p>
    <w:p w14:paraId="5ED68FFD">
      <w:pPr>
        <w:spacing w:line="360" w:lineRule="auto"/>
        <w:ind w:firstLine="560"/>
        <w:jc w:val="left"/>
        <w:rPr>
          <w:rFonts w:ascii="宋体" w:hAnsi="宋体"/>
          <w:szCs w:val="21"/>
        </w:rPr>
      </w:pPr>
      <w:r>
        <w:rPr>
          <w:rFonts w:hint="eastAsia" w:ascii="宋体" w:hAnsi="宋体"/>
          <w:szCs w:val="21"/>
        </w:rPr>
        <w:t>2、本合同一式</w:t>
      </w:r>
      <w:r>
        <w:rPr>
          <w:rFonts w:hint="eastAsia" w:ascii="宋体" w:hAnsi="宋体"/>
          <w:szCs w:val="21"/>
          <w:u w:val="single"/>
        </w:rPr>
        <w:t>xx</w:t>
      </w:r>
      <w:r>
        <w:rPr>
          <w:rFonts w:hint="eastAsia" w:ascii="宋体" w:hAnsi="宋体"/>
          <w:szCs w:val="21"/>
        </w:rPr>
        <w:t>份，甲、乙方双方各</w:t>
      </w:r>
      <w:r>
        <w:rPr>
          <w:rFonts w:hint="eastAsia" w:ascii="宋体" w:hAnsi="宋体"/>
          <w:szCs w:val="21"/>
          <w:u w:val="single"/>
        </w:rPr>
        <w:t>xx</w:t>
      </w:r>
      <w:r>
        <w:rPr>
          <w:rFonts w:hint="eastAsia" w:ascii="宋体" w:hAnsi="宋体"/>
          <w:szCs w:val="21"/>
        </w:rPr>
        <w:t>执份，具有同等法律效力。本合同自双方法定代表人（或授权代表）签字并盖章之日起生效。</w:t>
      </w:r>
    </w:p>
    <w:p w14:paraId="66E7F123">
      <w:pPr>
        <w:ind w:firstLine="420" w:firstLineChars="200"/>
        <w:rPr>
          <w:rFonts w:ascii="宋体" w:hAnsi="宋体"/>
          <w:szCs w:val="21"/>
        </w:rPr>
      </w:pPr>
    </w:p>
    <w:p w14:paraId="1D7A049D">
      <w:pPr>
        <w:rPr>
          <w:rFonts w:ascii="宋体" w:hAnsi="宋体"/>
          <w:szCs w:val="21"/>
          <w:u w:val="single"/>
        </w:rPr>
      </w:pPr>
      <w:r>
        <w:rPr>
          <w:rFonts w:hint="eastAsia" w:ascii="宋体" w:hAnsi="宋体"/>
          <w:szCs w:val="21"/>
        </w:rPr>
        <w:t>甲方：</w:t>
      </w:r>
      <w:r>
        <w:rPr>
          <w:rFonts w:hint="eastAsia" w:ascii="宋体" w:hAnsi="宋体"/>
          <w:szCs w:val="21"/>
          <w:u w:val="single"/>
        </w:rPr>
        <w:t xml:space="preserve">                                </w:t>
      </w:r>
      <w:r>
        <w:rPr>
          <w:rFonts w:hint="eastAsia" w:ascii="宋体" w:hAnsi="宋体"/>
          <w:szCs w:val="21"/>
        </w:rPr>
        <w:t xml:space="preserve">    乙方：</w:t>
      </w:r>
      <w:r>
        <w:rPr>
          <w:rFonts w:hint="eastAsia" w:ascii="宋体" w:hAnsi="宋体"/>
          <w:szCs w:val="21"/>
          <w:u w:val="single"/>
        </w:rPr>
        <w:t xml:space="preserve">                            </w:t>
      </w:r>
    </w:p>
    <w:p w14:paraId="57F20B0B">
      <w:pPr>
        <w:ind w:firstLine="1890" w:firstLineChars="900"/>
        <w:rPr>
          <w:rFonts w:ascii="宋体" w:hAnsi="宋体"/>
          <w:szCs w:val="21"/>
        </w:rPr>
      </w:pPr>
      <w:r>
        <w:rPr>
          <w:rFonts w:hint="eastAsia" w:ascii="宋体" w:hAnsi="宋体"/>
          <w:szCs w:val="21"/>
        </w:rPr>
        <w:t xml:space="preserve">（签章）                 </w:t>
      </w:r>
      <w:r>
        <w:rPr>
          <w:rFonts w:ascii="宋体" w:hAnsi="宋体"/>
          <w:szCs w:val="21"/>
        </w:rPr>
        <w:t xml:space="preserve">        </w:t>
      </w:r>
      <w:r>
        <w:rPr>
          <w:rFonts w:hint="eastAsia" w:ascii="宋体" w:hAnsi="宋体"/>
          <w:szCs w:val="21"/>
        </w:rPr>
        <w:t xml:space="preserve">        （签章）</w:t>
      </w:r>
    </w:p>
    <w:p w14:paraId="31472B78">
      <w:pPr>
        <w:ind w:firstLine="2730" w:firstLineChars="1300"/>
        <w:rPr>
          <w:rFonts w:ascii="宋体" w:hAnsi="宋体"/>
          <w:szCs w:val="21"/>
        </w:rPr>
      </w:pPr>
      <w:r>
        <w:rPr>
          <w:rFonts w:hint="eastAsia" w:ascii="宋体" w:hAnsi="宋体"/>
          <w:szCs w:val="21"/>
        </w:rPr>
        <w:t xml:space="preserve">              </w:t>
      </w:r>
      <w:r>
        <w:rPr>
          <w:rFonts w:ascii="宋体" w:hAnsi="宋体"/>
          <w:szCs w:val="21"/>
        </w:rPr>
        <w:t xml:space="preserve"> </w:t>
      </w:r>
    </w:p>
    <w:p w14:paraId="7C216164">
      <w:pPr>
        <w:ind w:firstLine="420" w:firstLineChars="200"/>
        <w:rPr>
          <w:rFonts w:ascii="宋体" w:hAnsi="宋体"/>
          <w:szCs w:val="21"/>
        </w:rPr>
      </w:pPr>
      <w:r>
        <w:rPr>
          <w:rFonts w:hint="eastAsia" w:ascii="宋体" w:hAnsi="宋体"/>
          <w:szCs w:val="21"/>
        </w:rPr>
        <w:t xml:space="preserve">地址：                        </w:t>
      </w:r>
      <w:r>
        <w:rPr>
          <w:rFonts w:ascii="宋体" w:hAnsi="宋体"/>
          <w:szCs w:val="21"/>
        </w:rPr>
        <w:t xml:space="preserve">        </w:t>
      </w:r>
      <w:r>
        <w:rPr>
          <w:rFonts w:hint="eastAsia" w:ascii="宋体" w:hAnsi="宋体"/>
          <w:szCs w:val="21"/>
        </w:rPr>
        <w:t xml:space="preserve">地址： </w:t>
      </w:r>
    </w:p>
    <w:p w14:paraId="4DC6F654">
      <w:pPr>
        <w:ind w:firstLine="420" w:firstLineChars="200"/>
        <w:rPr>
          <w:rFonts w:ascii="宋体" w:hAnsi="宋体"/>
          <w:szCs w:val="21"/>
        </w:rPr>
      </w:pPr>
      <w:r>
        <w:rPr>
          <w:rFonts w:hint="eastAsia" w:ascii="宋体" w:hAnsi="宋体"/>
          <w:szCs w:val="21"/>
        </w:rPr>
        <w:t>法定代表人：（签章）</w:t>
      </w:r>
      <w:r>
        <w:rPr>
          <w:rFonts w:ascii="宋体" w:hAnsi="宋体"/>
          <w:szCs w:val="21"/>
        </w:rPr>
        <w:t xml:space="preserve">        </w:t>
      </w:r>
      <w:r>
        <w:rPr>
          <w:rFonts w:hint="eastAsia" w:ascii="宋体" w:hAnsi="宋体"/>
          <w:szCs w:val="21"/>
        </w:rPr>
        <w:t xml:space="preserve">           法定代表人：（签章）</w:t>
      </w:r>
    </w:p>
    <w:p w14:paraId="34057D93">
      <w:pPr>
        <w:ind w:firstLine="420" w:firstLineChars="200"/>
        <w:rPr>
          <w:rFonts w:ascii="宋体" w:hAnsi="宋体"/>
          <w:szCs w:val="21"/>
        </w:rPr>
      </w:pPr>
      <w:r>
        <w:rPr>
          <w:rFonts w:hint="eastAsia" w:ascii="宋体" w:hAnsi="宋体"/>
          <w:szCs w:val="21"/>
        </w:rPr>
        <w:t xml:space="preserve">开户行：                   </w:t>
      </w:r>
      <w:r>
        <w:rPr>
          <w:rFonts w:ascii="宋体" w:hAnsi="宋体"/>
          <w:szCs w:val="21"/>
        </w:rPr>
        <w:t xml:space="preserve">        </w:t>
      </w:r>
      <w:r>
        <w:rPr>
          <w:rFonts w:hint="eastAsia" w:ascii="宋体" w:hAnsi="宋体"/>
          <w:szCs w:val="21"/>
        </w:rPr>
        <w:t xml:space="preserve">   开户行：</w:t>
      </w:r>
    </w:p>
    <w:p w14:paraId="40EB77C2">
      <w:pPr>
        <w:ind w:firstLine="420" w:firstLineChars="200"/>
        <w:rPr>
          <w:rFonts w:ascii="宋体" w:hAnsi="宋体"/>
          <w:szCs w:val="21"/>
        </w:rPr>
      </w:pPr>
      <w:r>
        <w:rPr>
          <w:rFonts w:hint="eastAsia" w:ascii="宋体" w:hAnsi="宋体"/>
          <w:szCs w:val="21"/>
        </w:rPr>
        <w:t>人民币帐号：</w:t>
      </w:r>
      <w:r>
        <w:rPr>
          <w:rFonts w:ascii="宋体" w:hAnsi="宋体"/>
          <w:szCs w:val="21"/>
        </w:rPr>
        <w:t xml:space="preserve">        </w:t>
      </w:r>
      <w:r>
        <w:rPr>
          <w:rFonts w:hint="eastAsia" w:ascii="宋体" w:hAnsi="宋体"/>
          <w:szCs w:val="21"/>
        </w:rPr>
        <w:t xml:space="preserve">                  人民币帐号：</w:t>
      </w:r>
    </w:p>
    <w:p w14:paraId="604707EE">
      <w:pPr>
        <w:ind w:firstLine="420" w:firstLineChars="200"/>
        <w:rPr>
          <w:rFonts w:ascii="宋体" w:hAnsi="宋体"/>
          <w:szCs w:val="21"/>
        </w:rPr>
      </w:pPr>
      <w:r>
        <w:rPr>
          <w:rFonts w:hint="eastAsia" w:ascii="宋体" w:hAnsi="宋体"/>
          <w:szCs w:val="21"/>
        </w:rPr>
        <w:t xml:space="preserve">联系人：            </w:t>
      </w:r>
      <w:r>
        <w:rPr>
          <w:rFonts w:ascii="宋体" w:hAnsi="宋体"/>
          <w:szCs w:val="21"/>
        </w:rPr>
        <w:t xml:space="preserve">        </w:t>
      </w:r>
      <w:r>
        <w:rPr>
          <w:rFonts w:hint="eastAsia" w:ascii="宋体" w:hAnsi="宋体"/>
          <w:szCs w:val="21"/>
        </w:rPr>
        <w:t xml:space="preserve">          联系人：</w:t>
      </w:r>
    </w:p>
    <w:p w14:paraId="6BB09B28">
      <w:pPr>
        <w:ind w:firstLine="420" w:firstLineChars="200"/>
        <w:rPr>
          <w:rFonts w:ascii="宋体" w:hAnsi="宋体"/>
          <w:szCs w:val="21"/>
        </w:rPr>
      </w:pPr>
      <w:r>
        <w:rPr>
          <w:rFonts w:hint="eastAsia" w:ascii="宋体" w:hAnsi="宋体"/>
          <w:szCs w:val="21"/>
        </w:rPr>
        <w:t xml:space="preserve">电话：                      </w:t>
      </w:r>
      <w:r>
        <w:rPr>
          <w:rFonts w:ascii="宋体" w:hAnsi="宋体"/>
          <w:szCs w:val="21"/>
        </w:rPr>
        <w:t xml:space="preserve">        </w:t>
      </w:r>
      <w:r>
        <w:rPr>
          <w:rFonts w:hint="eastAsia" w:ascii="宋体" w:hAnsi="宋体"/>
          <w:szCs w:val="21"/>
        </w:rPr>
        <w:t xml:space="preserve">  电话：</w:t>
      </w:r>
    </w:p>
    <w:p w14:paraId="00F511B8">
      <w:pPr>
        <w:ind w:firstLine="420" w:firstLineChars="200"/>
        <w:rPr>
          <w:rFonts w:ascii="宋体" w:hAnsi="宋体"/>
          <w:szCs w:val="21"/>
        </w:rPr>
      </w:pPr>
      <w:r>
        <w:rPr>
          <w:rFonts w:hint="eastAsia" w:ascii="宋体" w:hAnsi="宋体"/>
          <w:szCs w:val="21"/>
        </w:rPr>
        <w:t xml:space="preserve">日期：           </w:t>
      </w:r>
      <w:r>
        <w:rPr>
          <w:rFonts w:ascii="宋体" w:hAnsi="宋体"/>
          <w:szCs w:val="21"/>
        </w:rPr>
        <w:t xml:space="preserve">        </w:t>
      </w:r>
      <w:r>
        <w:rPr>
          <w:rFonts w:hint="eastAsia" w:ascii="宋体" w:hAnsi="宋体"/>
          <w:szCs w:val="21"/>
        </w:rPr>
        <w:t xml:space="preserve">             日期：</w:t>
      </w:r>
    </w:p>
    <w:p w14:paraId="0E13A0DC">
      <w:pPr>
        <w:ind w:firstLine="527" w:firstLineChars="250"/>
        <w:rPr>
          <w:rFonts w:ascii="宋体"/>
          <w:b/>
          <w:szCs w:val="21"/>
        </w:rPr>
      </w:pPr>
    </w:p>
    <w:p w14:paraId="636D85AB"/>
    <w:p w14:paraId="6CEEB62C">
      <w:r>
        <w:br w:type="page"/>
      </w:r>
    </w:p>
    <w:p w14:paraId="4BBAE7C8">
      <w:pPr>
        <w:pStyle w:val="3"/>
        <w:rPr>
          <w:kern w:val="2"/>
        </w:rPr>
      </w:pPr>
      <w:r>
        <w:rPr>
          <w:rFonts w:hint="eastAsia"/>
          <w:kern w:val="2"/>
        </w:rPr>
        <w:t>第六章</w:t>
      </w:r>
      <w:r>
        <w:rPr>
          <w:kern w:val="2"/>
        </w:rPr>
        <w:t xml:space="preserve"> </w:t>
      </w:r>
      <w:r>
        <w:rPr>
          <w:rFonts w:hint="eastAsia"/>
          <w:kern w:val="2"/>
        </w:rPr>
        <w:t>谈判须知</w:t>
      </w:r>
    </w:p>
    <w:p w14:paraId="187A888F">
      <w:pPr>
        <w:pStyle w:val="3"/>
        <w:rPr>
          <w:kern w:val="2"/>
        </w:rPr>
      </w:pPr>
      <w:r>
        <w:rPr>
          <w:rFonts w:hint="eastAsia"/>
          <w:kern w:val="2"/>
        </w:rPr>
        <w:t>一、总则</w:t>
      </w:r>
    </w:p>
    <w:p w14:paraId="785BD7BB">
      <w:pPr>
        <w:spacing w:line="360" w:lineRule="auto"/>
        <w:rPr>
          <w:b/>
        </w:rPr>
      </w:pPr>
      <w:bookmarkStart w:id="36" w:name="_Toc78703946"/>
      <w:r>
        <w:rPr>
          <w:b/>
        </w:rPr>
        <w:t>1</w:t>
      </w:r>
      <w:r>
        <w:rPr>
          <w:rFonts w:hint="eastAsia"/>
          <w:b/>
        </w:rPr>
        <w:t>、谈判说明</w:t>
      </w:r>
      <w:bookmarkEnd w:id="36"/>
    </w:p>
    <w:p w14:paraId="1561C954">
      <w:pPr>
        <w:tabs>
          <w:tab w:val="left" w:pos="-1080"/>
        </w:tabs>
        <w:ind w:firstLine="420" w:firstLineChars="200"/>
        <w:rPr>
          <w:rFonts w:ascii="宋体"/>
        </w:rPr>
      </w:pPr>
      <w:r>
        <w:rPr>
          <w:rFonts w:hint="eastAsia" w:ascii="宋体" w:hAnsi="宋体"/>
        </w:rPr>
        <w:t>本谈判将依据《深圳经济特区政府采购条例》、《中华人民共和国政府采购法》及有关政府采购相关规章、规定，通过谈判来择优确定中标（成交）供应商。</w:t>
      </w:r>
    </w:p>
    <w:p w14:paraId="6C60A9D4">
      <w:pPr>
        <w:spacing w:line="360" w:lineRule="auto"/>
        <w:rPr>
          <w:b/>
        </w:rPr>
      </w:pPr>
      <w:bookmarkStart w:id="37" w:name="_Toc78703947"/>
      <w:r>
        <w:rPr>
          <w:b/>
        </w:rPr>
        <w:t>2</w:t>
      </w:r>
      <w:r>
        <w:rPr>
          <w:rFonts w:hint="eastAsia"/>
          <w:b/>
        </w:rPr>
        <w:t>、定义</w:t>
      </w:r>
      <w:bookmarkEnd w:id="37"/>
    </w:p>
    <w:p w14:paraId="341D7E06">
      <w:pPr>
        <w:tabs>
          <w:tab w:val="left" w:pos="-1080"/>
        </w:tabs>
        <w:ind w:firstLine="420" w:firstLineChars="200"/>
        <w:rPr>
          <w:rFonts w:ascii="宋体"/>
        </w:rPr>
      </w:pPr>
      <w:r>
        <w:rPr>
          <w:rFonts w:ascii="宋体" w:hAnsi="宋体"/>
        </w:rPr>
        <w:t>2.1</w:t>
      </w:r>
      <w:r>
        <w:rPr>
          <w:rFonts w:hint="eastAsia" w:ascii="宋体" w:hAnsi="宋体"/>
        </w:rPr>
        <w:t>“采购人”也称采购单位，系指利用财政性资金依法进行政府采购的国家机关、事业单位、团体组织；</w:t>
      </w:r>
    </w:p>
    <w:p w14:paraId="0AED2047">
      <w:pPr>
        <w:tabs>
          <w:tab w:val="left" w:pos="-1080"/>
        </w:tabs>
        <w:ind w:firstLine="420" w:firstLineChars="200"/>
        <w:rPr>
          <w:rFonts w:ascii="宋体"/>
        </w:rPr>
      </w:pPr>
      <w:r>
        <w:rPr>
          <w:rFonts w:ascii="宋体" w:hAnsi="宋体"/>
        </w:rPr>
        <w:t>2.2</w:t>
      </w:r>
      <w:r>
        <w:rPr>
          <w:rFonts w:hint="eastAsia" w:ascii="宋体" w:hAnsi="宋体"/>
        </w:rPr>
        <w:t>“招标代理机构”系指深圳市东海国际招标有限公司；</w:t>
      </w:r>
    </w:p>
    <w:p w14:paraId="4D9D2CA8">
      <w:pPr>
        <w:tabs>
          <w:tab w:val="left" w:pos="-1080"/>
        </w:tabs>
        <w:ind w:firstLine="420" w:firstLineChars="200"/>
        <w:rPr>
          <w:rFonts w:ascii="宋体"/>
        </w:rPr>
      </w:pPr>
      <w:r>
        <w:rPr>
          <w:rFonts w:ascii="宋体" w:hAnsi="宋体"/>
        </w:rPr>
        <w:t>2.3</w:t>
      </w:r>
      <w:r>
        <w:rPr>
          <w:rFonts w:hint="eastAsia" w:ascii="宋体" w:hAnsi="宋体"/>
        </w:rPr>
        <w:t>“供应商”、“投标人”系指向采购人提供货物、工程或者服务的法人、其他组织或者自然人；</w:t>
      </w:r>
    </w:p>
    <w:p w14:paraId="3443B05D">
      <w:pPr>
        <w:tabs>
          <w:tab w:val="left" w:pos="-1080"/>
        </w:tabs>
        <w:ind w:firstLine="420" w:firstLineChars="200"/>
        <w:rPr>
          <w:rFonts w:ascii="宋体"/>
        </w:rPr>
      </w:pPr>
      <w:r>
        <w:rPr>
          <w:rFonts w:ascii="宋体" w:hAnsi="宋体"/>
        </w:rPr>
        <w:t>2.4</w:t>
      </w:r>
      <w:r>
        <w:rPr>
          <w:rFonts w:hint="eastAsia" w:ascii="宋体" w:hAnsi="宋体"/>
        </w:rPr>
        <w:t>“采购文件”、“招标文件”系指为了使谈判规范有序进行，经商采购人，对供应商作出的一系列约束文件；</w:t>
      </w:r>
    </w:p>
    <w:p w14:paraId="7E15F741">
      <w:pPr>
        <w:tabs>
          <w:tab w:val="left" w:pos="-1080"/>
        </w:tabs>
        <w:ind w:firstLine="420" w:firstLineChars="200"/>
        <w:rPr>
          <w:rFonts w:ascii="宋体"/>
        </w:rPr>
      </w:pPr>
      <w:r>
        <w:rPr>
          <w:rFonts w:ascii="宋体" w:hAnsi="宋体"/>
        </w:rPr>
        <w:t>2.5</w:t>
      </w:r>
      <w:r>
        <w:rPr>
          <w:rFonts w:hint="eastAsia" w:ascii="宋体" w:hAnsi="宋体"/>
        </w:rPr>
        <w:t>“谈判应答文件”、“投标文件”系指供应商响应采购文件编制一系列文件，及供应商在谈判过程为响应谈判专家组要求形成的双方认可，并经供应商法人代表或法人代表授权人签字有效的文字资料。</w:t>
      </w:r>
    </w:p>
    <w:p w14:paraId="3C56D41F">
      <w:pPr>
        <w:tabs>
          <w:tab w:val="left" w:pos="-1080"/>
        </w:tabs>
        <w:ind w:firstLine="420" w:firstLineChars="200"/>
        <w:rPr>
          <w:rFonts w:ascii="宋体"/>
        </w:rPr>
      </w:pPr>
      <w:r>
        <w:rPr>
          <w:rFonts w:ascii="宋体" w:hAnsi="宋体"/>
        </w:rPr>
        <w:t>2.6</w:t>
      </w:r>
      <w:r>
        <w:rPr>
          <w:rFonts w:hint="eastAsia" w:ascii="宋体" w:hAnsi="宋体"/>
        </w:rPr>
        <w:t>“网上投标”，指通过</w:t>
      </w:r>
      <w:r>
        <w:rPr>
          <w:rFonts w:hint="eastAsia" w:ascii="宋体" w:hAnsi="宋体" w:cs="宋体"/>
          <w:b/>
          <w:bCs/>
          <w:color w:val="000000"/>
          <w:szCs w:val="21"/>
        </w:rPr>
        <w:t>深圳政府采购智慧平台</w:t>
      </w:r>
      <w:r>
        <w:rPr>
          <w:rFonts w:hint="eastAsia" w:ascii="宋体" w:hAnsi="宋体"/>
        </w:rPr>
        <w:t>上传电子投标文件或谈判应答文件。</w:t>
      </w:r>
    </w:p>
    <w:p w14:paraId="5FAFD3DE">
      <w:pPr>
        <w:spacing w:line="360" w:lineRule="auto"/>
        <w:rPr>
          <w:b/>
        </w:rPr>
      </w:pPr>
      <w:bookmarkStart w:id="38" w:name="_Toc78703948"/>
      <w:r>
        <w:rPr>
          <w:b/>
        </w:rPr>
        <w:t>3</w:t>
      </w:r>
      <w:r>
        <w:rPr>
          <w:rFonts w:hint="eastAsia"/>
          <w:b/>
        </w:rPr>
        <w:t>、供应商资格要求</w:t>
      </w:r>
      <w:bookmarkEnd w:id="38"/>
    </w:p>
    <w:p w14:paraId="0338385F">
      <w:pPr>
        <w:tabs>
          <w:tab w:val="left" w:pos="-1080"/>
        </w:tabs>
        <w:ind w:firstLine="420" w:firstLineChars="200"/>
        <w:rPr>
          <w:rFonts w:ascii="宋体"/>
        </w:rPr>
      </w:pPr>
      <w:r>
        <w:rPr>
          <w:rFonts w:ascii="宋体" w:hAnsi="宋体"/>
        </w:rPr>
        <w:t>3</w:t>
      </w:r>
      <w:r>
        <w:rPr>
          <w:rFonts w:ascii="宋体"/>
        </w:rPr>
        <w:t>.</w:t>
      </w:r>
      <w:r>
        <w:rPr>
          <w:rFonts w:ascii="宋体" w:hAnsi="宋体"/>
        </w:rPr>
        <w:t>1</w:t>
      </w:r>
      <w:r>
        <w:rPr>
          <w:rFonts w:hint="eastAsia" w:ascii="宋体" w:hAnsi="宋体"/>
        </w:rPr>
        <w:t>供应商必须具备条件：（见前附表第</w:t>
      </w:r>
      <w:r>
        <w:rPr>
          <w:rFonts w:ascii="宋体" w:hAnsi="宋体"/>
        </w:rPr>
        <w:t>3</w:t>
      </w:r>
      <w:r>
        <w:rPr>
          <w:rFonts w:hint="eastAsia" w:ascii="宋体" w:hAnsi="宋体"/>
        </w:rPr>
        <w:t>项）；</w:t>
      </w:r>
    </w:p>
    <w:p w14:paraId="53A1E872">
      <w:pPr>
        <w:spacing w:line="360" w:lineRule="auto"/>
        <w:rPr>
          <w:b/>
        </w:rPr>
      </w:pPr>
      <w:bookmarkStart w:id="39" w:name="_Toc78703949"/>
      <w:r>
        <w:rPr>
          <w:b/>
        </w:rPr>
        <w:t>4</w:t>
      </w:r>
      <w:r>
        <w:rPr>
          <w:rFonts w:hint="eastAsia"/>
          <w:b/>
        </w:rPr>
        <w:t>、谈判费用</w:t>
      </w:r>
      <w:bookmarkEnd w:id="39"/>
    </w:p>
    <w:p w14:paraId="7C570A24">
      <w:pPr>
        <w:ind w:firstLine="420" w:firstLineChars="200"/>
        <w:rPr>
          <w:rFonts w:ascii="宋体"/>
        </w:rPr>
      </w:pPr>
      <w:r>
        <w:rPr>
          <w:rFonts w:hint="eastAsia" w:ascii="宋体" w:hAnsi="宋体"/>
        </w:rPr>
        <w:t>不论谈判结果如何，供应商应承担其编制谈判应答文件与递交谈判应答文件所涉及的一切费用。</w:t>
      </w:r>
    </w:p>
    <w:p w14:paraId="3C797FC4">
      <w:pPr>
        <w:pStyle w:val="3"/>
        <w:snapToGrid w:val="0"/>
        <w:rPr>
          <w:sz w:val="28"/>
          <w:szCs w:val="28"/>
        </w:rPr>
      </w:pPr>
      <w:bookmarkStart w:id="40" w:name="_Toc78703950"/>
      <w:r>
        <w:rPr>
          <w:rFonts w:hint="eastAsia"/>
          <w:sz w:val="28"/>
          <w:szCs w:val="28"/>
        </w:rPr>
        <w:t>二、采购文件</w:t>
      </w:r>
      <w:bookmarkEnd w:id="40"/>
    </w:p>
    <w:p w14:paraId="207C2943">
      <w:pPr>
        <w:spacing w:line="360" w:lineRule="auto"/>
        <w:rPr>
          <w:b/>
        </w:rPr>
      </w:pPr>
      <w:bookmarkStart w:id="41" w:name="_Toc78703951"/>
      <w:r>
        <w:rPr>
          <w:b/>
        </w:rPr>
        <w:t>5</w:t>
      </w:r>
      <w:r>
        <w:rPr>
          <w:rFonts w:hint="eastAsia"/>
          <w:b/>
        </w:rPr>
        <w:t>、采购文件的组成</w:t>
      </w:r>
      <w:bookmarkEnd w:id="41"/>
    </w:p>
    <w:p w14:paraId="0651A11A">
      <w:pPr>
        <w:tabs>
          <w:tab w:val="left" w:pos="-1080"/>
        </w:tabs>
        <w:ind w:firstLine="420" w:firstLineChars="200"/>
        <w:rPr>
          <w:rFonts w:ascii="宋体"/>
        </w:rPr>
      </w:pPr>
      <w:r>
        <w:rPr>
          <w:rFonts w:ascii="宋体" w:hAnsi="宋体"/>
        </w:rPr>
        <w:t>5.1</w:t>
      </w:r>
      <w:r>
        <w:rPr>
          <w:rFonts w:hint="eastAsia" w:ascii="宋体" w:hAnsi="宋体"/>
        </w:rPr>
        <w:t>采购文件除以下内容外，深圳市东海国际招标有限公司在谈判结束之前发出的答疑、澄清或修改等相关公告或通知内容，均是采购文件的组成部分，对供应商起约束作用；</w:t>
      </w:r>
    </w:p>
    <w:p w14:paraId="2749A49E">
      <w:pPr>
        <w:tabs>
          <w:tab w:val="left" w:pos="-1080"/>
        </w:tabs>
        <w:ind w:firstLine="420" w:firstLineChars="200"/>
        <w:rPr>
          <w:rFonts w:ascii="宋体"/>
        </w:rPr>
      </w:pPr>
      <w:r>
        <w:rPr>
          <w:rFonts w:hint="eastAsia" w:ascii="宋体" w:hAnsi="宋体"/>
        </w:rPr>
        <w:t>采购文件包括下列内容：</w:t>
      </w:r>
    </w:p>
    <w:p w14:paraId="29446A25">
      <w:pPr>
        <w:widowControl/>
        <w:wordWrap w:val="0"/>
        <w:ind w:firstLine="1260" w:firstLineChars="600"/>
        <w:jc w:val="left"/>
        <w:textAlignment w:val="top"/>
        <w:rPr>
          <w:szCs w:val="21"/>
        </w:rPr>
      </w:pPr>
      <w:r>
        <w:rPr>
          <w:rFonts w:hint="eastAsia"/>
          <w:szCs w:val="21"/>
        </w:rPr>
        <w:t>第一章</w:t>
      </w:r>
      <w:r>
        <w:rPr>
          <w:szCs w:val="21"/>
        </w:rPr>
        <w:t xml:space="preserve">  </w:t>
      </w:r>
      <w:r>
        <w:rPr>
          <w:rFonts w:hint="eastAsia"/>
          <w:szCs w:val="21"/>
        </w:rPr>
        <w:t>谈判公告</w:t>
      </w:r>
    </w:p>
    <w:p w14:paraId="338D50A0">
      <w:pPr>
        <w:widowControl/>
        <w:wordWrap w:val="0"/>
        <w:ind w:firstLine="1260" w:firstLineChars="600"/>
        <w:jc w:val="left"/>
        <w:textAlignment w:val="top"/>
        <w:rPr>
          <w:szCs w:val="21"/>
        </w:rPr>
      </w:pPr>
      <w:r>
        <w:rPr>
          <w:rFonts w:hint="eastAsia"/>
          <w:szCs w:val="21"/>
        </w:rPr>
        <w:t>第二章</w:t>
      </w:r>
      <w:r>
        <w:rPr>
          <w:szCs w:val="21"/>
        </w:rPr>
        <w:t xml:space="preserve">  </w:t>
      </w:r>
      <w:r>
        <w:rPr>
          <w:rFonts w:hint="eastAsia"/>
          <w:szCs w:val="21"/>
        </w:rPr>
        <w:t>对谈判须知条款的补充内容及其他关键信息</w:t>
      </w:r>
    </w:p>
    <w:p w14:paraId="27B19D94">
      <w:pPr>
        <w:widowControl/>
        <w:wordWrap w:val="0"/>
        <w:ind w:firstLine="1260" w:firstLineChars="600"/>
        <w:jc w:val="left"/>
        <w:textAlignment w:val="top"/>
        <w:rPr>
          <w:szCs w:val="21"/>
        </w:rPr>
      </w:pPr>
      <w:r>
        <w:rPr>
          <w:rFonts w:hint="eastAsia"/>
          <w:szCs w:val="21"/>
        </w:rPr>
        <w:t>第三章</w:t>
      </w:r>
      <w:r>
        <w:rPr>
          <w:szCs w:val="21"/>
        </w:rPr>
        <w:t xml:space="preserve"> </w:t>
      </w:r>
      <w:r>
        <w:rPr>
          <w:rFonts w:hint="eastAsia"/>
          <w:szCs w:val="21"/>
        </w:rPr>
        <w:t>用户需求书</w:t>
      </w:r>
    </w:p>
    <w:p w14:paraId="209AF0F6">
      <w:pPr>
        <w:widowControl/>
        <w:wordWrap w:val="0"/>
        <w:ind w:firstLine="1260" w:firstLineChars="600"/>
        <w:jc w:val="left"/>
        <w:textAlignment w:val="top"/>
        <w:rPr>
          <w:szCs w:val="21"/>
        </w:rPr>
      </w:pPr>
      <w:r>
        <w:rPr>
          <w:rFonts w:hint="eastAsia"/>
          <w:szCs w:val="21"/>
        </w:rPr>
        <w:t>第四章</w:t>
      </w:r>
      <w:r>
        <w:rPr>
          <w:szCs w:val="21"/>
        </w:rPr>
        <w:t xml:space="preserve"> </w:t>
      </w:r>
      <w:r>
        <w:rPr>
          <w:rFonts w:hint="eastAsia"/>
          <w:szCs w:val="21"/>
        </w:rPr>
        <w:t>谈判应答文件组成要求及格式</w:t>
      </w:r>
    </w:p>
    <w:p w14:paraId="1CD408F9">
      <w:pPr>
        <w:widowControl/>
        <w:wordWrap w:val="0"/>
        <w:ind w:firstLine="1260" w:firstLineChars="600"/>
        <w:jc w:val="left"/>
        <w:textAlignment w:val="top"/>
        <w:rPr>
          <w:szCs w:val="21"/>
        </w:rPr>
      </w:pPr>
      <w:r>
        <w:rPr>
          <w:rFonts w:hint="eastAsia"/>
          <w:szCs w:val="21"/>
        </w:rPr>
        <w:t>第五章</w:t>
      </w:r>
      <w:r>
        <w:rPr>
          <w:szCs w:val="21"/>
        </w:rPr>
        <w:t xml:space="preserve">  </w:t>
      </w:r>
      <w:r>
        <w:rPr>
          <w:rFonts w:hint="eastAsia"/>
          <w:szCs w:val="21"/>
        </w:rPr>
        <w:t>合同条款及格式</w:t>
      </w:r>
    </w:p>
    <w:p w14:paraId="4FAEBF63">
      <w:pPr>
        <w:widowControl/>
        <w:wordWrap w:val="0"/>
        <w:ind w:firstLine="1260" w:firstLineChars="600"/>
        <w:jc w:val="left"/>
        <w:textAlignment w:val="top"/>
        <w:rPr>
          <w:szCs w:val="21"/>
        </w:rPr>
      </w:pPr>
      <w:r>
        <w:rPr>
          <w:rFonts w:hint="eastAsia"/>
          <w:szCs w:val="21"/>
        </w:rPr>
        <w:t>第六章</w:t>
      </w:r>
      <w:r>
        <w:rPr>
          <w:szCs w:val="21"/>
        </w:rPr>
        <w:t xml:space="preserve"> </w:t>
      </w:r>
      <w:r>
        <w:rPr>
          <w:rFonts w:hint="eastAsia"/>
          <w:szCs w:val="21"/>
        </w:rPr>
        <w:t>谈判须知</w:t>
      </w:r>
    </w:p>
    <w:p w14:paraId="433D5E77">
      <w:pPr>
        <w:tabs>
          <w:tab w:val="left" w:pos="-1080"/>
        </w:tabs>
        <w:ind w:firstLine="420" w:firstLineChars="200"/>
        <w:rPr>
          <w:rFonts w:ascii="宋体"/>
        </w:rPr>
      </w:pPr>
      <w:r>
        <w:rPr>
          <w:rFonts w:ascii="宋体" w:hAnsi="宋体"/>
        </w:rPr>
        <w:t>5.2</w:t>
      </w:r>
      <w:r>
        <w:rPr>
          <w:rFonts w:hint="eastAsia" w:ascii="宋体" w:hAnsi="宋体"/>
        </w:rPr>
        <w:t>供应商领取采购文件后，应仔细检查采购文件的所有内容，如有残缺应在谈判应答文件递交截止时间前</w:t>
      </w:r>
      <w:r>
        <w:rPr>
          <w:rFonts w:ascii="宋体" w:hAnsi="宋体"/>
        </w:rPr>
        <w:t>3</w:t>
      </w:r>
      <w:r>
        <w:rPr>
          <w:rFonts w:hint="eastAsia" w:ascii="宋体" w:hAnsi="宋体"/>
        </w:rPr>
        <w:t>天向深圳市东海国际招标有限公司提出，否则，由此引起的谈判损失自负。</w:t>
      </w:r>
    </w:p>
    <w:p w14:paraId="2E7E7487">
      <w:pPr>
        <w:spacing w:line="360" w:lineRule="auto"/>
        <w:rPr>
          <w:b/>
        </w:rPr>
      </w:pPr>
      <w:bookmarkStart w:id="42" w:name="_Toc78703952"/>
      <w:r>
        <w:rPr>
          <w:b/>
        </w:rPr>
        <w:t>6</w:t>
      </w:r>
      <w:r>
        <w:rPr>
          <w:rFonts w:hint="eastAsia"/>
          <w:b/>
        </w:rPr>
        <w:t>、采购文件的修改</w:t>
      </w:r>
      <w:bookmarkEnd w:id="42"/>
    </w:p>
    <w:p w14:paraId="4CB287BA">
      <w:pPr>
        <w:tabs>
          <w:tab w:val="left" w:pos="-1080"/>
        </w:tabs>
        <w:ind w:firstLine="420" w:firstLineChars="200"/>
        <w:rPr>
          <w:rFonts w:ascii="宋体"/>
        </w:rPr>
      </w:pPr>
      <w:r>
        <w:rPr>
          <w:rFonts w:ascii="宋体" w:hAnsi="宋体"/>
        </w:rPr>
        <w:t xml:space="preserve">6.1 </w:t>
      </w:r>
      <w:r>
        <w:rPr>
          <w:rFonts w:hint="eastAsia" w:ascii="宋体" w:hAnsi="宋体"/>
        </w:rPr>
        <w:t>采购文件发出后，在谈判结束前任何时候，深圳市东海国际招标有限公司可对采购文件进行修改；</w:t>
      </w:r>
    </w:p>
    <w:p w14:paraId="0BA807A3">
      <w:pPr>
        <w:tabs>
          <w:tab w:val="left" w:pos="-1080"/>
        </w:tabs>
        <w:ind w:firstLine="420" w:firstLineChars="200"/>
        <w:rPr>
          <w:rFonts w:ascii="宋体"/>
        </w:rPr>
      </w:pPr>
      <w:r>
        <w:rPr>
          <w:rFonts w:ascii="宋体" w:hAnsi="宋体"/>
        </w:rPr>
        <w:t xml:space="preserve">6.2 </w:t>
      </w:r>
      <w:r>
        <w:rPr>
          <w:rFonts w:hint="eastAsia" w:ascii="宋体" w:hAnsi="宋体"/>
        </w:rPr>
        <w:t>采购文件的修改内容作为采购文件的组成部分，并具有约束力；</w:t>
      </w:r>
    </w:p>
    <w:p w14:paraId="5DFBFBBB">
      <w:pPr>
        <w:tabs>
          <w:tab w:val="left" w:pos="-1080"/>
        </w:tabs>
        <w:ind w:firstLine="420" w:firstLineChars="200"/>
        <w:rPr>
          <w:rFonts w:ascii="宋体"/>
        </w:rPr>
      </w:pPr>
      <w:r>
        <w:rPr>
          <w:rFonts w:ascii="宋体" w:hAnsi="宋体"/>
        </w:rPr>
        <w:t xml:space="preserve">6.3 </w:t>
      </w:r>
      <w:r>
        <w:rPr>
          <w:rFonts w:hint="eastAsia" w:ascii="宋体" w:hAnsi="宋体"/>
        </w:rPr>
        <w:t>采购文件、采购文件答疑、澄清或修改等相关公告或通知内容均以书面形式（包括深圳市东海国际招标有限公司网站发布方式）明确的内容为准。当采购文件、答疑、澄清或修改等相关公告或通知内容相互矛盾时，以最后发出的通知（或纪要）或修改文件为准。</w:t>
      </w:r>
    </w:p>
    <w:p w14:paraId="34FF764E">
      <w:pPr>
        <w:pStyle w:val="3"/>
        <w:snapToGrid w:val="0"/>
        <w:rPr>
          <w:sz w:val="28"/>
          <w:szCs w:val="28"/>
        </w:rPr>
      </w:pPr>
      <w:bookmarkStart w:id="43" w:name="_Toc78703953"/>
      <w:r>
        <w:rPr>
          <w:rFonts w:hint="eastAsia"/>
          <w:sz w:val="28"/>
          <w:szCs w:val="28"/>
        </w:rPr>
        <w:t>三、谈判应答文件</w:t>
      </w:r>
      <w:bookmarkEnd w:id="43"/>
    </w:p>
    <w:p w14:paraId="12A9DCD4">
      <w:pPr>
        <w:spacing w:line="360" w:lineRule="auto"/>
        <w:rPr>
          <w:b/>
        </w:rPr>
      </w:pPr>
      <w:bookmarkStart w:id="44" w:name="_Toc78703954"/>
      <w:r>
        <w:rPr>
          <w:b/>
        </w:rPr>
        <w:t>7</w:t>
      </w:r>
      <w:r>
        <w:rPr>
          <w:rFonts w:hint="eastAsia"/>
          <w:b/>
        </w:rPr>
        <w:t>、谈判应答文件的语言及度量单位</w:t>
      </w:r>
      <w:bookmarkEnd w:id="44"/>
    </w:p>
    <w:p w14:paraId="099562EA">
      <w:pPr>
        <w:tabs>
          <w:tab w:val="left" w:pos="-1080"/>
        </w:tabs>
        <w:ind w:firstLine="420" w:firstLineChars="200"/>
        <w:rPr>
          <w:rFonts w:ascii="宋体"/>
        </w:rPr>
      </w:pPr>
      <w:r>
        <w:rPr>
          <w:rFonts w:ascii="宋体" w:hAnsi="宋体"/>
        </w:rPr>
        <w:t>7.1</w:t>
      </w:r>
      <w:r>
        <w:rPr>
          <w:rFonts w:hint="eastAsia" w:ascii="宋体" w:hAnsi="宋体"/>
        </w:rPr>
        <w:t>深圳市东海国际招标有限公司与供应商之间与谈判有关的所有往来通知、函件和谈判应答文件均应用中文。</w:t>
      </w:r>
    </w:p>
    <w:p w14:paraId="300D933D">
      <w:pPr>
        <w:tabs>
          <w:tab w:val="left" w:pos="-1080"/>
        </w:tabs>
        <w:ind w:firstLine="420" w:firstLineChars="200"/>
        <w:rPr>
          <w:rFonts w:ascii="宋体"/>
        </w:rPr>
      </w:pPr>
      <w:r>
        <w:rPr>
          <w:rFonts w:ascii="宋体" w:hAnsi="宋体"/>
        </w:rPr>
        <w:t>7.2</w:t>
      </w:r>
      <w:r>
        <w:rPr>
          <w:rFonts w:hint="eastAsia" w:ascii="宋体" w:hAnsi="宋体"/>
        </w:rPr>
        <w:t>除技术规范另有规定外，谈判应答文件使用的度量单位，均采用中华人民共和国法定计量单位。</w:t>
      </w:r>
    </w:p>
    <w:p w14:paraId="084E8183">
      <w:pPr>
        <w:spacing w:line="360" w:lineRule="auto"/>
        <w:rPr>
          <w:b/>
        </w:rPr>
      </w:pPr>
      <w:bookmarkStart w:id="45" w:name="_Toc78703955"/>
      <w:r>
        <w:rPr>
          <w:b/>
        </w:rPr>
        <w:t>8</w:t>
      </w:r>
      <w:r>
        <w:rPr>
          <w:rFonts w:hint="eastAsia"/>
          <w:b/>
        </w:rPr>
        <w:t>、谈判应答文件的组成</w:t>
      </w:r>
      <w:bookmarkEnd w:id="45"/>
      <w:r>
        <w:rPr>
          <w:rFonts w:hint="eastAsia"/>
          <w:b/>
        </w:rPr>
        <w:t>及相关证明资料的要求</w:t>
      </w:r>
    </w:p>
    <w:p w14:paraId="4257348B">
      <w:pPr>
        <w:tabs>
          <w:tab w:val="left" w:pos="-1080"/>
        </w:tabs>
        <w:ind w:firstLine="420" w:firstLineChars="200"/>
        <w:rPr>
          <w:rFonts w:ascii="宋体"/>
        </w:rPr>
      </w:pPr>
      <w:r>
        <w:rPr>
          <w:rFonts w:ascii="宋体" w:hAnsi="宋体"/>
        </w:rPr>
        <w:t>8.1</w:t>
      </w:r>
      <w:r>
        <w:rPr>
          <w:rFonts w:hint="eastAsia" w:ascii="宋体" w:hAnsi="宋体"/>
        </w:rPr>
        <w:t>谈判应答文件应当具体包括下列内容：</w:t>
      </w:r>
    </w:p>
    <w:p w14:paraId="2B87A3C2">
      <w:pPr>
        <w:tabs>
          <w:tab w:val="left" w:pos="-1080"/>
        </w:tabs>
        <w:ind w:firstLine="420" w:firstLineChars="200"/>
        <w:rPr>
          <w:szCs w:val="21"/>
        </w:rPr>
      </w:pPr>
      <w:bookmarkStart w:id="46" w:name="_Toc62010140"/>
      <w:bookmarkStart w:id="47" w:name="_Toc75851580"/>
      <w:bookmarkStart w:id="48" w:name="_Toc61063241"/>
      <w:bookmarkStart w:id="49" w:name="_Toc78703956"/>
      <w:r>
        <w:rPr>
          <w:rFonts w:hint="eastAsia"/>
          <w:szCs w:val="21"/>
        </w:rPr>
        <w:t>1.应答文件正文（信息公开部分），主要包括以下内容：</w:t>
      </w:r>
    </w:p>
    <w:p w14:paraId="551EA0DF">
      <w:pPr>
        <w:tabs>
          <w:tab w:val="left" w:pos="-1080"/>
        </w:tabs>
        <w:ind w:firstLine="420" w:firstLineChars="200"/>
        <w:rPr>
          <w:szCs w:val="21"/>
        </w:rPr>
      </w:pPr>
      <w:r>
        <w:rPr>
          <w:rFonts w:hint="eastAsia"/>
          <w:szCs w:val="21"/>
        </w:rPr>
        <w:t>（1）应答书</w:t>
      </w:r>
    </w:p>
    <w:p w14:paraId="654934FC">
      <w:pPr>
        <w:tabs>
          <w:tab w:val="left" w:pos="-1080"/>
        </w:tabs>
        <w:ind w:firstLine="420" w:firstLineChars="200"/>
        <w:rPr>
          <w:szCs w:val="21"/>
        </w:rPr>
      </w:pPr>
      <w:r>
        <w:rPr>
          <w:rFonts w:hint="eastAsia"/>
          <w:szCs w:val="21"/>
        </w:rPr>
        <w:t>（2）政府采购应答及履约承诺函</w:t>
      </w:r>
    </w:p>
    <w:p w14:paraId="1FFD3A5B">
      <w:pPr>
        <w:tabs>
          <w:tab w:val="left" w:pos="-1080"/>
        </w:tabs>
        <w:ind w:firstLine="420" w:firstLineChars="200"/>
        <w:rPr>
          <w:szCs w:val="21"/>
        </w:rPr>
      </w:pPr>
      <w:r>
        <w:rPr>
          <w:rFonts w:hint="eastAsia"/>
          <w:szCs w:val="21"/>
        </w:rPr>
        <w:t>（3）项目详细报价</w:t>
      </w:r>
    </w:p>
    <w:p w14:paraId="74C34FA4">
      <w:pPr>
        <w:tabs>
          <w:tab w:val="left" w:pos="-1080"/>
        </w:tabs>
        <w:ind w:firstLine="420" w:firstLineChars="200"/>
        <w:rPr>
          <w:szCs w:val="21"/>
        </w:rPr>
      </w:pPr>
      <w:r>
        <w:rPr>
          <w:rFonts w:hint="eastAsia"/>
          <w:szCs w:val="21"/>
        </w:rPr>
        <w:t>（</w:t>
      </w:r>
      <w:r>
        <w:rPr>
          <w:rFonts w:hint="eastAsia"/>
          <w:szCs w:val="21"/>
          <w:lang w:val="en-US" w:eastAsia="zh-CN"/>
        </w:rPr>
        <w:t>4</w:t>
      </w:r>
      <w:r>
        <w:rPr>
          <w:rFonts w:hint="eastAsia"/>
          <w:szCs w:val="21"/>
        </w:rPr>
        <w:t>）其它采购文件要求的内容及供应商认为需要补充的内容（格式自定）</w:t>
      </w:r>
    </w:p>
    <w:p w14:paraId="5079DA7C">
      <w:pPr>
        <w:tabs>
          <w:tab w:val="left" w:pos="-1080"/>
        </w:tabs>
        <w:ind w:firstLine="420" w:firstLineChars="200"/>
        <w:rPr>
          <w:szCs w:val="21"/>
        </w:rPr>
      </w:pPr>
    </w:p>
    <w:p w14:paraId="675787CA">
      <w:pPr>
        <w:tabs>
          <w:tab w:val="left" w:pos="-1080"/>
        </w:tabs>
        <w:ind w:firstLine="420" w:firstLineChars="200"/>
        <w:rPr>
          <w:rFonts w:hint="eastAsia"/>
          <w:szCs w:val="21"/>
        </w:rPr>
      </w:pPr>
      <w:r>
        <w:rPr>
          <w:szCs w:val="21"/>
        </w:rPr>
        <w:t>2</w:t>
      </w:r>
      <w:r>
        <w:rPr>
          <w:rFonts w:hint="eastAsia"/>
          <w:szCs w:val="21"/>
        </w:rPr>
        <w:t>.应答文件附件（信息不公开部分）：主要包括以下内容：</w:t>
      </w:r>
    </w:p>
    <w:p w14:paraId="44D357D1">
      <w:pPr>
        <w:tabs>
          <w:tab w:val="left" w:pos="-1080"/>
        </w:tabs>
        <w:ind w:firstLine="420" w:firstLineChars="200"/>
        <w:rPr>
          <w:rFonts w:hint="eastAsia"/>
          <w:szCs w:val="21"/>
        </w:rPr>
      </w:pPr>
      <w:r>
        <w:rPr>
          <w:rFonts w:hint="eastAsia"/>
          <w:szCs w:val="21"/>
        </w:rPr>
        <w:t>（1）法定代表人（负责人）证明书</w:t>
      </w:r>
    </w:p>
    <w:p w14:paraId="6B5124B7">
      <w:pPr>
        <w:tabs>
          <w:tab w:val="left" w:pos="-1080"/>
        </w:tabs>
        <w:ind w:firstLine="420" w:firstLineChars="200"/>
        <w:rPr>
          <w:rFonts w:hint="eastAsia"/>
          <w:szCs w:val="21"/>
        </w:rPr>
      </w:pPr>
      <w:r>
        <w:rPr>
          <w:rFonts w:hint="eastAsia"/>
          <w:szCs w:val="21"/>
        </w:rPr>
        <w:t>（2）谈判应答文件签署授权委托书</w:t>
      </w:r>
    </w:p>
    <w:p w14:paraId="15E7C4F3">
      <w:pPr>
        <w:tabs>
          <w:tab w:val="left" w:pos="-1080"/>
        </w:tabs>
        <w:ind w:firstLine="420" w:firstLineChars="200"/>
        <w:rPr>
          <w:rFonts w:hint="eastAsia"/>
          <w:szCs w:val="21"/>
        </w:rPr>
      </w:pPr>
      <w:r>
        <w:rPr>
          <w:rFonts w:hint="eastAsia"/>
          <w:szCs w:val="21"/>
        </w:rPr>
        <w:t>（3）实质性条款响应情况表</w:t>
      </w:r>
    </w:p>
    <w:p w14:paraId="5AC04894">
      <w:pPr>
        <w:tabs>
          <w:tab w:val="left" w:pos="-1080"/>
        </w:tabs>
        <w:ind w:firstLine="420" w:firstLineChars="200"/>
        <w:rPr>
          <w:rFonts w:hint="eastAsia"/>
          <w:szCs w:val="21"/>
        </w:rPr>
      </w:pPr>
      <w:r>
        <w:rPr>
          <w:rFonts w:hint="eastAsia"/>
          <w:szCs w:val="21"/>
        </w:rPr>
        <w:t>（4）政府采购违法行为风险知悉确认书</w:t>
      </w:r>
    </w:p>
    <w:p w14:paraId="0CD8CBBA">
      <w:pPr>
        <w:tabs>
          <w:tab w:val="left" w:pos="-1080"/>
        </w:tabs>
        <w:ind w:firstLine="420" w:firstLineChars="200"/>
        <w:rPr>
          <w:rFonts w:hint="eastAsia"/>
          <w:szCs w:val="21"/>
          <w:lang w:eastAsia="zh-CN"/>
        </w:rPr>
      </w:pPr>
      <w:r>
        <w:rPr>
          <w:rFonts w:hint="eastAsia"/>
          <w:szCs w:val="21"/>
          <w:lang w:val="en-US" w:eastAsia="zh-CN"/>
        </w:rPr>
        <w:t>（5）供应商基本情况表</w:t>
      </w:r>
    </w:p>
    <w:p w14:paraId="6640EE45">
      <w:pPr>
        <w:tabs>
          <w:tab w:val="left" w:pos="-1080"/>
        </w:tabs>
        <w:ind w:firstLine="420" w:firstLineChars="200"/>
        <w:rPr>
          <w:rFonts w:hint="eastAsia"/>
          <w:szCs w:val="21"/>
          <w:lang w:eastAsia="zh-CN"/>
        </w:rPr>
      </w:pPr>
      <w:r>
        <w:rPr>
          <w:rFonts w:hint="eastAsia"/>
          <w:szCs w:val="21"/>
          <w:lang w:eastAsia="zh-CN"/>
        </w:rPr>
        <w:t>（</w:t>
      </w:r>
      <w:r>
        <w:rPr>
          <w:rFonts w:hint="eastAsia"/>
          <w:szCs w:val="21"/>
          <w:lang w:val="en-US" w:eastAsia="zh-CN"/>
        </w:rPr>
        <w:t>6</w:t>
      </w:r>
      <w:r>
        <w:rPr>
          <w:rFonts w:hint="eastAsia"/>
          <w:szCs w:val="21"/>
          <w:lang w:eastAsia="zh-CN"/>
        </w:rPr>
        <w:t>）供应商情况介绍</w:t>
      </w:r>
    </w:p>
    <w:p w14:paraId="454FF6AF">
      <w:pPr>
        <w:tabs>
          <w:tab w:val="left" w:pos="-1080"/>
        </w:tabs>
        <w:ind w:firstLine="420" w:firstLineChars="200"/>
        <w:rPr>
          <w:rFonts w:hint="eastAsia"/>
          <w:szCs w:val="21"/>
          <w:lang w:eastAsia="zh-CN"/>
        </w:rPr>
      </w:pPr>
      <w:r>
        <w:rPr>
          <w:rFonts w:hint="eastAsia"/>
          <w:szCs w:val="21"/>
          <w:lang w:eastAsia="zh-CN"/>
        </w:rPr>
        <w:t>（</w:t>
      </w:r>
      <w:r>
        <w:rPr>
          <w:rFonts w:hint="eastAsia"/>
          <w:szCs w:val="21"/>
          <w:lang w:val="en-US" w:eastAsia="zh-CN"/>
        </w:rPr>
        <w:t>7</w:t>
      </w:r>
      <w:r>
        <w:rPr>
          <w:rFonts w:hint="eastAsia"/>
          <w:szCs w:val="21"/>
          <w:lang w:eastAsia="zh-CN"/>
        </w:rPr>
        <w:t>）项目实施方案</w:t>
      </w:r>
    </w:p>
    <w:p w14:paraId="7BF0252F">
      <w:pPr>
        <w:tabs>
          <w:tab w:val="left" w:pos="-1080"/>
        </w:tabs>
        <w:ind w:firstLine="420" w:firstLineChars="200"/>
        <w:rPr>
          <w:rFonts w:hint="eastAsia"/>
          <w:szCs w:val="21"/>
          <w:lang w:eastAsia="zh-CN"/>
        </w:rPr>
      </w:pPr>
      <w:r>
        <w:rPr>
          <w:rFonts w:hint="eastAsia"/>
          <w:szCs w:val="21"/>
          <w:lang w:eastAsia="zh-CN"/>
        </w:rPr>
        <w:t>（</w:t>
      </w:r>
      <w:r>
        <w:rPr>
          <w:rFonts w:hint="eastAsia"/>
          <w:szCs w:val="21"/>
          <w:lang w:val="en-US" w:eastAsia="zh-CN"/>
        </w:rPr>
        <w:t>8</w:t>
      </w:r>
      <w:r>
        <w:rPr>
          <w:rFonts w:hint="eastAsia"/>
          <w:szCs w:val="21"/>
          <w:lang w:eastAsia="zh-CN"/>
        </w:rPr>
        <w:t>）人员安排计划</w:t>
      </w:r>
    </w:p>
    <w:p w14:paraId="2327FD30">
      <w:pPr>
        <w:tabs>
          <w:tab w:val="left" w:pos="-1080"/>
        </w:tabs>
        <w:ind w:firstLine="420" w:firstLineChars="200"/>
        <w:rPr>
          <w:rFonts w:hint="eastAsia"/>
          <w:szCs w:val="21"/>
          <w:lang w:eastAsia="zh-CN"/>
        </w:rPr>
      </w:pPr>
      <w:r>
        <w:rPr>
          <w:rFonts w:hint="eastAsia"/>
          <w:szCs w:val="21"/>
          <w:lang w:eastAsia="zh-CN"/>
        </w:rPr>
        <w:t>（</w:t>
      </w:r>
      <w:r>
        <w:rPr>
          <w:rFonts w:hint="eastAsia"/>
          <w:szCs w:val="21"/>
          <w:lang w:val="en-US" w:eastAsia="zh-CN"/>
        </w:rPr>
        <w:t>9</w:t>
      </w:r>
      <w:r>
        <w:rPr>
          <w:rFonts w:hint="eastAsia"/>
          <w:szCs w:val="21"/>
          <w:lang w:eastAsia="zh-CN"/>
        </w:rPr>
        <w:t>）招标代理服务费承诺函</w:t>
      </w:r>
    </w:p>
    <w:p w14:paraId="1B0C4120">
      <w:pPr>
        <w:tabs>
          <w:tab w:val="left" w:pos="-1080"/>
        </w:tabs>
        <w:ind w:firstLine="420" w:firstLineChars="200"/>
        <w:rPr>
          <w:szCs w:val="21"/>
        </w:rPr>
      </w:pPr>
      <w:r>
        <w:rPr>
          <w:rFonts w:hint="eastAsia"/>
          <w:szCs w:val="21"/>
          <w:lang w:eastAsia="zh-CN"/>
        </w:rPr>
        <w:t>（</w:t>
      </w:r>
      <w:r>
        <w:rPr>
          <w:rFonts w:hint="eastAsia"/>
          <w:szCs w:val="21"/>
          <w:lang w:val="en-US" w:eastAsia="zh-CN"/>
        </w:rPr>
        <w:t>10</w:t>
      </w:r>
      <w:r>
        <w:rPr>
          <w:rFonts w:hint="eastAsia"/>
          <w:szCs w:val="21"/>
          <w:lang w:eastAsia="zh-CN"/>
        </w:rPr>
        <w:t>）</w:t>
      </w:r>
      <w:r>
        <w:rPr>
          <w:rFonts w:hint="eastAsia"/>
          <w:szCs w:val="21"/>
        </w:rPr>
        <w:t>投标人认为需要加以说明的其他内容（格式自定）</w:t>
      </w:r>
    </w:p>
    <w:p w14:paraId="44C77D33">
      <w:pPr>
        <w:tabs>
          <w:tab w:val="left" w:pos="-1080"/>
        </w:tabs>
        <w:ind w:firstLine="420" w:firstLineChars="200"/>
        <w:rPr>
          <w:rFonts w:ascii="宋体"/>
        </w:rPr>
      </w:pPr>
      <w:r>
        <w:rPr>
          <w:rFonts w:ascii="宋体" w:hAnsi="宋体"/>
        </w:rPr>
        <w:t>8</w:t>
      </w:r>
      <w:r>
        <w:rPr>
          <w:rFonts w:ascii="宋体"/>
        </w:rPr>
        <w:t>.</w:t>
      </w:r>
      <w:r>
        <w:rPr>
          <w:rFonts w:ascii="宋体" w:hAnsi="宋体"/>
        </w:rPr>
        <w:t>2</w:t>
      </w:r>
      <w:r>
        <w:rPr>
          <w:rFonts w:hint="eastAsia" w:ascii="宋体" w:hAnsi="宋体"/>
        </w:rPr>
        <w:t>供应商应当按照本采购文件资格要求、评标信息、具体技术要求及商务需求的相关内容提供证明资料，作为谈判应答文件的一部分。</w:t>
      </w:r>
      <w:r>
        <w:rPr>
          <w:rFonts w:hint="eastAsia"/>
          <w:szCs w:val="21"/>
        </w:rPr>
        <w:t>证明资料均要求扫描件（原件备查）。证明资料内容为外文的，必须同时提供对应的中文翻译说明，评审依据以中文翻译内容为准，外文内容仅供参考。</w:t>
      </w:r>
      <w:r>
        <w:rPr>
          <w:rFonts w:hint="eastAsia" w:ascii="宋体" w:hAnsi="宋体"/>
        </w:rPr>
        <w:t>证明资料的尺寸和清晰度应该能够被阅读、识别和判断。若供应商未按要求提供证明资料或提供的是部分证明材料或提供不清晰的扫描件的，谈判小组有权认定其谈判应答文件未对采购文件有关需求进行响应。</w:t>
      </w:r>
    </w:p>
    <w:p w14:paraId="0F1756C5">
      <w:pPr>
        <w:tabs>
          <w:tab w:val="left" w:pos="-1080"/>
        </w:tabs>
        <w:ind w:firstLine="420" w:firstLineChars="200"/>
        <w:rPr>
          <w:szCs w:val="21"/>
        </w:rPr>
      </w:pPr>
      <w:r>
        <w:rPr>
          <w:rFonts w:ascii="宋体" w:hAnsi="宋体"/>
        </w:rPr>
        <w:t>8.3</w:t>
      </w:r>
      <w:r>
        <w:rPr>
          <w:rFonts w:hint="eastAsia" w:ascii="宋体" w:hAnsi="宋体"/>
        </w:rPr>
        <w:t>供应商可以提供证明应答技术方案与谈判文件的要求相一致的文件，可以是文字资料、图纸、数据或数码照片、制造商公布的产品说明书、产品彩页和我国政府机构出具的产品检验和核准证件等，以证明供应商响应的真实性。它包括并应符合以下要求：</w:t>
      </w:r>
    </w:p>
    <w:p w14:paraId="28F61900">
      <w:pPr>
        <w:tabs>
          <w:tab w:val="left" w:pos="-1080"/>
        </w:tabs>
        <w:ind w:firstLine="420" w:firstLineChars="200"/>
        <w:rPr>
          <w:rFonts w:ascii="宋体"/>
        </w:rPr>
      </w:pPr>
      <w:r>
        <w:rPr>
          <w:rFonts w:hint="eastAsia" w:ascii="宋体" w:hAnsi="宋体"/>
        </w:rPr>
        <w:t>（</w:t>
      </w:r>
      <w:r>
        <w:rPr>
          <w:rFonts w:ascii="宋体" w:hAnsi="宋体"/>
        </w:rPr>
        <w:t>1</w:t>
      </w:r>
      <w:r>
        <w:rPr>
          <w:rFonts w:hint="eastAsia" w:ascii="宋体" w:hAnsi="宋体"/>
        </w:rPr>
        <w:t>）主要技术指标和性能的详细说明；</w:t>
      </w:r>
    </w:p>
    <w:p w14:paraId="40A5A408">
      <w:pPr>
        <w:tabs>
          <w:tab w:val="left" w:pos="-1080"/>
        </w:tabs>
        <w:ind w:firstLine="420" w:firstLineChars="200"/>
        <w:rPr>
          <w:rFonts w:ascii="宋体"/>
        </w:rPr>
      </w:pPr>
      <w:r>
        <w:rPr>
          <w:rFonts w:hint="eastAsia" w:ascii="宋体" w:hAnsi="宋体"/>
        </w:rPr>
        <w:t>（</w:t>
      </w:r>
      <w:r>
        <w:rPr>
          <w:rFonts w:ascii="宋体" w:hAnsi="宋体"/>
        </w:rPr>
        <w:t>2</w:t>
      </w:r>
      <w:r>
        <w:rPr>
          <w:rFonts w:hint="eastAsia" w:ascii="宋体" w:hAnsi="宋体"/>
        </w:rPr>
        <w:t>）投标产品从采购单位开始使用至谈判文件中规定的周期内正常、连续地使用所必须的备件和专用工具清单，包括备件和专用工具的货源及现行价格；</w:t>
      </w:r>
    </w:p>
    <w:p w14:paraId="0EBF6D65">
      <w:pPr>
        <w:tabs>
          <w:tab w:val="left" w:pos="-1080"/>
        </w:tabs>
        <w:ind w:firstLine="420" w:firstLineChars="200"/>
        <w:rPr>
          <w:rFonts w:ascii="宋体"/>
        </w:rPr>
      </w:pPr>
      <w:r>
        <w:rPr>
          <w:rFonts w:hint="eastAsia" w:ascii="宋体" w:hAnsi="宋体"/>
        </w:rPr>
        <w:t>（</w:t>
      </w:r>
      <w:r>
        <w:rPr>
          <w:rFonts w:ascii="宋体" w:hAnsi="宋体"/>
        </w:rPr>
        <w:t>3</w:t>
      </w:r>
      <w:r>
        <w:rPr>
          <w:rFonts w:hint="eastAsia" w:ascii="宋体" w:hAnsi="宋体"/>
        </w:rPr>
        <w:t>）对照谈判文件技术规格，逐条说明谈判应答文件技术规格已对采购单位的技术规格做出了实质性的响应，或申明与技术规格条文的偏差和例外；供应商应详细说明应答技术方案中产品的具体参数，不得照搬照抄谈判文件的技术要求；</w:t>
      </w:r>
    </w:p>
    <w:p w14:paraId="2F527136">
      <w:pPr>
        <w:tabs>
          <w:tab w:val="left" w:pos="-1080"/>
        </w:tabs>
        <w:ind w:firstLine="420" w:firstLineChars="200"/>
        <w:rPr>
          <w:rFonts w:ascii="宋体"/>
        </w:rPr>
      </w:pPr>
      <w:r>
        <w:rPr>
          <w:rFonts w:hint="eastAsia" w:ascii="宋体" w:hAnsi="宋体"/>
        </w:rPr>
        <w:t>（</w:t>
      </w:r>
      <w:r>
        <w:rPr>
          <w:rFonts w:ascii="宋体" w:hAnsi="宋体"/>
        </w:rPr>
        <w:t>4</w:t>
      </w:r>
      <w:r>
        <w:rPr>
          <w:rFonts w:hint="eastAsia" w:ascii="宋体" w:hAnsi="宋体"/>
        </w:rPr>
        <w:t>）产品说明书或彩页应为制造商公布或出具的中文产品说明书或彩页；</w:t>
      </w:r>
      <w:r>
        <w:rPr>
          <w:rFonts w:ascii="宋体" w:hAnsi="宋体"/>
        </w:rPr>
        <w:t xml:space="preserve"> </w:t>
      </w:r>
    </w:p>
    <w:p w14:paraId="6911B32C">
      <w:pPr>
        <w:tabs>
          <w:tab w:val="left" w:pos="-1080"/>
        </w:tabs>
        <w:ind w:firstLine="420" w:firstLineChars="200"/>
        <w:rPr>
          <w:rFonts w:ascii="宋体"/>
        </w:rPr>
      </w:pPr>
      <w:r>
        <w:rPr>
          <w:rFonts w:hint="eastAsia" w:ascii="宋体" w:hAnsi="宋体"/>
        </w:rPr>
        <w:t>（</w:t>
      </w:r>
      <w:r>
        <w:rPr>
          <w:rFonts w:ascii="宋体" w:hAnsi="宋体"/>
        </w:rPr>
        <w:t>5</w:t>
      </w:r>
      <w:r>
        <w:rPr>
          <w:rFonts w:hint="eastAsia" w:ascii="宋体" w:hAnsi="宋体"/>
        </w:rPr>
        <w:t>）我国政府机构出具的产品检验和核准证件应为证件正面、背面和附件标注的全部具体内容；</w:t>
      </w:r>
    </w:p>
    <w:p w14:paraId="7EE52BED">
      <w:pPr>
        <w:tabs>
          <w:tab w:val="left" w:pos="-1080"/>
        </w:tabs>
        <w:ind w:firstLine="420" w:firstLineChars="200"/>
        <w:rPr>
          <w:rFonts w:ascii="宋体"/>
        </w:rPr>
      </w:pPr>
      <w:r>
        <w:rPr>
          <w:rFonts w:hint="eastAsia" w:ascii="宋体" w:hAnsi="宋体"/>
        </w:rPr>
        <w:t>（</w:t>
      </w:r>
      <w:r>
        <w:rPr>
          <w:rFonts w:ascii="宋体" w:hAnsi="宋体"/>
        </w:rPr>
        <w:t>6</w:t>
      </w:r>
      <w:r>
        <w:rPr>
          <w:rFonts w:hint="eastAsia" w:ascii="宋体" w:hAnsi="宋体"/>
        </w:rPr>
        <w:t>）对项目评标信息中涉及的相关业绩、社保情况、纳税情况、银行资信等级和资金流状况等内容以及初审中涉及的资质证书，供应商应提供相关部门出具的证明材料原件扫描件，原件备查；上述证明材料应为证件正面、背面和附件标注的全部具体内容；</w:t>
      </w:r>
    </w:p>
    <w:p w14:paraId="1A88147B">
      <w:pPr>
        <w:tabs>
          <w:tab w:val="left" w:pos="-1080"/>
        </w:tabs>
        <w:ind w:firstLine="420" w:firstLineChars="200"/>
        <w:rPr>
          <w:rFonts w:ascii="宋体"/>
        </w:rPr>
      </w:pPr>
      <w:r>
        <w:rPr>
          <w:rFonts w:hint="eastAsia" w:ascii="宋体" w:hAnsi="宋体"/>
        </w:rPr>
        <w:t>若供应商未按要求提供证明材料或提供的是部分证明材料或提供不清晰的扫描件的，谈判小组有权认定其谈判应答文件未对谈判文件有关需求进行响应，涉及资格性检查或符合性检查的按谈判应答无效处理，涉及评分的则予以不计分处理。</w:t>
      </w:r>
    </w:p>
    <w:p w14:paraId="31F2BFB3">
      <w:pPr>
        <w:ind w:firstLine="420" w:firstLineChars="200"/>
        <w:rPr>
          <w:rFonts w:ascii="宋体"/>
          <w:szCs w:val="21"/>
        </w:rPr>
      </w:pPr>
      <w:r>
        <w:rPr>
          <w:rFonts w:hint="eastAsia" w:ascii="宋体" w:hAnsi="宋体"/>
          <w:szCs w:val="21"/>
        </w:rPr>
        <w:t>评审委员会对供应商投标资料是否异常、是否有效问题进行核查和判定，如认为供应商投标资料有异常或无效的，若涉及资格审查或符合性审查条款的，则应作投标无效处理；若涉及评分的，则作不得分处理。投标资料异常核查范围为：质疑函、被质疑供应商</w:t>
      </w:r>
      <w:r>
        <w:rPr>
          <w:rFonts w:hint="eastAsia" w:ascii="宋体" w:hAnsi="宋体"/>
          <w:szCs w:val="21"/>
          <w:lang w:eastAsia="zh-CN"/>
        </w:rPr>
        <w:t>应答文件</w:t>
      </w:r>
      <w:r>
        <w:rPr>
          <w:rFonts w:hint="eastAsia" w:ascii="宋体" w:hAnsi="宋体"/>
          <w:szCs w:val="21"/>
        </w:rPr>
        <w:t>资料、被质疑供应商答辩说明、被质疑资料原件、被质疑资料相应官方查询渠道查询到的信息等。以下情形可由评审委员会判定投标资料无效：</w:t>
      </w:r>
    </w:p>
    <w:p w14:paraId="3182D926">
      <w:pPr>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）被质疑供应商未能在合理时间内提供资料原件核对，且不能合理说明的；</w:t>
      </w:r>
    </w:p>
    <w:p w14:paraId="653FDF0F">
      <w:pPr>
        <w:ind w:firstLine="420" w:firstLineChars="200"/>
        <w:rPr>
          <w:rFonts w:ascii="宋体"/>
          <w:szCs w:val="21"/>
        </w:rPr>
      </w:pPr>
      <w:r>
        <w:rPr>
          <w:rFonts w:hint="eastAsia" w:ascii="宋体" w:hAnsi="宋体"/>
          <w:szCs w:val="21"/>
        </w:rPr>
        <w:t>（</w:t>
      </w:r>
      <w:r>
        <w:rPr>
          <w:rFonts w:ascii="宋体" w:hAnsi="宋体"/>
          <w:szCs w:val="21"/>
        </w:rPr>
        <w:t>2</w:t>
      </w:r>
      <w:r>
        <w:rPr>
          <w:rFonts w:hint="eastAsia" w:ascii="宋体" w:hAnsi="宋体"/>
          <w:szCs w:val="21"/>
        </w:rPr>
        <w:t>）被质疑供应商提供的资料原件与</w:t>
      </w:r>
      <w:r>
        <w:rPr>
          <w:rFonts w:hint="eastAsia" w:ascii="宋体" w:hAnsi="宋体"/>
          <w:szCs w:val="21"/>
          <w:lang w:eastAsia="zh-CN"/>
        </w:rPr>
        <w:t>应答文件</w:t>
      </w:r>
      <w:r>
        <w:rPr>
          <w:rFonts w:hint="eastAsia" w:ascii="宋体" w:hAnsi="宋体"/>
          <w:szCs w:val="21"/>
        </w:rPr>
        <w:t>资料不一致的；</w:t>
      </w:r>
    </w:p>
    <w:p w14:paraId="0B1FA983">
      <w:pPr>
        <w:tabs>
          <w:tab w:val="left" w:pos="-1080"/>
        </w:tabs>
        <w:ind w:firstLine="420" w:firstLineChars="200"/>
        <w:rPr>
          <w:rFonts w:ascii="宋体"/>
        </w:rPr>
      </w:pPr>
      <w:r>
        <w:rPr>
          <w:rFonts w:hint="eastAsia" w:ascii="宋体" w:hAnsi="宋体"/>
          <w:szCs w:val="21"/>
        </w:rPr>
        <w:t>（</w:t>
      </w:r>
      <w:r>
        <w:rPr>
          <w:rFonts w:ascii="宋体" w:hAnsi="宋体"/>
          <w:szCs w:val="21"/>
        </w:rPr>
        <w:t>3</w:t>
      </w:r>
      <w:r>
        <w:rPr>
          <w:rFonts w:hint="eastAsia" w:ascii="宋体" w:hAnsi="宋体"/>
          <w:szCs w:val="21"/>
        </w:rPr>
        <w:t>）被质疑供应商</w:t>
      </w:r>
      <w:r>
        <w:rPr>
          <w:rFonts w:hint="eastAsia" w:ascii="宋体" w:hAnsi="宋体"/>
          <w:szCs w:val="21"/>
          <w:lang w:eastAsia="zh-CN"/>
        </w:rPr>
        <w:t>应答文件</w:t>
      </w:r>
      <w:r>
        <w:rPr>
          <w:rFonts w:hint="eastAsia" w:ascii="宋体" w:hAnsi="宋体"/>
          <w:szCs w:val="21"/>
        </w:rPr>
        <w:t>资料信息与在相应官方查询渠道查询到的信息不一致，且不能合理说明的。</w:t>
      </w:r>
    </w:p>
    <w:p w14:paraId="256C8278">
      <w:pPr>
        <w:tabs>
          <w:tab w:val="left" w:pos="-1080"/>
        </w:tabs>
        <w:ind w:firstLine="420" w:firstLineChars="200"/>
        <w:rPr>
          <w:rFonts w:ascii="宋体"/>
        </w:rPr>
      </w:pPr>
      <w:r>
        <w:rPr>
          <w:rFonts w:ascii="宋体" w:hAnsi="宋体"/>
        </w:rPr>
        <w:t>8.4</w:t>
      </w:r>
      <w:r>
        <w:rPr>
          <w:rFonts w:hint="eastAsia" w:ascii="宋体" w:hAnsi="宋体"/>
        </w:rPr>
        <w:t>谈判小组有权对以谋取中标（成交）为目的的技术规格模糊响应（如有意照搬照抄谈判文件的技术要求）或虚假响应予以认定。供应商上述行为一经发现或查实，除扣分或谈判应答响应无效外，集中采购机构可视情况报政府采购主管部门作进一步处理。</w:t>
      </w:r>
    </w:p>
    <w:p w14:paraId="4FBDD835">
      <w:pPr>
        <w:tabs>
          <w:tab w:val="left" w:pos="-1080"/>
        </w:tabs>
        <w:ind w:firstLine="420" w:firstLineChars="200"/>
        <w:rPr>
          <w:rFonts w:ascii="宋体"/>
        </w:rPr>
      </w:pPr>
      <w:r>
        <w:rPr>
          <w:rFonts w:ascii="宋体" w:hAnsi="宋体"/>
        </w:rPr>
        <w:t>8</w:t>
      </w:r>
      <w:r>
        <w:rPr>
          <w:rFonts w:ascii="宋体"/>
        </w:rPr>
        <w:t>.</w:t>
      </w:r>
      <w:r>
        <w:rPr>
          <w:rFonts w:ascii="宋体" w:hAnsi="宋体"/>
        </w:rPr>
        <w:t>5</w:t>
      </w:r>
      <w:r>
        <w:rPr>
          <w:rFonts w:hint="eastAsia" w:ascii="宋体" w:hAnsi="宋体"/>
        </w:rPr>
        <w:t>采购人在技术要求中指出的工艺、材料和设备的标准以及参照的牌号或分类号仅起说明作用，并没有任何限制性。供应商在谈判中可以选用替代标准、牌号或分类号，但这些替代要实质上满足采购文件中技术规格的要求，是否中标（成交），由谈判小组来评判。</w:t>
      </w:r>
    </w:p>
    <w:p w14:paraId="605C2EB5">
      <w:pPr>
        <w:tabs>
          <w:tab w:val="left" w:pos="-1080"/>
        </w:tabs>
        <w:ind w:firstLine="420" w:firstLineChars="200"/>
        <w:rPr>
          <w:rFonts w:ascii="宋体"/>
        </w:rPr>
      </w:pPr>
      <w:r>
        <w:rPr>
          <w:rFonts w:ascii="宋体" w:hAnsi="宋体"/>
        </w:rPr>
        <w:t>8.6</w:t>
      </w:r>
      <w:r>
        <w:rPr>
          <w:rFonts w:hint="eastAsia" w:ascii="宋体" w:hAnsi="宋体"/>
        </w:rPr>
        <w:t>为保证公平公正，除非另有规定或说明，供应商对同一货物或服务应答时，不得同时提供两套或两套以上的应答方案。</w:t>
      </w:r>
    </w:p>
    <w:p w14:paraId="6C4BB64C">
      <w:pPr>
        <w:tabs>
          <w:tab w:val="left" w:pos="-1080"/>
        </w:tabs>
        <w:ind w:firstLine="420" w:firstLineChars="200"/>
        <w:rPr>
          <w:rFonts w:ascii="宋体"/>
        </w:rPr>
      </w:pPr>
      <w:r>
        <w:rPr>
          <w:rFonts w:ascii="宋体" w:hAnsi="宋体"/>
        </w:rPr>
        <w:t>8.7</w:t>
      </w:r>
      <w:r>
        <w:rPr>
          <w:rFonts w:hint="eastAsia" w:ascii="宋体" w:hAnsi="宋体"/>
        </w:rPr>
        <w:t>本项目涉及提供的有关资格资质证书，若原有资格资质证书处于年审期间，供应商提供年审证明的可按原资质投标；若供应商正在申报上一级别资质，在未批准之前，仍按原级别资质投标。</w:t>
      </w:r>
    </w:p>
    <w:p w14:paraId="24C49546">
      <w:pPr>
        <w:spacing w:line="360" w:lineRule="auto"/>
        <w:rPr>
          <w:b/>
        </w:rPr>
      </w:pPr>
      <w:r>
        <w:rPr>
          <w:b/>
        </w:rPr>
        <w:t>9</w:t>
      </w:r>
      <w:r>
        <w:rPr>
          <w:rFonts w:hint="eastAsia"/>
          <w:b/>
        </w:rPr>
        <w:t>、谈判价格</w:t>
      </w:r>
      <w:bookmarkEnd w:id="46"/>
      <w:r>
        <w:rPr>
          <w:rFonts w:hint="eastAsia"/>
          <w:b/>
        </w:rPr>
        <w:t>（谈判报价）</w:t>
      </w:r>
    </w:p>
    <w:p w14:paraId="506652D9">
      <w:pPr>
        <w:tabs>
          <w:tab w:val="left" w:pos="-1080"/>
        </w:tabs>
        <w:ind w:firstLine="420" w:firstLineChars="200"/>
        <w:rPr>
          <w:rFonts w:ascii="宋体"/>
        </w:rPr>
      </w:pPr>
      <w:r>
        <w:rPr>
          <w:rFonts w:ascii="宋体" w:hAnsi="宋体"/>
        </w:rPr>
        <w:t>9.1</w:t>
      </w:r>
      <w:r>
        <w:rPr>
          <w:rFonts w:hint="eastAsia" w:ascii="宋体" w:hAnsi="宋体"/>
        </w:rPr>
        <w:t>供应商的总报价不得超过财政预算限额。</w:t>
      </w:r>
    </w:p>
    <w:p w14:paraId="22732F58">
      <w:pPr>
        <w:tabs>
          <w:tab w:val="left" w:pos="-1080"/>
        </w:tabs>
        <w:ind w:firstLine="420" w:firstLineChars="200"/>
        <w:rPr>
          <w:rFonts w:ascii="宋体"/>
        </w:rPr>
      </w:pPr>
      <w:r>
        <w:rPr>
          <w:rFonts w:ascii="宋体" w:hAnsi="宋体"/>
        </w:rPr>
        <w:t>9.2</w:t>
      </w:r>
      <w:r>
        <w:rPr>
          <w:rFonts w:hint="eastAsia" w:ascii="宋体" w:hAnsi="宋体"/>
        </w:rPr>
        <w:t>供应商的总报价为完成采购文件及合同条款所规定的工作内容的各项费用（含完成采购文件及合同条款所规定的工作内容的各项费用），应包括人工、设备、管理、维护、安装、调试、利润、税金、包干预备费、政策性文件规定及采购文件、合同包含的所有风险（包括项目实施期间物价上涨、政策性调整等因素）、责任等各项应有的费用；中标（成交）供应商不得以采购需求中未具体列出为由拒绝承担相关费用。</w:t>
      </w:r>
    </w:p>
    <w:p w14:paraId="175C9144">
      <w:pPr>
        <w:tabs>
          <w:tab w:val="left" w:pos="-1080"/>
        </w:tabs>
        <w:ind w:firstLine="420" w:firstLineChars="200"/>
        <w:rPr>
          <w:rFonts w:ascii="宋体"/>
        </w:rPr>
      </w:pPr>
      <w:r>
        <w:rPr>
          <w:rFonts w:ascii="宋体" w:hAnsi="宋体"/>
        </w:rPr>
        <w:t>9.3</w:t>
      </w:r>
      <w:r>
        <w:rPr>
          <w:rFonts w:hint="eastAsia" w:ascii="宋体" w:hAnsi="宋体"/>
        </w:rPr>
        <w:t>供应商的谈判报价，应是本项目采购范围（见第二章项目要求）和采购文件及合同条款上所列的各项内容中所述的全部，不得以任何理由予以重复，并以供应商在应答文件“谈判报价表”中列明的谈判价格（谈判报价）为依据（供应商要自行承担漏算、漏报的风险）。</w:t>
      </w:r>
    </w:p>
    <w:p w14:paraId="69769422">
      <w:pPr>
        <w:tabs>
          <w:tab w:val="left" w:pos="-1080"/>
        </w:tabs>
        <w:ind w:firstLine="420" w:firstLineChars="200"/>
        <w:rPr>
          <w:rFonts w:ascii="宋体"/>
        </w:rPr>
      </w:pPr>
      <w:r>
        <w:rPr>
          <w:rFonts w:ascii="宋体" w:hAnsi="宋体"/>
        </w:rPr>
        <w:t>9</w:t>
      </w:r>
      <w:r>
        <w:rPr>
          <w:rFonts w:ascii="宋体"/>
        </w:rPr>
        <w:t>.</w:t>
      </w:r>
      <w:r>
        <w:rPr>
          <w:rFonts w:ascii="宋体" w:hAnsi="宋体"/>
        </w:rPr>
        <w:t>4</w:t>
      </w:r>
      <w:r>
        <w:rPr>
          <w:rFonts w:hint="eastAsia" w:ascii="宋体" w:hAnsi="宋体"/>
        </w:rPr>
        <w:t>除非深圳市东海国际招标有限公司通过修改采购文件予以更正，否则，供应商应毫无例外地按项目清单（若提供的话）中列出的需求项填报谈判价格（谈判报价）。供应商未填报的价格项目，在实施后，采购人将不予以支付，并视作该项费用已包括在谈判价格（谈判报价）内。</w:t>
      </w:r>
    </w:p>
    <w:p w14:paraId="22A918CB">
      <w:pPr>
        <w:spacing w:line="360" w:lineRule="auto"/>
        <w:rPr>
          <w:b/>
        </w:rPr>
      </w:pPr>
      <w:r>
        <w:rPr>
          <w:b/>
        </w:rPr>
        <w:t>10</w:t>
      </w:r>
      <w:r>
        <w:rPr>
          <w:rFonts w:hint="eastAsia"/>
          <w:b/>
        </w:rPr>
        <w:t>、谈判货币及合同价格</w:t>
      </w:r>
      <w:bookmarkEnd w:id="47"/>
      <w:bookmarkEnd w:id="48"/>
    </w:p>
    <w:p w14:paraId="19EBC468">
      <w:pPr>
        <w:tabs>
          <w:tab w:val="left" w:pos="-1080"/>
        </w:tabs>
        <w:ind w:firstLine="420" w:firstLineChars="200"/>
        <w:rPr>
          <w:rFonts w:ascii="宋体"/>
        </w:rPr>
      </w:pPr>
      <w:r>
        <w:rPr>
          <w:rFonts w:ascii="宋体" w:hAnsi="宋体"/>
        </w:rPr>
        <w:t>10.1</w:t>
      </w:r>
      <w:r>
        <w:rPr>
          <w:rFonts w:hint="eastAsia" w:ascii="宋体" w:hAnsi="宋体"/>
        </w:rPr>
        <w:t>本项目的谈判应以人民币计。</w:t>
      </w:r>
    </w:p>
    <w:p w14:paraId="185FEF1B">
      <w:pPr>
        <w:tabs>
          <w:tab w:val="left" w:pos="-1080"/>
        </w:tabs>
        <w:ind w:firstLine="420" w:firstLineChars="200"/>
        <w:rPr>
          <w:rFonts w:ascii="宋体"/>
        </w:rPr>
      </w:pPr>
      <w:r>
        <w:rPr>
          <w:rFonts w:ascii="宋体" w:hAnsi="宋体"/>
        </w:rPr>
        <w:t>10.2</w:t>
      </w:r>
      <w:r>
        <w:rPr>
          <w:rFonts w:hint="eastAsia" w:ascii="宋体" w:hAnsi="宋体"/>
        </w:rPr>
        <w:t>供应商谈判报价总额一经成交后，即作为该项目的中标（成交）价格。</w:t>
      </w:r>
    </w:p>
    <w:p w14:paraId="1141445E">
      <w:pPr>
        <w:spacing w:line="360" w:lineRule="auto"/>
        <w:rPr>
          <w:b/>
        </w:rPr>
      </w:pPr>
      <w:r>
        <w:rPr>
          <w:b/>
        </w:rPr>
        <w:t>11</w:t>
      </w:r>
      <w:r>
        <w:rPr>
          <w:rFonts w:hint="eastAsia"/>
          <w:b/>
        </w:rPr>
        <w:t>、谈判应答文件有效期</w:t>
      </w:r>
      <w:bookmarkEnd w:id="49"/>
    </w:p>
    <w:p w14:paraId="3C331053">
      <w:pPr>
        <w:tabs>
          <w:tab w:val="left" w:pos="-1080"/>
        </w:tabs>
        <w:ind w:firstLine="420" w:firstLineChars="200"/>
        <w:rPr>
          <w:rFonts w:ascii="宋体"/>
        </w:rPr>
      </w:pPr>
      <w:r>
        <w:rPr>
          <w:rFonts w:ascii="宋体" w:hAnsi="宋体"/>
        </w:rPr>
        <w:t>11</w:t>
      </w:r>
      <w:r>
        <w:rPr>
          <w:rFonts w:ascii="宋体"/>
        </w:rPr>
        <w:t>.</w:t>
      </w:r>
      <w:r>
        <w:rPr>
          <w:rFonts w:ascii="宋体" w:hAnsi="宋体"/>
        </w:rPr>
        <w:t>2</w:t>
      </w:r>
      <w:r>
        <w:rPr>
          <w:rFonts w:hint="eastAsia" w:ascii="宋体" w:hAnsi="宋体"/>
        </w:rPr>
        <w:t>特殊情况下，深圳市东海国际招标有限公司可于谈判应答文件有效期满之前要求供应商同意延长有效期，要求与答复均应为书面形式，但供应商可以拒绝上述要求。</w:t>
      </w:r>
    </w:p>
    <w:p w14:paraId="41F81137">
      <w:pPr>
        <w:tabs>
          <w:tab w:val="left" w:pos="-1080"/>
        </w:tabs>
        <w:ind w:firstLine="420" w:firstLineChars="200"/>
        <w:rPr>
          <w:rFonts w:ascii="宋体"/>
        </w:rPr>
      </w:pPr>
      <w:r>
        <w:rPr>
          <w:rFonts w:ascii="宋体" w:hAnsi="宋体"/>
        </w:rPr>
        <w:t>11.3</w:t>
      </w:r>
      <w:r>
        <w:rPr>
          <w:rFonts w:hint="eastAsia" w:ascii="宋体" w:hAnsi="宋体"/>
        </w:rPr>
        <w:t>中标（成交）单位的谈判应答文件有效期，截止于完成本谈判文件规定的全部内容，并通过验收及保修结束。</w:t>
      </w:r>
    </w:p>
    <w:p w14:paraId="60B9AD89">
      <w:pPr>
        <w:spacing w:line="360" w:lineRule="auto"/>
        <w:rPr>
          <w:b/>
        </w:rPr>
      </w:pPr>
      <w:bookmarkStart w:id="50" w:name="_Toc78703957"/>
      <w:bookmarkStart w:id="51" w:name="_Toc78703958"/>
      <w:r>
        <w:rPr>
          <w:b/>
        </w:rPr>
        <w:t>12</w:t>
      </w:r>
      <w:r>
        <w:rPr>
          <w:rFonts w:hint="eastAsia"/>
          <w:b/>
        </w:rPr>
        <w:t>、谈判担保</w:t>
      </w:r>
      <w:bookmarkEnd w:id="50"/>
    </w:p>
    <w:p w14:paraId="7BE9BF8D">
      <w:pPr>
        <w:tabs>
          <w:tab w:val="left" w:pos="-1080"/>
        </w:tabs>
        <w:ind w:firstLine="420" w:firstLineChars="200"/>
        <w:rPr>
          <w:rFonts w:ascii="宋体"/>
          <w:szCs w:val="21"/>
        </w:rPr>
      </w:pPr>
      <w:r>
        <w:rPr>
          <w:rFonts w:ascii="宋体" w:hAnsi="宋体"/>
          <w:szCs w:val="21"/>
        </w:rPr>
        <w:t>12.1</w:t>
      </w:r>
      <w:r>
        <w:rPr>
          <w:rFonts w:hint="eastAsia" w:ascii="宋体" w:hAnsi="宋体"/>
          <w:szCs w:val="21"/>
        </w:rPr>
        <w:t>自</w:t>
      </w:r>
      <w:r>
        <w:rPr>
          <w:rFonts w:ascii="宋体" w:hAnsi="宋体"/>
          <w:szCs w:val="21"/>
        </w:rPr>
        <w:t>2019</w:t>
      </w:r>
      <w:r>
        <w:rPr>
          <w:rFonts w:hint="eastAsia" w:ascii="宋体" w:hAnsi="宋体"/>
          <w:szCs w:val="21"/>
        </w:rPr>
        <w:t>年</w:t>
      </w:r>
      <w:r>
        <w:rPr>
          <w:rFonts w:ascii="宋体" w:hAnsi="宋体"/>
          <w:szCs w:val="21"/>
        </w:rPr>
        <w:t>8</w:t>
      </w:r>
      <w:r>
        <w:rPr>
          <w:rFonts w:hint="eastAsia" w:ascii="宋体" w:hAnsi="宋体"/>
          <w:szCs w:val="21"/>
        </w:rPr>
        <w:t>月</w:t>
      </w:r>
      <w:r>
        <w:rPr>
          <w:rFonts w:ascii="宋体" w:hAnsi="宋体"/>
          <w:szCs w:val="21"/>
        </w:rPr>
        <w:t>15</w:t>
      </w:r>
      <w:r>
        <w:rPr>
          <w:rFonts w:hint="eastAsia" w:ascii="宋体" w:hAnsi="宋体"/>
          <w:szCs w:val="21"/>
        </w:rPr>
        <w:t>日起，深圳交易集团有限公司政府采购业务分公司所有采购项目停止收取投标保证金，同时将为所有注册供应商开放投标权限；</w:t>
      </w:r>
    </w:p>
    <w:p w14:paraId="2ED73593">
      <w:pPr>
        <w:spacing w:line="360" w:lineRule="auto"/>
        <w:rPr>
          <w:b/>
        </w:rPr>
      </w:pPr>
      <w:r>
        <w:rPr>
          <w:b/>
        </w:rPr>
        <w:t>13</w:t>
      </w:r>
      <w:r>
        <w:rPr>
          <w:rFonts w:hint="eastAsia"/>
          <w:b/>
        </w:rPr>
        <w:t>、谈判应答文件</w:t>
      </w:r>
      <w:bookmarkEnd w:id="51"/>
      <w:r>
        <w:rPr>
          <w:rFonts w:hint="eastAsia"/>
          <w:b/>
        </w:rPr>
        <w:t>书写</w:t>
      </w:r>
    </w:p>
    <w:p w14:paraId="1281F054">
      <w:pPr>
        <w:ind w:firstLine="420" w:firstLineChars="200"/>
        <w:rPr>
          <w:rFonts w:ascii="宋体"/>
          <w:szCs w:val="21"/>
        </w:rPr>
      </w:pPr>
      <w:r>
        <w:rPr>
          <w:rFonts w:ascii="宋体" w:hAnsi="宋体"/>
          <w:szCs w:val="21"/>
        </w:rPr>
        <w:t xml:space="preserve">13.1  </w:t>
      </w:r>
      <w:r>
        <w:rPr>
          <w:rFonts w:hint="eastAsia" w:ascii="宋体" w:hAnsi="宋体"/>
          <w:szCs w:val="21"/>
        </w:rPr>
        <w:t>投标人应准备所投投标项目的电子投标文件（谈判应答文件）一份</w:t>
      </w:r>
      <w:r>
        <w:rPr>
          <w:rFonts w:ascii="宋体"/>
          <w:szCs w:val="21"/>
        </w:rPr>
        <w:t>.</w:t>
      </w:r>
      <w:r>
        <w:rPr>
          <w:rFonts w:hint="eastAsia" w:ascii="宋体" w:hAnsi="宋体"/>
          <w:szCs w:val="21"/>
        </w:rPr>
        <w:t>此电子投标文件（谈判应答文件）须由供应商根据</w:t>
      </w:r>
      <w:r>
        <w:rPr>
          <w:rFonts w:hint="eastAsia" w:ascii="宋体" w:hAnsi="宋体"/>
        </w:rPr>
        <w:t>深圳市东海国际招标有限公司提供的后缀名为</w:t>
      </w:r>
      <w:r>
        <w:rPr>
          <w:rFonts w:ascii="宋体" w:hAnsi="宋体"/>
        </w:rPr>
        <w:t>.szczf</w:t>
      </w:r>
      <w:r>
        <w:rPr>
          <w:rFonts w:hint="eastAsia" w:ascii="宋体" w:hAnsi="宋体"/>
        </w:rPr>
        <w:t>的电子采购文件、《深圳政府采购智慧平台投标文件制作专用软件》编制并加密投标文件</w:t>
      </w:r>
      <w:r>
        <w:rPr>
          <w:rFonts w:hint="eastAsia" w:ascii="宋体" w:hAnsi="宋体"/>
          <w:szCs w:val="21"/>
        </w:rPr>
        <w:t>（谈判应答文件）</w:t>
      </w:r>
      <w:r>
        <w:rPr>
          <w:rFonts w:hint="eastAsia" w:ascii="宋体" w:hAnsi="宋体"/>
        </w:rPr>
        <w:t>【要求下载安装《深圳政府采购智慧平台投标文件制作专用软件》及其配套软件，</w:t>
      </w:r>
      <w:r>
        <w:rPr>
          <w:rFonts w:hint="eastAsia" w:ascii="宋体" w:hAnsi="宋体" w:cs="宋体"/>
          <w:kern w:val="0"/>
          <w:szCs w:val="21"/>
        </w:rPr>
        <w:t>进入（</w:t>
      </w:r>
      <w:r>
        <w:rPr>
          <w:rFonts w:ascii="宋体" w:hAnsi="宋体" w:cs="宋体"/>
          <w:kern w:val="0"/>
          <w:szCs w:val="21"/>
        </w:rPr>
        <w:t>https://www.szggzy.com/xxgk/tzgg/content_201792.html</w:t>
      </w:r>
      <w:r>
        <w:rPr>
          <w:rFonts w:hint="eastAsia" w:ascii="宋体" w:hAnsi="宋体" w:cs="宋体"/>
          <w:kern w:val="0"/>
          <w:szCs w:val="21"/>
        </w:rPr>
        <w:t>）在“附件”中下载</w:t>
      </w:r>
      <w:r>
        <w:rPr>
          <w:rFonts w:hint="eastAsia" w:ascii="宋体" w:hAnsi="宋体"/>
        </w:rPr>
        <w:t>。在安装此软件之前】。</w:t>
      </w:r>
    </w:p>
    <w:p w14:paraId="08C1EC8D">
      <w:pPr>
        <w:ind w:firstLine="420" w:firstLineChars="200"/>
        <w:rPr>
          <w:rFonts w:ascii="宋体"/>
          <w:szCs w:val="21"/>
        </w:rPr>
      </w:pPr>
      <w:r>
        <w:rPr>
          <w:rFonts w:ascii="宋体" w:hAnsi="宋体"/>
          <w:szCs w:val="21"/>
        </w:rPr>
        <w:t xml:space="preserve">13.2 </w:t>
      </w:r>
      <w:r>
        <w:rPr>
          <w:rFonts w:hint="eastAsia" w:ascii="宋体" w:hAnsi="宋体"/>
          <w:szCs w:val="21"/>
        </w:rPr>
        <w:t>供应商在利用《</w:t>
      </w:r>
      <w:r>
        <w:rPr>
          <w:rFonts w:hint="eastAsia" w:ascii="宋体" w:hAnsi="宋体"/>
        </w:rPr>
        <w:t>深圳政府采购智慧平台投标文件制作专用软件</w:t>
      </w:r>
      <w:r>
        <w:rPr>
          <w:rFonts w:hint="eastAsia" w:ascii="宋体" w:hAnsi="宋体"/>
          <w:szCs w:val="21"/>
        </w:rPr>
        <w:t>》编制投标文件（谈判应答文件）时须注意：</w:t>
      </w:r>
    </w:p>
    <w:p w14:paraId="62562847">
      <w:pPr>
        <w:rPr>
          <w:rFonts w:ascii="宋体"/>
          <w:szCs w:val="21"/>
        </w:rPr>
      </w:pPr>
      <w:r>
        <w:rPr>
          <w:rFonts w:ascii="宋体" w:hAnsi="宋体"/>
          <w:szCs w:val="21"/>
        </w:rPr>
        <w:t xml:space="preserve">     </w:t>
      </w:r>
      <w:r>
        <w:rPr>
          <w:rFonts w:hint="eastAsia" w:ascii="宋体" w:hAnsi="宋体"/>
          <w:szCs w:val="21"/>
        </w:rPr>
        <w:t>（</w:t>
      </w:r>
      <w:r>
        <w:rPr>
          <w:rFonts w:ascii="宋体" w:hAnsi="宋体"/>
          <w:szCs w:val="21"/>
        </w:rPr>
        <w:t>1</w:t>
      </w:r>
      <w:r>
        <w:rPr>
          <w:rFonts w:hint="eastAsia" w:ascii="宋体" w:hAnsi="宋体"/>
          <w:szCs w:val="21"/>
        </w:rPr>
        <w:t>）</w:t>
      </w:r>
      <w:r>
        <w:rPr>
          <w:rFonts w:hint="eastAsia" w:ascii="宋体" w:hAnsi="宋体"/>
        </w:rPr>
        <w:t>导入《深圳政府采购智慧平台投标文件制作专用软件》的招标文件项目编号、包号应与以此制作的投标文件</w:t>
      </w:r>
      <w:r>
        <w:rPr>
          <w:rFonts w:hint="eastAsia" w:ascii="宋体" w:hAnsi="宋体"/>
          <w:szCs w:val="21"/>
        </w:rPr>
        <w:t>（谈判应答文件）</w:t>
      </w:r>
      <w:r>
        <w:rPr>
          <w:rFonts w:hint="eastAsia" w:ascii="宋体" w:hAnsi="宋体"/>
        </w:rPr>
        <w:t>项目编号、包号一致。例如，不能将甲项目</w:t>
      </w:r>
      <w:r>
        <w:rPr>
          <w:rFonts w:ascii="宋体" w:hAnsi="宋体"/>
        </w:rPr>
        <w:t>A</w:t>
      </w:r>
      <w:r>
        <w:rPr>
          <w:rFonts w:hint="eastAsia" w:ascii="宋体" w:hAnsi="宋体"/>
        </w:rPr>
        <w:t>包的招标书导入《深圳政府采购智慧平台投标文件制作专用软件》，制作乙项目</w:t>
      </w:r>
      <w:r>
        <w:rPr>
          <w:rFonts w:ascii="宋体" w:hAnsi="宋体"/>
        </w:rPr>
        <w:t>B</w:t>
      </w:r>
      <w:r>
        <w:rPr>
          <w:rFonts w:hint="eastAsia" w:ascii="宋体" w:hAnsi="宋体"/>
        </w:rPr>
        <w:t>包的投标书。</w:t>
      </w:r>
    </w:p>
    <w:p w14:paraId="313BB326">
      <w:pPr>
        <w:rPr>
          <w:rFonts w:ascii="宋体"/>
          <w:szCs w:val="21"/>
        </w:rPr>
      </w:pPr>
      <w:r>
        <w:rPr>
          <w:rFonts w:ascii="宋体" w:hAnsi="宋体"/>
          <w:szCs w:val="21"/>
        </w:rPr>
        <w:t xml:space="preserve">     </w:t>
      </w:r>
      <w:r>
        <w:rPr>
          <w:rFonts w:hint="eastAsia" w:ascii="宋体" w:hAnsi="宋体"/>
          <w:szCs w:val="21"/>
        </w:rPr>
        <w:t>（</w:t>
      </w:r>
      <w:r>
        <w:rPr>
          <w:rFonts w:ascii="宋体" w:hAnsi="宋体"/>
          <w:szCs w:val="21"/>
        </w:rPr>
        <w:t>2</w:t>
      </w:r>
      <w:r>
        <w:rPr>
          <w:rFonts w:hint="eastAsia" w:ascii="宋体" w:hAnsi="宋体"/>
          <w:szCs w:val="21"/>
        </w:rPr>
        <w:t>）不能用非属于投标人的电子密钥加密本公司的投标文件（谈判应答文件），或者用其它公司的登录用户上传本公司的投标文件（谈判应答文件）。</w:t>
      </w:r>
    </w:p>
    <w:p w14:paraId="3A572C00">
      <w:pPr>
        <w:rPr>
          <w:rFonts w:ascii="宋体"/>
          <w:szCs w:val="21"/>
        </w:rPr>
      </w:pPr>
      <w:r>
        <w:rPr>
          <w:rFonts w:ascii="宋体" w:hAnsi="宋体"/>
          <w:szCs w:val="21"/>
        </w:rPr>
        <w:t xml:space="preserve">     </w:t>
      </w:r>
      <w:r>
        <w:rPr>
          <w:rFonts w:hint="eastAsia" w:ascii="宋体" w:hAnsi="宋体"/>
          <w:szCs w:val="21"/>
        </w:rPr>
        <w:t>（</w:t>
      </w:r>
      <w:r>
        <w:rPr>
          <w:rFonts w:ascii="宋体" w:hAnsi="宋体"/>
          <w:szCs w:val="21"/>
        </w:rPr>
        <w:t>3</w:t>
      </w:r>
      <w:r>
        <w:rPr>
          <w:rFonts w:hint="eastAsia" w:ascii="宋体" w:hAnsi="宋体"/>
          <w:szCs w:val="21"/>
        </w:rPr>
        <w:t>）要求用《</w:t>
      </w:r>
      <w:r>
        <w:rPr>
          <w:rFonts w:hint="eastAsia" w:ascii="宋体" w:hAnsi="宋体"/>
        </w:rPr>
        <w:t>深圳政府采购智慧平台投标文件制作专用软件</w:t>
      </w:r>
      <w:r>
        <w:rPr>
          <w:rFonts w:hint="eastAsia" w:ascii="宋体" w:hAnsi="宋体"/>
          <w:szCs w:val="21"/>
        </w:rPr>
        <w:t>》编制投标书的包，不能用其它方式编制投标书。编制投标文件（谈判应答文件）时，电脑须连通互联网。</w:t>
      </w:r>
    </w:p>
    <w:p w14:paraId="079D107C">
      <w:pPr>
        <w:ind w:firstLine="508" w:firstLineChars="242"/>
        <w:rPr>
          <w:rFonts w:ascii="宋体"/>
          <w:szCs w:val="21"/>
        </w:rPr>
      </w:pPr>
      <w:r>
        <w:rPr>
          <w:rFonts w:hint="eastAsia" w:ascii="宋体" w:hAnsi="宋体"/>
          <w:szCs w:val="21"/>
        </w:rPr>
        <w:t>（</w:t>
      </w:r>
      <w:r>
        <w:rPr>
          <w:rFonts w:ascii="宋体" w:hAnsi="宋体"/>
          <w:szCs w:val="21"/>
        </w:rPr>
        <w:t>4</w:t>
      </w:r>
      <w:r>
        <w:rPr>
          <w:rFonts w:hint="eastAsia" w:ascii="宋体" w:hAnsi="宋体"/>
          <w:szCs w:val="21"/>
        </w:rPr>
        <w:t>）</w:t>
      </w:r>
      <w:r>
        <w:rPr>
          <w:rFonts w:hint="eastAsia" w:ascii="宋体" w:hAnsi="宋体"/>
        </w:rPr>
        <w:t>投标文件</w:t>
      </w:r>
      <w:r>
        <w:rPr>
          <w:rFonts w:hint="eastAsia" w:ascii="宋体" w:hAnsi="宋体"/>
          <w:szCs w:val="21"/>
        </w:rPr>
        <w:t>（谈判应答文件）</w:t>
      </w:r>
      <w:r>
        <w:rPr>
          <w:rFonts w:hint="eastAsia" w:ascii="宋体" w:hAnsi="宋体"/>
        </w:rPr>
        <w:t>不能带病毒。政府集中采购机构将用专业杀毒软件对投标文件</w:t>
      </w:r>
      <w:r>
        <w:rPr>
          <w:rFonts w:hint="eastAsia" w:ascii="宋体" w:hAnsi="宋体"/>
          <w:szCs w:val="21"/>
        </w:rPr>
        <w:t>（谈判应答文件）</w:t>
      </w:r>
      <w:r>
        <w:rPr>
          <w:rFonts w:hint="eastAsia" w:ascii="宋体" w:hAnsi="宋体"/>
        </w:rPr>
        <w:t>进行病毒检测，如果这两种软件均报告发现病毒，则政府集中采购机构认为该投标文件</w:t>
      </w:r>
      <w:r>
        <w:rPr>
          <w:rFonts w:hint="eastAsia" w:ascii="宋体" w:hAnsi="宋体"/>
          <w:szCs w:val="21"/>
        </w:rPr>
        <w:t>（谈判应答文件）</w:t>
      </w:r>
      <w:r>
        <w:rPr>
          <w:rFonts w:hint="eastAsia" w:ascii="宋体" w:hAnsi="宋体"/>
        </w:rPr>
        <w:t>带病毒。</w:t>
      </w:r>
    </w:p>
    <w:p w14:paraId="27BC74A7">
      <w:pPr>
        <w:rPr>
          <w:rFonts w:ascii="宋体"/>
          <w:szCs w:val="21"/>
        </w:rPr>
      </w:pPr>
      <w:r>
        <w:rPr>
          <w:rFonts w:ascii="宋体" w:hAnsi="宋体"/>
          <w:szCs w:val="21"/>
        </w:rPr>
        <w:t xml:space="preserve">     </w:t>
      </w:r>
      <w:r>
        <w:rPr>
          <w:rFonts w:hint="eastAsia" w:ascii="宋体" w:hAnsi="宋体"/>
          <w:szCs w:val="21"/>
        </w:rPr>
        <w:t>（</w:t>
      </w:r>
      <w:r>
        <w:rPr>
          <w:rFonts w:ascii="宋体" w:hAnsi="宋体"/>
          <w:szCs w:val="21"/>
        </w:rPr>
        <w:t>5</w:t>
      </w:r>
      <w:r>
        <w:rPr>
          <w:rFonts w:hint="eastAsia" w:ascii="宋体" w:hAnsi="宋体"/>
          <w:szCs w:val="21"/>
        </w:rPr>
        <w:t>）填写“投标关键信息”，如下图所示：</w:t>
      </w:r>
    </w:p>
    <w:p w14:paraId="364515C0">
      <w:pPr>
        <w:jc w:val="center"/>
        <w:rPr>
          <w:rFonts w:ascii="宋体"/>
          <w:sz w:val="24"/>
          <w:highlight w:val="yellow"/>
        </w:rPr>
      </w:pPr>
      <w:r>
        <w:rPr>
          <w:rFonts w:ascii="宋体"/>
        </w:rPr>
        <w:drawing>
          <wp:inline distT="0" distB="0" distL="114300" distR="114300">
            <wp:extent cx="5267325" cy="2714625"/>
            <wp:effectExtent l="0" t="0" r="9525" b="9525"/>
            <wp:docPr id="4" name="图片 1" descr="图形用户界面, 应用程序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图形用户界面, 应用程序描述已自动生成"/>
                    <pic:cNvPicPr>
                      <a:picLocks noChangeAspect="1"/>
                    </pic:cNvPicPr>
                  </pic:nvPicPr>
                  <pic:blipFill>
                    <a:blip r:embed="rId8"/>
                    <a:stretch>
                      <a:fillRect/>
                    </a:stretch>
                  </pic:blipFill>
                  <pic:spPr>
                    <a:xfrm>
                      <a:off x="0" y="0"/>
                      <a:ext cx="5267325" cy="2714625"/>
                    </a:xfrm>
                    <a:prstGeom prst="rect">
                      <a:avLst/>
                    </a:prstGeom>
                    <a:noFill/>
                    <a:ln>
                      <a:noFill/>
                    </a:ln>
                  </pic:spPr>
                </pic:pic>
              </a:graphicData>
            </a:graphic>
          </wp:inline>
        </w:drawing>
      </w:r>
    </w:p>
    <w:p w14:paraId="1B1BFC16">
      <w:pPr>
        <w:rPr>
          <w:rFonts w:ascii="宋体"/>
          <w:szCs w:val="21"/>
        </w:rPr>
      </w:pPr>
      <w:r>
        <w:rPr>
          <w:rFonts w:hint="eastAsia" w:ascii="宋体" w:hAnsi="宋体"/>
          <w:szCs w:val="21"/>
        </w:rPr>
        <w:t>（</w:t>
      </w:r>
      <w:r>
        <w:rPr>
          <w:rFonts w:ascii="宋体" w:hAnsi="宋体"/>
          <w:szCs w:val="21"/>
        </w:rPr>
        <w:t>6</w:t>
      </w:r>
      <w:r>
        <w:rPr>
          <w:rFonts w:hint="eastAsia" w:ascii="宋体" w:hAnsi="宋体"/>
          <w:szCs w:val="21"/>
        </w:rPr>
        <w:t>）供应商在编辑投标文件（谈判应答文件）时，在文件目录中属于本节点内容的必须在本节点中填写，填写到其他节点或附件的将可能导致应答无效，一切后果由供应商自行承担。填写完投标文件（谈判应答文件）后，要检查每一个章节中图片的清晰程度，如果图片中字体的笔划不连贯，难以辨识的，请及时更换，以确保图片清晰可辨，因为无法辨识的图片将导致对该投标文件（谈判应答文件）不利的评定。</w:t>
      </w:r>
    </w:p>
    <w:p w14:paraId="02F63883">
      <w:pPr>
        <w:ind w:firstLine="420" w:firstLineChars="200"/>
        <w:rPr>
          <w:rFonts w:ascii="宋体"/>
          <w:szCs w:val="21"/>
          <w:highlight w:val="yellow"/>
        </w:rPr>
      </w:pPr>
      <w:r>
        <w:rPr>
          <w:rFonts w:hint="eastAsia" w:ascii="宋体" w:hAnsi="宋体"/>
          <w:szCs w:val="21"/>
        </w:rPr>
        <w:t>（</w:t>
      </w:r>
      <w:r>
        <w:rPr>
          <w:rFonts w:ascii="宋体" w:hAnsi="宋体"/>
          <w:szCs w:val="21"/>
        </w:rPr>
        <w:t>7</w:t>
      </w:r>
      <w:r>
        <w:rPr>
          <w:rFonts w:hint="eastAsia" w:ascii="宋体" w:hAnsi="宋体"/>
          <w:szCs w:val="21"/>
        </w:rPr>
        <w:t>）投标书编写完成后，必须用属于</w:t>
      </w:r>
      <w:r>
        <w:rPr>
          <w:rFonts w:hint="eastAsia" w:ascii="宋体" w:hAnsi="宋体"/>
          <w:b/>
          <w:bCs/>
          <w:szCs w:val="21"/>
        </w:rPr>
        <w:t>投标人的电子密钥</w:t>
      </w:r>
      <w:r>
        <w:rPr>
          <w:rFonts w:hint="eastAsia" w:ascii="宋体" w:hAnsi="宋体"/>
          <w:szCs w:val="21"/>
        </w:rPr>
        <w:t>进行加密，否则视同未盖公章，将导致投标文件（谈判应答文件）无效。</w:t>
      </w:r>
    </w:p>
    <w:p w14:paraId="49369C94">
      <w:pPr>
        <w:rPr>
          <w:rFonts w:ascii="宋体"/>
          <w:szCs w:val="21"/>
        </w:rPr>
      </w:pPr>
      <w:r>
        <w:rPr>
          <w:rFonts w:ascii="宋体" w:hAnsi="宋体"/>
          <w:szCs w:val="21"/>
        </w:rPr>
        <w:t xml:space="preserve">    </w:t>
      </w:r>
      <w:r>
        <w:rPr>
          <w:rFonts w:hint="eastAsia" w:ascii="宋体" w:hAnsi="宋体"/>
          <w:szCs w:val="21"/>
        </w:rPr>
        <w:t>（</w:t>
      </w:r>
      <w:r>
        <w:rPr>
          <w:rFonts w:ascii="宋体" w:hAnsi="宋体"/>
          <w:szCs w:val="21"/>
        </w:rPr>
        <w:t>8</w:t>
      </w:r>
      <w:r>
        <w:rPr>
          <w:rFonts w:hint="eastAsia" w:ascii="宋体" w:hAnsi="宋体"/>
          <w:szCs w:val="21"/>
        </w:rPr>
        <w:t>）深圳市东海国际招标有限公司不接受投标截止时间后递交的纸质、电子、传真等所有形式的投标文件（谈判应答文件）。由于对网上招投标操作不熟悉或自身电脑、网络的原因导致不能在投标截止时间之前上传投标文件（谈判应答文件），深圳市东海国际招标有限公司不负任何责任。建议于开标前一个工作日完成投标文件（谈判应答文件）的制作与上传，如果上传有困难，请及时咨询。</w:t>
      </w:r>
    </w:p>
    <w:p w14:paraId="20E37CAE">
      <w:pPr>
        <w:rPr>
          <w:rFonts w:ascii="宋体"/>
          <w:szCs w:val="21"/>
        </w:rPr>
      </w:pPr>
      <w:r>
        <w:rPr>
          <w:rFonts w:ascii="宋体" w:hAnsi="宋体"/>
          <w:szCs w:val="21"/>
        </w:rPr>
        <w:t xml:space="preserve">    </w:t>
      </w:r>
      <w:r>
        <w:rPr>
          <w:rFonts w:hint="eastAsia" w:ascii="宋体" w:hAnsi="宋体"/>
          <w:szCs w:val="21"/>
        </w:rPr>
        <w:t>（</w:t>
      </w:r>
      <w:r>
        <w:rPr>
          <w:rFonts w:ascii="宋体" w:hAnsi="宋体"/>
          <w:szCs w:val="21"/>
        </w:rPr>
        <w:t>9</w:t>
      </w:r>
      <w:r>
        <w:rPr>
          <w:rFonts w:hint="eastAsia" w:ascii="宋体" w:hAnsi="宋体"/>
          <w:szCs w:val="21"/>
        </w:rPr>
        <w:t>）如果开标时出现网络故障、技术故障，影响了招投标活动，深圳市东海国际招标有限公司有权采取措施如延期、接受无法从网上上传的投标书等，以保障招投标活动的公开、公平和公正，投标供应商不得对此持有异议。</w:t>
      </w:r>
    </w:p>
    <w:p w14:paraId="586CA092">
      <w:pPr>
        <w:rPr>
          <w:rFonts w:ascii="宋体"/>
          <w:szCs w:val="21"/>
        </w:rPr>
      </w:pPr>
      <w:r>
        <w:rPr>
          <w:rFonts w:ascii="宋体" w:hAnsi="宋体"/>
          <w:szCs w:val="21"/>
        </w:rPr>
        <w:t xml:space="preserve">     </w:t>
      </w:r>
      <w:r>
        <w:rPr>
          <w:rFonts w:hint="eastAsia" w:ascii="宋体" w:hAnsi="宋体"/>
          <w:szCs w:val="21"/>
        </w:rPr>
        <w:t>以上九条，如有违悖，深圳市东海国际招标有限公司将不接受该投标文件（谈判应答文件）。</w:t>
      </w:r>
    </w:p>
    <w:p w14:paraId="64F637F5">
      <w:pPr>
        <w:ind w:firstLine="420" w:firstLineChars="200"/>
        <w:rPr>
          <w:rFonts w:ascii="宋体"/>
          <w:szCs w:val="21"/>
        </w:rPr>
      </w:pPr>
      <w:r>
        <w:rPr>
          <w:rFonts w:ascii="宋体" w:hAnsi="宋体"/>
          <w:szCs w:val="21"/>
        </w:rPr>
        <w:t xml:space="preserve">13.3 </w:t>
      </w:r>
      <w:r>
        <w:rPr>
          <w:rFonts w:hint="eastAsia" w:ascii="宋体" w:hAnsi="宋体"/>
          <w:szCs w:val="21"/>
        </w:rPr>
        <w:t>电报、电话、传真形式的投标（谈判应答）概不接受。</w:t>
      </w:r>
    </w:p>
    <w:p w14:paraId="19877D33">
      <w:pPr>
        <w:tabs>
          <w:tab w:val="left" w:pos="-1080"/>
        </w:tabs>
        <w:ind w:firstLine="420" w:firstLineChars="200"/>
        <w:rPr>
          <w:rFonts w:ascii="宋体"/>
          <w:szCs w:val="21"/>
        </w:rPr>
      </w:pPr>
      <w:r>
        <w:rPr>
          <w:rFonts w:ascii="宋体" w:hAnsi="宋体"/>
          <w:szCs w:val="21"/>
        </w:rPr>
        <w:t xml:space="preserve">13.4 </w:t>
      </w:r>
      <w:r>
        <w:rPr>
          <w:rFonts w:hint="eastAsia" w:ascii="宋体" w:hAnsi="宋体"/>
          <w:szCs w:val="21"/>
        </w:rPr>
        <w:t>经投标人电子秘钥加密的投标文件（谈判应答文件）不用盖章或签字</w:t>
      </w:r>
      <w:r>
        <w:rPr>
          <w:rFonts w:hint="eastAsia" w:ascii="宋体" w:hAnsi="宋体"/>
          <w:b/>
          <w:bCs/>
          <w:szCs w:val="21"/>
        </w:rPr>
        <w:t>（专用条款另有要求的除外）</w:t>
      </w:r>
      <w:r>
        <w:rPr>
          <w:rFonts w:hint="eastAsia" w:ascii="宋体" w:hAnsi="宋体"/>
          <w:szCs w:val="21"/>
        </w:rPr>
        <w:t>，资格证明文件提供扫描件。</w:t>
      </w:r>
    </w:p>
    <w:p w14:paraId="73AE8F40">
      <w:pPr>
        <w:pStyle w:val="3"/>
        <w:snapToGrid w:val="0"/>
        <w:rPr>
          <w:sz w:val="28"/>
          <w:szCs w:val="28"/>
        </w:rPr>
      </w:pPr>
      <w:r>
        <w:rPr>
          <w:rFonts w:hint="eastAsia"/>
          <w:sz w:val="28"/>
          <w:szCs w:val="28"/>
        </w:rPr>
        <w:t>四、递交谈判应答文件</w:t>
      </w:r>
    </w:p>
    <w:p w14:paraId="1F389A48">
      <w:pPr>
        <w:pStyle w:val="108"/>
        <w:numPr>
          <w:ilvl w:val="0"/>
          <w:numId w:val="9"/>
        </w:numPr>
        <w:spacing w:line="360" w:lineRule="auto"/>
        <w:ind w:firstLineChars="0"/>
        <w:rPr>
          <w:b/>
        </w:rPr>
      </w:pPr>
      <w:bookmarkStart w:id="52" w:name="_Toc78703961"/>
      <w:r>
        <w:rPr>
          <w:rFonts w:hint="eastAsia"/>
          <w:b/>
        </w:rPr>
        <w:t>谈判应答文件的密封</w:t>
      </w:r>
    </w:p>
    <w:p w14:paraId="2644F338">
      <w:pPr>
        <w:ind w:firstLine="420" w:firstLineChars="200"/>
        <w:rPr>
          <w:rFonts w:ascii="宋体"/>
          <w:szCs w:val="21"/>
        </w:rPr>
      </w:pPr>
      <w:r>
        <w:rPr>
          <w:rFonts w:ascii="宋体" w:hAnsi="宋体"/>
          <w:szCs w:val="21"/>
        </w:rPr>
        <w:t>14</w:t>
      </w:r>
      <w:r>
        <w:rPr>
          <w:rFonts w:ascii="宋体"/>
          <w:szCs w:val="21"/>
        </w:rPr>
        <w:t>.</w:t>
      </w:r>
      <w:r>
        <w:rPr>
          <w:rFonts w:ascii="宋体" w:hAnsi="宋体"/>
          <w:szCs w:val="21"/>
        </w:rPr>
        <w:t>1</w:t>
      </w:r>
      <w:r>
        <w:rPr>
          <w:rFonts w:hint="eastAsia" w:ascii="宋体" w:hAnsi="宋体"/>
        </w:rPr>
        <w:t>在</w:t>
      </w:r>
      <w:r>
        <w:rPr>
          <w:rFonts w:hint="eastAsia" w:ascii="宋体" w:hAnsi="宋体"/>
          <w:lang w:eastAsia="zh-CN"/>
        </w:rPr>
        <w:t>应答文件</w:t>
      </w:r>
      <w:r>
        <w:rPr>
          <w:rFonts w:hint="eastAsia" w:ascii="宋体" w:hAnsi="宋体"/>
        </w:rPr>
        <w:t>制作完成后，在</w:t>
      </w:r>
      <w:r>
        <w:rPr>
          <w:rFonts w:hint="eastAsia" w:ascii="宋体" w:hAnsi="宋体"/>
          <w:lang w:eastAsia="zh-CN"/>
        </w:rPr>
        <w:t>应答文件</w:t>
      </w:r>
      <w:r>
        <w:rPr>
          <w:rFonts w:hint="eastAsia" w:ascii="宋体" w:hAnsi="宋体"/>
        </w:rPr>
        <w:t>制作软件点击【生成标书】按钮进入【填写开标一览表界面】界面，在该界面填写完开标一览表信息后点击【确定】，进入</w:t>
      </w:r>
      <w:r>
        <w:rPr>
          <w:rFonts w:hint="eastAsia" w:ascii="宋体" w:hAnsi="宋体"/>
          <w:lang w:eastAsia="zh-CN"/>
        </w:rPr>
        <w:t>应答文件</w:t>
      </w:r>
      <w:r>
        <w:rPr>
          <w:rFonts w:hint="eastAsia" w:ascii="宋体" w:hAnsi="宋体"/>
        </w:rPr>
        <w:t>生成环节。</w:t>
      </w:r>
      <w:r>
        <w:rPr>
          <w:rFonts w:hint="eastAsia" w:ascii="宋体" w:hAnsi="宋体"/>
          <w:lang w:eastAsia="zh-CN"/>
        </w:rPr>
        <w:t>应答文件</w:t>
      </w:r>
      <w:r>
        <w:rPr>
          <w:rFonts w:hint="eastAsia" w:ascii="宋体" w:hAnsi="宋体"/>
        </w:rPr>
        <w:t>制作软件会在</w:t>
      </w:r>
      <w:r>
        <w:rPr>
          <w:rFonts w:hint="eastAsia" w:ascii="宋体" w:hAnsi="宋体"/>
          <w:lang w:eastAsia="zh-CN"/>
        </w:rPr>
        <w:t>应答文件</w:t>
      </w:r>
      <w:r>
        <w:rPr>
          <w:rFonts w:hint="eastAsia" w:ascii="宋体" w:hAnsi="宋体"/>
        </w:rPr>
        <w:t>生成过程中，提示用户输入密码，输入密码后对标文件自动进行加密，此加密程序确保</w:t>
      </w:r>
      <w:r>
        <w:rPr>
          <w:rFonts w:hint="eastAsia" w:ascii="宋体" w:hAnsi="宋体"/>
          <w:lang w:eastAsia="zh-CN"/>
        </w:rPr>
        <w:t>应答文件</w:t>
      </w:r>
      <w:r>
        <w:rPr>
          <w:rFonts w:hint="eastAsia" w:ascii="宋体" w:hAnsi="宋体"/>
        </w:rPr>
        <w:t>在到达开标时间后才能解密查看。在加密过程中，请按照软件提示进行操作。加密操作界面如下图所示：</w:t>
      </w:r>
    </w:p>
    <w:p w14:paraId="4F821BAA">
      <w:pPr>
        <w:spacing w:line="360" w:lineRule="auto"/>
        <w:rPr>
          <w:sz w:val="24"/>
        </w:rPr>
      </w:pPr>
      <w:r>
        <w:drawing>
          <wp:anchor distT="0" distB="0" distL="114300" distR="114300" simplePos="0" relativeHeight="251659264" behindDoc="0" locked="0" layoutInCell="1" allowOverlap="1">
            <wp:simplePos x="0" y="0"/>
            <wp:positionH relativeFrom="column">
              <wp:align>center</wp:align>
            </wp:positionH>
            <wp:positionV relativeFrom="paragraph">
              <wp:posOffset>71755</wp:posOffset>
            </wp:positionV>
            <wp:extent cx="4717415" cy="2432050"/>
            <wp:effectExtent l="0" t="0" r="6985" b="6350"/>
            <wp:wrapTopAndBottom/>
            <wp:docPr id="2" name="图片 3" descr="图形用户界面, 应用程序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图形用户界面, 应用程序描述已自动生成"/>
                    <pic:cNvPicPr>
                      <a:picLocks noChangeAspect="1"/>
                    </pic:cNvPicPr>
                  </pic:nvPicPr>
                  <pic:blipFill>
                    <a:blip r:embed="rId8"/>
                    <a:stretch>
                      <a:fillRect/>
                    </a:stretch>
                  </pic:blipFill>
                  <pic:spPr>
                    <a:xfrm>
                      <a:off x="0" y="0"/>
                      <a:ext cx="4717415" cy="2432050"/>
                    </a:xfrm>
                    <a:prstGeom prst="rect">
                      <a:avLst/>
                    </a:prstGeom>
                    <a:noFill/>
                    <a:ln>
                      <a:noFill/>
                    </a:ln>
                  </pic:spPr>
                </pic:pic>
              </a:graphicData>
            </a:graphic>
          </wp:anchor>
        </w:drawing>
      </w:r>
    </w:p>
    <w:p w14:paraId="177CE690">
      <w:pPr>
        <w:ind w:firstLine="420" w:firstLineChars="200"/>
        <w:rPr>
          <w:rFonts w:ascii="宋体"/>
        </w:rPr>
      </w:pPr>
      <w:r>
        <w:rPr>
          <w:rFonts w:hint="eastAsia" w:ascii="宋体" w:hAnsi="宋体"/>
        </w:rPr>
        <w:t>在</w:t>
      </w:r>
      <w:r>
        <w:rPr>
          <w:rFonts w:hint="eastAsia" w:ascii="宋体" w:hAnsi="宋体"/>
          <w:lang w:eastAsia="zh-CN"/>
        </w:rPr>
        <w:t>应答文件</w:t>
      </w:r>
      <w:r>
        <w:rPr>
          <w:rFonts w:hint="eastAsia" w:ascii="宋体" w:hAnsi="宋体"/>
        </w:rPr>
        <w:t>制作软件点击【生成标书】按钮进入【填写开标一览表界面】界面，在该界面填写完开标一览表信息后点击【确定】，进入</w:t>
      </w:r>
      <w:r>
        <w:rPr>
          <w:rFonts w:hint="eastAsia" w:ascii="宋体" w:hAnsi="宋体"/>
          <w:lang w:eastAsia="zh-CN"/>
        </w:rPr>
        <w:t>应答文件</w:t>
      </w:r>
      <w:r>
        <w:rPr>
          <w:rFonts w:hint="eastAsia" w:ascii="宋体" w:hAnsi="宋体"/>
        </w:rPr>
        <w:t>生成环节。</w:t>
      </w:r>
      <w:r>
        <w:drawing>
          <wp:anchor distT="0" distB="0" distL="114300" distR="114300" simplePos="0" relativeHeight="251660288" behindDoc="0" locked="0" layoutInCell="1" allowOverlap="1">
            <wp:simplePos x="0" y="0"/>
            <wp:positionH relativeFrom="column">
              <wp:align>center</wp:align>
            </wp:positionH>
            <wp:positionV relativeFrom="paragraph">
              <wp:posOffset>464820</wp:posOffset>
            </wp:positionV>
            <wp:extent cx="5040630" cy="2437765"/>
            <wp:effectExtent l="0" t="0" r="7620" b="635"/>
            <wp:wrapTopAndBottom/>
            <wp:docPr id="3" name="图片 8" descr="图形用户界面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8" descr="图形用户界面描述已自动生成"/>
                    <pic:cNvPicPr>
                      <a:picLocks noChangeAspect="1"/>
                    </pic:cNvPicPr>
                  </pic:nvPicPr>
                  <pic:blipFill>
                    <a:blip r:embed="rId9"/>
                    <a:stretch>
                      <a:fillRect/>
                    </a:stretch>
                  </pic:blipFill>
                  <pic:spPr>
                    <a:xfrm>
                      <a:off x="0" y="0"/>
                      <a:ext cx="5040630" cy="2437765"/>
                    </a:xfrm>
                    <a:prstGeom prst="rect">
                      <a:avLst/>
                    </a:prstGeom>
                    <a:noFill/>
                    <a:ln>
                      <a:noFill/>
                    </a:ln>
                  </pic:spPr>
                </pic:pic>
              </a:graphicData>
            </a:graphic>
          </wp:anchor>
        </w:drawing>
      </w:r>
    </w:p>
    <w:p w14:paraId="4AFC0B10">
      <w:pPr>
        <w:ind w:firstLine="420" w:firstLineChars="200"/>
        <w:rPr>
          <w:rFonts w:ascii="宋体"/>
        </w:rPr>
      </w:pPr>
      <w:r>
        <w:rPr>
          <w:rFonts w:hint="eastAsia" w:ascii="宋体" w:hAnsi="宋体"/>
          <w:lang w:eastAsia="zh-CN"/>
        </w:rPr>
        <w:t>应答文件</w:t>
      </w:r>
      <w:r>
        <w:rPr>
          <w:rFonts w:hint="eastAsia" w:ascii="宋体" w:hAnsi="宋体"/>
        </w:rPr>
        <w:t>制作软件会在</w:t>
      </w:r>
      <w:r>
        <w:rPr>
          <w:rFonts w:hint="eastAsia" w:ascii="宋体" w:hAnsi="宋体"/>
          <w:lang w:eastAsia="zh-CN"/>
        </w:rPr>
        <w:t>应答文件</w:t>
      </w:r>
      <w:r>
        <w:rPr>
          <w:rFonts w:hint="eastAsia" w:ascii="宋体" w:hAnsi="宋体"/>
        </w:rPr>
        <w:t>生成过程中，提示用户输入密码，输入密码后对标文件自动进行加密。</w:t>
      </w:r>
    </w:p>
    <w:p w14:paraId="2609E008">
      <w:pPr>
        <w:rPr>
          <w:rFonts w:ascii="宋体"/>
          <w:b/>
        </w:rPr>
      </w:pPr>
      <w:r>
        <w:rPr>
          <w:rFonts w:ascii="宋体" w:hAnsi="宋体"/>
        </w:rPr>
        <w:t>14.2</w:t>
      </w:r>
      <w:r>
        <w:rPr>
          <w:rFonts w:hint="eastAsia" w:ascii="宋体" w:hAnsi="宋体"/>
          <w:b/>
        </w:rPr>
        <w:t>若采购项目出现延期情况：</w:t>
      </w:r>
    </w:p>
    <w:p w14:paraId="18CC77B8">
      <w:pPr>
        <w:ind w:firstLine="422" w:firstLineChars="200"/>
        <w:rPr>
          <w:rFonts w:ascii="宋体"/>
          <w:b/>
        </w:rPr>
      </w:pPr>
      <w:r>
        <w:rPr>
          <w:rFonts w:hint="eastAsia" w:ascii="宋体" w:hAnsi="宋体"/>
          <w:b/>
        </w:rPr>
        <w:t>如果供下载的招标文件（后缀名为</w:t>
      </w:r>
      <w:r>
        <w:rPr>
          <w:rFonts w:ascii="宋体" w:hAnsi="宋体"/>
          <w:b/>
        </w:rPr>
        <w:t>.szczf</w:t>
      </w:r>
      <w:r>
        <w:rPr>
          <w:rFonts w:hint="eastAsia" w:ascii="宋体" w:hAnsi="宋体"/>
          <w:b/>
        </w:rPr>
        <w:t>）有更新，投标人必须重新下载招标文件、重新制作</w:t>
      </w:r>
      <w:r>
        <w:rPr>
          <w:rFonts w:hint="eastAsia" w:ascii="宋体" w:hAnsi="宋体"/>
          <w:b/>
          <w:lang w:eastAsia="zh-CN"/>
        </w:rPr>
        <w:t>应答文件</w:t>
      </w:r>
      <w:r>
        <w:rPr>
          <w:rFonts w:hint="eastAsia" w:ascii="宋体" w:hAnsi="宋体"/>
          <w:b/>
        </w:rPr>
        <w:t>、重新加密</w:t>
      </w:r>
      <w:r>
        <w:rPr>
          <w:rFonts w:hint="eastAsia" w:ascii="宋体" w:hAnsi="宋体"/>
          <w:b/>
          <w:lang w:eastAsia="zh-CN"/>
        </w:rPr>
        <w:t>应答文件</w:t>
      </w:r>
      <w:r>
        <w:rPr>
          <w:rFonts w:hint="eastAsia" w:ascii="宋体" w:hAnsi="宋体"/>
          <w:b/>
        </w:rPr>
        <w:t>、重新上传</w:t>
      </w:r>
      <w:r>
        <w:rPr>
          <w:rFonts w:hint="eastAsia" w:ascii="宋体" w:hAnsi="宋体"/>
          <w:b/>
          <w:lang w:eastAsia="zh-CN"/>
        </w:rPr>
        <w:t>应答文件</w:t>
      </w:r>
      <w:r>
        <w:rPr>
          <w:rFonts w:hint="eastAsia" w:ascii="宋体" w:hAnsi="宋体"/>
          <w:b/>
        </w:rPr>
        <w:t>；如果供下载的招标文件（后缀名为</w:t>
      </w:r>
      <w:r>
        <w:rPr>
          <w:rFonts w:ascii="宋体" w:hAnsi="宋体"/>
          <w:b/>
        </w:rPr>
        <w:t>.szczf</w:t>
      </w:r>
      <w:r>
        <w:rPr>
          <w:rFonts w:hint="eastAsia" w:ascii="宋体" w:hAnsi="宋体"/>
          <w:b/>
        </w:rPr>
        <w:t>）没有更新，投标人必须重新加密</w:t>
      </w:r>
      <w:r>
        <w:rPr>
          <w:rFonts w:hint="eastAsia" w:ascii="宋体" w:hAnsi="宋体"/>
          <w:b/>
          <w:lang w:eastAsia="zh-CN"/>
        </w:rPr>
        <w:t>应答文件</w:t>
      </w:r>
      <w:r>
        <w:rPr>
          <w:rFonts w:hint="eastAsia" w:ascii="宋体" w:hAnsi="宋体"/>
          <w:b/>
        </w:rPr>
        <w:t>、重新上传</w:t>
      </w:r>
      <w:r>
        <w:rPr>
          <w:rFonts w:hint="eastAsia" w:ascii="宋体" w:hAnsi="宋体"/>
          <w:b/>
          <w:lang w:eastAsia="zh-CN"/>
        </w:rPr>
        <w:t>应答文件</w:t>
      </w:r>
      <w:r>
        <w:rPr>
          <w:rFonts w:hint="eastAsia" w:ascii="宋体" w:hAnsi="宋体"/>
          <w:b/>
        </w:rPr>
        <w:t>（是否重新制作</w:t>
      </w:r>
      <w:r>
        <w:rPr>
          <w:rFonts w:hint="eastAsia" w:ascii="宋体" w:hAnsi="宋体"/>
          <w:b/>
          <w:lang w:eastAsia="zh-CN"/>
        </w:rPr>
        <w:t>应答文件</w:t>
      </w:r>
      <w:r>
        <w:rPr>
          <w:rFonts w:hint="eastAsia" w:ascii="宋体" w:hAnsi="宋体"/>
          <w:b/>
        </w:rPr>
        <w:t>根据项目实际情况定）。否则，投标人自行承担</w:t>
      </w:r>
      <w:r>
        <w:rPr>
          <w:rFonts w:hint="eastAsia" w:ascii="宋体" w:hAnsi="宋体"/>
          <w:b/>
          <w:lang w:eastAsia="zh-CN"/>
        </w:rPr>
        <w:t>应答文件</w:t>
      </w:r>
      <w:r>
        <w:rPr>
          <w:rFonts w:hint="eastAsia" w:ascii="宋体" w:hAnsi="宋体"/>
          <w:b/>
        </w:rPr>
        <w:t>无法解密导致投标无效的后果。</w:t>
      </w:r>
    </w:p>
    <w:p w14:paraId="42F25371">
      <w:pPr>
        <w:spacing w:line="360" w:lineRule="auto"/>
        <w:rPr>
          <w:b/>
        </w:rPr>
      </w:pPr>
      <w:r>
        <w:rPr>
          <w:b/>
        </w:rPr>
        <w:t>15</w:t>
      </w:r>
      <w:r>
        <w:rPr>
          <w:rFonts w:hint="eastAsia"/>
          <w:b/>
        </w:rPr>
        <w:t>、谈判应答文件的递交与截止</w:t>
      </w:r>
      <w:bookmarkEnd w:id="52"/>
      <w:r>
        <w:rPr>
          <w:rFonts w:hint="eastAsia"/>
          <w:b/>
        </w:rPr>
        <w:t>时间</w:t>
      </w:r>
    </w:p>
    <w:p w14:paraId="35303C19">
      <w:pPr>
        <w:tabs>
          <w:tab w:val="left" w:pos="-1080"/>
        </w:tabs>
        <w:ind w:firstLine="420" w:firstLineChars="200"/>
        <w:rPr>
          <w:rFonts w:ascii="宋体"/>
        </w:rPr>
      </w:pPr>
      <w:r>
        <w:rPr>
          <w:rFonts w:ascii="宋体" w:hAnsi="宋体"/>
        </w:rPr>
        <w:t>15.1</w:t>
      </w:r>
      <w:r>
        <w:rPr>
          <w:rFonts w:hint="eastAsia" w:ascii="宋体" w:hAnsi="宋体"/>
        </w:rPr>
        <w:t>实行网上投标，投标人必须在招标文件规定的投标截止时间前用电子密钥登录“深圳政府采购智慧平台用户网上办事子系统（</w:t>
      </w:r>
      <w:r>
        <w:rPr>
          <w:rFonts w:ascii="宋体" w:hAnsi="宋体"/>
        </w:rPr>
        <w:t>http://zfcg.szggzy.com/TPBidder/memberLogin</w:t>
      </w:r>
      <w:r>
        <w:rPr>
          <w:rFonts w:hint="eastAsia" w:ascii="宋体" w:hAnsi="宋体"/>
        </w:rPr>
        <w:t>）”，用“【我的项目】→【项目流程】→【递交投标</w:t>
      </w:r>
      <w:r>
        <w:rPr>
          <w:rFonts w:ascii="宋体" w:hAnsi="宋体"/>
        </w:rPr>
        <w:t>(</w:t>
      </w:r>
      <w:r>
        <w:rPr>
          <w:rFonts w:hint="eastAsia" w:ascii="宋体" w:hAnsi="宋体"/>
        </w:rPr>
        <w:t>应答</w:t>
      </w:r>
      <w:r>
        <w:rPr>
          <w:rFonts w:ascii="宋体" w:hAnsi="宋体"/>
        </w:rPr>
        <w:t>)</w:t>
      </w:r>
      <w:r>
        <w:rPr>
          <w:rFonts w:hint="eastAsia" w:ascii="宋体" w:hAnsi="宋体"/>
        </w:rPr>
        <w:t>文件】”功能点上传</w:t>
      </w:r>
      <w:r>
        <w:rPr>
          <w:rFonts w:hint="eastAsia" w:ascii="宋体" w:hAnsi="宋体"/>
          <w:lang w:eastAsia="zh-CN"/>
        </w:rPr>
        <w:t>应答文件</w:t>
      </w:r>
      <w:r>
        <w:rPr>
          <w:rFonts w:hint="eastAsia" w:ascii="宋体" w:hAnsi="宋体"/>
        </w:rPr>
        <w:t>。如果确有困难，多次上传均告失败，请在</w:t>
      </w:r>
      <w:r>
        <w:rPr>
          <w:rFonts w:hint="eastAsia" w:ascii="宋体" w:hAnsi="宋体"/>
          <w:szCs w:val="21"/>
        </w:rPr>
        <w:t>谈判应答文件递交截止时间</w:t>
      </w:r>
      <w:r>
        <w:rPr>
          <w:rFonts w:hint="eastAsia" w:ascii="宋体" w:hAnsi="宋体"/>
        </w:rPr>
        <w:t>之前携带加密后的电子</w:t>
      </w:r>
      <w:r>
        <w:rPr>
          <w:rFonts w:hint="eastAsia" w:ascii="宋体" w:hAnsi="宋体"/>
          <w:lang w:eastAsia="zh-CN"/>
        </w:rPr>
        <w:t>应答文件</w:t>
      </w:r>
      <w:r>
        <w:rPr>
          <w:rFonts w:hint="eastAsia" w:ascii="宋体" w:hAnsi="宋体"/>
        </w:rPr>
        <w:t>送达至政府集中采购机构</w:t>
      </w:r>
      <w:r>
        <w:rPr>
          <w:rFonts w:ascii="宋体" w:hAnsi="宋体"/>
        </w:rPr>
        <w:t>501</w:t>
      </w:r>
      <w:r>
        <w:rPr>
          <w:rFonts w:hint="eastAsia" w:ascii="宋体" w:hAnsi="宋体"/>
        </w:rPr>
        <w:t>政府采购技术支持服务室。</w:t>
      </w:r>
    </w:p>
    <w:p w14:paraId="52F50A1A">
      <w:pPr>
        <w:tabs>
          <w:tab w:val="left" w:pos="-1080"/>
        </w:tabs>
        <w:ind w:firstLine="420" w:firstLineChars="200"/>
        <w:rPr>
          <w:rFonts w:ascii="宋体"/>
        </w:rPr>
      </w:pPr>
      <w:r>
        <w:rPr>
          <w:rFonts w:ascii="宋体" w:hAnsi="宋体"/>
        </w:rPr>
        <w:t>15</w:t>
      </w:r>
      <w:r>
        <w:rPr>
          <w:rFonts w:ascii="宋体"/>
        </w:rPr>
        <w:t>.</w:t>
      </w:r>
      <w:r>
        <w:rPr>
          <w:rFonts w:ascii="宋体" w:hAnsi="宋体"/>
        </w:rPr>
        <w:t>2</w:t>
      </w:r>
      <w:r>
        <w:rPr>
          <w:rFonts w:hint="eastAsia" w:ascii="宋体" w:hAnsi="宋体"/>
        </w:rPr>
        <w:t>超过递交截止时间的项目将不被允许上传谈判应答文件。</w:t>
      </w:r>
    </w:p>
    <w:p w14:paraId="1338C7BE">
      <w:pPr>
        <w:tabs>
          <w:tab w:val="left" w:pos="-1080"/>
        </w:tabs>
        <w:ind w:firstLine="420" w:firstLineChars="200"/>
        <w:rPr>
          <w:rFonts w:ascii="宋体"/>
        </w:rPr>
      </w:pPr>
      <w:r>
        <w:rPr>
          <w:rFonts w:ascii="宋体" w:hAnsi="宋体"/>
        </w:rPr>
        <w:t>15.3</w:t>
      </w:r>
      <w:r>
        <w:rPr>
          <w:rFonts w:hint="eastAsia" w:ascii="宋体" w:hAnsi="宋体"/>
        </w:rPr>
        <w:t>深圳市东海国际招标有限公司可以按本须知第</w:t>
      </w:r>
      <w:r>
        <w:rPr>
          <w:rFonts w:ascii="宋体" w:hAnsi="宋体"/>
        </w:rPr>
        <w:t>6</w:t>
      </w:r>
      <w:r>
        <w:rPr>
          <w:rFonts w:hint="eastAsia" w:ascii="宋体" w:hAnsi="宋体"/>
        </w:rPr>
        <w:t>条规定，通过修改采购文件自行决定酌情延长谈判应答文件递交截止时间。在此情况下，深圳市东海国际招标有限公司、采购单位和供应商受谈判应答文件递交截止时间制约的所有权利和义务均应延长至新的截止时间。在项目延期后，出于</w:t>
      </w:r>
      <w:r>
        <w:rPr>
          <w:rFonts w:hint="eastAsia" w:ascii="宋体" w:hAnsi="宋体"/>
          <w:lang w:eastAsia="zh-CN"/>
        </w:rPr>
        <w:t>应答文件</w:t>
      </w:r>
      <w:r>
        <w:rPr>
          <w:rFonts w:hint="eastAsia" w:ascii="宋体" w:hAnsi="宋体"/>
        </w:rPr>
        <w:t>的保密考虑，建议供应商重新加密</w:t>
      </w:r>
      <w:r>
        <w:rPr>
          <w:rFonts w:hint="eastAsia" w:ascii="宋体" w:hAnsi="宋体"/>
          <w:lang w:eastAsia="zh-CN"/>
        </w:rPr>
        <w:t>应答文件</w:t>
      </w:r>
      <w:r>
        <w:rPr>
          <w:rFonts w:hint="eastAsia" w:ascii="宋体" w:hAnsi="宋体"/>
        </w:rPr>
        <w:t>，重新上传。</w:t>
      </w:r>
    </w:p>
    <w:p w14:paraId="31A95454">
      <w:pPr>
        <w:tabs>
          <w:tab w:val="left" w:pos="-1080"/>
        </w:tabs>
        <w:ind w:firstLine="420" w:firstLineChars="200"/>
        <w:rPr>
          <w:rFonts w:ascii="宋体"/>
        </w:rPr>
      </w:pPr>
      <w:r>
        <w:rPr>
          <w:rFonts w:ascii="宋体" w:hAnsi="宋体"/>
        </w:rPr>
        <w:t>15</w:t>
      </w:r>
      <w:r>
        <w:rPr>
          <w:rFonts w:ascii="宋体"/>
        </w:rPr>
        <w:t>.</w:t>
      </w:r>
      <w:r>
        <w:rPr>
          <w:rFonts w:ascii="宋体" w:hAnsi="宋体"/>
        </w:rPr>
        <w:t>4</w:t>
      </w:r>
      <w:r>
        <w:rPr>
          <w:rFonts w:hint="eastAsia" w:ascii="宋体" w:hAnsi="宋体"/>
        </w:rPr>
        <w:t>供应商在提交谈判应答文件后，在谈判应答文件递交截止时间前可对其谈判应答文件进行修改并重新上传谈判应答文件，招标代理机构将仅接受供应商最近上传的谈判应答文件。供应商也可在网上进行撤销投标的操作。</w:t>
      </w:r>
    </w:p>
    <w:p w14:paraId="7F717227">
      <w:pPr>
        <w:tabs>
          <w:tab w:val="left" w:pos="-1080"/>
        </w:tabs>
        <w:ind w:firstLine="420" w:firstLineChars="200"/>
        <w:rPr>
          <w:rFonts w:ascii="宋体"/>
        </w:rPr>
      </w:pPr>
      <w:r>
        <w:rPr>
          <w:rFonts w:ascii="宋体" w:hAnsi="宋体"/>
        </w:rPr>
        <w:t>15.5</w:t>
      </w:r>
      <w:r>
        <w:rPr>
          <w:rFonts w:hint="eastAsia" w:ascii="宋体" w:hAnsi="宋体"/>
        </w:rPr>
        <w:t>谈判应答文件递交截止时间以后不得修改、上传谈判应答文件。</w:t>
      </w:r>
    </w:p>
    <w:p w14:paraId="576C7AE1">
      <w:pPr>
        <w:tabs>
          <w:tab w:val="left" w:pos="-1080"/>
        </w:tabs>
        <w:ind w:firstLine="420" w:firstLineChars="200"/>
        <w:rPr>
          <w:rFonts w:ascii="宋体"/>
          <w:color w:val="FF0000"/>
        </w:rPr>
      </w:pPr>
      <w:r>
        <w:rPr>
          <w:rFonts w:ascii="宋体" w:hAnsi="宋体"/>
        </w:rPr>
        <w:t>15.6</w:t>
      </w:r>
      <w:r>
        <w:rPr>
          <w:rFonts w:hint="eastAsia" w:ascii="宋体" w:hAnsi="宋体"/>
        </w:rPr>
        <w:t>供应商不得在开标时间起至谈判应答文件有效期期满前撤销谈判应答文件。</w:t>
      </w:r>
    </w:p>
    <w:p w14:paraId="7A651B95">
      <w:pPr>
        <w:tabs>
          <w:tab w:val="left" w:pos="-1080"/>
        </w:tabs>
        <w:ind w:firstLine="420" w:firstLineChars="200"/>
        <w:rPr>
          <w:rFonts w:ascii="宋体"/>
        </w:rPr>
      </w:pPr>
      <w:r>
        <w:rPr>
          <w:rFonts w:ascii="宋体" w:hAnsi="宋体"/>
        </w:rPr>
        <w:t>15.7</w:t>
      </w:r>
      <w:r>
        <w:rPr>
          <w:rFonts w:hint="eastAsia" w:ascii="宋体" w:hAnsi="宋体"/>
        </w:rPr>
        <w:t>谈判应答文件不退还。</w:t>
      </w:r>
    </w:p>
    <w:p w14:paraId="3F852597">
      <w:pPr>
        <w:pStyle w:val="3"/>
        <w:snapToGrid w:val="0"/>
        <w:rPr>
          <w:sz w:val="28"/>
          <w:szCs w:val="28"/>
        </w:rPr>
      </w:pPr>
      <w:r>
        <w:rPr>
          <w:rFonts w:hint="eastAsia"/>
          <w:sz w:val="28"/>
          <w:szCs w:val="28"/>
        </w:rPr>
        <w:t>五、谈判</w:t>
      </w:r>
    </w:p>
    <w:p w14:paraId="6A2CB3BD">
      <w:pPr>
        <w:spacing w:line="360" w:lineRule="auto"/>
        <w:rPr>
          <w:b/>
        </w:rPr>
      </w:pPr>
      <w:bookmarkStart w:id="53" w:name="_Toc78703964"/>
      <w:bookmarkStart w:id="54" w:name="_Toc78703963"/>
      <w:r>
        <w:rPr>
          <w:b/>
        </w:rPr>
        <w:t>16</w:t>
      </w:r>
      <w:r>
        <w:rPr>
          <w:rFonts w:hint="eastAsia"/>
          <w:b/>
        </w:rPr>
        <w:t>、谈判</w:t>
      </w:r>
      <w:bookmarkEnd w:id="53"/>
      <w:r>
        <w:rPr>
          <w:rFonts w:hint="eastAsia"/>
          <w:b/>
        </w:rPr>
        <w:t>要求</w:t>
      </w:r>
    </w:p>
    <w:p w14:paraId="02887DC5">
      <w:pPr>
        <w:tabs>
          <w:tab w:val="left" w:pos="-1080"/>
        </w:tabs>
        <w:ind w:firstLine="420" w:firstLineChars="200"/>
        <w:jc w:val="left"/>
        <w:rPr>
          <w:rFonts w:ascii="宋体"/>
        </w:rPr>
      </w:pPr>
      <w:r>
        <w:rPr>
          <w:rFonts w:ascii="宋体" w:hAnsi="宋体"/>
        </w:rPr>
        <w:t>16.1</w:t>
      </w:r>
      <w:r>
        <w:rPr>
          <w:rFonts w:hint="eastAsia" w:ascii="宋体" w:hAnsi="宋体"/>
        </w:rPr>
        <w:t>投标人须在开标当日的开标时间至解密截止时间内进行解密，逾期未解密的作无效处理。解密方法：登录“深圳政府采购智慧平台用户网上办事子系统（</w:t>
      </w:r>
      <w:r>
        <w:rPr>
          <w:rFonts w:ascii="宋体" w:hAnsi="宋体"/>
        </w:rPr>
        <w:t>http://zfcg.szggzy.com/TPBidder/memberLogin</w:t>
      </w:r>
      <w:r>
        <w:rPr>
          <w:rFonts w:hint="eastAsia" w:ascii="宋体" w:hAnsi="宋体"/>
        </w:rPr>
        <w:t>）”，使用本单位制作电子</w:t>
      </w:r>
      <w:r>
        <w:rPr>
          <w:rFonts w:hint="eastAsia" w:ascii="宋体" w:hAnsi="宋体"/>
          <w:lang w:eastAsia="zh-CN"/>
        </w:rPr>
        <w:t>应答文件</w:t>
      </w:r>
      <w:r>
        <w:rPr>
          <w:rFonts w:hint="eastAsia" w:ascii="宋体" w:hAnsi="宋体"/>
        </w:rPr>
        <w:t>同一个电子密钥，在“【我的项目】→【项目流程】→【开标及解密】”进行在线解密、查询开标情况。</w:t>
      </w:r>
    </w:p>
    <w:p w14:paraId="78D3845D">
      <w:pPr>
        <w:tabs>
          <w:tab w:val="left" w:pos="-1080"/>
        </w:tabs>
        <w:ind w:firstLine="420" w:firstLineChars="200"/>
        <w:rPr>
          <w:rFonts w:ascii="宋体"/>
        </w:rPr>
      </w:pPr>
      <w:r>
        <w:rPr>
          <w:rFonts w:ascii="宋体" w:hAnsi="宋体"/>
        </w:rPr>
        <w:t>16.2</w:t>
      </w:r>
      <w:r>
        <w:rPr>
          <w:rFonts w:hint="eastAsia" w:ascii="宋体" w:hAnsi="宋体"/>
        </w:rPr>
        <w:t>本项目谈判小组将于递交谈判应答文件截止时间到后一定时间内即开始进行谈判；</w:t>
      </w:r>
    </w:p>
    <w:p w14:paraId="5BFFF878">
      <w:pPr>
        <w:ind w:firstLine="411" w:firstLineChars="196"/>
        <w:rPr>
          <w:rFonts w:ascii="宋体"/>
        </w:rPr>
      </w:pPr>
      <w:r>
        <w:rPr>
          <w:rFonts w:ascii="宋体" w:hAnsi="宋体"/>
        </w:rPr>
        <w:t>16.3</w:t>
      </w:r>
      <w:r>
        <w:rPr>
          <w:rFonts w:hint="eastAsia" w:ascii="宋体" w:hAnsi="宋体"/>
        </w:rPr>
        <w:t>谈判小组为</w:t>
      </w:r>
      <w:r>
        <w:rPr>
          <w:rFonts w:ascii="宋体" w:hAnsi="宋体"/>
        </w:rPr>
        <w:t>3</w:t>
      </w:r>
      <w:r>
        <w:rPr>
          <w:rFonts w:hint="eastAsia" w:ascii="宋体" w:hAnsi="宋体"/>
        </w:rPr>
        <w:t>人以上（含</w:t>
      </w:r>
      <w:r>
        <w:rPr>
          <w:rFonts w:ascii="宋体" w:hAnsi="宋体"/>
        </w:rPr>
        <w:t>3</w:t>
      </w:r>
      <w:r>
        <w:rPr>
          <w:rFonts w:hint="eastAsia" w:ascii="宋体" w:hAnsi="宋体"/>
        </w:rPr>
        <w:t>人）的单数；采购人代表须持本单位签发的《评标授权书》参加谈判。</w:t>
      </w:r>
    </w:p>
    <w:p w14:paraId="38B56887">
      <w:pPr>
        <w:spacing w:line="360" w:lineRule="auto"/>
        <w:rPr>
          <w:b/>
        </w:rPr>
      </w:pPr>
      <w:r>
        <w:rPr>
          <w:b/>
        </w:rPr>
        <w:t>17</w:t>
      </w:r>
      <w:r>
        <w:rPr>
          <w:rFonts w:hint="eastAsia"/>
          <w:b/>
        </w:rPr>
        <w:t>、谈判应答文件的审查</w:t>
      </w:r>
      <w:bookmarkEnd w:id="54"/>
    </w:p>
    <w:p w14:paraId="64B8F3CE">
      <w:pPr>
        <w:tabs>
          <w:tab w:val="left" w:pos="-1080"/>
        </w:tabs>
        <w:ind w:firstLine="420" w:firstLineChars="200"/>
        <w:rPr>
          <w:rFonts w:ascii="宋体"/>
          <w:b/>
          <w:bCs/>
        </w:rPr>
      </w:pPr>
      <w:r>
        <w:rPr>
          <w:rFonts w:ascii="宋体" w:hAnsi="宋体"/>
        </w:rPr>
        <w:t xml:space="preserve">17.1 </w:t>
      </w:r>
      <w:r>
        <w:rPr>
          <w:rFonts w:hint="eastAsia" w:ascii="宋体" w:hAnsi="宋体"/>
        </w:rPr>
        <w:t>谈判前，谈判小组将对谈判应答文件进行审查，</w:t>
      </w:r>
      <w:r>
        <w:rPr>
          <w:rFonts w:hint="eastAsia" w:ascii="宋体" w:hAnsi="宋体"/>
          <w:b/>
          <w:bCs/>
        </w:rPr>
        <w:t>当谈判应答文件出现下列情况之一的将视为无效，按应答无效处理，不得进入谈判：</w:t>
      </w:r>
    </w:p>
    <w:p w14:paraId="646F9943">
      <w:pPr>
        <w:tabs>
          <w:tab w:val="left" w:pos="-1080"/>
        </w:tabs>
        <w:ind w:firstLine="422" w:firstLineChars="200"/>
        <w:rPr>
          <w:rFonts w:ascii="宋体"/>
          <w:b/>
        </w:rPr>
      </w:pPr>
      <w:r>
        <w:rPr>
          <w:rFonts w:hint="eastAsia" w:ascii="宋体" w:hAnsi="宋体"/>
          <w:b/>
        </w:rPr>
        <w:t>具体内容见《资格性审查表》。</w:t>
      </w:r>
    </w:p>
    <w:p w14:paraId="1FFF8B4B">
      <w:pPr>
        <w:spacing w:line="360" w:lineRule="auto"/>
        <w:rPr>
          <w:b/>
        </w:rPr>
      </w:pPr>
      <w:bookmarkStart w:id="55" w:name="_Toc78703965"/>
      <w:r>
        <w:rPr>
          <w:b/>
        </w:rPr>
        <w:t>18</w:t>
      </w:r>
      <w:r>
        <w:rPr>
          <w:rFonts w:hint="eastAsia"/>
          <w:b/>
        </w:rPr>
        <w:t>、谈判应答文件的澄清或修改</w:t>
      </w:r>
      <w:bookmarkEnd w:id="55"/>
    </w:p>
    <w:p w14:paraId="37D27066">
      <w:pPr>
        <w:tabs>
          <w:tab w:val="left" w:pos="-1080"/>
        </w:tabs>
        <w:ind w:firstLine="420" w:firstLineChars="200"/>
        <w:rPr>
          <w:rFonts w:ascii="宋体"/>
        </w:rPr>
      </w:pPr>
      <w:r>
        <w:rPr>
          <w:rFonts w:ascii="宋体" w:hAnsi="宋体"/>
        </w:rPr>
        <w:t>18.1</w:t>
      </w:r>
      <w:r>
        <w:rPr>
          <w:rFonts w:hint="eastAsia" w:ascii="宋体" w:hAnsi="宋体"/>
        </w:rPr>
        <w:t>谈判小组可以要求供应商对谈判应答文件含义不明确的内容作必要的澄清或者说明，供应商应进行澄清、说明。</w:t>
      </w:r>
    </w:p>
    <w:p w14:paraId="2D452317">
      <w:pPr>
        <w:tabs>
          <w:tab w:val="left" w:pos="-1080"/>
        </w:tabs>
        <w:ind w:firstLine="420" w:firstLineChars="200"/>
        <w:rPr>
          <w:rFonts w:ascii="宋体"/>
        </w:rPr>
      </w:pPr>
      <w:r>
        <w:rPr>
          <w:rFonts w:ascii="宋体" w:hAnsi="宋体"/>
        </w:rPr>
        <w:t xml:space="preserve">18.2 </w:t>
      </w:r>
      <w:r>
        <w:rPr>
          <w:rFonts w:hint="eastAsia" w:ascii="宋体" w:hAnsi="宋体"/>
        </w:rPr>
        <w:t>允许供应商在谈判结束之前根据谈判小组提出的内容进行澄清、修改或完善，或对方案进行相应的调整。</w:t>
      </w:r>
    </w:p>
    <w:p w14:paraId="2397B93E">
      <w:pPr>
        <w:spacing w:line="360" w:lineRule="auto"/>
        <w:rPr>
          <w:b/>
        </w:rPr>
      </w:pPr>
      <w:bookmarkStart w:id="56" w:name="_Toc78703966"/>
      <w:r>
        <w:rPr>
          <w:b/>
        </w:rPr>
        <w:t>19</w:t>
      </w:r>
      <w:r>
        <w:rPr>
          <w:rFonts w:hint="eastAsia"/>
          <w:b/>
        </w:rPr>
        <w:t>、谈判方式及程序</w:t>
      </w:r>
      <w:bookmarkEnd w:id="56"/>
    </w:p>
    <w:p w14:paraId="74D93FD3">
      <w:pPr>
        <w:tabs>
          <w:tab w:val="left" w:pos="-1080"/>
        </w:tabs>
        <w:ind w:firstLine="420" w:firstLineChars="200"/>
        <w:rPr>
          <w:rFonts w:ascii="宋体"/>
        </w:rPr>
      </w:pPr>
      <w:r>
        <w:rPr>
          <w:rFonts w:ascii="宋体" w:hAnsi="宋体"/>
        </w:rPr>
        <w:t>19.1</w:t>
      </w:r>
      <w:r>
        <w:rPr>
          <w:rFonts w:hint="eastAsia" w:ascii="宋体" w:hAnsi="宋体"/>
        </w:rPr>
        <w:t>本项目的谈判方式为网上谈判（电话沟通，网上政府采购系统报价）。按照竞争性谈判规则要求，本项目的谈判为三轮，具体顺序为：第一轮报价（谈判）</w:t>
      </w:r>
      <w:r>
        <w:rPr>
          <w:rFonts w:ascii="宋体" w:hAnsi="宋体"/>
        </w:rPr>
        <w:t>—&gt;</w:t>
      </w:r>
      <w:r>
        <w:rPr>
          <w:rFonts w:hint="eastAsia" w:ascii="宋体" w:hAnsi="宋体"/>
        </w:rPr>
        <w:t>第二轮谈判</w:t>
      </w:r>
      <w:r>
        <w:rPr>
          <w:rFonts w:ascii="宋体" w:hAnsi="宋体"/>
        </w:rPr>
        <w:t>—&gt;</w:t>
      </w:r>
      <w:r>
        <w:rPr>
          <w:rFonts w:hint="eastAsia" w:ascii="宋体" w:hAnsi="宋体"/>
        </w:rPr>
        <w:t>第二轮报价</w:t>
      </w:r>
      <w:r>
        <w:rPr>
          <w:rFonts w:ascii="宋体" w:hAnsi="宋体"/>
        </w:rPr>
        <w:t>—&gt;</w:t>
      </w:r>
      <w:r>
        <w:rPr>
          <w:rFonts w:hint="eastAsia" w:ascii="宋体" w:hAnsi="宋体"/>
        </w:rPr>
        <w:t>第三轮谈判</w:t>
      </w:r>
      <w:r>
        <w:rPr>
          <w:rFonts w:ascii="宋体" w:hAnsi="宋体"/>
        </w:rPr>
        <w:t>—&gt;</w:t>
      </w:r>
      <w:r>
        <w:rPr>
          <w:rFonts w:hint="eastAsia" w:ascii="宋体" w:hAnsi="宋体"/>
        </w:rPr>
        <w:t>第三轮报价（最终报价）；应答文件中的报价及承诺内容即为投标供应商的第一轮报价（谈判）承诺。</w:t>
      </w:r>
    </w:p>
    <w:p w14:paraId="2AC4C1D5">
      <w:pPr>
        <w:tabs>
          <w:tab w:val="left" w:pos="-1080"/>
        </w:tabs>
        <w:ind w:firstLine="420" w:firstLineChars="200"/>
        <w:rPr>
          <w:rFonts w:ascii="宋体"/>
        </w:rPr>
      </w:pPr>
      <w:r>
        <w:rPr>
          <w:rFonts w:ascii="宋体" w:hAnsi="宋体"/>
        </w:rPr>
        <w:t>19.2</w:t>
      </w:r>
      <w:r>
        <w:rPr>
          <w:rFonts w:hint="eastAsia" w:ascii="宋体" w:hAnsi="宋体"/>
        </w:rPr>
        <w:t>具体谈判程序如下：</w:t>
      </w:r>
    </w:p>
    <w:p w14:paraId="0A4679B6">
      <w:pPr>
        <w:tabs>
          <w:tab w:val="left" w:pos="-1080"/>
        </w:tabs>
        <w:ind w:firstLine="420" w:firstLineChars="200"/>
        <w:rPr>
          <w:rFonts w:ascii="宋体"/>
        </w:rPr>
      </w:pPr>
      <w:r>
        <w:rPr>
          <w:rFonts w:ascii="宋体" w:hAnsi="宋体"/>
        </w:rPr>
        <w:t>19.2.1</w:t>
      </w:r>
      <w:r>
        <w:rPr>
          <w:rFonts w:hint="eastAsia" w:ascii="宋体" w:hAnsi="宋体"/>
        </w:rPr>
        <w:t>第二轮谈判：供应商上传谈判应答文件后，应在开标时间后登录</w:t>
      </w:r>
      <w:r>
        <w:rPr>
          <w:rFonts w:hint="eastAsia" w:ascii="宋体" w:hAnsi="宋体" w:cs="宋体"/>
          <w:color w:val="000000"/>
        </w:rPr>
        <w:t>“深圳政府采购智慧平台用户网上办事子系统（</w:t>
      </w:r>
      <w:r>
        <w:rPr>
          <w:rFonts w:ascii="宋体" w:hAnsi="宋体" w:cs="宋体"/>
          <w:color w:val="000000"/>
        </w:rPr>
        <w:t>http://zfcg.szggzy.com:8081/TPBidder/memberLogin</w:t>
      </w:r>
      <w:r>
        <w:rPr>
          <w:rFonts w:hint="eastAsia" w:ascii="宋体" w:hAnsi="宋体" w:cs="宋体"/>
          <w:color w:val="000000"/>
        </w:rPr>
        <w:t>）”</w:t>
      </w:r>
      <w:r>
        <w:rPr>
          <w:rFonts w:hint="eastAsia" w:ascii="宋体" w:hAnsi="宋体"/>
        </w:rPr>
        <w:t>，点击网上谈判菜单，进入本项目的网页，查看公告栏；公告栏中将提示供应商按照系统随机抽取的谈判顺序依次进行第二轮谈判；谈判小组认为必要的情况下，将视情况拨打供应商电话进行沟通（如谈判小组认为无必要，将直接跳过与相关供应商沟通的环节）；</w:t>
      </w:r>
    </w:p>
    <w:p w14:paraId="470DEF82">
      <w:pPr>
        <w:tabs>
          <w:tab w:val="left" w:pos="-1080"/>
        </w:tabs>
        <w:ind w:firstLine="420" w:firstLineChars="200"/>
        <w:rPr>
          <w:rFonts w:ascii="宋体"/>
        </w:rPr>
      </w:pPr>
      <w:r>
        <w:rPr>
          <w:rFonts w:ascii="宋体" w:hAnsi="宋体"/>
        </w:rPr>
        <w:t>19.2.2</w:t>
      </w:r>
      <w:r>
        <w:rPr>
          <w:rFonts w:hint="eastAsia" w:ascii="宋体" w:hAnsi="宋体"/>
        </w:rPr>
        <w:t>第二轮报价：第二轮谈判完成后，谈判小组将启动供应商第二轮报价程序（网上系统将有相关提示）；开始报价时，公告栏会提示“报价开始，请在截止时间之前完成报价”；供应商的报盘时间为</w:t>
      </w:r>
      <w:r>
        <w:rPr>
          <w:rFonts w:ascii="宋体" w:hAnsi="宋体"/>
        </w:rPr>
        <w:t>10</w:t>
      </w:r>
      <w:r>
        <w:rPr>
          <w:rFonts w:hint="eastAsia" w:ascii="宋体" w:hAnsi="宋体"/>
        </w:rPr>
        <w:t>分钟，只能提交一次报盘，提交后将不能修改；此次报盘为第二轮报价，如有谈判过程中需要补充说明的事项，可在网上系统的“服务承诺”及“附加说明”栏中进行填写；所有供应商都提交报盘或报盘时间截止将结束报盘，谈判小组有权酌情延长报盘时间；</w:t>
      </w:r>
    </w:p>
    <w:p w14:paraId="19094352">
      <w:pPr>
        <w:tabs>
          <w:tab w:val="left" w:pos="-1080"/>
        </w:tabs>
        <w:ind w:firstLine="420" w:firstLineChars="200"/>
        <w:rPr>
          <w:rFonts w:ascii="宋体"/>
        </w:rPr>
      </w:pPr>
      <w:r>
        <w:rPr>
          <w:rFonts w:ascii="宋体" w:hAnsi="宋体"/>
        </w:rPr>
        <w:t xml:space="preserve">19.2.3 </w:t>
      </w:r>
      <w:r>
        <w:rPr>
          <w:rFonts w:hint="eastAsia" w:ascii="宋体" w:hAnsi="宋体"/>
        </w:rPr>
        <w:t>第三轮谈判，具体操作方法与第二轮谈判一致；</w:t>
      </w:r>
    </w:p>
    <w:p w14:paraId="5E8C47E9">
      <w:pPr>
        <w:tabs>
          <w:tab w:val="left" w:pos="-1080"/>
        </w:tabs>
        <w:ind w:firstLine="420" w:firstLineChars="200"/>
        <w:rPr>
          <w:rFonts w:ascii="宋体"/>
        </w:rPr>
      </w:pPr>
      <w:r>
        <w:rPr>
          <w:rFonts w:ascii="宋体" w:hAnsi="宋体"/>
        </w:rPr>
        <w:t>19.2.4</w:t>
      </w:r>
      <w:r>
        <w:rPr>
          <w:rFonts w:hint="eastAsia" w:ascii="宋体" w:hAnsi="宋体"/>
        </w:rPr>
        <w:t>第三轮报价（最终报价），具体操作方法与第二轮报价一致；</w:t>
      </w:r>
    </w:p>
    <w:p w14:paraId="757C2AD8">
      <w:pPr>
        <w:tabs>
          <w:tab w:val="left" w:pos="-1080"/>
        </w:tabs>
        <w:ind w:firstLine="420" w:firstLineChars="200"/>
        <w:rPr>
          <w:rFonts w:ascii="宋体"/>
        </w:rPr>
      </w:pPr>
      <w:r>
        <w:rPr>
          <w:rFonts w:ascii="宋体" w:hAnsi="宋体"/>
        </w:rPr>
        <w:t>19.2.5</w:t>
      </w:r>
      <w:r>
        <w:rPr>
          <w:rFonts w:hint="eastAsia" w:ascii="宋体" w:hAnsi="宋体"/>
        </w:rPr>
        <w:t>谈判开始前将在网上政府采购系统向所有供应商公布各供应商最新的承诺及报价排名，但不得透露每一家供应商的具体报价及技术资料；</w:t>
      </w:r>
    </w:p>
    <w:p w14:paraId="400C3601">
      <w:pPr>
        <w:tabs>
          <w:tab w:val="left" w:pos="-1080"/>
        </w:tabs>
        <w:ind w:firstLine="420" w:firstLineChars="200"/>
        <w:rPr>
          <w:rFonts w:ascii="宋体"/>
        </w:rPr>
      </w:pPr>
      <w:r>
        <w:rPr>
          <w:rFonts w:hint="eastAsia" w:ascii="宋体" w:hAnsi="宋体"/>
        </w:rPr>
        <w:t>特别提示：排名是按照报价从低到高的顺序进行排列，即系统显示的排名第一的是报价最低的供应商；</w:t>
      </w:r>
    </w:p>
    <w:p w14:paraId="7FE7409B">
      <w:pPr>
        <w:tabs>
          <w:tab w:val="left" w:pos="-1080"/>
        </w:tabs>
        <w:ind w:firstLine="420" w:firstLineChars="200"/>
      </w:pPr>
      <w:r>
        <w:rPr>
          <w:rFonts w:hint="eastAsia" w:ascii="宋体" w:hAnsi="宋体" w:cs="宋体"/>
          <w:kern w:val="0"/>
          <w:szCs w:val="21"/>
        </w:rPr>
        <w:t>详细的操作指南，可进入（</w:t>
      </w:r>
      <w:r>
        <w:rPr>
          <w:rFonts w:ascii="宋体" w:hAnsi="宋体" w:cs="宋体"/>
          <w:kern w:val="0"/>
          <w:szCs w:val="21"/>
        </w:rPr>
        <w:t>https://www.szggzy.com/xxgk/tzgg/content_201792.html</w:t>
      </w:r>
      <w:r>
        <w:rPr>
          <w:rFonts w:hint="eastAsia" w:ascii="宋体" w:hAnsi="宋体" w:cs="宋体"/>
          <w:kern w:val="0"/>
          <w:szCs w:val="21"/>
        </w:rPr>
        <w:t>）在“附件”中下载“深圳政府采购智慧平台</w:t>
      </w:r>
      <w:r>
        <w:rPr>
          <w:rFonts w:ascii="宋体" w:cs="宋体"/>
          <w:kern w:val="0"/>
          <w:szCs w:val="21"/>
        </w:rPr>
        <w:t>-</w:t>
      </w:r>
      <w:r>
        <w:rPr>
          <w:rFonts w:hint="eastAsia" w:ascii="宋体" w:hAnsi="宋体" w:cs="宋体"/>
          <w:kern w:val="0"/>
          <w:szCs w:val="21"/>
        </w:rPr>
        <w:t>供应商端操作手册”</w:t>
      </w:r>
    </w:p>
    <w:p w14:paraId="70CC0203">
      <w:pPr>
        <w:tabs>
          <w:tab w:val="left" w:pos="-1080"/>
        </w:tabs>
        <w:ind w:firstLine="420" w:firstLineChars="200"/>
        <w:rPr>
          <w:rFonts w:ascii="宋体"/>
        </w:rPr>
      </w:pPr>
      <w:r>
        <w:rPr>
          <w:rFonts w:ascii="宋体" w:hAnsi="宋体"/>
        </w:rPr>
        <w:t>19.2.6</w:t>
      </w:r>
      <w:r>
        <w:rPr>
          <w:rFonts w:hint="eastAsia" w:ascii="宋体" w:hAnsi="宋体"/>
        </w:rPr>
        <w:t>谈判结束后，谈判小组根据供应商提供的谈判应答文件、谈判过程中产生的相关资料，对供应商谈判应答文件进行评估与比较，提出书面评审意见。</w:t>
      </w:r>
    </w:p>
    <w:p w14:paraId="030589B3">
      <w:pPr>
        <w:tabs>
          <w:tab w:val="left" w:pos="-1080"/>
        </w:tabs>
        <w:ind w:firstLine="420" w:firstLineChars="200"/>
        <w:rPr>
          <w:rFonts w:ascii="宋体"/>
        </w:rPr>
      </w:pPr>
      <w:r>
        <w:rPr>
          <w:rFonts w:ascii="宋体" w:hAnsi="宋体"/>
        </w:rPr>
        <w:t>19.2.7</w:t>
      </w:r>
      <w:r>
        <w:rPr>
          <w:rFonts w:hint="eastAsia" w:ascii="宋体" w:hAnsi="宋体"/>
        </w:rPr>
        <w:t>谈判小组将对谈判过程进行记录，以存档备查。</w:t>
      </w:r>
    </w:p>
    <w:p w14:paraId="0FC981EC">
      <w:pPr>
        <w:pStyle w:val="3"/>
        <w:snapToGrid w:val="0"/>
        <w:rPr>
          <w:sz w:val="28"/>
          <w:szCs w:val="28"/>
        </w:rPr>
      </w:pPr>
      <w:r>
        <w:rPr>
          <w:rFonts w:hint="eastAsia"/>
          <w:sz w:val="28"/>
          <w:szCs w:val="28"/>
        </w:rPr>
        <w:t>六、中标（成交）</w:t>
      </w:r>
    </w:p>
    <w:p w14:paraId="5D00DB03">
      <w:pPr>
        <w:spacing w:line="360" w:lineRule="auto"/>
        <w:rPr>
          <w:b/>
        </w:rPr>
      </w:pPr>
      <w:bookmarkStart w:id="57" w:name="_Toc61063254"/>
      <w:bookmarkStart w:id="58" w:name="_Toc75851593"/>
      <w:bookmarkStart w:id="59" w:name="_Toc78703968"/>
      <w:r>
        <w:rPr>
          <w:b/>
        </w:rPr>
        <w:t>20</w:t>
      </w:r>
      <w:r>
        <w:rPr>
          <w:rFonts w:hint="eastAsia"/>
          <w:b/>
        </w:rPr>
        <w:t>、</w:t>
      </w:r>
      <w:bookmarkEnd w:id="57"/>
      <w:bookmarkEnd w:id="58"/>
      <w:r>
        <w:rPr>
          <w:rFonts w:hint="eastAsia"/>
          <w:b/>
        </w:rPr>
        <w:t>应答无效</w:t>
      </w:r>
    </w:p>
    <w:p w14:paraId="0D285EA2">
      <w:pPr>
        <w:tabs>
          <w:tab w:val="left" w:pos="-1080"/>
        </w:tabs>
        <w:ind w:firstLine="422" w:firstLineChars="200"/>
        <w:rPr>
          <w:rFonts w:ascii="宋体"/>
          <w:b/>
          <w:bCs/>
        </w:rPr>
      </w:pPr>
      <w:r>
        <w:rPr>
          <w:rFonts w:ascii="宋体" w:hAnsi="宋体"/>
          <w:b/>
          <w:bCs/>
        </w:rPr>
        <w:t>20.1</w:t>
      </w:r>
      <w:r>
        <w:rPr>
          <w:rFonts w:hint="eastAsia" w:ascii="宋体" w:hAnsi="宋体"/>
          <w:b/>
          <w:bCs/>
        </w:rPr>
        <w:t>有下列情形之一的，该供应商的谈判作应答无效处理：</w:t>
      </w:r>
    </w:p>
    <w:p w14:paraId="7C5D8D51">
      <w:pPr>
        <w:tabs>
          <w:tab w:val="left" w:pos="-1080"/>
        </w:tabs>
        <w:ind w:firstLine="422" w:firstLineChars="200"/>
        <w:rPr>
          <w:rFonts w:ascii="宋体"/>
          <w:b/>
        </w:rPr>
      </w:pPr>
      <w:r>
        <w:rPr>
          <w:rFonts w:hint="eastAsia" w:ascii="宋体" w:hAnsi="宋体"/>
          <w:b/>
        </w:rPr>
        <w:t>具体内容见《符合性审查表》。</w:t>
      </w:r>
    </w:p>
    <w:p w14:paraId="04F70369">
      <w:pPr>
        <w:tabs>
          <w:tab w:val="left" w:pos="-1080"/>
        </w:tabs>
        <w:ind w:firstLine="422" w:firstLineChars="200"/>
        <w:rPr>
          <w:rFonts w:ascii="宋体"/>
          <w:b/>
        </w:rPr>
      </w:pPr>
      <w:r>
        <w:rPr>
          <w:rFonts w:hint="eastAsia" w:ascii="宋体" w:hAnsi="宋体"/>
          <w:b/>
        </w:rPr>
        <w:t>注：《资格性审查表》、《符合性审查表》的所有条款及“最终谈判价格（谈判报价）超过报价最高限额”</w:t>
      </w:r>
      <w:r>
        <w:rPr>
          <w:rFonts w:ascii="宋体" w:hAnsi="宋体"/>
          <w:b/>
        </w:rPr>
        <w:t xml:space="preserve"> </w:t>
      </w:r>
      <w:r>
        <w:rPr>
          <w:rFonts w:hint="eastAsia" w:ascii="宋体" w:hAnsi="宋体"/>
          <w:b/>
        </w:rPr>
        <w:t>（视为未通过《符合性审查表》“法律、法规规定的其它情形”审查项）均为应答无效条款。对不属于应答无效条款所列的其它情形，除法律法规另有规定外，不得作为应答无效的理由。投标人若有一条审查不通过则按应答无效处理。谈判小组对供应商打√为通过审查，打×为未通过审查。</w:t>
      </w:r>
    </w:p>
    <w:p w14:paraId="0FA3DD5B">
      <w:pPr>
        <w:spacing w:line="360" w:lineRule="auto"/>
        <w:rPr>
          <w:b/>
        </w:rPr>
      </w:pPr>
      <w:r>
        <w:rPr>
          <w:b/>
        </w:rPr>
        <w:t>21</w:t>
      </w:r>
      <w:r>
        <w:rPr>
          <w:rFonts w:hint="eastAsia"/>
          <w:b/>
        </w:rPr>
        <w:t>、中标</w:t>
      </w:r>
      <w:bookmarkEnd w:id="59"/>
      <w:r>
        <w:rPr>
          <w:rFonts w:hint="eastAsia"/>
          <w:b/>
        </w:rPr>
        <w:t>（成交）</w:t>
      </w:r>
    </w:p>
    <w:p w14:paraId="7E61D700">
      <w:pPr>
        <w:tabs>
          <w:tab w:val="left" w:pos="-1080"/>
        </w:tabs>
        <w:ind w:firstLine="420" w:firstLineChars="200"/>
        <w:rPr>
          <w:rFonts w:ascii="宋体"/>
        </w:rPr>
      </w:pPr>
      <w:r>
        <w:rPr>
          <w:rFonts w:ascii="宋体" w:hAnsi="宋体"/>
        </w:rPr>
        <w:t>21.1</w:t>
      </w:r>
      <w:r>
        <w:rPr>
          <w:rFonts w:hint="eastAsia" w:ascii="宋体" w:hAnsi="宋体"/>
        </w:rPr>
        <w:t>谈判小组依据本须知对谈判应答文件进行评审和比较，综合各家供应商最终的方案、服务和价格等谈判结果并按</w:t>
      </w:r>
      <w:r>
        <w:rPr>
          <w:rFonts w:hint="eastAsia" w:ascii="宋体" w:hAnsi="宋体"/>
          <w:b/>
          <w:bCs/>
          <w:szCs w:val="21"/>
        </w:rPr>
        <w:t>最低价法</w:t>
      </w:r>
      <w:r>
        <w:rPr>
          <w:rFonts w:ascii="宋体" w:hAnsi="宋体"/>
          <w:b/>
          <w:bCs/>
          <w:szCs w:val="21"/>
        </w:rPr>
        <w:t>/</w:t>
      </w:r>
      <w:r>
        <w:rPr>
          <w:rFonts w:hint="eastAsia" w:ascii="宋体" w:hAnsi="宋体"/>
          <w:b/>
          <w:bCs/>
          <w:szCs w:val="21"/>
        </w:rPr>
        <w:t>综合评分法</w:t>
      </w:r>
      <w:r>
        <w:rPr>
          <w:rFonts w:hint="eastAsia" w:ascii="宋体" w:hAnsi="宋体"/>
        </w:rPr>
        <w:t>进行评审（</w:t>
      </w:r>
      <w:r>
        <w:rPr>
          <w:rFonts w:hint="eastAsia" w:ascii="宋体" w:hAnsi="宋体"/>
          <w:b/>
          <w:bCs/>
          <w:szCs w:val="21"/>
        </w:rPr>
        <w:t>本项目采用的评标方法见本采购文件评标信息的相关内容）</w:t>
      </w:r>
      <w:r>
        <w:rPr>
          <w:rFonts w:hint="eastAsia" w:ascii="宋体" w:hAnsi="宋体"/>
        </w:rPr>
        <w:t>。</w:t>
      </w:r>
      <w:bookmarkStart w:id="60" w:name="评标方法3"/>
    </w:p>
    <w:bookmarkEnd w:id="60"/>
    <w:p w14:paraId="15DF8707">
      <w:pPr>
        <w:ind w:firstLine="411" w:firstLineChars="196"/>
        <w:rPr>
          <w:rFonts w:ascii="??" w:hAnsi="??"/>
        </w:rPr>
      </w:pPr>
      <w:r>
        <w:rPr>
          <w:rFonts w:hint="eastAsia" w:ascii="??" w:hAnsi="??"/>
        </w:rPr>
        <w:t>最低评标价法，是指</w:t>
      </w:r>
      <w:r>
        <w:rPr>
          <w:rFonts w:hint="eastAsia" w:ascii="??" w:hAnsi="??"/>
          <w:lang w:eastAsia="zh-CN"/>
        </w:rPr>
        <w:t>应答文件</w:t>
      </w:r>
      <w:r>
        <w:rPr>
          <w:rFonts w:hint="eastAsia" w:ascii="??" w:hAnsi="??"/>
        </w:rPr>
        <w:t>满足招标文件全部实质性要求，且投标报价最低的投标人为中标候选人的评标方法。</w:t>
      </w:r>
    </w:p>
    <w:p w14:paraId="492B2821">
      <w:pPr>
        <w:ind w:firstLine="411" w:firstLineChars="196"/>
        <w:rPr>
          <w:rFonts w:ascii="宋体"/>
          <w:bCs/>
          <w:szCs w:val="21"/>
        </w:rPr>
      </w:pPr>
      <w:r>
        <w:rPr>
          <w:rFonts w:hint="eastAsia" w:ascii="??" w:hAnsi="??"/>
        </w:rPr>
        <w:t>综合评分法，是指</w:t>
      </w:r>
      <w:r>
        <w:rPr>
          <w:rFonts w:hint="eastAsia" w:ascii="??" w:hAnsi="??"/>
          <w:lang w:eastAsia="zh-CN"/>
        </w:rPr>
        <w:t>应答文件</w:t>
      </w:r>
      <w:r>
        <w:rPr>
          <w:rFonts w:hint="eastAsia" w:ascii="??" w:hAnsi="??"/>
        </w:rPr>
        <w:t>满足招标文件全部实质性要求，且按照评审因素的量化指标评审得分最高的投标人为中标候选人的评标方法。</w:t>
      </w:r>
    </w:p>
    <w:p w14:paraId="27009846">
      <w:pPr>
        <w:tabs>
          <w:tab w:val="left" w:pos="-1080"/>
        </w:tabs>
        <w:ind w:firstLine="420" w:firstLineChars="200"/>
        <w:rPr>
          <w:rFonts w:ascii="宋体"/>
        </w:rPr>
      </w:pPr>
      <w:r>
        <w:rPr>
          <w:rFonts w:ascii="宋体" w:hAnsi="宋体"/>
        </w:rPr>
        <w:t>21.2</w:t>
      </w:r>
      <w:r>
        <w:rPr>
          <w:rFonts w:hint="eastAsia" w:ascii="宋体" w:hAnsi="宋体"/>
        </w:rPr>
        <w:t>谈判小组向深圳市东海国际招标有限公司提交书面评审报告，并受深圳市东海国际招标有限公司委托直接确定中标（成交）供应商。</w:t>
      </w:r>
    </w:p>
    <w:p w14:paraId="4DFA2304">
      <w:pPr>
        <w:spacing w:line="360" w:lineRule="auto"/>
        <w:rPr>
          <w:b/>
        </w:rPr>
      </w:pPr>
      <w:r>
        <w:rPr>
          <w:b/>
        </w:rPr>
        <w:t>22</w:t>
      </w:r>
      <w:r>
        <w:rPr>
          <w:rFonts w:hint="eastAsia"/>
          <w:b/>
        </w:rPr>
        <w:t>、谈判结果公示</w:t>
      </w:r>
    </w:p>
    <w:p w14:paraId="3670A3AD">
      <w:pPr>
        <w:tabs>
          <w:tab w:val="left" w:pos="-1080"/>
        </w:tabs>
        <w:ind w:firstLine="420" w:firstLineChars="200"/>
        <w:rPr>
          <w:rFonts w:ascii="宋体"/>
        </w:rPr>
      </w:pPr>
      <w:r>
        <w:rPr>
          <w:rFonts w:ascii="宋体" w:hAnsi="宋体"/>
        </w:rPr>
        <w:t>22.1</w:t>
      </w:r>
      <w:r>
        <w:rPr>
          <w:rFonts w:hint="eastAsia" w:ascii="宋体" w:hAnsi="宋体"/>
        </w:rPr>
        <w:t>为体现“公开、公平、公正”的原则，谈判结束后，政府采购代理机构将在“</w:t>
      </w:r>
      <w:r>
        <w:rPr>
          <w:rFonts w:hint="eastAsia" w:ascii="宋体" w:hAnsi="宋体" w:cs="宋体"/>
          <w:color w:val="000000"/>
        </w:rPr>
        <w:t>深圳公共资源交易网站”（</w:t>
      </w:r>
      <w:r>
        <w:rPr>
          <w:rFonts w:ascii="宋体" w:hAnsi="宋体" w:cs="宋体"/>
          <w:color w:val="000000"/>
        </w:rPr>
        <w:t>http://www.szggzy.com</w:t>
      </w:r>
      <w:r>
        <w:rPr>
          <w:rFonts w:hint="eastAsia" w:ascii="宋体" w:hAnsi="宋体" w:cs="宋体"/>
          <w:color w:val="000000"/>
        </w:rPr>
        <w:t>）</w:t>
      </w:r>
      <w:r>
        <w:rPr>
          <w:rFonts w:hint="eastAsia" w:ascii="宋体" w:hAnsi="宋体"/>
        </w:rPr>
        <w:t>上发布中标（成交）结果公告。供应商如对谈判结果有异议，可在规定时间内向</w:t>
      </w:r>
      <w:r>
        <w:rPr>
          <w:rFonts w:hint="eastAsia" w:ascii="宋体" w:hAnsi="宋体"/>
          <w:szCs w:val="21"/>
        </w:rPr>
        <w:t>政府采购代理机构</w:t>
      </w:r>
      <w:r>
        <w:rPr>
          <w:rFonts w:hint="eastAsia" w:ascii="宋体" w:hAnsi="宋体"/>
        </w:rPr>
        <w:t>提出。</w:t>
      </w:r>
      <w:r>
        <w:rPr>
          <w:rFonts w:ascii="宋体" w:hAnsi="宋体"/>
        </w:rPr>
        <w:t xml:space="preserve"> </w:t>
      </w:r>
      <w:r>
        <w:rPr>
          <w:rFonts w:hint="eastAsia" w:ascii="宋体" w:hAnsi="宋体"/>
        </w:rPr>
        <w:t>监督电话：</w:t>
      </w:r>
      <w:r>
        <w:rPr>
          <w:rFonts w:ascii="宋体" w:hAnsi="宋体"/>
        </w:rPr>
        <w:t>0755-86959778</w:t>
      </w:r>
      <w:r>
        <w:rPr>
          <w:rFonts w:hint="eastAsia" w:ascii="宋体" w:hAnsi="宋体"/>
        </w:rPr>
        <w:t>。若在公示期内未提出质疑，则视为认同该结果。</w:t>
      </w:r>
    </w:p>
    <w:p w14:paraId="20047AF0">
      <w:pPr>
        <w:tabs>
          <w:tab w:val="left" w:pos="-1080"/>
        </w:tabs>
        <w:ind w:firstLine="420" w:firstLineChars="200"/>
        <w:rPr>
          <w:rFonts w:ascii="宋体"/>
        </w:rPr>
      </w:pPr>
      <w:r>
        <w:rPr>
          <w:rFonts w:ascii="宋体" w:hAnsi="宋体"/>
        </w:rPr>
        <w:t>22.2</w:t>
      </w:r>
      <w:r>
        <w:rPr>
          <w:rFonts w:hint="eastAsia" w:ascii="宋体" w:hAnsi="宋体"/>
        </w:rPr>
        <w:t>质疑投诉人应保证质疑投诉内容的真实性和可靠性，并承担相应的法律责任。</w:t>
      </w:r>
    </w:p>
    <w:p w14:paraId="62DE0C8B">
      <w:pPr>
        <w:spacing w:line="360" w:lineRule="auto"/>
        <w:rPr>
          <w:b/>
        </w:rPr>
      </w:pPr>
      <w:bookmarkStart w:id="61" w:name="_Toc78703971"/>
      <w:r>
        <w:rPr>
          <w:b/>
        </w:rPr>
        <w:t>23</w:t>
      </w:r>
      <w:r>
        <w:rPr>
          <w:rFonts w:hint="eastAsia"/>
          <w:b/>
        </w:rPr>
        <w:t>、中标（成交）通知书</w:t>
      </w:r>
      <w:bookmarkEnd w:id="61"/>
    </w:p>
    <w:p w14:paraId="1661830A">
      <w:pPr>
        <w:ind w:firstLine="411" w:firstLineChars="196"/>
        <w:rPr>
          <w:rFonts w:ascii="宋体"/>
          <w:szCs w:val="21"/>
        </w:rPr>
      </w:pPr>
      <w:r>
        <w:rPr>
          <w:rFonts w:ascii="宋体" w:hAnsi="宋体"/>
        </w:rPr>
        <w:t>23.1</w:t>
      </w:r>
      <w:r>
        <w:rPr>
          <w:rFonts w:hint="eastAsia" w:ascii="宋体" w:hAnsi="宋体"/>
        </w:rPr>
        <w:t>采购结果公告公布以后</w:t>
      </w:r>
      <w:r>
        <w:rPr>
          <w:rFonts w:ascii="宋体" w:hAnsi="宋体"/>
        </w:rPr>
        <w:t xml:space="preserve">, </w:t>
      </w:r>
      <w:r>
        <w:rPr>
          <w:rFonts w:hint="eastAsia" w:ascii="宋体" w:hAnsi="宋体"/>
        </w:rPr>
        <w:t>公示期内无有效质疑投诉</w:t>
      </w:r>
      <w:r>
        <w:rPr>
          <w:rFonts w:ascii="宋体"/>
        </w:rPr>
        <w:t>,</w:t>
      </w:r>
      <w:r>
        <w:rPr>
          <w:rFonts w:hint="eastAsia" w:ascii="宋体" w:hAnsi="宋体"/>
        </w:rPr>
        <w:t>中标（成交）供应商和采购人可自行在“</w:t>
      </w:r>
      <w:r>
        <w:rPr>
          <w:rFonts w:hint="eastAsia" w:ascii="宋体" w:hAnsi="宋体" w:cs="宋体"/>
          <w:color w:val="000000"/>
        </w:rPr>
        <w:t>深圳公共资源交易网站”（</w:t>
      </w:r>
      <w:r>
        <w:rPr>
          <w:rFonts w:ascii="宋体" w:hAnsi="宋体" w:cs="宋体"/>
          <w:color w:val="000000"/>
        </w:rPr>
        <w:t>http://www.szggzy.com</w:t>
      </w:r>
      <w:r>
        <w:rPr>
          <w:rFonts w:hint="eastAsia" w:ascii="宋体" w:hAnsi="宋体" w:cs="宋体"/>
          <w:color w:val="000000"/>
        </w:rPr>
        <w:t>）</w:t>
      </w:r>
      <w:r>
        <w:rPr>
          <w:rFonts w:hint="eastAsia" w:ascii="宋体" w:hAnsi="宋体"/>
          <w:szCs w:val="21"/>
        </w:rPr>
        <w:t>上打印</w:t>
      </w:r>
      <w:r>
        <w:rPr>
          <w:rFonts w:hint="eastAsia" w:ascii="宋体" w:hAnsi="宋体"/>
          <w:b/>
          <w:szCs w:val="21"/>
        </w:rPr>
        <w:t>《数字中标通知书》</w:t>
      </w:r>
      <w:r>
        <w:rPr>
          <w:rFonts w:hint="eastAsia" w:ascii="宋体" w:hAnsi="宋体"/>
          <w:szCs w:val="21"/>
        </w:rPr>
        <w:t>。</w:t>
      </w:r>
    </w:p>
    <w:p w14:paraId="2873FD5F">
      <w:pPr>
        <w:ind w:firstLine="411" w:firstLineChars="196"/>
        <w:rPr>
          <w:rFonts w:ascii="宋体"/>
          <w:szCs w:val="21"/>
        </w:rPr>
      </w:pPr>
      <w:r>
        <w:rPr>
          <w:rFonts w:ascii="宋体" w:hAnsi="宋体"/>
          <w:szCs w:val="21"/>
        </w:rPr>
        <w:t>23.2</w:t>
      </w:r>
      <w:r>
        <w:rPr>
          <w:rFonts w:hint="eastAsia" w:ascii="宋体" w:hAnsi="宋体"/>
          <w:szCs w:val="21"/>
        </w:rPr>
        <w:t>中标（成交）通知书是合同的重要组成部分。</w:t>
      </w:r>
    </w:p>
    <w:p w14:paraId="0334BEAD">
      <w:pPr>
        <w:ind w:firstLine="411" w:firstLineChars="196"/>
        <w:rPr>
          <w:rFonts w:ascii="宋体"/>
          <w:szCs w:val="21"/>
        </w:rPr>
      </w:pPr>
      <w:r>
        <w:rPr>
          <w:rFonts w:ascii="宋体" w:hAnsi="宋体"/>
          <w:szCs w:val="21"/>
        </w:rPr>
        <w:t>23.3</w:t>
      </w:r>
      <w:r>
        <w:rPr>
          <w:rFonts w:hint="eastAsia" w:ascii="宋体" w:hAnsi="宋体"/>
          <w:szCs w:val="21"/>
        </w:rPr>
        <w:t>因质疑投诉或其它原因导致项目结果变更或采购终止的，深圳市东海国际招标有限公司有权吊销中标（成交）通知书或终止采购合同。</w:t>
      </w:r>
    </w:p>
    <w:p w14:paraId="694A339C">
      <w:pPr>
        <w:pStyle w:val="3"/>
        <w:snapToGrid w:val="0"/>
        <w:rPr>
          <w:sz w:val="28"/>
          <w:szCs w:val="28"/>
        </w:rPr>
      </w:pPr>
      <w:bookmarkStart w:id="62" w:name="_Toc78703969"/>
      <w:r>
        <w:rPr>
          <w:rFonts w:hint="eastAsia"/>
          <w:sz w:val="28"/>
          <w:szCs w:val="28"/>
        </w:rPr>
        <w:t>七、合同的授予</w:t>
      </w:r>
      <w:bookmarkEnd w:id="62"/>
      <w:r>
        <w:rPr>
          <w:rFonts w:hint="eastAsia"/>
          <w:sz w:val="28"/>
          <w:szCs w:val="28"/>
        </w:rPr>
        <w:t>与备案</w:t>
      </w:r>
    </w:p>
    <w:p w14:paraId="55EA5801">
      <w:pPr>
        <w:spacing w:line="360" w:lineRule="auto"/>
        <w:rPr>
          <w:b/>
        </w:rPr>
      </w:pPr>
      <w:bookmarkStart w:id="63" w:name="_Toc78703970"/>
      <w:r>
        <w:rPr>
          <w:b/>
        </w:rPr>
        <w:t>24</w:t>
      </w:r>
      <w:r>
        <w:rPr>
          <w:rFonts w:hint="eastAsia"/>
          <w:b/>
        </w:rPr>
        <w:t>、合同授予标准</w:t>
      </w:r>
      <w:bookmarkEnd w:id="63"/>
    </w:p>
    <w:p w14:paraId="6E5F08FF">
      <w:pPr>
        <w:ind w:firstLine="420" w:firstLineChars="200"/>
        <w:rPr>
          <w:rFonts w:ascii="宋体"/>
          <w:szCs w:val="21"/>
        </w:rPr>
      </w:pPr>
      <w:r>
        <w:rPr>
          <w:rFonts w:ascii="宋体" w:hAnsi="宋体"/>
        </w:rPr>
        <w:t>24.1</w:t>
      </w:r>
      <w:r>
        <w:rPr>
          <w:rFonts w:hint="eastAsia" w:ascii="宋体" w:hAnsi="宋体"/>
        </w:rPr>
        <w:t>本项目的合同将授予</w:t>
      </w:r>
      <w:r>
        <w:rPr>
          <w:rFonts w:hint="eastAsia" w:ascii="宋体" w:hAnsi="宋体"/>
          <w:szCs w:val="21"/>
        </w:rPr>
        <w:t>按本采购文件规定评审确定的中标（成交）供应商。</w:t>
      </w:r>
    </w:p>
    <w:p w14:paraId="0D786CCE">
      <w:pPr>
        <w:spacing w:line="360" w:lineRule="auto"/>
        <w:rPr>
          <w:b/>
        </w:rPr>
      </w:pPr>
      <w:bookmarkStart w:id="64" w:name="_Toc78703972"/>
      <w:r>
        <w:rPr>
          <w:b/>
        </w:rPr>
        <w:t>25</w:t>
      </w:r>
      <w:r>
        <w:rPr>
          <w:rFonts w:hint="eastAsia"/>
          <w:b/>
        </w:rPr>
        <w:t>、合同协议书的签订</w:t>
      </w:r>
      <w:bookmarkEnd w:id="64"/>
    </w:p>
    <w:p w14:paraId="4B63F432">
      <w:pPr>
        <w:tabs>
          <w:tab w:val="left" w:pos="-1080"/>
        </w:tabs>
        <w:ind w:firstLine="420" w:firstLineChars="200"/>
        <w:rPr>
          <w:rFonts w:ascii="宋体"/>
        </w:rPr>
      </w:pPr>
      <w:r>
        <w:rPr>
          <w:rFonts w:ascii="宋体" w:hAnsi="宋体"/>
        </w:rPr>
        <w:t>25.1</w:t>
      </w:r>
      <w:r>
        <w:rPr>
          <w:rFonts w:hint="eastAsia" w:ascii="宋体" w:hAnsi="宋体"/>
          <w:szCs w:val="21"/>
        </w:rPr>
        <w:t>中标（成交）供应商应当自中标（成交）通知书发出之日起十个工作日内，按照采购文件和应答文件内容与采购人签订政府采购合同；合同的实质性内容应当符合采购文件的规定；</w:t>
      </w:r>
    </w:p>
    <w:p w14:paraId="7D83741D">
      <w:pPr>
        <w:tabs>
          <w:tab w:val="left" w:pos="-1080"/>
        </w:tabs>
        <w:ind w:firstLine="420" w:firstLineChars="200"/>
        <w:rPr>
          <w:rFonts w:ascii="宋体"/>
        </w:rPr>
      </w:pPr>
      <w:r>
        <w:rPr>
          <w:rFonts w:ascii="宋体" w:hAnsi="宋体"/>
        </w:rPr>
        <w:t>25.2</w:t>
      </w:r>
      <w:r>
        <w:rPr>
          <w:rFonts w:hint="eastAsia" w:ascii="宋体" w:hAnsi="宋体"/>
        </w:rPr>
        <w:t>中标（成交）供应商如不按前款规定与采购人签订合同，则深圳市东海国际招标有限公司将有充分的理由废除中标（成交）结果并报主管部门进行处罚，供应商同时还应承担相应法律与经济责任；</w:t>
      </w:r>
    </w:p>
    <w:p w14:paraId="5455D45D">
      <w:pPr>
        <w:tabs>
          <w:tab w:val="left" w:pos="-1080"/>
        </w:tabs>
        <w:ind w:firstLine="420" w:firstLineChars="200"/>
        <w:rPr>
          <w:rFonts w:ascii="宋体"/>
        </w:rPr>
      </w:pPr>
      <w:r>
        <w:rPr>
          <w:rFonts w:ascii="宋体" w:hAnsi="宋体"/>
        </w:rPr>
        <w:t>25.3</w:t>
      </w:r>
      <w:r>
        <w:rPr>
          <w:rFonts w:hint="eastAsia" w:ascii="宋体" w:hAnsi="宋体"/>
        </w:rPr>
        <w:t>中标（成交）供应商应当按照合同约定履行义务，完成成交项目，不得将成交项目转让（转包）给他人。</w:t>
      </w:r>
    </w:p>
    <w:p w14:paraId="046706BA">
      <w:pPr>
        <w:spacing w:line="360" w:lineRule="auto"/>
        <w:rPr>
          <w:b/>
        </w:rPr>
      </w:pPr>
      <w:bookmarkStart w:id="65" w:name="_Toc78703973"/>
      <w:r>
        <w:rPr>
          <w:b/>
        </w:rPr>
        <w:t>26</w:t>
      </w:r>
      <w:r>
        <w:rPr>
          <w:rFonts w:hint="eastAsia"/>
          <w:b/>
        </w:rPr>
        <w:t>、履约担保</w:t>
      </w:r>
      <w:bookmarkEnd w:id="65"/>
    </w:p>
    <w:p w14:paraId="56085730">
      <w:pPr>
        <w:tabs>
          <w:tab w:val="left" w:pos="-1080"/>
        </w:tabs>
        <w:ind w:firstLine="420" w:firstLineChars="200"/>
        <w:rPr>
          <w:rFonts w:ascii="宋体"/>
        </w:rPr>
      </w:pPr>
      <w:r>
        <w:rPr>
          <w:rFonts w:ascii="宋体" w:hAnsi="宋体"/>
        </w:rPr>
        <w:t>26.1</w:t>
      </w:r>
      <w:r>
        <w:rPr>
          <w:rFonts w:hint="eastAsia" w:ascii="宋体" w:hAnsi="宋体"/>
        </w:rPr>
        <w:t>在签订合同的同时，成交供应商应按规定（见前附表第</w:t>
      </w:r>
      <w:r>
        <w:rPr>
          <w:rFonts w:ascii="宋体" w:hAnsi="宋体"/>
        </w:rPr>
        <w:t>26</w:t>
      </w:r>
      <w:r>
        <w:rPr>
          <w:rFonts w:hint="eastAsia" w:ascii="宋体" w:hAnsi="宋体"/>
        </w:rPr>
        <w:t>项）的金额向采购人提交履约担保。</w:t>
      </w:r>
    </w:p>
    <w:p w14:paraId="1648CAED">
      <w:pPr>
        <w:tabs>
          <w:tab w:val="left" w:pos="-1080"/>
        </w:tabs>
        <w:ind w:firstLine="420" w:firstLineChars="200"/>
        <w:rPr>
          <w:rFonts w:ascii="宋体"/>
        </w:rPr>
      </w:pPr>
      <w:r>
        <w:rPr>
          <w:rFonts w:ascii="宋体" w:hAnsi="宋体"/>
        </w:rPr>
        <w:t>26.2</w:t>
      </w:r>
      <w:r>
        <w:rPr>
          <w:rFonts w:hint="eastAsia" w:ascii="宋体" w:hAnsi="宋体"/>
          <w:szCs w:val="21"/>
        </w:rPr>
        <w:t>如果中标人不能按规定的金额向采购人提交履约担保，采购人将有充分的理由通过政府采购主管部门废除中标（成交）结果，给采购人造成的损失应当予以赔偿。</w:t>
      </w:r>
    </w:p>
    <w:p w14:paraId="3258E3EE">
      <w:pPr>
        <w:spacing w:line="360" w:lineRule="auto"/>
        <w:rPr>
          <w:b/>
        </w:rPr>
      </w:pPr>
      <w:r>
        <w:rPr>
          <w:b/>
        </w:rPr>
        <w:t>27</w:t>
      </w:r>
      <w:r>
        <w:rPr>
          <w:rFonts w:hint="eastAsia"/>
          <w:b/>
        </w:rPr>
        <w:t>、合同的备案</w:t>
      </w:r>
    </w:p>
    <w:p w14:paraId="29B7417D">
      <w:pPr>
        <w:ind w:firstLine="420" w:firstLineChars="200"/>
        <w:rPr>
          <w:rFonts w:ascii="宋体"/>
          <w:szCs w:val="21"/>
        </w:rPr>
      </w:pPr>
      <w:r>
        <w:rPr>
          <w:rFonts w:hint="eastAsia" w:ascii="宋体" w:hAnsi="宋体"/>
          <w:szCs w:val="21"/>
        </w:rPr>
        <w:t>具体合同签订之日起十日内，由采购人或委托中标（成交）供应商将采购合同副本抄送合同备案工作实施机构备案。</w:t>
      </w:r>
    </w:p>
    <w:p w14:paraId="150A67E4">
      <w:pPr>
        <w:rPr>
          <w:b/>
        </w:rPr>
      </w:pPr>
      <w:r>
        <w:rPr>
          <w:b/>
        </w:rPr>
        <w:t>28</w:t>
      </w:r>
      <w:r>
        <w:rPr>
          <w:rFonts w:hint="eastAsia"/>
          <w:b/>
        </w:rPr>
        <w:t>、合同的变更</w:t>
      </w:r>
    </w:p>
    <w:p w14:paraId="1ACCF873">
      <w:pPr>
        <w:ind w:firstLine="420" w:firstLineChars="200"/>
        <w:rPr>
          <w:rFonts w:ascii="宋体"/>
          <w:szCs w:val="21"/>
        </w:rPr>
      </w:pPr>
      <w:r>
        <w:rPr>
          <w:rFonts w:hint="eastAsia" w:ascii="宋体" w:hAnsi="宋体"/>
          <w:szCs w:val="21"/>
        </w:rPr>
        <w:t>合同变更事宜按《深圳市财政局</w:t>
      </w:r>
      <w:r>
        <w:rPr>
          <w:rFonts w:ascii="宋体" w:hAnsi="宋体"/>
          <w:szCs w:val="21"/>
        </w:rPr>
        <w:t xml:space="preserve"> </w:t>
      </w:r>
      <w:r>
        <w:rPr>
          <w:rFonts w:hint="eastAsia" w:ascii="宋体" w:hAnsi="宋体"/>
          <w:szCs w:val="21"/>
        </w:rPr>
        <w:t>深圳市政府采购中心关于进一步加强市本级政府采购合同备案管理工作的通知》（深财购〔</w:t>
      </w:r>
      <w:r>
        <w:rPr>
          <w:rFonts w:ascii="宋体" w:hAnsi="宋体"/>
          <w:szCs w:val="21"/>
        </w:rPr>
        <w:t>2019</w:t>
      </w:r>
      <w:r>
        <w:rPr>
          <w:rFonts w:hint="eastAsia" w:ascii="宋体" w:hAnsi="宋体"/>
          <w:szCs w:val="21"/>
        </w:rPr>
        <w:t>〕</w:t>
      </w:r>
      <w:r>
        <w:rPr>
          <w:rFonts w:ascii="宋体" w:hAnsi="宋体"/>
          <w:szCs w:val="21"/>
        </w:rPr>
        <w:t>43</w:t>
      </w:r>
      <w:r>
        <w:rPr>
          <w:rFonts w:hint="eastAsia" w:ascii="宋体" w:hAnsi="宋体"/>
          <w:szCs w:val="21"/>
        </w:rPr>
        <w:t>号）相关规定执行。</w:t>
      </w:r>
    </w:p>
    <w:p w14:paraId="26CD169A">
      <w:pPr>
        <w:rPr>
          <w:b/>
        </w:rPr>
      </w:pPr>
      <w:r>
        <w:rPr>
          <w:b/>
        </w:rPr>
        <w:t xml:space="preserve">29. </w:t>
      </w:r>
      <w:r>
        <w:rPr>
          <w:rFonts w:hint="eastAsia"/>
          <w:b/>
        </w:rPr>
        <w:t>履约抽检及情况的反馈</w:t>
      </w:r>
    </w:p>
    <w:p w14:paraId="200F579C">
      <w:pPr>
        <w:widowControl/>
        <w:ind w:right="176" w:firstLine="420"/>
        <w:jc w:val="left"/>
        <w:rPr>
          <w:rFonts w:ascii="宋体"/>
          <w:szCs w:val="21"/>
        </w:rPr>
      </w:pPr>
      <w:r>
        <w:rPr>
          <w:rFonts w:ascii="宋体" w:hAnsi="宋体"/>
          <w:szCs w:val="21"/>
        </w:rPr>
        <w:t>29.1</w:t>
      </w:r>
      <w:r>
        <w:rPr>
          <w:rFonts w:hint="eastAsia" w:ascii="宋体" w:hAnsi="宋体"/>
          <w:szCs w:val="21"/>
        </w:rPr>
        <w:t>供应商必须诚信履约，采购人必须对采购项目实施组织履约验收。必要时，履约评价工作实施机构将对采购项目进行履约抽检评价。如未按合同履约，将按《深圳经济特区政府采购条例》第五十七条有关规定、《深圳市政府采购供应商诚信管理暂行办法》及其操作细则进行处理。</w:t>
      </w:r>
    </w:p>
    <w:p w14:paraId="4B9CA590">
      <w:pPr>
        <w:widowControl/>
        <w:ind w:right="176"/>
        <w:jc w:val="left"/>
        <w:rPr>
          <w:rFonts w:ascii="宋体"/>
        </w:rPr>
      </w:pPr>
      <w:r>
        <w:rPr>
          <w:rFonts w:ascii="宋体" w:hAnsi="宋体"/>
          <w:szCs w:val="21"/>
        </w:rPr>
        <w:t xml:space="preserve">    29.2</w:t>
      </w:r>
      <w:r>
        <w:rPr>
          <w:rFonts w:hint="eastAsia" w:ascii="宋体" w:hAnsi="宋体"/>
          <w:szCs w:val="21"/>
        </w:rPr>
        <w:t>采购人和供应商应当在采购合同履行完毕三十日之内将政府采购合同履行情况和相关政府采购建议等反馈至履约评价工作实施机构</w:t>
      </w:r>
      <w:r>
        <w:rPr>
          <w:rFonts w:hint="eastAsia" w:ascii="宋体" w:hAnsi="宋体"/>
        </w:rPr>
        <w:t>。</w:t>
      </w:r>
    </w:p>
    <w:p w14:paraId="5C601424">
      <w:pPr>
        <w:spacing w:line="360" w:lineRule="auto"/>
        <w:rPr>
          <w:b/>
        </w:rPr>
      </w:pPr>
      <w:r>
        <w:rPr>
          <w:b/>
        </w:rPr>
        <w:t>30</w:t>
      </w:r>
      <w:r>
        <w:rPr>
          <w:rFonts w:hint="eastAsia"/>
          <w:b/>
        </w:rPr>
        <w:t>、宣传</w:t>
      </w:r>
    </w:p>
    <w:p w14:paraId="1E541053">
      <w:pPr>
        <w:ind w:firstLine="420" w:firstLineChars="200"/>
        <w:rPr>
          <w:rFonts w:ascii="宋体"/>
        </w:rPr>
      </w:pPr>
      <w:r>
        <w:rPr>
          <w:rFonts w:hint="eastAsia" w:ascii="宋体" w:hAnsi="宋体"/>
        </w:rPr>
        <w:t>凡与政府采购活动有关的宣传或广告，若当中提及政府采购，必须事先将具体对外宣传方案报市财政局和政府集中采购机构，并征得其同意。对外市场宣传包括但不限于以下形式：</w:t>
      </w:r>
    </w:p>
    <w:p w14:paraId="43A0C265">
      <w:pPr>
        <w:ind w:left="210" w:leftChars="100" w:firstLine="411" w:firstLineChars="196"/>
        <w:rPr>
          <w:rFonts w:ascii="宋体"/>
        </w:rPr>
      </w:pPr>
      <w:r>
        <w:rPr>
          <w:rFonts w:ascii="宋体" w:hAnsi="宋体"/>
        </w:rPr>
        <w:t>a.</w:t>
      </w:r>
      <w:r>
        <w:rPr>
          <w:rFonts w:hint="eastAsia" w:ascii="宋体" w:hAnsi="宋体"/>
        </w:rPr>
        <w:t>名片、宣传册、广告标语等；</w:t>
      </w:r>
    </w:p>
    <w:p w14:paraId="48607386">
      <w:pPr>
        <w:ind w:left="210" w:leftChars="100" w:firstLine="411" w:firstLineChars="196"/>
        <w:rPr>
          <w:rFonts w:ascii="宋体"/>
        </w:rPr>
      </w:pPr>
      <w:r>
        <w:rPr>
          <w:rFonts w:ascii="宋体" w:hAnsi="宋体"/>
        </w:rPr>
        <w:t>b.</w:t>
      </w:r>
      <w:r>
        <w:rPr>
          <w:rFonts w:hint="eastAsia" w:ascii="宋体" w:hAnsi="宋体"/>
        </w:rPr>
        <w:t>案例介绍、推广等；</w:t>
      </w:r>
    </w:p>
    <w:p w14:paraId="13B04D03">
      <w:pPr>
        <w:ind w:left="210" w:leftChars="100" w:firstLine="411" w:firstLineChars="196"/>
        <w:rPr>
          <w:rFonts w:ascii="宋体"/>
        </w:rPr>
      </w:pPr>
      <w:r>
        <w:rPr>
          <w:rFonts w:ascii="宋体" w:hAnsi="宋体"/>
        </w:rPr>
        <w:t>c.</w:t>
      </w:r>
      <w:r>
        <w:rPr>
          <w:rFonts w:hint="eastAsia" w:ascii="宋体" w:hAnsi="宋体"/>
        </w:rPr>
        <w:t>工作人员向其他消费群体宣传。</w:t>
      </w:r>
    </w:p>
    <w:p w14:paraId="40528EC2">
      <w:pPr>
        <w:spacing w:line="360" w:lineRule="auto"/>
        <w:rPr>
          <w:b/>
        </w:rPr>
      </w:pPr>
      <w:r>
        <w:rPr>
          <w:b/>
        </w:rPr>
        <w:t>31</w:t>
      </w:r>
      <w:r>
        <w:rPr>
          <w:rFonts w:hint="eastAsia"/>
          <w:b/>
        </w:rPr>
        <w:t>、供应商违法责任</w:t>
      </w:r>
    </w:p>
    <w:p w14:paraId="536BE8F4">
      <w:pPr>
        <w:ind w:firstLine="411" w:firstLineChars="196"/>
        <w:rPr>
          <w:rFonts w:ascii="宋体"/>
          <w:szCs w:val="21"/>
        </w:rPr>
      </w:pPr>
      <w:r>
        <w:rPr>
          <w:rFonts w:ascii="宋体" w:hAnsi="宋体"/>
          <w:szCs w:val="21"/>
        </w:rPr>
        <w:t>31.1</w:t>
      </w:r>
      <w:r>
        <w:rPr>
          <w:rFonts w:hint="eastAsia" w:ascii="宋体" w:hAnsi="宋体"/>
          <w:szCs w:val="21"/>
        </w:rPr>
        <w:t>《深圳经济特区政府采购条例》第五十七条规定：供应商在政府采购中，有下列行为之一的，一至三年内禁止其参与本市政府采购，并由主管部门记入供应商诚信档案，处以采购金额千分之十以上千分之二十以下的罚款；情节严重的，取消其参与本市政府采购资格，处以采购金额千分之二十以上千分之三十以下的罚款，并由市场监管部门依法吊销其营业执照；给他人造成损失的，依法承担赔偿责任；涉嫌犯罪的，依法移送司法机关处理：</w:t>
      </w:r>
    </w:p>
    <w:p w14:paraId="01BBEC34">
      <w:pPr>
        <w:ind w:firstLine="411" w:firstLineChars="196"/>
        <w:rPr>
          <w:rFonts w:ascii="宋体"/>
          <w:szCs w:val="21"/>
        </w:rPr>
      </w:pPr>
      <w:r>
        <w:rPr>
          <w:rFonts w:hint="eastAsia" w:ascii="宋体" w:hAnsi="宋体"/>
          <w:szCs w:val="21"/>
        </w:rPr>
        <w:t>（</w:t>
      </w:r>
      <w:r>
        <w:rPr>
          <w:rFonts w:ascii="宋体" w:hAnsi="宋体"/>
          <w:szCs w:val="21"/>
        </w:rPr>
        <w:t>1</w:t>
      </w:r>
      <w:r>
        <w:rPr>
          <w:rFonts w:hint="eastAsia" w:ascii="宋体" w:hAnsi="宋体"/>
          <w:szCs w:val="21"/>
        </w:rPr>
        <w:t>）在采购活动中应当回避而未回避的；</w:t>
      </w:r>
    </w:p>
    <w:p w14:paraId="1A789D13">
      <w:pPr>
        <w:ind w:firstLine="411" w:firstLineChars="196"/>
        <w:rPr>
          <w:rFonts w:ascii="宋体"/>
          <w:szCs w:val="21"/>
        </w:rPr>
      </w:pPr>
      <w:r>
        <w:rPr>
          <w:rFonts w:hint="eastAsia" w:ascii="宋体" w:hAnsi="宋体"/>
          <w:szCs w:val="21"/>
        </w:rPr>
        <w:t>（</w:t>
      </w:r>
      <w:r>
        <w:rPr>
          <w:rFonts w:ascii="宋体" w:hAnsi="宋体"/>
          <w:szCs w:val="21"/>
        </w:rPr>
        <w:t>2</w:t>
      </w:r>
      <w:r>
        <w:rPr>
          <w:rFonts w:hint="eastAsia" w:ascii="宋体" w:hAnsi="宋体"/>
          <w:szCs w:val="21"/>
        </w:rPr>
        <w:t>）未按本条例规定签订、履行采购合同，造成严重后果的；</w:t>
      </w:r>
    </w:p>
    <w:p w14:paraId="1C4EE803">
      <w:pPr>
        <w:ind w:firstLine="411" w:firstLineChars="196"/>
        <w:rPr>
          <w:rFonts w:ascii="宋体"/>
          <w:szCs w:val="21"/>
        </w:rPr>
      </w:pPr>
      <w:r>
        <w:rPr>
          <w:rFonts w:hint="eastAsia" w:ascii="宋体" w:hAnsi="宋体"/>
          <w:szCs w:val="21"/>
        </w:rPr>
        <w:t>（</w:t>
      </w:r>
      <w:r>
        <w:rPr>
          <w:rFonts w:ascii="宋体" w:hAnsi="宋体"/>
          <w:szCs w:val="21"/>
        </w:rPr>
        <w:t>3</w:t>
      </w:r>
      <w:r>
        <w:rPr>
          <w:rFonts w:hint="eastAsia" w:ascii="宋体" w:hAnsi="宋体"/>
          <w:szCs w:val="21"/>
        </w:rPr>
        <w:t>）隐瞒真实情况，提供虚假资料的；</w:t>
      </w:r>
    </w:p>
    <w:p w14:paraId="2DDB9239">
      <w:pPr>
        <w:ind w:firstLine="411" w:firstLineChars="196"/>
        <w:rPr>
          <w:rFonts w:ascii="宋体"/>
          <w:szCs w:val="21"/>
        </w:rPr>
      </w:pPr>
      <w:r>
        <w:rPr>
          <w:rFonts w:hint="eastAsia" w:ascii="宋体" w:hAnsi="宋体"/>
          <w:szCs w:val="21"/>
        </w:rPr>
        <w:t>（</w:t>
      </w:r>
      <w:r>
        <w:rPr>
          <w:rFonts w:ascii="宋体" w:hAnsi="宋体"/>
          <w:szCs w:val="21"/>
        </w:rPr>
        <w:t>4</w:t>
      </w:r>
      <w:r>
        <w:rPr>
          <w:rFonts w:hint="eastAsia" w:ascii="宋体" w:hAnsi="宋体"/>
          <w:szCs w:val="21"/>
        </w:rPr>
        <w:t>）以非法手段排斥其他供应商参与竞争的；</w:t>
      </w:r>
    </w:p>
    <w:p w14:paraId="6654B874">
      <w:pPr>
        <w:ind w:firstLine="411" w:firstLineChars="196"/>
        <w:rPr>
          <w:rFonts w:ascii="宋体"/>
          <w:szCs w:val="21"/>
        </w:rPr>
      </w:pPr>
      <w:r>
        <w:rPr>
          <w:rFonts w:hint="eastAsia" w:ascii="宋体" w:hAnsi="宋体"/>
          <w:szCs w:val="21"/>
        </w:rPr>
        <w:t>（</w:t>
      </w:r>
      <w:r>
        <w:rPr>
          <w:rFonts w:ascii="宋体" w:hAnsi="宋体"/>
          <w:szCs w:val="21"/>
        </w:rPr>
        <w:t>5</w:t>
      </w:r>
      <w:r>
        <w:rPr>
          <w:rFonts w:hint="eastAsia" w:ascii="宋体" w:hAnsi="宋体"/>
          <w:szCs w:val="21"/>
        </w:rPr>
        <w:t>）与其他采购参加人串通投标的；</w:t>
      </w:r>
    </w:p>
    <w:p w14:paraId="09504C92">
      <w:pPr>
        <w:ind w:firstLine="411" w:firstLineChars="196"/>
        <w:rPr>
          <w:rFonts w:ascii="宋体"/>
          <w:szCs w:val="21"/>
        </w:rPr>
      </w:pPr>
      <w:r>
        <w:rPr>
          <w:rFonts w:hint="eastAsia" w:ascii="宋体" w:hAnsi="宋体"/>
          <w:szCs w:val="21"/>
        </w:rPr>
        <w:t>（</w:t>
      </w:r>
      <w:r>
        <w:rPr>
          <w:rFonts w:ascii="宋体" w:hAnsi="宋体"/>
          <w:szCs w:val="21"/>
        </w:rPr>
        <w:t>6</w:t>
      </w:r>
      <w:r>
        <w:rPr>
          <w:rFonts w:hint="eastAsia" w:ascii="宋体" w:hAnsi="宋体"/>
          <w:szCs w:val="21"/>
        </w:rPr>
        <w:t>）恶意投诉的；</w:t>
      </w:r>
    </w:p>
    <w:p w14:paraId="3C636ACC">
      <w:pPr>
        <w:ind w:firstLine="411" w:firstLineChars="196"/>
        <w:rPr>
          <w:rFonts w:ascii="宋体"/>
          <w:szCs w:val="21"/>
        </w:rPr>
      </w:pPr>
      <w:r>
        <w:rPr>
          <w:rFonts w:hint="eastAsia" w:ascii="宋体" w:hAnsi="宋体"/>
          <w:szCs w:val="21"/>
        </w:rPr>
        <w:t>（</w:t>
      </w:r>
      <w:r>
        <w:rPr>
          <w:rFonts w:ascii="宋体" w:hAnsi="宋体"/>
          <w:szCs w:val="21"/>
        </w:rPr>
        <w:t>7</w:t>
      </w:r>
      <w:r>
        <w:rPr>
          <w:rFonts w:hint="eastAsia" w:ascii="宋体" w:hAnsi="宋体"/>
          <w:szCs w:val="21"/>
        </w:rPr>
        <w:t>）向采购项目相关人行贿或者提供其他不当利益的；</w:t>
      </w:r>
    </w:p>
    <w:p w14:paraId="34AB99AC">
      <w:pPr>
        <w:ind w:firstLine="411" w:firstLineChars="196"/>
        <w:rPr>
          <w:rFonts w:ascii="宋体"/>
          <w:szCs w:val="21"/>
        </w:rPr>
      </w:pPr>
      <w:r>
        <w:rPr>
          <w:rFonts w:hint="eastAsia" w:ascii="宋体" w:hAnsi="宋体"/>
          <w:szCs w:val="21"/>
        </w:rPr>
        <w:t>（</w:t>
      </w:r>
      <w:r>
        <w:rPr>
          <w:rFonts w:ascii="宋体" w:hAnsi="宋体"/>
          <w:szCs w:val="21"/>
        </w:rPr>
        <w:t>8</w:t>
      </w:r>
      <w:r>
        <w:rPr>
          <w:rFonts w:hint="eastAsia" w:ascii="宋体" w:hAnsi="宋体"/>
          <w:szCs w:val="21"/>
        </w:rPr>
        <w:t>）阻碍、抗拒主管部门监督检查的；</w:t>
      </w:r>
    </w:p>
    <w:p w14:paraId="645BD916">
      <w:pPr>
        <w:tabs>
          <w:tab w:val="left" w:pos="-1080"/>
        </w:tabs>
        <w:ind w:firstLine="420" w:firstLineChars="200"/>
        <w:rPr>
          <w:rFonts w:ascii="宋体"/>
          <w:szCs w:val="21"/>
        </w:rPr>
      </w:pPr>
      <w:r>
        <w:rPr>
          <w:rFonts w:hint="eastAsia" w:ascii="宋体" w:hAnsi="宋体"/>
          <w:szCs w:val="21"/>
        </w:rPr>
        <w:t>（</w:t>
      </w:r>
      <w:r>
        <w:rPr>
          <w:rFonts w:ascii="宋体" w:hAnsi="宋体"/>
          <w:szCs w:val="21"/>
        </w:rPr>
        <w:t>9</w:t>
      </w:r>
      <w:r>
        <w:rPr>
          <w:rFonts w:hint="eastAsia" w:ascii="宋体" w:hAnsi="宋体"/>
          <w:szCs w:val="21"/>
        </w:rPr>
        <w:t>）其他违反本条例规定的行为。</w:t>
      </w:r>
    </w:p>
    <w:p w14:paraId="1E3FCB3F">
      <w:pPr>
        <w:ind w:firstLine="411" w:firstLineChars="196"/>
        <w:rPr>
          <w:rFonts w:ascii="宋体"/>
          <w:szCs w:val="21"/>
        </w:rPr>
      </w:pPr>
      <w:r>
        <w:rPr>
          <w:rFonts w:ascii="宋体" w:hAnsi="宋体"/>
          <w:szCs w:val="21"/>
        </w:rPr>
        <w:t>31.2</w:t>
      </w:r>
      <w:r>
        <w:rPr>
          <w:rFonts w:hint="eastAsia" w:ascii="宋体" w:hAnsi="宋体"/>
          <w:szCs w:val="21"/>
        </w:rPr>
        <w:t>根据《深圳市财政局关于明确政府采购保证金管理工作的通知》（深财购</w:t>
      </w:r>
      <w:r>
        <w:rPr>
          <w:rFonts w:ascii="宋体" w:hAnsi="宋体"/>
          <w:szCs w:val="21"/>
        </w:rPr>
        <w:t>[2019]42</w:t>
      </w:r>
      <w:r>
        <w:rPr>
          <w:rFonts w:hint="eastAsia" w:ascii="宋体" w:hAnsi="宋体"/>
          <w:szCs w:val="21"/>
        </w:rPr>
        <w:t>号）的要求，供应商在政府采购活动中出现《深圳经济特区政府采购条例实施细则》以下情形的，采购人或招标机构可将有关情况报同级财政部门，由财政部门根据实际情况记入供应商诚信档案，予以通报：</w:t>
      </w:r>
    </w:p>
    <w:p w14:paraId="4311D136">
      <w:pPr>
        <w:ind w:firstLine="411" w:firstLineChars="196"/>
        <w:rPr>
          <w:rFonts w:ascii="宋体"/>
          <w:szCs w:val="21"/>
        </w:rPr>
      </w:pPr>
      <w:r>
        <w:rPr>
          <w:rFonts w:hint="eastAsia" w:ascii="宋体" w:hAnsi="宋体"/>
          <w:szCs w:val="21"/>
        </w:rPr>
        <w:t>（</w:t>
      </w:r>
      <w:r>
        <w:rPr>
          <w:rFonts w:ascii="宋体" w:hAnsi="宋体"/>
          <w:szCs w:val="21"/>
        </w:rPr>
        <w:t>1</w:t>
      </w:r>
      <w:r>
        <w:rPr>
          <w:rFonts w:hint="eastAsia" w:ascii="宋体" w:hAnsi="宋体"/>
          <w:szCs w:val="21"/>
        </w:rPr>
        <w:t>）投标截止后，撤销投标的；</w:t>
      </w:r>
    </w:p>
    <w:p w14:paraId="53712E76">
      <w:pPr>
        <w:ind w:firstLine="411" w:firstLineChars="196"/>
        <w:rPr>
          <w:rFonts w:ascii="宋体"/>
          <w:szCs w:val="21"/>
        </w:rPr>
      </w:pPr>
      <w:r>
        <w:rPr>
          <w:rFonts w:hint="eastAsia" w:ascii="宋体" w:hAnsi="宋体"/>
          <w:szCs w:val="21"/>
        </w:rPr>
        <w:t>（</w:t>
      </w:r>
      <w:r>
        <w:rPr>
          <w:rFonts w:ascii="宋体" w:hAnsi="宋体"/>
          <w:szCs w:val="21"/>
        </w:rPr>
        <w:t>2</w:t>
      </w:r>
      <w:r>
        <w:rPr>
          <w:rFonts w:hint="eastAsia" w:ascii="宋体" w:hAnsi="宋体"/>
          <w:szCs w:val="21"/>
        </w:rPr>
        <w:t>）中标后无正当理由未在规定期限内签订合同的；</w:t>
      </w:r>
    </w:p>
    <w:p w14:paraId="661E3D0C">
      <w:pPr>
        <w:ind w:firstLine="411" w:firstLineChars="196"/>
        <w:rPr>
          <w:rFonts w:ascii="宋体"/>
          <w:szCs w:val="21"/>
        </w:rPr>
      </w:pPr>
      <w:r>
        <w:rPr>
          <w:rFonts w:hint="eastAsia" w:ascii="宋体" w:hAnsi="宋体"/>
          <w:szCs w:val="21"/>
        </w:rPr>
        <w:t>（</w:t>
      </w:r>
      <w:r>
        <w:rPr>
          <w:rFonts w:ascii="宋体" w:hAnsi="宋体"/>
          <w:szCs w:val="21"/>
        </w:rPr>
        <w:t>3</w:t>
      </w:r>
      <w:r>
        <w:rPr>
          <w:rFonts w:hint="eastAsia" w:ascii="宋体" w:hAnsi="宋体"/>
          <w:szCs w:val="21"/>
        </w:rPr>
        <w:t>）将中标项目转让给他人、或者在</w:t>
      </w:r>
      <w:r>
        <w:rPr>
          <w:rFonts w:hint="eastAsia" w:ascii="宋体" w:hAnsi="宋体"/>
          <w:szCs w:val="21"/>
          <w:lang w:eastAsia="zh-CN"/>
        </w:rPr>
        <w:t>应答文件</w:t>
      </w:r>
      <w:r>
        <w:rPr>
          <w:rFonts w:hint="eastAsia" w:ascii="宋体" w:hAnsi="宋体"/>
          <w:szCs w:val="21"/>
        </w:rPr>
        <w:t>中未说明且未经采购人、采购招标机构同意，将中标项目分包给他人的；</w:t>
      </w:r>
    </w:p>
    <w:p w14:paraId="71F5E4E2">
      <w:pPr>
        <w:tabs>
          <w:tab w:val="left" w:pos="-1080"/>
        </w:tabs>
        <w:ind w:firstLine="420" w:firstLineChars="200"/>
        <w:rPr>
          <w:rFonts w:ascii="宋体"/>
          <w:szCs w:val="21"/>
        </w:rPr>
      </w:pPr>
      <w:r>
        <w:rPr>
          <w:rFonts w:hint="eastAsia" w:ascii="宋体" w:hAnsi="宋体"/>
          <w:szCs w:val="21"/>
        </w:rPr>
        <w:t>（</w:t>
      </w:r>
      <w:r>
        <w:rPr>
          <w:rFonts w:ascii="宋体" w:hAnsi="宋体"/>
          <w:szCs w:val="21"/>
        </w:rPr>
        <w:t>4</w:t>
      </w:r>
      <w:r>
        <w:rPr>
          <w:rFonts w:hint="eastAsia" w:ascii="宋体" w:hAnsi="宋体"/>
          <w:szCs w:val="21"/>
        </w:rPr>
        <w:t>）拒绝履行合同义务的。</w:t>
      </w:r>
    </w:p>
    <w:p w14:paraId="55B4EEC4">
      <w:pPr>
        <w:pStyle w:val="3"/>
        <w:snapToGrid w:val="0"/>
        <w:rPr>
          <w:sz w:val="28"/>
          <w:szCs w:val="28"/>
        </w:rPr>
      </w:pPr>
      <w:r>
        <w:rPr>
          <w:rFonts w:hint="eastAsia"/>
          <w:sz w:val="28"/>
          <w:szCs w:val="28"/>
        </w:rPr>
        <w:t>八、质疑处理</w:t>
      </w:r>
    </w:p>
    <w:p w14:paraId="51138AED">
      <w:pPr>
        <w:rPr>
          <w:b/>
        </w:rPr>
      </w:pPr>
      <w:r>
        <w:rPr>
          <w:b/>
        </w:rPr>
        <w:t>32.</w:t>
      </w:r>
      <w:r>
        <w:rPr>
          <w:rFonts w:hint="eastAsia"/>
          <w:b/>
        </w:rPr>
        <w:t>质疑提出与答复</w:t>
      </w:r>
    </w:p>
    <w:p w14:paraId="02012469">
      <w:pPr>
        <w:rPr>
          <w:rFonts w:ascii="宋体"/>
          <w:szCs w:val="21"/>
        </w:rPr>
      </w:pPr>
      <w:r>
        <w:rPr>
          <w:rFonts w:ascii="宋体" w:hAnsi="宋体"/>
          <w:szCs w:val="21"/>
        </w:rPr>
        <w:t xml:space="preserve">    32.1</w:t>
      </w:r>
      <w:r>
        <w:rPr>
          <w:rFonts w:hint="eastAsia" w:ascii="宋体" w:hAnsi="宋体"/>
          <w:szCs w:val="21"/>
        </w:rPr>
        <w:t>提出质疑</w:t>
      </w:r>
    </w:p>
    <w:p w14:paraId="0E2D54A5">
      <w:pPr>
        <w:rPr>
          <w:rFonts w:ascii="宋体"/>
          <w:szCs w:val="21"/>
        </w:rPr>
      </w:pPr>
      <w:r>
        <w:rPr>
          <w:rFonts w:ascii="宋体" w:hAnsi="宋体"/>
          <w:szCs w:val="21"/>
        </w:rPr>
        <w:t xml:space="preserve">    </w:t>
      </w:r>
      <w:r>
        <w:rPr>
          <w:rFonts w:hint="eastAsia" w:ascii="宋体" w:hAnsi="宋体"/>
          <w:szCs w:val="21"/>
        </w:rPr>
        <w:t>参与政府采购活动的供应商认为自己的权益在采购活动中受到损害的，应当自知道或者应当知道其权益受到损害之日起七个工作日内向采购人、政府采购代理机构以书面形式提出质疑。</w:t>
      </w:r>
    </w:p>
    <w:p w14:paraId="6384E608">
      <w:pPr>
        <w:rPr>
          <w:rFonts w:ascii="宋体"/>
          <w:szCs w:val="21"/>
        </w:rPr>
      </w:pPr>
      <w:r>
        <w:rPr>
          <w:rFonts w:ascii="宋体" w:hAnsi="宋体"/>
          <w:szCs w:val="21"/>
        </w:rPr>
        <w:t xml:space="preserve">    32.2</w:t>
      </w:r>
      <w:r>
        <w:rPr>
          <w:rFonts w:hint="eastAsia" w:ascii="宋体" w:hAnsi="宋体"/>
          <w:szCs w:val="21"/>
        </w:rPr>
        <w:t>法律依据</w:t>
      </w:r>
    </w:p>
    <w:p w14:paraId="6BC3CDA6">
      <w:pPr>
        <w:rPr>
          <w:rFonts w:ascii="宋体"/>
          <w:szCs w:val="21"/>
        </w:rPr>
      </w:pPr>
      <w:r>
        <w:rPr>
          <w:rFonts w:ascii="宋体" w:hAnsi="宋体"/>
          <w:szCs w:val="21"/>
        </w:rPr>
        <w:t xml:space="preserve">    </w:t>
      </w:r>
      <w:r>
        <w:rPr>
          <w:rFonts w:hint="eastAsia" w:ascii="宋体" w:hAnsi="宋体"/>
          <w:szCs w:val="21"/>
        </w:rPr>
        <w:t>《中华人民共和国政府采购法》、《中华人民共和国政府采购法实施条例》、《深圳经济特区政府采购条例》、《深圳经济特区政府采购条例实施细则》、《政府采购质疑和投诉办法》（财政部令第</w:t>
      </w:r>
      <w:r>
        <w:rPr>
          <w:rFonts w:ascii="宋体" w:hAnsi="宋体"/>
          <w:szCs w:val="21"/>
        </w:rPr>
        <w:t>94</w:t>
      </w:r>
      <w:r>
        <w:rPr>
          <w:rFonts w:hint="eastAsia" w:ascii="宋体" w:hAnsi="宋体"/>
          <w:szCs w:val="21"/>
        </w:rPr>
        <w:t>号）和其他有关法律法规规定。</w:t>
      </w:r>
    </w:p>
    <w:p w14:paraId="62DEC1C4">
      <w:pPr>
        <w:rPr>
          <w:rFonts w:ascii="宋体"/>
          <w:szCs w:val="21"/>
        </w:rPr>
      </w:pPr>
      <w:r>
        <w:rPr>
          <w:rFonts w:ascii="宋体" w:hAnsi="宋体"/>
          <w:szCs w:val="21"/>
        </w:rPr>
        <w:t xml:space="preserve">    32.3</w:t>
      </w:r>
      <w:r>
        <w:rPr>
          <w:rFonts w:hint="eastAsia" w:ascii="宋体" w:hAnsi="宋体"/>
          <w:szCs w:val="21"/>
        </w:rPr>
        <w:t>质疑条件</w:t>
      </w:r>
    </w:p>
    <w:p w14:paraId="52760D15">
      <w:pPr>
        <w:rPr>
          <w:rFonts w:ascii="宋体"/>
          <w:szCs w:val="21"/>
        </w:rPr>
      </w:pPr>
      <w:r>
        <w:rPr>
          <w:rFonts w:ascii="宋体" w:hAnsi="宋体"/>
          <w:szCs w:val="21"/>
        </w:rPr>
        <w:t xml:space="preserve">    32.3.1</w:t>
      </w:r>
      <w:r>
        <w:rPr>
          <w:rFonts w:hint="eastAsia" w:ascii="宋体" w:hAnsi="宋体"/>
          <w:szCs w:val="21"/>
        </w:rPr>
        <w:t>提出质疑的供应商应当是参与所质疑项目采购活动的供应商；</w:t>
      </w:r>
    </w:p>
    <w:p w14:paraId="5E904B81">
      <w:pPr>
        <w:spacing w:line="312" w:lineRule="atLeast"/>
        <w:textAlignment w:val="center"/>
        <w:rPr>
          <w:rFonts w:ascii="宋体"/>
          <w:szCs w:val="21"/>
        </w:rPr>
      </w:pPr>
      <w:r>
        <w:rPr>
          <w:rFonts w:ascii="宋体" w:hAnsi="宋体"/>
          <w:szCs w:val="21"/>
        </w:rPr>
        <w:t xml:space="preserve">    32.3.2</w:t>
      </w:r>
      <w:r>
        <w:rPr>
          <w:rFonts w:hint="eastAsia" w:ascii="宋体" w:hAnsi="宋体"/>
          <w:szCs w:val="21"/>
        </w:rPr>
        <w:t>应当在法定质疑期内一次性提出针对同一采购程序环节的质疑，法定质疑期为自知道或应当知道权益受到损害之日起</w:t>
      </w:r>
      <w:r>
        <w:rPr>
          <w:rFonts w:ascii="宋体" w:hAnsi="宋体"/>
          <w:szCs w:val="21"/>
        </w:rPr>
        <w:t>7</w:t>
      </w:r>
      <w:r>
        <w:rPr>
          <w:rFonts w:hint="eastAsia" w:ascii="宋体" w:hAnsi="宋体"/>
          <w:szCs w:val="21"/>
        </w:rPr>
        <w:t>个工作日内。应当知道其权益受到损害之日是指：对采购文件的质疑，为采购文件公布之日；对采购过程的质疑，为各采购程序环节结束之日；对中标或者成交结果以及评审委员会、谈判小组、竞价小组组成人员的质疑，为中标或者成交结果公示之日；</w:t>
      </w:r>
    </w:p>
    <w:p w14:paraId="7610A5A5">
      <w:pPr>
        <w:rPr>
          <w:rFonts w:ascii="宋体"/>
          <w:szCs w:val="21"/>
        </w:rPr>
      </w:pPr>
      <w:r>
        <w:rPr>
          <w:rFonts w:ascii="宋体" w:hAnsi="宋体"/>
          <w:szCs w:val="21"/>
        </w:rPr>
        <w:t xml:space="preserve">    32.3.3</w:t>
      </w:r>
      <w:r>
        <w:rPr>
          <w:rFonts w:hint="eastAsia" w:ascii="宋体" w:hAnsi="宋体"/>
          <w:szCs w:val="21"/>
        </w:rPr>
        <w:t>应提交书面质疑函，质疑函应当包括以下内容：（</w:t>
      </w:r>
      <w:r>
        <w:rPr>
          <w:rFonts w:ascii="宋体" w:hAnsi="宋体"/>
          <w:szCs w:val="21"/>
        </w:rPr>
        <w:t>1</w:t>
      </w:r>
      <w:r>
        <w:rPr>
          <w:rFonts w:hint="eastAsia" w:ascii="宋体" w:hAnsi="宋体"/>
          <w:szCs w:val="21"/>
        </w:rPr>
        <w:t>）具体、明确的质疑事项和与质疑事项相关的请求；（</w:t>
      </w:r>
      <w:r>
        <w:rPr>
          <w:rFonts w:ascii="宋体" w:hAnsi="宋体"/>
          <w:szCs w:val="21"/>
        </w:rPr>
        <w:t>2</w:t>
      </w:r>
      <w:r>
        <w:rPr>
          <w:rFonts w:hint="eastAsia" w:ascii="宋体" w:hAnsi="宋体"/>
          <w:szCs w:val="21"/>
        </w:rPr>
        <w:t>）合理的事实和依据；（</w:t>
      </w:r>
      <w:r>
        <w:rPr>
          <w:rFonts w:ascii="宋体" w:hAnsi="宋体"/>
          <w:szCs w:val="21"/>
        </w:rPr>
        <w:t>3</w:t>
      </w:r>
      <w:r>
        <w:rPr>
          <w:rFonts w:hint="eastAsia" w:ascii="宋体" w:hAnsi="宋体"/>
          <w:szCs w:val="21"/>
        </w:rPr>
        <w:t>）必要的证明材料和法律依据。注：质疑函范本可在政府集中采购机构网站下载。</w:t>
      </w:r>
    </w:p>
    <w:p w14:paraId="2E11EA70">
      <w:pPr>
        <w:rPr>
          <w:rFonts w:ascii="宋体"/>
          <w:szCs w:val="21"/>
        </w:rPr>
      </w:pPr>
      <w:r>
        <w:rPr>
          <w:rFonts w:ascii="宋体" w:hAnsi="宋体"/>
          <w:szCs w:val="21"/>
        </w:rPr>
        <w:t xml:space="preserve">    32.4</w:t>
      </w:r>
      <w:r>
        <w:rPr>
          <w:rFonts w:hint="eastAsia" w:ascii="宋体" w:hAnsi="宋体"/>
          <w:szCs w:val="21"/>
        </w:rPr>
        <w:t>提交材料</w:t>
      </w:r>
    </w:p>
    <w:p w14:paraId="13B6DBBE">
      <w:pPr>
        <w:rPr>
          <w:rFonts w:ascii="宋体"/>
          <w:szCs w:val="21"/>
        </w:rPr>
      </w:pPr>
      <w:r>
        <w:rPr>
          <w:rFonts w:ascii="宋体" w:hAnsi="宋体"/>
          <w:szCs w:val="21"/>
        </w:rPr>
        <w:t xml:space="preserve">    </w:t>
      </w:r>
      <w:r>
        <w:rPr>
          <w:rFonts w:hint="eastAsia" w:ascii="宋体" w:hAnsi="宋体"/>
          <w:szCs w:val="21"/>
        </w:rPr>
        <w:t>质疑函、营业执照复印件、法定代表人证明。如委托代理人提交的，还需提交授权委托书及代理人身份证明。</w:t>
      </w:r>
    </w:p>
    <w:p w14:paraId="175945DA">
      <w:pPr>
        <w:rPr>
          <w:rFonts w:ascii="宋体"/>
          <w:szCs w:val="21"/>
        </w:rPr>
      </w:pPr>
      <w:r>
        <w:rPr>
          <w:rFonts w:ascii="宋体" w:hAnsi="宋体"/>
          <w:szCs w:val="21"/>
        </w:rPr>
        <w:t xml:space="preserve">    32.5</w:t>
      </w:r>
      <w:r>
        <w:rPr>
          <w:rFonts w:hint="eastAsia" w:ascii="宋体" w:hAnsi="宋体"/>
          <w:szCs w:val="21"/>
        </w:rPr>
        <w:t>收文地点</w:t>
      </w:r>
    </w:p>
    <w:p w14:paraId="17A22B59">
      <w:pPr>
        <w:rPr>
          <w:rFonts w:ascii="宋体"/>
          <w:szCs w:val="21"/>
        </w:rPr>
      </w:pPr>
      <w:r>
        <w:rPr>
          <w:rFonts w:ascii="宋体" w:hAnsi="宋体"/>
          <w:szCs w:val="21"/>
        </w:rPr>
        <w:t xml:space="preserve">    </w:t>
      </w:r>
      <w:r>
        <w:rPr>
          <w:rFonts w:hint="eastAsia" w:ascii="宋体" w:hAnsi="宋体"/>
          <w:szCs w:val="21"/>
        </w:rPr>
        <w:t>地址：深圳市罗湖区太宁路</w:t>
      </w:r>
      <w:r>
        <w:rPr>
          <w:rFonts w:ascii="宋体" w:hAnsi="宋体"/>
          <w:szCs w:val="21"/>
        </w:rPr>
        <w:t>2</w:t>
      </w:r>
      <w:r>
        <w:rPr>
          <w:rFonts w:hint="eastAsia" w:ascii="宋体" w:hAnsi="宋体"/>
          <w:szCs w:val="21"/>
        </w:rPr>
        <w:t>号百仕达大厦</w:t>
      </w:r>
      <w:r>
        <w:rPr>
          <w:rFonts w:ascii="宋体" w:hAnsi="宋体"/>
          <w:szCs w:val="21"/>
        </w:rPr>
        <w:t>27B</w:t>
      </w:r>
      <w:r>
        <w:rPr>
          <w:rFonts w:hint="eastAsia" w:ascii="宋体" w:hAnsi="宋体"/>
          <w:szCs w:val="21"/>
        </w:rPr>
        <w:t>深圳市东海国际招标有限公司，质疑咨询电话：</w:t>
      </w:r>
      <w:r>
        <w:rPr>
          <w:rFonts w:ascii="宋体" w:hAnsi="宋体"/>
          <w:szCs w:val="21"/>
        </w:rPr>
        <w:t>0755-86959778</w:t>
      </w:r>
      <w:r>
        <w:rPr>
          <w:rFonts w:hint="eastAsia" w:ascii="宋体" w:hAnsi="宋体"/>
          <w:szCs w:val="21"/>
        </w:rPr>
        <w:t>转</w:t>
      </w:r>
      <w:r>
        <w:rPr>
          <w:rFonts w:ascii="宋体" w:hAnsi="宋体"/>
          <w:szCs w:val="21"/>
        </w:rPr>
        <w:t>80</w:t>
      </w:r>
      <w:r>
        <w:rPr>
          <w:rFonts w:hint="eastAsia" w:ascii="宋体" w:hAnsi="宋体"/>
          <w:szCs w:val="21"/>
          <w:lang w:val="en-US" w:eastAsia="zh-CN"/>
        </w:rPr>
        <w:t>24/8002/8009</w:t>
      </w:r>
      <w:r>
        <w:rPr>
          <w:rFonts w:hint="eastAsia" w:ascii="宋体" w:hAnsi="宋体"/>
          <w:szCs w:val="21"/>
        </w:rPr>
        <w:t>。</w:t>
      </w:r>
    </w:p>
    <w:p w14:paraId="52BC4D42">
      <w:pPr>
        <w:rPr>
          <w:rFonts w:ascii="宋体"/>
          <w:szCs w:val="21"/>
        </w:rPr>
      </w:pPr>
      <w:r>
        <w:rPr>
          <w:rFonts w:ascii="宋体" w:hAnsi="宋体"/>
          <w:szCs w:val="21"/>
        </w:rPr>
        <w:t xml:space="preserve">    32.6</w:t>
      </w:r>
      <w:r>
        <w:rPr>
          <w:rFonts w:hint="eastAsia" w:ascii="宋体" w:hAnsi="宋体"/>
          <w:szCs w:val="21"/>
        </w:rPr>
        <w:t>收文办理程序</w:t>
      </w:r>
    </w:p>
    <w:p w14:paraId="67B060A0">
      <w:pPr>
        <w:rPr>
          <w:rFonts w:ascii="宋体"/>
          <w:szCs w:val="21"/>
        </w:rPr>
      </w:pPr>
      <w:r>
        <w:rPr>
          <w:rFonts w:ascii="宋体" w:hAnsi="宋体"/>
          <w:szCs w:val="21"/>
        </w:rPr>
        <w:t xml:space="preserve">    32.6.1</w:t>
      </w:r>
      <w:r>
        <w:rPr>
          <w:rFonts w:hint="eastAsia" w:ascii="宋体" w:hAnsi="宋体"/>
          <w:szCs w:val="21"/>
        </w:rPr>
        <w:t>供应商提交的质疑材料符合质疑条件的办理收文，出具收文回执；</w:t>
      </w:r>
    </w:p>
    <w:p w14:paraId="3030C238">
      <w:pPr>
        <w:rPr>
          <w:rFonts w:ascii="宋体"/>
          <w:szCs w:val="21"/>
        </w:rPr>
      </w:pPr>
      <w:r>
        <w:rPr>
          <w:rFonts w:ascii="宋体" w:hAnsi="宋体"/>
          <w:szCs w:val="21"/>
        </w:rPr>
        <w:t xml:space="preserve">    32.6.2</w:t>
      </w:r>
      <w:r>
        <w:rPr>
          <w:rFonts w:hint="eastAsia" w:ascii="宋体" w:hAnsi="宋体"/>
          <w:szCs w:val="21"/>
        </w:rPr>
        <w:t>供应商提交的质疑材料不符合质疑条件的，视情况处理：（</w:t>
      </w:r>
      <w:r>
        <w:rPr>
          <w:rFonts w:ascii="宋体" w:hAnsi="宋体"/>
          <w:szCs w:val="21"/>
        </w:rPr>
        <w:t>1</w:t>
      </w:r>
      <w:r>
        <w:rPr>
          <w:rFonts w:hint="eastAsia" w:ascii="宋体" w:hAnsi="宋体"/>
          <w:szCs w:val="21"/>
        </w:rPr>
        <w:t>）质疑主体、时限不符合的，不予收文；（</w:t>
      </w:r>
      <w:r>
        <w:rPr>
          <w:rFonts w:ascii="宋体" w:hAnsi="宋体"/>
          <w:szCs w:val="21"/>
        </w:rPr>
        <w:t>2</w:t>
      </w:r>
      <w:r>
        <w:rPr>
          <w:rFonts w:hint="eastAsia" w:ascii="宋体" w:hAnsi="宋体"/>
          <w:szCs w:val="21"/>
        </w:rPr>
        <w:t>）质疑函内容、提交人身份证明不符合的，开具补正告知书，供应商可在质疑期内补正后重新提交。</w:t>
      </w:r>
    </w:p>
    <w:p w14:paraId="27BFD334">
      <w:pPr>
        <w:rPr>
          <w:rFonts w:ascii="宋体"/>
          <w:szCs w:val="21"/>
        </w:rPr>
      </w:pPr>
      <w:r>
        <w:rPr>
          <w:rFonts w:ascii="宋体" w:hAnsi="宋体"/>
          <w:szCs w:val="21"/>
        </w:rPr>
        <w:t xml:space="preserve">    32.7</w:t>
      </w:r>
      <w:r>
        <w:rPr>
          <w:rFonts w:hint="eastAsia" w:ascii="宋体" w:hAnsi="宋体"/>
          <w:szCs w:val="21"/>
        </w:rPr>
        <w:t>质疑答复时限</w:t>
      </w:r>
    </w:p>
    <w:p w14:paraId="00854D0A">
      <w:pPr>
        <w:rPr>
          <w:rFonts w:ascii="宋体"/>
          <w:szCs w:val="21"/>
        </w:rPr>
      </w:pPr>
      <w:r>
        <w:rPr>
          <w:rFonts w:ascii="宋体" w:hAnsi="宋体"/>
          <w:szCs w:val="21"/>
        </w:rPr>
        <w:t xml:space="preserve">    </w:t>
      </w:r>
      <w:r>
        <w:rPr>
          <w:rFonts w:hint="eastAsia" w:ascii="宋体" w:hAnsi="宋体"/>
          <w:szCs w:val="21"/>
        </w:rPr>
        <w:t>自收文之日起七个工作日内。</w:t>
      </w:r>
    </w:p>
    <w:p w14:paraId="442DA227">
      <w:pPr>
        <w:rPr>
          <w:rFonts w:ascii="宋体"/>
          <w:szCs w:val="21"/>
        </w:rPr>
      </w:pPr>
      <w:r>
        <w:rPr>
          <w:rFonts w:ascii="宋体" w:hAnsi="宋体"/>
          <w:szCs w:val="21"/>
        </w:rPr>
        <w:t xml:space="preserve">    32.8</w:t>
      </w:r>
      <w:r>
        <w:rPr>
          <w:rFonts w:hint="eastAsia" w:ascii="宋体" w:hAnsi="宋体"/>
          <w:szCs w:val="21"/>
        </w:rPr>
        <w:t>投诉</w:t>
      </w:r>
    </w:p>
    <w:p w14:paraId="4242A8AB">
      <w:pPr>
        <w:rPr>
          <w:rFonts w:ascii="宋体"/>
          <w:szCs w:val="21"/>
        </w:rPr>
      </w:pPr>
      <w:r>
        <w:rPr>
          <w:rFonts w:ascii="宋体" w:hAnsi="宋体"/>
          <w:szCs w:val="21"/>
        </w:rPr>
        <w:t xml:space="preserve">    </w:t>
      </w:r>
      <w:r>
        <w:rPr>
          <w:rFonts w:hint="eastAsia" w:ascii="宋体" w:hAnsi="宋体"/>
          <w:szCs w:val="21"/>
        </w:rPr>
        <w:t>对质疑答复不满意或者未在规定时间内答复的，提出质疑的供应商可以在答复期满后</w:t>
      </w:r>
      <w:r>
        <w:rPr>
          <w:rFonts w:ascii="宋体" w:hAnsi="宋体"/>
          <w:szCs w:val="21"/>
        </w:rPr>
        <w:t>15</w:t>
      </w:r>
      <w:r>
        <w:rPr>
          <w:rFonts w:hint="eastAsia" w:ascii="宋体" w:hAnsi="宋体"/>
          <w:szCs w:val="21"/>
        </w:rPr>
        <w:t>个工作日内向深圳市财政局投诉。</w:t>
      </w:r>
    </w:p>
    <w:p w14:paraId="65244DCA">
      <w:pPr>
        <w:rPr>
          <w:b/>
        </w:rPr>
      </w:pPr>
      <w:r>
        <w:rPr>
          <w:b/>
        </w:rPr>
        <w:t xml:space="preserve">33. </w:t>
      </w:r>
      <w:r>
        <w:rPr>
          <w:rFonts w:hint="eastAsia"/>
          <w:b/>
        </w:rPr>
        <w:t>质疑后续处理</w:t>
      </w:r>
    </w:p>
    <w:p w14:paraId="35E61B8B">
      <w:pPr>
        <w:rPr>
          <w:rFonts w:ascii="宋体"/>
          <w:szCs w:val="21"/>
        </w:rPr>
      </w:pPr>
      <w:r>
        <w:rPr>
          <w:rFonts w:ascii="宋体" w:hAnsi="宋体"/>
          <w:szCs w:val="21"/>
        </w:rPr>
        <w:t xml:space="preserve">    33.1</w:t>
      </w:r>
      <w:r>
        <w:rPr>
          <w:rFonts w:hint="eastAsia" w:ascii="宋体" w:hAnsi="宋体"/>
          <w:szCs w:val="21"/>
        </w:rPr>
        <w:t>供应商质疑不成立，或者成立但未对中标、成交结果构成影响的，继续开展采购活动。</w:t>
      </w:r>
    </w:p>
    <w:p w14:paraId="4EFFEB22">
      <w:pPr>
        <w:rPr>
          <w:rFonts w:ascii="宋体"/>
          <w:szCs w:val="21"/>
        </w:rPr>
      </w:pPr>
      <w:r>
        <w:rPr>
          <w:rFonts w:ascii="宋体" w:hAnsi="宋体"/>
          <w:szCs w:val="21"/>
        </w:rPr>
        <w:t xml:space="preserve">    33.2</w:t>
      </w:r>
      <w:r>
        <w:rPr>
          <w:rFonts w:hint="eastAsia" w:ascii="宋体" w:hAnsi="宋体"/>
          <w:szCs w:val="21"/>
        </w:rPr>
        <w:t>供应商质疑成立且影响或者可能影响中标、成交结果的，按照下列情况处理：（</w:t>
      </w:r>
      <w:r>
        <w:rPr>
          <w:rFonts w:ascii="宋体" w:hAnsi="宋体"/>
          <w:szCs w:val="21"/>
        </w:rPr>
        <w:t>1</w:t>
      </w:r>
      <w:r>
        <w:rPr>
          <w:rFonts w:hint="eastAsia" w:ascii="宋体" w:hAnsi="宋体"/>
          <w:szCs w:val="21"/>
        </w:rPr>
        <w:t>）对采购文件提出的质疑，依法通过澄清或者修改可以继续开展采购活动的，澄清或者修改采购文件后继续开展采购活动；否则应当修改采购文件后重新开展采购活动。（</w:t>
      </w:r>
      <w:r>
        <w:rPr>
          <w:rFonts w:ascii="宋体" w:hAnsi="宋体"/>
          <w:szCs w:val="21"/>
        </w:rPr>
        <w:t>2</w:t>
      </w:r>
      <w:r>
        <w:rPr>
          <w:rFonts w:hint="eastAsia" w:ascii="宋体" w:hAnsi="宋体"/>
          <w:szCs w:val="21"/>
        </w:rPr>
        <w:t>）对采购过程、中标或者成交结果提出的质疑，如果合格供应商符合法定数量，依法从合格的中标或者成交候选人中另行确定中标、成交供应商；如果合格供应商不符合法定数量，应当重新开展采购活动。</w:t>
      </w:r>
    </w:p>
    <w:p w14:paraId="502EC0D6">
      <w:pPr>
        <w:jc w:val="center"/>
      </w:pPr>
      <w:r>
        <w:t>---- END ----</w:t>
      </w:r>
    </w:p>
    <w:p w14:paraId="75BD1205">
      <w:pPr>
        <w:spacing w:line="360" w:lineRule="auto"/>
        <w:ind w:firstLine="560"/>
        <w:jc w:val="left"/>
      </w:pPr>
    </w:p>
    <w:p w14:paraId="29B81360">
      <w:pPr>
        <w:spacing w:line="360" w:lineRule="auto"/>
        <w:ind w:firstLine="560"/>
        <w:jc w:val="left"/>
      </w:pPr>
    </w:p>
    <w:p w14:paraId="61237EDD">
      <w:pPr>
        <w:spacing w:line="360" w:lineRule="auto"/>
        <w:jc w:val="left"/>
      </w:pPr>
    </w:p>
    <w:sectPr>
      <w:pgSz w:w="11907" w:h="16840"/>
      <w:pgMar w:top="1440" w:right="1797" w:bottom="1440" w:left="1797" w:header="851" w:footer="992" w:gutter="0"/>
      <w:pgBorders>
        <w:top w:val="none" w:sz="0" w:space="0"/>
        <w:left w:val="none" w:sz="0" w:space="0"/>
        <w:bottom w:val="none" w:sz="0" w:space="0"/>
        <w:right w:val="none" w:sz="0" w:space="0"/>
      </w:pgBorders>
      <w:cols w:space="425" w:num="1"/>
      <w:titlePg/>
      <w:docGrid w:type="lines"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altName w:val="Arial"/>
    <w:panose1 w:val="020B0604020202020204"/>
    <w:charset w:val="00"/>
    <w:family w:val="roman"/>
    <w:pitch w:val="default"/>
    <w:sig w:usb0="00000000" w:usb1="00000000" w:usb2="00000000" w:usb3="00000000" w:csb0="00000001" w:csb1="00000000"/>
  </w:font>
  <w:font w:name="隶书">
    <w:altName w:val="宋体"/>
    <w:panose1 w:val="02010509060101010101"/>
    <w:charset w:val="86"/>
    <w:family w:val="modern"/>
    <w:pitch w:val="default"/>
    <w:sig w:usb0="00000000" w:usb1="00000000" w:usb2="00000000" w:usb3="00000000" w:csb0="00040000" w:csb1="00000000"/>
  </w:font>
  <w:font w:name="monospace">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1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长城仿宋">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Arial (W1)">
    <w:altName w:val="Arial"/>
    <w:panose1 w:val="00000000000000000000"/>
    <w:charset w:val="00"/>
    <w:family w:val="swiss"/>
    <w:pitch w:val="default"/>
    <w:sig w:usb0="00000000" w:usb1="00000000" w:usb2="00000000" w:usb3="00000000" w:csb0="00000001" w:csb1="00000000"/>
  </w:font>
  <w:font w:name="Cambria">
    <w:panose1 w:val="02040503050406030204"/>
    <w:charset w:val="00"/>
    <w:family w:val="roman"/>
    <w:pitch w:val="default"/>
    <w:sig w:usb0="E00002FF" w:usb1="400004FF" w:usb2="00000000" w:usb3="00000000" w:csb0="2000019F" w:csb1="00000000"/>
  </w:font>
  <w:font w:name="??">
    <w:altName w:val="Segoe Print"/>
    <w:panose1 w:val="00000000000000000000"/>
    <w:charset w:val="00"/>
    <w:family w:val="roman"/>
    <w:pitch w:val="default"/>
    <w:sig w:usb0="00000000" w:usb1="00000000" w:usb2="00000000" w:usb3="00000000" w:csb0="00000001" w:csb1="00000000"/>
  </w:font>
  <w:font w:name="汉仪细等线简">
    <w:altName w:val="宋体"/>
    <w:panose1 w:val="00000000000000000000"/>
    <w:charset w:val="86"/>
    <w:family w:val="modern"/>
    <w:pitch w:val="default"/>
    <w:sig w:usb0="00000000" w:usb1="00000000" w:usb2="00000010" w:usb3="00000000" w:csb0="00040000" w:csb1="00000000"/>
  </w:font>
  <w:font w:name="H Yb 2gj">
    <w:altName w:val="宋体"/>
    <w:panose1 w:val="00000000000000000000"/>
    <w:charset w:val="86"/>
    <w:family w:val="auto"/>
    <w:pitch w:val="default"/>
    <w:sig w:usb0="00000000" w:usb1="00000000" w:usb2="00000010" w:usb3="00000000" w:csb0="00040000" w:csb1="00000000"/>
  </w:font>
  <w:font w:name="幼圆">
    <w:altName w:val="仿宋"/>
    <w:panose1 w:val="02010509060101010101"/>
    <w:charset w:val="86"/>
    <w:family w:val="modern"/>
    <w:pitch w:val="default"/>
    <w:sig w:usb0="00000000" w:usb1="00000000" w:usb2="00000000" w:usb3="00000000" w:csb0="00040000" w:csb1="00000000"/>
  </w:font>
  <w:font w:name="Arial Narrow">
    <w:altName w:val="Arial"/>
    <w:panose1 w:val="020B0606020202030204"/>
    <w:charset w:val="00"/>
    <w:family w:val="swiss"/>
    <w:pitch w:val="default"/>
    <w:sig w:usb0="00000000" w:usb1="00000000" w:usb2="00000000" w:usb3="00000000" w:csb0="2000009F" w:csb1="DFD70000"/>
  </w:font>
  <w:font w:name="微软雅黑">
    <w:panose1 w:val="020B0503020204020204"/>
    <w:charset w:val="86"/>
    <w:family w:val="swiss"/>
    <w:pitch w:val="default"/>
    <w:sig w:usb0="80000287" w:usb1="280F3C52" w:usb2="00000016" w:usb3="00000000" w:csb0="0004001F" w:csb1="00000000"/>
  </w:font>
  <w:font w:name="PMingLiUfalt">
    <w:altName w:val="MingLiU"/>
    <w:panose1 w:val="00000000000000000000"/>
    <w:charset w:val="88"/>
    <w:family w:val="auto"/>
    <w:pitch w:val="default"/>
    <w:sig w:usb0="00000000" w:usb1="00000000" w:usb2="00000010" w:usb3="00000000" w:csb0="00100000" w:csb1="00000000"/>
  </w:font>
  <w:font w:name="MingLiU">
    <w:panose1 w:val="02020509000000000000"/>
    <w:charset w:val="88"/>
    <w:family w:val="auto"/>
    <w:pitch w:val="default"/>
    <w:sig w:usb0="A00002FF" w:usb1="28CFFCFA" w:usb2="00000016" w:usb3="00000000" w:csb0="00100001" w:csb1="00000000"/>
  </w:font>
  <w:font w:name="ActionIcon">
    <w:altName w:val="Segoe Print"/>
    <w:panose1 w:val="00000000000000000000"/>
    <w:charset w:val="00"/>
    <w:family w:val="auto"/>
    <w:pitch w:val="default"/>
    <w:sig w:usb0="00000000" w:usb1="00000000" w:usb2="00000000" w:usb3="00000000" w:csb0="00000000" w:csb1="00000000"/>
  </w:font>
  <w:font w:name="ModIcon">
    <w:altName w:val="Segoe Print"/>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FB1592">
    <w:pPr>
      <w:pStyle w:val="29"/>
      <w:framePr w:wrap="around" w:vAnchor="text" w:hAnchor="margin" w:xAlign="center" w:y="1"/>
      <w:rPr>
        <w:rStyle w:val="50"/>
      </w:rPr>
    </w:pPr>
    <w:r>
      <w:t xml:space="preserve">- </w:t>
    </w:r>
    <w:r>
      <w:fldChar w:fldCharType="begin"/>
    </w:r>
    <w:r>
      <w:instrText xml:space="preserve"> PAGE </w:instrText>
    </w:r>
    <w:r>
      <w:fldChar w:fldCharType="separate"/>
    </w:r>
    <w:r>
      <w:t>55</w:t>
    </w:r>
    <w:r>
      <w:fldChar w:fldCharType="end"/>
    </w:r>
    <w:r>
      <w:t xml:space="preserve"> -</w:t>
    </w:r>
  </w:p>
  <w:p w14:paraId="1A3B0E68">
    <w:pPr>
      <w:pStyle w:val="2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3BEFF4">
    <w:pPr>
      <w:pStyle w:val="29"/>
      <w:framePr w:wrap="around" w:vAnchor="text" w:hAnchor="margin" w:xAlign="center" w:y="1"/>
      <w:rPr>
        <w:rStyle w:val="50"/>
      </w:rPr>
    </w:pPr>
    <w:r>
      <w:rPr>
        <w:rStyle w:val="50"/>
      </w:rPr>
      <w:fldChar w:fldCharType="begin"/>
    </w:r>
    <w:r>
      <w:rPr>
        <w:rStyle w:val="50"/>
      </w:rPr>
      <w:instrText xml:space="preserve">PAGE  </w:instrText>
    </w:r>
    <w:r>
      <w:rPr>
        <w:rStyle w:val="50"/>
      </w:rPr>
      <w:fldChar w:fldCharType="separate"/>
    </w:r>
    <w:r>
      <w:rPr>
        <w:rStyle w:val="50"/>
      </w:rPr>
      <w:fldChar w:fldCharType="end"/>
    </w:r>
  </w:p>
  <w:p w14:paraId="03378CCB">
    <w:pPr>
      <w:pStyle w:val="2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358C2E"/>
    <w:multiLevelType w:val="singleLevel"/>
    <w:tmpl w:val="B9358C2E"/>
    <w:lvl w:ilvl="0" w:tentative="0">
      <w:start w:val="2"/>
      <w:numFmt w:val="decimal"/>
      <w:suff w:val="nothing"/>
      <w:lvlText w:val="%1、"/>
      <w:lvlJc w:val="left"/>
    </w:lvl>
  </w:abstractNum>
  <w:abstractNum w:abstractNumId="1">
    <w:nsid w:val="FFFFFF7C"/>
    <w:multiLevelType w:val="singleLevel"/>
    <w:tmpl w:val="FFFFFF7C"/>
    <w:lvl w:ilvl="0" w:tentative="0">
      <w:start w:val="1"/>
      <w:numFmt w:val="decimal"/>
      <w:pStyle w:val="95"/>
      <w:lvlText w:val="%1."/>
      <w:lvlJc w:val="left"/>
      <w:pPr>
        <w:tabs>
          <w:tab w:val="left" w:pos="7994"/>
        </w:tabs>
        <w:ind w:left="7994" w:hanging="360"/>
      </w:pPr>
      <w:rPr>
        <w:rFonts w:cs="Times New Roman"/>
      </w:rPr>
    </w:lvl>
  </w:abstractNum>
  <w:abstractNum w:abstractNumId="2">
    <w:nsid w:val="FFFFFF89"/>
    <w:multiLevelType w:val="singleLevel"/>
    <w:tmpl w:val="FFFFFF89"/>
    <w:lvl w:ilvl="0" w:tentative="0">
      <w:start w:val="1"/>
      <w:numFmt w:val="bullet"/>
      <w:pStyle w:val="14"/>
      <w:lvlText w:val=""/>
      <w:lvlJc w:val="left"/>
      <w:pPr>
        <w:tabs>
          <w:tab w:val="left" w:pos="360"/>
        </w:tabs>
        <w:ind w:left="360" w:hanging="360"/>
      </w:pPr>
      <w:rPr>
        <w:rFonts w:hint="default" w:ascii="Wingdings" w:hAnsi="Wingdings"/>
      </w:rPr>
    </w:lvl>
  </w:abstractNum>
  <w:abstractNum w:abstractNumId="3">
    <w:nsid w:val="00000001"/>
    <w:multiLevelType w:val="multilevel"/>
    <w:tmpl w:val="00000001"/>
    <w:lvl w:ilvl="0" w:tentative="0">
      <w:start w:val="14"/>
      <w:numFmt w:val="decimal"/>
      <w:lvlText w:val="%1、"/>
      <w:lvlJc w:val="left"/>
      <w:pPr>
        <w:ind w:left="435" w:hanging="435"/>
      </w:pPr>
      <w:rPr>
        <w:rFonts w:hint="default"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4">
    <w:nsid w:val="12503483"/>
    <w:multiLevelType w:val="multilevel"/>
    <w:tmpl w:val="12503483"/>
    <w:lvl w:ilvl="0" w:tentative="0">
      <w:start w:val="1"/>
      <w:numFmt w:val="bullet"/>
      <w:pStyle w:val="124"/>
      <w:lvlText w:val=""/>
      <w:lvlJc w:val="left"/>
      <w:pPr>
        <w:tabs>
          <w:tab w:val="left" w:pos="420"/>
        </w:tabs>
        <w:ind w:left="420" w:hanging="420"/>
      </w:pPr>
      <w:rPr>
        <w:rFonts w:hint="default" w:ascii="Wingdings" w:hAnsi="Wingdings"/>
      </w:rPr>
    </w:lvl>
    <w:lvl w:ilvl="1" w:tentative="0">
      <w:start w:val="1"/>
      <w:numFmt w:val="bullet"/>
      <w:pStyle w:val="123"/>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5">
    <w:nsid w:val="160D20D0"/>
    <w:multiLevelType w:val="multilevel"/>
    <w:tmpl w:val="160D20D0"/>
    <w:lvl w:ilvl="0" w:tentative="0">
      <w:start w:val="1"/>
      <w:numFmt w:val="bullet"/>
      <w:pStyle w:val="110"/>
      <w:lvlText w:val=""/>
      <w:lvlJc w:val="left"/>
      <w:pPr>
        <w:tabs>
          <w:tab w:val="left" w:pos="840"/>
        </w:tabs>
        <w:ind w:left="840" w:hanging="420"/>
      </w:pPr>
      <w:rPr>
        <w:rFonts w:hint="default" w:ascii="Wingdings" w:hAnsi="Wingdings"/>
      </w:rPr>
    </w:lvl>
    <w:lvl w:ilvl="1" w:tentative="0">
      <w:start w:val="1"/>
      <w:numFmt w:val="bullet"/>
      <w:pStyle w:val="111"/>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6">
    <w:nsid w:val="2F395B7B"/>
    <w:multiLevelType w:val="multilevel"/>
    <w:tmpl w:val="2F395B7B"/>
    <w:lvl w:ilvl="0" w:tentative="0">
      <w:start w:val="1"/>
      <w:numFmt w:val="bullet"/>
      <w:pStyle w:val="183"/>
      <w:lvlText w:val=""/>
      <w:lvlJc w:val="left"/>
      <w:pPr>
        <w:tabs>
          <w:tab w:val="left" w:pos="360"/>
        </w:tabs>
        <w:ind w:left="360" w:hanging="360"/>
      </w:pPr>
      <w:rPr>
        <w:rFonts w:hint="default" w:ascii="Symbol" w:hAnsi="Symbol"/>
      </w:rPr>
    </w:lvl>
    <w:lvl w:ilvl="1" w:tentative="0">
      <w:start w:val="1"/>
      <w:numFmt w:val="bullet"/>
      <w:lvlText w:val=""/>
      <w:lvlJc w:val="left"/>
      <w:pPr>
        <w:tabs>
          <w:tab w:val="left" w:pos="1140"/>
        </w:tabs>
        <w:ind w:left="1140" w:hanging="420"/>
      </w:pPr>
      <w:rPr>
        <w:rFonts w:hint="default" w:ascii="Wingdings" w:hAnsi="Wingdings"/>
      </w:rPr>
    </w:lvl>
    <w:lvl w:ilvl="2" w:tentative="0">
      <w:start w:val="1"/>
      <w:numFmt w:val="bullet"/>
      <w:lvlText w:val=""/>
      <w:lvlJc w:val="left"/>
      <w:pPr>
        <w:tabs>
          <w:tab w:val="left" w:pos="1800"/>
        </w:tabs>
        <w:ind w:left="1800" w:hanging="360"/>
      </w:pPr>
      <w:rPr>
        <w:rFonts w:hint="default" w:ascii="Wingdings" w:hAnsi="Wingdings"/>
      </w:rPr>
    </w:lvl>
    <w:lvl w:ilvl="3" w:tentative="0">
      <w:start w:val="1"/>
      <w:numFmt w:val="bullet"/>
      <w:lvlText w:val=""/>
      <w:lvlJc w:val="left"/>
      <w:pPr>
        <w:tabs>
          <w:tab w:val="left" w:pos="2520"/>
        </w:tabs>
        <w:ind w:left="2520" w:hanging="360"/>
      </w:pPr>
      <w:rPr>
        <w:rFonts w:hint="default" w:ascii="Symbol" w:hAnsi="Symbol"/>
      </w:rPr>
    </w:lvl>
    <w:lvl w:ilvl="4" w:tentative="0">
      <w:start w:val="1"/>
      <w:numFmt w:val="bullet"/>
      <w:lvlText w:val="o"/>
      <w:lvlJc w:val="left"/>
      <w:pPr>
        <w:tabs>
          <w:tab w:val="left" w:pos="3240"/>
        </w:tabs>
        <w:ind w:left="3240" w:hanging="360"/>
      </w:pPr>
      <w:rPr>
        <w:rFonts w:hint="default" w:ascii="Courier New" w:hAnsi="Courier New"/>
      </w:rPr>
    </w:lvl>
    <w:lvl w:ilvl="5" w:tentative="0">
      <w:start w:val="1"/>
      <w:numFmt w:val="bullet"/>
      <w:lvlText w:val=""/>
      <w:lvlJc w:val="left"/>
      <w:pPr>
        <w:tabs>
          <w:tab w:val="left" w:pos="3960"/>
        </w:tabs>
        <w:ind w:left="3960" w:hanging="360"/>
      </w:pPr>
      <w:rPr>
        <w:rFonts w:hint="default" w:ascii="Wingdings" w:hAnsi="Wingdings"/>
      </w:rPr>
    </w:lvl>
    <w:lvl w:ilvl="6" w:tentative="0">
      <w:start w:val="1"/>
      <w:numFmt w:val="bullet"/>
      <w:lvlText w:val=""/>
      <w:lvlJc w:val="left"/>
      <w:pPr>
        <w:tabs>
          <w:tab w:val="left" w:pos="4680"/>
        </w:tabs>
        <w:ind w:left="4680" w:hanging="360"/>
      </w:pPr>
      <w:rPr>
        <w:rFonts w:hint="default" w:ascii="Symbol" w:hAnsi="Symbol"/>
      </w:rPr>
    </w:lvl>
    <w:lvl w:ilvl="7" w:tentative="0">
      <w:start w:val="1"/>
      <w:numFmt w:val="bullet"/>
      <w:lvlText w:val="o"/>
      <w:lvlJc w:val="left"/>
      <w:pPr>
        <w:tabs>
          <w:tab w:val="left" w:pos="5400"/>
        </w:tabs>
        <w:ind w:left="5400" w:hanging="360"/>
      </w:pPr>
      <w:rPr>
        <w:rFonts w:hint="default" w:ascii="Courier New" w:hAnsi="Courier New"/>
      </w:rPr>
    </w:lvl>
    <w:lvl w:ilvl="8" w:tentative="0">
      <w:start w:val="1"/>
      <w:numFmt w:val="bullet"/>
      <w:lvlText w:val=""/>
      <w:lvlJc w:val="left"/>
      <w:pPr>
        <w:tabs>
          <w:tab w:val="left" w:pos="6120"/>
        </w:tabs>
        <w:ind w:left="6120" w:hanging="360"/>
      </w:pPr>
      <w:rPr>
        <w:rFonts w:hint="default" w:ascii="Wingdings" w:hAnsi="Wingdings"/>
      </w:rPr>
    </w:lvl>
  </w:abstractNum>
  <w:abstractNum w:abstractNumId="7">
    <w:nsid w:val="6597C3B6"/>
    <w:multiLevelType w:val="singleLevel"/>
    <w:tmpl w:val="6597C3B6"/>
    <w:lvl w:ilvl="0" w:tentative="0">
      <w:start w:val="1"/>
      <w:numFmt w:val="chineseCounting"/>
      <w:suff w:val="space"/>
      <w:lvlText w:val="第%1章"/>
      <w:lvlJc w:val="left"/>
      <w:rPr>
        <w:rFonts w:hint="eastAsia"/>
      </w:rPr>
    </w:lvl>
  </w:abstractNum>
  <w:abstractNum w:abstractNumId="8">
    <w:nsid w:val="7AEF7716"/>
    <w:multiLevelType w:val="multilevel"/>
    <w:tmpl w:val="7AEF7716"/>
    <w:lvl w:ilvl="0" w:tentative="0">
      <w:start w:val="1"/>
      <w:numFmt w:val="chineseCountingThousand"/>
      <w:pStyle w:val="137"/>
      <w:lvlText w:val="%1"/>
      <w:lvlJc w:val="left"/>
      <w:pPr>
        <w:tabs>
          <w:tab w:val="left" w:pos="1290"/>
        </w:tabs>
        <w:ind w:left="630" w:hanging="420"/>
      </w:pPr>
      <w:rPr>
        <w:rFonts w:hint="eastAsia" w:cs="Times New Roman"/>
        <w:sz w:val="32"/>
        <w:szCs w:val="32"/>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num w:numId="1">
    <w:abstractNumId w:val="2"/>
  </w:num>
  <w:num w:numId="2">
    <w:abstractNumId w:val="1"/>
  </w:num>
  <w:num w:numId="3">
    <w:abstractNumId w:val="5"/>
  </w:num>
  <w:num w:numId="4">
    <w:abstractNumId w:val="4"/>
  </w:num>
  <w:num w:numId="5">
    <w:abstractNumId w:val="8"/>
  </w:num>
  <w:num w:numId="6">
    <w:abstractNumId w:val="6"/>
  </w:num>
  <w:num w:numId="7">
    <w:abstractNumId w:val="7"/>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noLineBreaksAfter w:lang="zh-CN" w:val="$([{£¥·‘“〈《「『【〔〖〝﹙﹛﹝＄（．［｛￡￥"/>
  <w:noLineBreaksBefore w:lang="zh-CN" w:val="!%),.:;&gt;?]}¢¨°·ˇˉ―‖’”…‰′″›℃∶、。〃〉》」』】〕〗〞︶︺︾﹀﹄﹚﹜﹞！＂％＇），．：；？］｀｜｝～￠"/>
  <w:compat>
    <w:ulTrailSpace/>
    <w:doNotExpandShiftReturn/>
    <w:doNotWrapTextWithPunct/>
    <w:doNotUseEastAsianBreakRules/>
    <w:useFELayout/>
    <w:doNotUseIndentAsNumberingTabStop/>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MxMjJmZGYwZTA3YjBhYzdkZDQ1YTVhNWUyMjE4NzQifQ=="/>
  </w:docVars>
  <w:rsids>
    <w:rsidRoot w:val="00000000"/>
    <w:rsid w:val="005714C6"/>
    <w:rsid w:val="01160EA3"/>
    <w:rsid w:val="03AF1619"/>
    <w:rsid w:val="05A43471"/>
    <w:rsid w:val="07155C37"/>
    <w:rsid w:val="07A34FF1"/>
    <w:rsid w:val="0B2F0899"/>
    <w:rsid w:val="0DE66BD9"/>
    <w:rsid w:val="0E83792A"/>
    <w:rsid w:val="0F397254"/>
    <w:rsid w:val="136E184D"/>
    <w:rsid w:val="14192B43"/>
    <w:rsid w:val="171E5503"/>
    <w:rsid w:val="1BE9D167"/>
    <w:rsid w:val="1CAF18FD"/>
    <w:rsid w:val="273D0B66"/>
    <w:rsid w:val="27702CEA"/>
    <w:rsid w:val="27FB05AA"/>
    <w:rsid w:val="28FB0DB4"/>
    <w:rsid w:val="29AA1C77"/>
    <w:rsid w:val="2ACC7A9C"/>
    <w:rsid w:val="2CC338BC"/>
    <w:rsid w:val="2F8C0890"/>
    <w:rsid w:val="32B1430D"/>
    <w:rsid w:val="33ED4401"/>
    <w:rsid w:val="35C12962"/>
    <w:rsid w:val="39504FED"/>
    <w:rsid w:val="3F7B5855"/>
    <w:rsid w:val="41E2438C"/>
    <w:rsid w:val="42C32FAB"/>
    <w:rsid w:val="45513D03"/>
    <w:rsid w:val="45A1630C"/>
    <w:rsid w:val="474433F3"/>
    <w:rsid w:val="47E10C42"/>
    <w:rsid w:val="480547FE"/>
    <w:rsid w:val="487E6AA9"/>
    <w:rsid w:val="48E64762"/>
    <w:rsid w:val="498E1B8C"/>
    <w:rsid w:val="49F033BE"/>
    <w:rsid w:val="4A6A1427"/>
    <w:rsid w:val="52AF02BB"/>
    <w:rsid w:val="567775EA"/>
    <w:rsid w:val="56BB5BE6"/>
    <w:rsid w:val="5A5C7BF2"/>
    <w:rsid w:val="5FCF5F62"/>
    <w:rsid w:val="627D6638"/>
    <w:rsid w:val="639C0D70"/>
    <w:rsid w:val="64981498"/>
    <w:rsid w:val="6AC46281"/>
    <w:rsid w:val="6BD3071E"/>
    <w:rsid w:val="6BD32114"/>
    <w:rsid w:val="6BDC67D3"/>
    <w:rsid w:val="6E3F209B"/>
    <w:rsid w:val="701010F1"/>
    <w:rsid w:val="74290899"/>
    <w:rsid w:val="7577691F"/>
    <w:rsid w:val="75B6D710"/>
    <w:rsid w:val="762E2FB1"/>
    <w:rsid w:val="79224A93"/>
    <w:rsid w:val="79841C0E"/>
    <w:rsid w:val="79870831"/>
    <w:rsid w:val="7FE69B74"/>
    <w:rsid w:val="9EC4E967"/>
    <w:rsid w:val="DD7DC901"/>
    <w:rsid w:val="DFEA005B"/>
    <w:rsid w:val="F7F7A8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name="index 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name="toc 2"/>
    <w:lsdException w:qFormat="1" w:unhideWhenUsed="0" w:uiPriority="99" w:name="toc 3"/>
    <w:lsdException w:qFormat="1" w:unhideWhenUsed="0" w:uiPriority="99" w:name="toc 4"/>
    <w:lsdException w:qFormat="1" w:unhideWhenUsed="0" w:uiPriority="99" w:name="toc 5"/>
    <w:lsdException w:qFormat="1" w:unhideWhenUsed="0" w:uiPriority="99" w:name="toc 6"/>
    <w:lsdException w:qFormat="1" w:unhideWhenUsed="0" w:uiPriority="99" w:name="toc 7"/>
    <w:lsdException w:qFormat="1" w:unhideWhenUsed="0" w:uiPriority="99" w:name="toc 8"/>
    <w:lsdException w:qFormat="1" w:unhideWhenUsed="0" w:uiPriority="99" w:name="toc 9"/>
    <w:lsdException w:qFormat="1" w:unhideWhenUsed="0" w:uiPriority="99" w:semiHidden="0" w:name="Normal Indent"/>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qFormat="1" w:unhideWhenUsed="0" w:uiPriority="99" w:semiHidden="0" w:name="envelope return"/>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nhideWhenUsed="0" w:uiPriority="0" w:semiHidden="0" w:name="table of authorities"/>
    <w:lsdException w:uiPriority="99" w:name="macro" w:locked="1"/>
    <w:lsdException w:uiPriority="99" w:name="toa heading" w:locked="1"/>
    <w:lsdException w:unhideWhenUsed="0" w:uiPriority="0" w:semiHidden="0" w:name="List"/>
    <w:lsdException w:qFormat="1" w:unhideWhenUsed="0" w:uiPriority="99" w:semiHidden="0" w:name="List Bullet"/>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nhideWhenUsed="0" w:uiPriority="99" w:name="Default Paragraph Font"/>
    <w:lsdException w:qFormat="1" w:unhideWhenUsed="0" w:uiPriority="99" w:semiHidden="0" w:name="Body Text"/>
    <w:lsdException w:qFormat="1" w:unhideWhenUsed="0" w:uiPriority="99" w:semiHidden="0" w:name="Body Text Indent"/>
    <w:lsdException w:uiPriority="99" w:name="List Continue" w:locked="1"/>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nhideWhenUsed="0" w:uiPriority="99" w:name="Document Map"/>
    <w:lsdException w:qFormat="1" w:unhideWhenUsed="0" w:uiPriority="99" w:semiHidden="0" w:name="Plain Text"/>
    <w:lsdException w:uiPriority="99" w:name="E-mail Signature" w:locked="1"/>
    <w:lsdException w:qFormat="1" w:unhideWhenUsed="0" w:uiPriority="99" w:semiHidden="0" w:name="Normal (Web)"/>
    <w:lsdException w:qFormat="1" w:unhideWhenUsed="0" w:uiPriority="99" w:name="HTML Acronym"/>
    <w:lsdException w:uiPriority="99" w:name="HTML Address" w:locked="1"/>
    <w:lsdException w:qFormat="1" w:unhideWhenUsed="0" w:uiPriority="99" w:name="HTML Cite"/>
    <w:lsdException w:qFormat="1" w:unhideWhenUsed="0" w:uiPriority="99" w:name="HTML Code"/>
    <w:lsdException w:qFormat="1" w:unhideWhenUsed="0" w:uiPriority="99" w:name="HTML Definition"/>
    <w:lsdException w:qFormat="1" w:unhideWhenUsed="0" w:uiPriority="99" w:name="HTML Keyboard"/>
    <w:lsdException w:qFormat="1" w:unhideWhenUsed="0" w:uiPriority="99" w:semiHidden="0" w:name="HTML Preformatted"/>
    <w:lsdException w:qFormat="1" w:unhideWhenUsed="0" w:uiPriority="99" w:name="HTML Sample"/>
    <w:lsdException w:qFormat="1" w:unhideWhenUsed="0" w:uiPriority="99" w:name="HTML Typewriter"/>
    <w:lsdException w:qFormat="1" w:unhideWhenUsed="0" w:uiPriority="99" w:name="HTML Variable"/>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qFormat="1" w:unhideWhenUsed="0" w:uiPriority="99" w:semiHidden="0" w:name="Table Elegant"/>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99" w:semiHidden="0" w:name="Quote"/>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4"/>
    <w:qFormat/>
    <w:uiPriority w:val="99"/>
    <w:pPr>
      <w:spacing w:before="340" w:after="330" w:line="360" w:lineRule="auto"/>
      <w:jc w:val="center"/>
      <w:outlineLvl w:val="0"/>
    </w:pPr>
    <w:rPr>
      <w:rFonts w:ascii="宋体" w:hAnsi="宋体" w:eastAsia="黑体"/>
      <w:kern w:val="44"/>
      <w:sz w:val="28"/>
      <w:szCs w:val="44"/>
    </w:rPr>
  </w:style>
  <w:style w:type="paragraph" w:styleId="3">
    <w:name w:val="heading 2"/>
    <w:basedOn w:val="4"/>
    <w:next w:val="5"/>
    <w:link w:val="65"/>
    <w:qFormat/>
    <w:uiPriority w:val="99"/>
    <w:pPr>
      <w:adjustRightInd w:val="0"/>
      <w:jc w:val="center"/>
      <w:textAlignment w:val="baseline"/>
      <w:outlineLvl w:val="1"/>
    </w:pPr>
    <w:rPr>
      <w:rFonts w:ascii="宋体" w:hAnsi="宋体"/>
      <w:kern w:val="0"/>
      <w:sz w:val="24"/>
      <w:szCs w:val="20"/>
    </w:rPr>
  </w:style>
  <w:style w:type="paragraph" w:styleId="4">
    <w:name w:val="heading 3"/>
    <w:basedOn w:val="5"/>
    <w:next w:val="1"/>
    <w:link w:val="66"/>
    <w:qFormat/>
    <w:uiPriority w:val="99"/>
    <w:pPr>
      <w:spacing w:before="260" w:after="260"/>
      <w:outlineLvl w:val="2"/>
    </w:pPr>
    <w:rPr>
      <w:rFonts w:ascii="宋体" w:hAnsi="宋体"/>
      <w:sz w:val="28"/>
      <w:szCs w:val="32"/>
    </w:rPr>
  </w:style>
  <w:style w:type="paragraph" w:styleId="5">
    <w:name w:val="heading 4"/>
    <w:basedOn w:val="1"/>
    <w:next w:val="1"/>
    <w:link w:val="67"/>
    <w:qFormat/>
    <w:uiPriority w:val="99"/>
    <w:pPr>
      <w:keepNext/>
      <w:keepLines/>
      <w:spacing w:before="280" w:after="290" w:line="376" w:lineRule="auto"/>
      <w:outlineLvl w:val="3"/>
    </w:pPr>
    <w:rPr>
      <w:rFonts w:ascii="Arial" w:hAnsi="Arial" w:eastAsia="黑体"/>
      <w:b/>
      <w:bCs/>
      <w:sz w:val="28"/>
      <w:szCs w:val="28"/>
    </w:rPr>
  </w:style>
  <w:style w:type="paragraph" w:styleId="6">
    <w:name w:val="heading 5"/>
    <w:basedOn w:val="1"/>
    <w:next w:val="7"/>
    <w:link w:val="68"/>
    <w:qFormat/>
    <w:uiPriority w:val="99"/>
    <w:pPr>
      <w:keepNext/>
      <w:keepLines/>
      <w:spacing w:before="280" w:after="290" w:line="376" w:lineRule="auto"/>
      <w:outlineLvl w:val="4"/>
    </w:pPr>
    <w:rPr>
      <w:b/>
      <w:sz w:val="28"/>
      <w:szCs w:val="20"/>
    </w:rPr>
  </w:style>
  <w:style w:type="paragraph" w:styleId="8">
    <w:name w:val="heading 6"/>
    <w:basedOn w:val="1"/>
    <w:next w:val="7"/>
    <w:link w:val="69"/>
    <w:qFormat/>
    <w:uiPriority w:val="99"/>
    <w:pPr>
      <w:keepNext/>
      <w:keepLines/>
      <w:spacing w:before="240" w:after="64" w:line="320" w:lineRule="auto"/>
      <w:outlineLvl w:val="5"/>
    </w:pPr>
    <w:rPr>
      <w:rFonts w:ascii="Arial" w:hAnsi="Arial" w:eastAsia="黑体"/>
      <w:b/>
      <w:sz w:val="24"/>
      <w:szCs w:val="20"/>
    </w:rPr>
  </w:style>
  <w:style w:type="paragraph" w:styleId="9">
    <w:name w:val="heading 7"/>
    <w:basedOn w:val="1"/>
    <w:next w:val="7"/>
    <w:link w:val="70"/>
    <w:qFormat/>
    <w:uiPriority w:val="99"/>
    <w:pPr>
      <w:keepNext/>
      <w:keepLines/>
      <w:spacing w:before="240" w:after="64" w:line="320" w:lineRule="auto"/>
      <w:outlineLvl w:val="6"/>
    </w:pPr>
    <w:rPr>
      <w:b/>
      <w:sz w:val="24"/>
      <w:szCs w:val="20"/>
    </w:rPr>
  </w:style>
  <w:style w:type="paragraph" w:styleId="10">
    <w:name w:val="heading 8"/>
    <w:basedOn w:val="1"/>
    <w:next w:val="7"/>
    <w:link w:val="71"/>
    <w:qFormat/>
    <w:uiPriority w:val="99"/>
    <w:pPr>
      <w:keepNext/>
      <w:keepLines/>
      <w:spacing w:before="240" w:after="64" w:line="320" w:lineRule="auto"/>
      <w:outlineLvl w:val="7"/>
    </w:pPr>
    <w:rPr>
      <w:rFonts w:ascii="Arial" w:hAnsi="Arial" w:eastAsia="黑体"/>
      <w:sz w:val="24"/>
      <w:szCs w:val="20"/>
    </w:rPr>
  </w:style>
  <w:style w:type="paragraph" w:styleId="11">
    <w:name w:val="heading 9"/>
    <w:basedOn w:val="1"/>
    <w:next w:val="7"/>
    <w:link w:val="72"/>
    <w:qFormat/>
    <w:uiPriority w:val="99"/>
    <w:pPr>
      <w:keepNext/>
      <w:keepLines/>
      <w:spacing w:before="240" w:after="64" w:line="320" w:lineRule="auto"/>
      <w:outlineLvl w:val="8"/>
    </w:pPr>
    <w:rPr>
      <w:rFonts w:ascii="Arial" w:hAnsi="Arial" w:eastAsia="黑体"/>
      <w:szCs w:val="20"/>
    </w:rPr>
  </w:style>
  <w:style w:type="character" w:default="1" w:styleId="48">
    <w:name w:val="Default Paragraph Font"/>
    <w:semiHidden/>
    <w:qFormat/>
    <w:uiPriority w:val="99"/>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93"/>
    <w:qFormat/>
    <w:uiPriority w:val="99"/>
    <w:pPr>
      <w:ind w:firstLine="420"/>
    </w:pPr>
    <w:rPr>
      <w:szCs w:val="20"/>
    </w:rPr>
  </w:style>
  <w:style w:type="paragraph" w:styleId="12">
    <w:name w:val="toc 7"/>
    <w:basedOn w:val="1"/>
    <w:next w:val="1"/>
    <w:semiHidden/>
    <w:qFormat/>
    <w:uiPriority w:val="99"/>
    <w:pPr>
      <w:ind w:left="1260"/>
      <w:jc w:val="left"/>
    </w:pPr>
    <w:rPr>
      <w:szCs w:val="21"/>
    </w:rPr>
  </w:style>
  <w:style w:type="paragraph" w:styleId="13">
    <w:name w:val="caption"/>
    <w:basedOn w:val="1"/>
    <w:next w:val="1"/>
    <w:qFormat/>
    <w:uiPriority w:val="99"/>
    <w:pPr>
      <w:widowControl/>
      <w:spacing w:line="360" w:lineRule="auto"/>
      <w:ind w:firstLine="1940" w:firstLineChars="920"/>
      <w:jc w:val="left"/>
    </w:pPr>
    <w:rPr>
      <w:rFonts w:ascii="宋体" w:hAnsi="宋体"/>
      <w:b/>
      <w:bCs/>
      <w:kern w:val="0"/>
      <w:sz w:val="20"/>
      <w:szCs w:val="20"/>
    </w:rPr>
  </w:style>
  <w:style w:type="paragraph" w:styleId="14">
    <w:name w:val="List Bullet"/>
    <w:basedOn w:val="1"/>
    <w:qFormat/>
    <w:uiPriority w:val="99"/>
    <w:pPr>
      <w:numPr>
        <w:ilvl w:val="0"/>
        <w:numId w:val="1"/>
      </w:numPr>
      <w:ind w:hangingChars="200"/>
    </w:pPr>
    <w:rPr>
      <w:szCs w:val="20"/>
    </w:rPr>
  </w:style>
  <w:style w:type="paragraph" w:styleId="15">
    <w:name w:val="Document Map"/>
    <w:basedOn w:val="1"/>
    <w:link w:val="74"/>
    <w:semiHidden/>
    <w:qFormat/>
    <w:uiPriority w:val="99"/>
    <w:pPr>
      <w:shd w:val="clear" w:color="auto" w:fill="000080"/>
    </w:pPr>
  </w:style>
  <w:style w:type="paragraph" w:styleId="16">
    <w:name w:val="annotation text"/>
    <w:basedOn w:val="1"/>
    <w:link w:val="75"/>
    <w:semiHidden/>
    <w:qFormat/>
    <w:uiPriority w:val="99"/>
    <w:pPr>
      <w:autoSpaceDE w:val="0"/>
      <w:autoSpaceDN w:val="0"/>
      <w:adjustRightInd w:val="0"/>
      <w:jc w:val="left"/>
      <w:textAlignment w:val="baseline"/>
    </w:pPr>
    <w:rPr>
      <w:rFonts w:ascii="宋体"/>
      <w:kern w:val="0"/>
      <w:sz w:val="34"/>
      <w:szCs w:val="20"/>
    </w:rPr>
  </w:style>
  <w:style w:type="paragraph" w:styleId="17">
    <w:name w:val="Body Text 3"/>
    <w:basedOn w:val="1"/>
    <w:link w:val="76"/>
    <w:qFormat/>
    <w:uiPriority w:val="99"/>
    <w:pPr>
      <w:spacing w:after="120"/>
    </w:pPr>
    <w:rPr>
      <w:sz w:val="16"/>
      <w:szCs w:val="16"/>
    </w:rPr>
  </w:style>
  <w:style w:type="paragraph" w:styleId="18">
    <w:name w:val="Body Text"/>
    <w:basedOn w:val="1"/>
    <w:next w:val="19"/>
    <w:link w:val="73"/>
    <w:qFormat/>
    <w:uiPriority w:val="99"/>
    <w:pPr>
      <w:spacing w:line="360" w:lineRule="auto"/>
    </w:pPr>
    <w:rPr>
      <w:b/>
      <w:bCs/>
      <w:sz w:val="24"/>
    </w:rPr>
  </w:style>
  <w:style w:type="paragraph" w:styleId="19">
    <w:name w:val="Body Text 2"/>
    <w:basedOn w:val="1"/>
    <w:link w:val="86"/>
    <w:qFormat/>
    <w:uiPriority w:val="99"/>
    <w:pPr>
      <w:spacing w:line="360" w:lineRule="auto"/>
    </w:pPr>
    <w:rPr>
      <w:sz w:val="24"/>
    </w:rPr>
  </w:style>
  <w:style w:type="paragraph" w:styleId="20">
    <w:name w:val="Body Text Indent"/>
    <w:basedOn w:val="1"/>
    <w:next w:val="21"/>
    <w:link w:val="77"/>
    <w:qFormat/>
    <w:uiPriority w:val="99"/>
    <w:pPr>
      <w:spacing w:line="360" w:lineRule="auto"/>
      <w:ind w:firstLine="420" w:firstLineChars="200"/>
    </w:pPr>
  </w:style>
  <w:style w:type="paragraph" w:styleId="21">
    <w:name w:val="envelope return"/>
    <w:basedOn w:val="1"/>
    <w:qFormat/>
    <w:uiPriority w:val="99"/>
    <w:rPr>
      <w:rFonts w:ascii="Arial" w:hAnsi="Arial"/>
    </w:rPr>
  </w:style>
  <w:style w:type="paragraph" w:styleId="22">
    <w:name w:val="toc 5"/>
    <w:basedOn w:val="1"/>
    <w:next w:val="1"/>
    <w:semiHidden/>
    <w:qFormat/>
    <w:uiPriority w:val="99"/>
    <w:pPr>
      <w:ind w:left="840"/>
      <w:jc w:val="left"/>
    </w:pPr>
    <w:rPr>
      <w:szCs w:val="21"/>
    </w:rPr>
  </w:style>
  <w:style w:type="paragraph" w:styleId="23">
    <w:name w:val="toc 3"/>
    <w:basedOn w:val="1"/>
    <w:next w:val="1"/>
    <w:semiHidden/>
    <w:qFormat/>
    <w:uiPriority w:val="99"/>
    <w:pPr>
      <w:ind w:left="420"/>
      <w:jc w:val="left"/>
    </w:pPr>
    <w:rPr>
      <w:i/>
      <w:iCs/>
    </w:rPr>
  </w:style>
  <w:style w:type="paragraph" w:styleId="24">
    <w:name w:val="Plain Text"/>
    <w:basedOn w:val="1"/>
    <w:link w:val="78"/>
    <w:qFormat/>
    <w:uiPriority w:val="99"/>
    <w:rPr>
      <w:rFonts w:ascii="宋体" w:hAnsi="Courier New"/>
      <w:szCs w:val="20"/>
    </w:rPr>
  </w:style>
  <w:style w:type="paragraph" w:styleId="25">
    <w:name w:val="toc 8"/>
    <w:basedOn w:val="1"/>
    <w:next w:val="1"/>
    <w:semiHidden/>
    <w:qFormat/>
    <w:uiPriority w:val="99"/>
    <w:pPr>
      <w:ind w:left="1470"/>
      <w:jc w:val="left"/>
    </w:pPr>
    <w:rPr>
      <w:szCs w:val="21"/>
    </w:rPr>
  </w:style>
  <w:style w:type="paragraph" w:styleId="26">
    <w:name w:val="Date"/>
    <w:basedOn w:val="1"/>
    <w:next w:val="1"/>
    <w:link w:val="79"/>
    <w:qFormat/>
    <w:uiPriority w:val="99"/>
    <w:rPr>
      <w:rFonts w:ascii="宋体" w:hAnsi="Courier New"/>
      <w:sz w:val="32"/>
      <w:szCs w:val="20"/>
    </w:rPr>
  </w:style>
  <w:style w:type="paragraph" w:styleId="27">
    <w:name w:val="Body Text Indent 2"/>
    <w:basedOn w:val="1"/>
    <w:link w:val="80"/>
    <w:qFormat/>
    <w:uiPriority w:val="99"/>
    <w:pPr>
      <w:spacing w:beforeLines="50" w:afterLines="50" w:line="120" w:lineRule="auto"/>
      <w:ind w:firstLine="840" w:firstLineChars="400"/>
      <w:jc w:val="left"/>
    </w:pPr>
    <w:rPr>
      <w:rFonts w:ascii="宋体" w:hAnsi="宋体"/>
    </w:rPr>
  </w:style>
  <w:style w:type="paragraph" w:styleId="28">
    <w:name w:val="Balloon Text"/>
    <w:basedOn w:val="1"/>
    <w:link w:val="81"/>
    <w:semiHidden/>
    <w:qFormat/>
    <w:uiPriority w:val="99"/>
    <w:rPr>
      <w:sz w:val="18"/>
      <w:szCs w:val="18"/>
    </w:rPr>
  </w:style>
  <w:style w:type="paragraph" w:styleId="29">
    <w:name w:val="footer"/>
    <w:basedOn w:val="1"/>
    <w:link w:val="82"/>
    <w:qFormat/>
    <w:uiPriority w:val="99"/>
    <w:pPr>
      <w:tabs>
        <w:tab w:val="center" w:pos="4153"/>
        <w:tab w:val="right" w:pos="8306"/>
      </w:tabs>
      <w:snapToGrid w:val="0"/>
      <w:jc w:val="left"/>
    </w:pPr>
    <w:rPr>
      <w:sz w:val="18"/>
      <w:szCs w:val="18"/>
    </w:rPr>
  </w:style>
  <w:style w:type="paragraph" w:styleId="30">
    <w:name w:val="header"/>
    <w:basedOn w:val="1"/>
    <w:link w:val="83"/>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99"/>
    <w:pPr>
      <w:spacing w:before="120" w:after="120"/>
      <w:jc w:val="left"/>
    </w:pPr>
    <w:rPr>
      <w:b/>
      <w:bCs/>
      <w:caps/>
    </w:rPr>
  </w:style>
  <w:style w:type="paragraph" w:styleId="32">
    <w:name w:val="toc 4"/>
    <w:basedOn w:val="1"/>
    <w:next w:val="1"/>
    <w:semiHidden/>
    <w:qFormat/>
    <w:uiPriority w:val="99"/>
    <w:pPr>
      <w:ind w:left="630"/>
      <w:jc w:val="left"/>
    </w:pPr>
    <w:rPr>
      <w:szCs w:val="21"/>
    </w:rPr>
  </w:style>
  <w:style w:type="paragraph" w:styleId="33">
    <w:name w:val="Subtitle"/>
    <w:basedOn w:val="1"/>
    <w:next w:val="1"/>
    <w:link w:val="84"/>
    <w:qFormat/>
    <w:uiPriority w:val="99"/>
    <w:pPr>
      <w:widowControl/>
      <w:wordWrap w:val="0"/>
      <w:spacing w:after="60"/>
      <w:jc w:val="center"/>
    </w:pPr>
    <w:rPr>
      <w:rFonts w:ascii="Calibri" w:hAnsi="Calibri"/>
      <w:kern w:val="0"/>
      <w:sz w:val="24"/>
      <w:szCs w:val="20"/>
    </w:rPr>
  </w:style>
  <w:style w:type="paragraph" w:styleId="34">
    <w:name w:val="toc 6"/>
    <w:basedOn w:val="1"/>
    <w:next w:val="1"/>
    <w:semiHidden/>
    <w:qFormat/>
    <w:uiPriority w:val="99"/>
    <w:pPr>
      <w:ind w:left="1050"/>
      <w:jc w:val="left"/>
    </w:pPr>
    <w:rPr>
      <w:szCs w:val="21"/>
    </w:rPr>
  </w:style>
  <w:style w:type="paragraph" w:styleId="35">
    <w:name w:val="Body Text Indent 3"/>
    <w:basedOn w:val="1"/>
    <w:link w:val="85"/>
    <w:qFormat/>
    <w:uiPriority w:val="99"/>
    <w:pPr>
      <w:spacing w:line="360" w:lineRule="auto"/>
      <w:ind w:firstLine="482" w:firstLineChars="200"/>
    </w:pPr>
    <w:rPr>
      <w:rFonts w:ascii="宋体"/>
      <w:b/>
      <w:bCs/>
      <w:sz w:val="24"/>
    </w:rPr>
  </w:style>
  <w:style w:type="paragraph" w:styleId="36">
    <w:name w:val="toc 2"/>
    <w:basedOn w:val="1"/>
    <w:next w:val="1"/>
    <w:semiHidden/>
    <w:qFormat/>
    <w:uiPriority w:val="99"/>
    <w:pPr>
      <w:tabs>
        <w:tab w:val="right" w:leader="dot" w:pos="8296"/>
      </w:tabs>
      <w:ind w:left="210"/>
      <w:jc w:val="left"/>
    </w:pPr>
    <w:rPr>
      <w:smallCaps/>
    </w:rPr>
  </w:style>
  <w:style w:type="paragraph" w:styleId="37">
    <w:name w:val="toc 9"/>
    <w:basedOn w:val="1"/>
    <w:next w:val="1"/>
    <w:semiHidden/>
    <w:qFormat/>
    <w:uiPriority w:val="99"/>
    <w:pPr>
      <w:ind w:left="1680"/>
      <w:jc w:val="left"/>
    </w:pPr>
    <w:rPr>
      <w:szCs w:val="21"/>
    </w:rPr>
  </w:style>
  <w:style w:type="paragraph" w:styleId="38">
    <w:name w:val="HTML Preformatted"/>
    <w:basedOn w:val="1"/>
    <w:link w:val="87"/>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hAnsi="Arial Unicode MS"/>
      <w:color w:val="000000"/>
      <w:kern w:val="0"/>
      <w:sz w:val="20"/>
      <w:szCs w:val="20"/>
    </w:rPr>
  </w:style>
  <w:style w:type="paragraph" w:styleId="39">
    <w:name w:val="Normal (Web)"/>
    <w:basedOn w:val="1"/>
    <w:qFormat/>
    <w:uiPriority w:val="99"/>
    <w:pPr>
      <w:spacing w:beforeAutospacing="1" w:afterAutospacing="1"/>
      <w:jc w:val="left"/>
    </w:pPr>
    <w:rPr>
      <w:kern w:val="0"/>
      <w:sz w:val="24"/>
    </w:rPr>
  </w:style>
  <w:style w:type="paragraph" w:styleId="40">
    <w:name w:val="index 1"/>
    <w:basedOn w:val="1"/>
    <w:next w:val="1"/>
    <w:semiHidden/>
    <w:qFormat/>
    <w:uiPriority w:val="99"/>
    <w:pPr>
      <w:tabs>
        <w:tab w:val="left" w:pos="3360"/>
      </w:tabs>
      <w:spacing w:line="520" w:lineRule="exact"/>
      <w:ind w:left="419" w:leftChars="50" w:hanging="314" w:hangingChars="131"/>
      <w:jc w:val="center"/>
      <w:outlineLvl w:val="3"/>
    </w:pPr>
    <w:rPr>
      <w:rFonts w:ascii="宋体" w:hAnsi="宋体"/>
      <w:sz w:val="24"/>
    </w:rPr>
  </w:style>
  <w:style w:type="paragraph" w:styleId="41">
    <w:name w:val="Title"/>
    <w:basedOn w:val="1"/>
    <w:link w:val="88"/>
    <w:qFormat/>
    <w:uiPriority w:val="99"/>
    <w:pPr>
      <w:spacing w:before="240" w:after="60"/>
      <w:jc w:val="center"/>
      <w:outlineLvl w:val="0"/>
    </w:pPr>
    <w:rPr>
      <w:rFonts w:ascii="Arial" w:hAnsi="Arial" w:eastAsia="隶书" w:cs="Arial"/>
      <w:b/>
      <w:bCs/>
      <w:sz w:val="32"/>
      <w:szCs w:val="32"/>
    </w:rPr>
  </w:style>
  <w:style w:type="paragraph" w:styleId="42">
    <w:name w:val="annotation subject"/>
    <w:basedOn w:val="16"/>
    <w:next w:val="16"/>
    <w:link w:val="89"/>
    <w:qFormat/>
    <w:uiPriority w:val="99"/>
    <w:pPr>
      <w:autoSpaceDE/>
      <w:autoSpaceDN/>
      <w:adjustRightInd/>
      <w:textAlignment w:val="auto"/>
    </w:pPr>
    <w:rPr>
      <w:rFonts w:ascii="Times New Roman"/>
      <w:b/>
      <w:bCs/>
      <w:kern w:val="2"/>
      <w:sz w:val="21"/>
      <w:szCs w:val="24"/>
    </w:rPr>
  </w:style>
  <w:style w:type="paragraph" w:styleId="43">
    <w:name w:val="Body Text First Indent"/>
    <w:basedOn w:val="18"/>
    <w:link w:val="90"/>
    <w:qFormat/>
    <w:uiPriority w:val="99"/>
    <w:pPr>
      <w:spacing w:after="120" w:line="240" w:lineRule="auto"/>
      <w:ind w:firstLine="420" w:firstLineChars="100"/>
    </w:pPr>
    <w:rPr>
      <w:sz w:val="21"/>
    </w:rPr>
  </w:style>
  <w:style w:type="paragraph" w:styleId="44">
    <w:name w:val="Body Text First Indent 2"/>
    <w:basedOn w:val="20"/>
    <w:next w:val="1"/>
    <w:link w:val="91"/>
    <w:qFormat/>
    <w:uiPriority w:val="99"/>
    <w:rPr>
      <w:rFonts w:ascii="Calibri" w:hAnsi="Calibri"/>
    </w:rPr>
  </w:style>
  <w:style w:type="table" w:styleId="46">
    <w:name w:val="Table Grid"/>
    <w:basedOn w:val="45"/>
    <w:qFormat/>
    <w:uiPriority w:val="99"/>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47">
    <w:name w:val="Table Elegant"/>
    <w:basedOn w:val="45"/>
    <w:qFormat/>
    <w:uiPriority w:val="99"/>
    <w:pPr>
      <w:widowControl w:val="0"/>
      <w:jc w:val="both"/>
    </w:pPr>
    <w:rPr>
      <w:rFonts w:ascii="Calibri" w:hAnsi="Calibri"/>
      <w:kern w:val="0"/>
      <w:sz w:val="20"/>
      <w:szCs w:val="20"/>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
    <w:tblStylePr w:type="firstRow">
      <w:rPr>
        <w:rFonts w:cs="Times New Roman"/>
        <w:caps/>
        <w:color w:val="auto"/>
      </w:rPr>
      <w:tblPr/>
      <w:tcPr>
        <w:tcBorders>
          <w:top w:val="nil"/>
          <w:left w:val="nil"/>
          <w:bottom w:val="nil"/>
          <w:right w:val="nil"/>
          <w:insideH w:val="nil"/>
          <w:insideV w:val="nil"/>
          <w:tl2br w:val="nil"/>
          <w:tr2bl w:val="nil"/>
        </w:tcBorders>
      </w:tcPr>
    </w:tblStylePr>
  </w:style>
  <w:style w:type="character" w:styleId="49">
    <w:name w:val="Strong"/>
    <w:basedOn w:val="48"/>
    <w:qFormat/>
    <w:uiPriority w:val="99"/>
    <w:rPr>
      <w:rFonts w:cs="Times New Roman"/>
      <w:b/>
    </w:rPr>
  </w:style>
  <w:style w:type="character" w:styleId="50">
    <w:name w:val="page number"/>
    <w:basedOn w:val="48"/>
    <w:qFormat/>
    <w:uiPriority w:val="99"/>
    <w:rPr>
      <w:rFonts w:cs="Times New Roman"/>
    </w:rPr>
  </w:style>
  <w:style w:type="character" w:styleId="51">
    <w:name w:val="FollowedHyperlink"/>
    <w:basedOn w:val="48"/>
    <w:qFormat/>
    <w:uiPriority w:val="99"/>
    <w:rPr>
      <w:rFonts w:cs="Times New Roman"/>
      <w:color w:val="5C5C5C"/>
      <w:u w:val="none"/>
    </w:rPr>
  </w:style>
  <w:style w:type="character" w:styleId="52">
    <w:name w:val="Emphasis"/>
    <w:basedOn w:val="48"/>
    <w:qFormat/>
    <w:uiPriority w:val="99"/>
    <w:rPr>
      <w:rFonts w:cs="Times New Roman"/>
      <w:b/>
      <w:bCs/>
      <w:sz w:val="20"/>
      <w:bdr w:val="single" w:color="D6D6D6" w:sz="6" w:space="0"/>
      <w:shd w:val="clear" w:color="auto" w:fill="FFFFFF"/>
    </w:rPr>
  </w:style>
  <w:style w:type="character" w:styleId="53">
    <w:name w:val="HTML Definition"/>
    <w:basedOn w:val="48"/>
    <w:semiHidden/>
    <w:qFormat/>
    <w:uiPriority w:val="99"/>
    <w:rPr>
      <w:rFonts w:cs="Times New Roman"/>
    </w:rPr>
  </w:style>
  <w:style w:type="character" w:styleId="54">
    <w:name w:val="HTML Typewriter"/>
    <w:basedOn w:val="48"/>
    <w:semiHidden/>
    <w:qFormat/>
    <w:uiPriority w:val="99"/>
    <w:rPr>
      <w:rFonts w:ascii="monospace" w:hAnsi="monospace" w:eastAsia="Times New Roman" w:cs="monospace"/>
      <w:sz w:val="20"/>
    </w:rPr>
  </w:style>
  <w:style w:type="character" w:styleId="55">
    <w:name w:val="HTML Acronym"/>
    <w:basedOn w:val="48"/>
    <w:semiHidden/>
    <w:qFormat/>
    <w:uiPriority w:val="99"/>
    <w:rPr>
      <w:rFonts w:cs="Times New Roman"/>
    </w:rPr>
  </w:style>
  <w:style w:type="character" w:styleId="56">
    <w:name w:val="HTML Variable"/>
    <w:basedOn w:val="48"/>
    <w:semiHidden/>
    <w:qFormat/>
    <w:uiPriority w:val="99"/>
    <w:rPr>
      <w:rFonts w:cs="Times New Roman"/>
      <w:sz w:val="21"/>
      <w:szCs w:val="21"/>
    </w:rPr>
  </w:style>
  <w:style w:type="character" w:styleId="57">
    <w:name w:val="Hyperlink"/>
    <w:basedOn w:val="48"/>
    <w:qFormat/>
    <w:uiPriority w:val="99"/>
    <w:rPr>
      <w:rFonts w:cs="Times New Roman"/>
      <w:color w:val="5C5C5C"/>
      <w:u w:val="none"/>
    </w:rPr>
  </w:style>
  <w:style w:type="character" w:styleId="58">
    <w:name w:val="HTML Code"/>
    <w:basedOn w:val="48"/>
    <w:semiHidden/>
    <w:qFormat/>
    <w:uiPriority w:val="99"/>
    <w:rPr>
      <w:rFonts w:ascii="monospace" w:hAnsi="monospace" w:eastAsia="Times New Roman" w:cs="monospace"/>
      <w:sz w:val="20"/>
    </w:rPr>
  </w:style>
  <w:style w:type="character" w:styleId="59">
    <w:name w:val="annotation reference"/>
    <w:basedOn w:val="48"/>
    <w:qFormat/>
    <w:uiPriority w:val="99"/>
    <w:rPr>
      <w:rFonts w:cs="Times New Roman"/>
      <w:sz w:val="21"/>
      <w:szCs w:val="21"/>
    </w:rPr>
  </w:style>
  <w:style w:type="character" w:styleId="60">
    <w:name w:val="HTML Cite"/>
    <w:basedOn w:val="48"/>
    <w:semiHidden/>
    <w:qFormat/>
    <w:uiPriority w:val="99"/>
    <w:rPr>
      <w:rFonts w:cs="Times New Roman"/>
    </w:rPr>
  </w:style>
  <w:style w:type="character" w:styleId="61">
    <w:name w:val="HTML Keyboard"/>
    <w:basedOn w:val="48"/>
    <w:semiHidden/>
    <w:qFormat/>
    <w:uiPriority w:val="99"/>
    <w:rPr>
      <w:rFonts w:ascii="monospace" w:hAnsi="monospace" w:eastAsia="Times New Roman" w:cs="monospace"/>
      <w:sz w:val="20"/>
    </w:rPr>
  </w:style>
  <w:style w:type="character" w:styleId="62">
    <w:name w:val="HTML Sample"/>
    <w:basedOn w:val="48"/>
    <w:semiHidden/>
    <w:qFormat/>
    <w:uiPriority w:val="99"/>
    <w:rPr>
      <w:rFonts w:ascii="monospace" w:hAnsi="monospace" w:eastAsia="Times New Roman" w:cs="monospace"/>
      <w:color w:val="D6D6D6"/>
    </w:rPr>
  </w:style>
  <w:style w:type="paragraph" w:customStyle="1" w:styleId="63">
    <w:name w:val="_Style 1"/>
    <w:basedOn w:val="1"/>
    <w:qFormat/>
    <w:uiPriority w:val="99"/>
    <w:pPr>
      <w:ind w:firstLine="420"/>
    </w:pPr>
    <w:rPr>
      <w:rFonts w:hAnsi="Calibri"/>
      <w:kern w:val="0"/>
      <w:szCs w:val="20"/>
    </w:rPr>
  </w:style>
  <w:style w:type="character" w:customStyle="1" w:styleId="64">
    <w:name w:val="Heading 1 Char"/>
    <w:basedOn w:val="48"/>
    <w:link w:val="2"/>
    <w:qFormat/>
    <w:locked/>
    <w:uiPriority w:val="99"/>
    <w:rPr>
      <w:rFonts w:ascii="宋体" w:hAnsi="宋体" w:eastAsia="黑体"/>
      <w:b/>
      <w:kern w:val="44"/>
      <w:sz w:val="44"/>
      <w:lang w:val="en-US" w:eastAsia="zh-CN"/>
    </w:rPr>
  </w:style>
  <w:style w:type="character" w:customStyle="1" w:styleId="65">
    <w:name w:val="Heading 2 Char"/>
    <w:basedOn w:val="48"/>
    <w:link w:val="3"/>
    <w:qFormat/>
    <w:locked/>
    <w:uiPriority w:val="99"/>
    <w:rPr>
      <w:rFonts w:ascii="宋体" w:hAnsi="宋体" w:eastAsia="宋体"/>
      <w:b/>
      <w:sz w:val="24"/>
      <w:lang w:val="en-US" w:eastAsia="zh-CN"/>
    </w:rPr>
  </w:style>
  <w:style w:type="character" w:customStyle="1" w:styleId="66">
    <w:name w:val="Heading 3 Char"/>
    <w:basedOn w:val="48"/>
    <w:link w:val="4"/>
    <w:qFormat/>
    <w:locked/>
    <w:uiPriority w:val="99"/>
    <w:rPr>
      <w:rFonts w:ascii="宋体" w:hAnsi="宋体" w:eastAsia="宋体"/>
      <w:b/>
      <w:kern w:val="2"/>
      <w:sz w:val="32"/>
      <w:lang w:val="en-US" w:eastAsia="zh-CN"/>
    </w:rPr>
  </w:style>
  <w:style w:type="character" w:customStyle="1" w:styleId="67">
    <w:name w:val="Heading 4 Char"/>
    <w:basedOn w:val="48"/>
    <w:link w:val="5"/>
    <w:qFormat/>
    <w:locked/>
    <w:uiPriority w:val="99"/>
    <w:rPr>
      <w:rFonts w:ascii="Arial" w:hAnsi="Arial" w:eastAsia="黑体"/>
      <w:b/>
      <w:kern w:val="2"/>
      <w:sz w:val="28"/>
      <w:lang w:val="en-US" w:eastAsia="zh-CN"/>
    </w:rPr>
  </w:style>
  <w:style w:type="character" w:customStyle="1" w:styleId="68">
    <w:name w:val="Heading 5 Char"/>
    <w:basedOn w:val="48"/>
    <w:link w:val="6"/>
    <w:qFormat/>
    <w:locked/>
    <w:uiPriority w:val="99"/>
    <w:rPr>
      <w:rFonts w:eastAsia="宋体"/>
      <w:b/>
      <w:kern w:val="2"/>
      <w:sz w:val="28"/>
      <w:lang w:val="en-US" w:eastAsia="zh-CN"/>
    </w:rPr>
  </w:style>
  <w:style w:type="character" w:customStyle="1" w:styleId="69">
    <w:name w:val="Heading 6 Char"/>
    <w:basedOn w:val="48"/>
    <w:link w:val="8"/>
    <w:qFormat/>
    <w:locked/>
    <w:uiPriority w:val="99"/>
    <w:rPr>
      <w:rFonts w:ascii="Arial" w:hAnsi="Arial" w:eastAsia="黑体"/>
      <w:b/>
      <w:kern w:val="2"/>
      <w:sz w:val="24"/>
      <w:lang w:val="en-US" w:eastAsia="zh-CN"/>
    </w:rPr>
  </w:style>
  <w:style w:type="character" w:customStyle="1" w:styleId="70">
    <w:name w:val="Heading 7 Char"/>
    <w:basedOn w:val="48"/>
    <w:link w:val="9"/>
    <w:qFormat/>
    <w:locked/>
    <w:uiPriority w:val="99"/>
    <w:rPr>
      <w:rFonts w:eastAsia="宋体"/>
      <w:b/>
      <w:kern w:val="2"/>
      <w:sz w:val="24"/>
      <w:lang w:val="en-US" w:eastAsia="zh-CN"/>
    </w:rPr>
  </w:style>
  <w:style w:type="character" w:customStyle="1" w:styleId="71">
    <w:name w:val="Heading 8 Char"/>
    <w:basedOn w:val="48"/>
    <w:link w:val="10"/>
    <w:qFormat/>
    <w:locked/>
    <w:uiPriority w:val="99"/>
    <w:rPr>
      <w:rFonts w:ascii="Arial" w:hAnsi="Arial" w:eastAsia="黑体"/>
      <w:kern w:val="2"/>
      <w:sz w:val="24"/>
      <w:lang w:val="en-US" w:eastAsia="zh-CN"/>
    </w:rPr>
  </w:style>
  <w:style w:type="character" w:customStyle="1" w:styleId="72">
    <w:name w:val="Heading 9 Char"/>
    <w:basedOn w:val="48"/>
    <w:link w:val="11"/>
    <w:qFormat/>
    <w:locked/>
    <w:uiPriority w:val="99"/>
    <w:rPr>
      <w:rFonts w:ascii="Arial" w:hAnsi="Arial" w:eastAsia="黑体"/>
      <w:kern w:val="2"/>
      <w:sz w:val="21"/>
      <w:lang w:val="en-US" w:eastAsia="zh-CN"/>
    </w:rPr>
  </w:style>
  <w:style w:type="character" w:customStyle="1" w:styleId="73">
    <w:name w:val="Body Text Char"/>
    <w:basedOn w:val="48"/>
    <w:link w:val="18"/>
    <w:qFormat/>
    <w:locked/>
    <w:uiPriority w:val="99"/>
    <w:rPr>
      <w:rFonts w:eastAsia="宋体"/>
      <w:b/>
      <w:kern w:val="2"/>
      <w:sz w:val="24"/>
      <w:lang w:val="en-US" w:eastAsia="zh-CN"/>
    </w:rPr>
  </w:style>
  <w:style w:type="character" w:customStyle="1" w:styleId="74">
    <w:name w:val="Document Map Char"/>
    <w:basedOn w:val="48"/>
    <w:link w:val="15"/>
    <w:semiHidden/>
    <w:qFormat/>
    <w:uiPriority w:val="99"/>
    <w:rPr>
      <w:sz w:val="0"/>
      <w:szCs w:val="0"/>
    </w:rPr>
  </w:style>
  <w:style w:type="character" w:customStyle="1" w:styleId="75">
    <w:name w:val="Comment Text Char"/>
    <w:basedOn w:val="48"/>
    <w:link w:val="16"/>
    <w:semiHidden/>
    <w:qFormat/>
    <w:locked/>
    <w:uiPriority w:val="99"/>
    <w:rPr>
      <w:rFonts w:ascii="宋体" w:cs="Times New Roman"/>
      <w:sz w:val="34"/>
    </w:rPr>
  </w:style>
  <w:style w:type="character" w:customStyle="1" w:styleId="76">
    <w:name w:val="Body Text 3 Char"/>
    <w:basedOn w:val="48"/>
    <w:link w:val="17"/>
    <w:qFormat/>
    <w:locked/>
    <w:uiPriority w:val="99"/>
    <w:rPr>
      <w:rFonts w:eastAsia="宋体"/>
      <w:kern w:val="2"/>
      <w:sz w:val="16"/>
      <w:lang w:val="en-US" w:eastAsia="zh-CN"/>
    </w:rPr>
  </w:style>
  <w:style w:type="character" w:customStyle="1" w:styleId="77">
    <w:name w:val="Body Text Indent Char"/>
    <w:basedOn w:val="48"/>
    <w:link w:val="20"/>
    <w:qFormat/>
    <w:locked/>
    <w:uiPriority w:val="99"/>
    <w:rPr>
      <w:rFonts w:eastAsia="宋体"/>
      <w:kern w:val="2"/>
      <w:sz w:val="24"/>
      <w:lang w:val="en-US" w:eastAsia="zh-CN"/>
    </w:rPr>
  </w:style>
  <w:style w:type="character" w:customStyle="1" w:styleId="78">
    <w:name w:val="Plain Text Char"/>
    <w:basedOn w:val="48"/>
    <w:link w:val="24"/>
    <w:qFormat/>
    <w:locked/>
    <w:uiPriority w:val="99"/>
    <w:rPr>
      <w:rFonts w:ascii="宋体" w:hAnsi="Courier New" w:eastAsia="宋体"/>
      <w:kern w:val="2"/>
      <w:sz w:val="21"/>
      <w:lang w:val="en-US" w:eastAsia="zh-CN"/>
    </w:rPr>
  </w:style>
  <w:style w:type="character" w:customStyle="1" w:styleId="79">
    <w:name w:val="Date Char"/>
    <w:basedOn w:val="48"/>
    <w:link w:val="26"/>
    <w:qFormat/>
    <w:locked/>
    <w:uiPriority w:val="99"/>
    <w:rPr>
      <w:rFonts w:ascii="宋体" w:hAnsi="Courier New" w:eastAsia="宋体"/>
      <w:kern w:val="2"/>
      <w:sz w:val="32"/>
      <w:lang w:val="en-US" w:eastAsia="zh-CN"/>
    </w:rPr>
  </w:style>
  <w:style w:type="character" w:customStyle="1" w:styleId="80">
    <w:name w:val="Body Text Indent 2 Char"/>
    <w:basedOn w:val="48"/>
    <w:link w:val="27"/>
    <w:qFormat/>
    <w:locked/>
    <w:uiPriority w:val="99"/>
    <w:rPr>
      <w:rFonts w:ascii="宋体" w:hAnsi="宋体" w:eastAsia="宋体"/>
      <w:kern w:val="2"/>
      <w:sz w:val="24"/>
      <w:lang w:val="en-US" w:eastAsia="zh-CN"/>
    </w:rPr>
  </w:style>
  <w:style w:type="character" w:customStyle="1" w:styleId="81">
    <w:name w:val="Balloon Text Char"/>
    <w:basedOn w:val="48"/>
    <w:link w:val="28"/>
    <w:semiHidden/>
    <w:qFormat/>
    <w:locked/>
    <w:uiPriority w:val="99"/>
    <w:rPr>
      <w:rFonts w:eastAsia="宋体"/>
      <w:kern w:val="2"/>
      <w:sz w:val="18"/>
      <w:lang w:val="en-US" w:eastAsia="zh-CN"/>
    </w:rPr>
  </w:style>
  <w:style w:type="character" w:customStyle="1" w:styleId="82">
    <w:name w:val="Footer Char"/>
    <w:basedOn w:val="48"/>
    <w:link w:val="29"/>
    <w:qFormat/>
    <w:locked/>
    <w:uiPriority w:val="99"/>
    <w:rPr>
      <w:rFonts w:eastAsia="宋体"/>
      <w:kern w:val="2"/>
      <w:sz w:val="18"/>
      <w:lang w:val="en-US" w:eastAsia="zh-CN"/>
    </w:rPr>
  </w:style>
  <w:style w:type="character" w:customStyle="1" w:styleId="83">
    <w:name w:val="Header Char"/>
    <w:basedOn w:val="48"/>
    <w:link w:val="30"/>
    <w:qFormat/>
    <w:locked/>
    <w:uiPriority w:val="99"/>
    <w:rPr>
      <w:rFonts w:eastAsia="宋体"/>
      <w:kern w:val="2"/>
      <w:sz w:val="18"/>
      <w:lang w:val="en-US" w:eastAsia="zh-CN"/>
    </w:rPr>
  </w:style>
  <w:style w:type="character" w:customStyle="1" w:styleId="84">
    <w:name w:val="Subtitle Char"/>
    <w:basedOn w:val="48"/>
    <w:link w:val="33"/>
    <w:qFormat/>
    <w:locked/>
    <w:uiPriority w:val="99"/>
    <w:rPr>
      <w:rFonts w:ascii="Calibri" w:hAnsi="Calibri" w:cs="Times New Roman"/>
      <w:sz w:val="24"/>
      <w:lang w:val="en-US" w:eastAsia="zh-CN" w:bidi="ar-SA"/>
    </w:rPr>
  </w:style>
  <w:style w:type="character" w:customStyle="1" w:styleId="85">
    <w:name w:val="Body Text Indent 3 Char"/>
    <w:basedOn w:val="48"/>
    <w:link w:val="35"/>
    <w:qFormat/>
    <w:locked/>
    <w:uiPriority w:val="99"/>
    <w:rPr>
      <w:rFonts w:ascii="宋体" w:eastAsia="宋体"/>
      <w:b/>
      <w:kern w:val="2"/>
      <w:sz w:val="24"/>
      <w:lang w:val="en-US" w:eastAsia="zh-CN"/>
    </w:rPr>
  </w:style>
  <w:style w:type="character" w:customStyle="1" w:styleId="86">
    <w:name w:val="Body Text 2 Char"/>
    <w:basedOn w:val="48"/>
    <w:link w:val="19"/>
    <w:qFormat/>
    <w:locked/>
    <w:uiPriority w:val="99"/>
    <w:rPr>
      <w:rFonts w:eastAsia="宋体"/>
      <w:kern w:val="2"/>
      <w:sz w:val="24"/>
      <w:lang w:val="en-US" w:eastAsia="zh-CN"/>
    </w:rPr>
  </w:style>
  <w:style w:type="character" w:customStyle="1" w:styleId="87">
    <w:name w:val="HTML Preformatted Char"/>
    <w:basedOn w:val="48"/>
    <w:link w:val="38"/>
    <w:qFormat/>
    <w:locked/>
    <w:uiPriority w:val="99"/>
    <w:rPr>
      <w:rFonts w:ascii="Arial Unicode MS" w:hAnsi="Arial Unicode MS" w:eastAsia="Times New Roman"/>
      <w:color w:val="000000"/>
      <w:lang w:val="en-US" w:eastAsia="zh-CN"/>
    </w:rPr>
  </w:style>
  <w:style w:type="character" w:customStyle="1" w:styleId="88">
    <w:name w:val="Title Char"/>
    <w:basedOn w:val="48"/>
    <w:link w:val="41"/>
    <w:qFormat/>
    <w:locked/>
    <w:uiPriority w:val="99"/>
    <w:rPr>
      <w:rFonts w:ascii="Arial" w:hAnsi="Arial" w:eastAsia="隶书"/>
      <w:b/>
      <w:kern w:val="2"/>
      <w:sz w:val="32"/>
      <w:lang w:val="en-US" w:eastAsia="zh-CN"/>
    </w:rPr>
  </w:style>
  <w:style w:type="character" w:customStyle="1" w:styleId="89">
    <w:name w:val="Comment Subject Char"/>
    <w:basedOn w:val="75"/>
    <w:link w:val="42"/>
    <w:qFormat/>
    <w:locked/>
    <w:uiPriority w:val="99"/>
  </w:style>
  <w:style w:type="character" w:customStyle="1" w:styleId="90">
    <w:name w:val="Body Text First Indent Char"/>
    <w:basedOn w:val="73"/>
    <w:link w:val="43"/>
    <w:qFormat/>
    <w:locked/>
    <w:uiPriority w:val="99"/>
  </w:style>
  <w:style w:type="character" w:customStyle="1" w:styleId="91">
    <w:name w:val="Body Text First Indent 2 Char"/>
    <w:basedOn w:val="77"/>
    <w:link w:val="44"/>
    <w:semiHidden/>
    <w:qFormat/>
    <w:uiPriority w:val="99"/>
    <w:rPr>
      <w:szCs w:val="24"/>
    </w:rPr>
  </w:style>
  <w:style w:type="paragraph" w:customStyle="1" w:styleId="92">
    <w:name w:val="Char"/>
    <w:basedOn w:val="1"/>
    <w:qFormat/>
    <w:uiPriority w:val="99"/>
    <w:pPr>
      <w:widowControl/>
      <w:spacing w:after="160" w:line="240" w:lineRule="exact"/>
      <w:jc w:val="left"/>
    </w:pPr>
    <w:rPr>
      <w:rFonts w:ascii="Verdana" w:hAnsi="Verdana" w:eastAsia="仿宋_GB2312"/>
      <w:kern w:val="0"/>
      <w:sz w:val="24"/>
      <w:szCs w:val="20"/>
      <w:lang w:eastAsia="en-US"/>
    </w:rPr>
  </w:style>
  <w:style w:type="character" w:customStyle="1" w:styleId="93">
    <w:name w:val="Normal Indent Char"/>
    <w:link w:val="7"/>
    <w:qFormat/>
    <w:locked/>
    <w:uiPriority w:val="99"/>
    <w:rPr>
      <w:rFonts w:eastAsia="宋体"/>
      <w:kern w:val="2"/>
      <w:sz w:val="21"/>
      <w:lang w:val="en-US" w:eastAsia="zh-CN"/>
    </w:rPr>
  </w:style>
  <w:style w:type="character" w:customStyle="1" w:styleId="94">
    <w:name w:val="标题 3 Char"/>
    <w:qFormat/>
    <w:uiPriority w:val="99"/>
    <w:rPr>
      <w:rFonts w:ascii="黑体" w:eastAsia="黑体"/>
      <w:sz w:val="30"/>
    </w:rPr>
  </w:style>
  <w:style w:type="paragraph" w:customStyle="1" w:styleId="95">
    <w:name w:val="样式41"/>
    <w:basedOn w:val="1"/>
    <w:qFormat/>
    <w:uiPriority w:val="99"/>
    <w:pPr>
      <w:numPr>
        <w:ilvl w:val="0"/>
        <w:numId w:val="2"/>
      </w:numPr>
      <w:tabs>
        <w:tab w:val="left" w:pos="945"/>
      </w:tabs>
      <w:spacing w:line="360" w:lineRule="auto"/>
      <w:ind w:leftChars="800" w:hangingChars="200"/>
    </w:pPr>
    <w:rPr>
      <w:b/>
      <w:color w:val="000000"/>
      <w:sz w:val="24"/>
      <w:szCs w:val="20"/>
    </w:rPr>
  </w:style>
  <w:style w:type="paragraph" w:customStyle="1" w:styleId="96">
    <w:name w:val="图"/>
    <w:basedOn w:val="1"/>
    <w:qFormat/>
    <w:uiPriority w:val="99"/>
    <w:pPr>
      <w:keepNext/>
      <w:adjustRightInd w:val="0"/>
      <w:snapToGrid w:val="0"/>
      <w:spacing w:before="60" w:after="60" w:line="300" w:lineRule="auto"/>
      <w:jc w:val="center"/>
    </w:pPr>
    <w:rPr>
      <w:spacing w:val="20"/>
      <w:kern w:val="0"/>
      <w:sz w:val="24"/>
      <w:szCs w:val="20"/>
    </w:rPr>
  </w:style>
  <w:style w:type="paragraph" w:customStyle="1" w:styleId="97">
    <w:name w:val="文档正文"/>
    <w:basedOn w:val="1"/>
    <w:qFormat/>
    <w:uiPriority w:val="99"/>
    <w:pPr>
      <w:adjustRightInd w:val="0"/>
      <w:spacing w:line="480" w:lineRule="atLeast"/>
      <w:ind w:firstLine="567" w:firstLineChars="200"/>
      <w:textAlignment w:val="baseline"/>
    </w:pPr>
    <w:rPr>
      <w:rFonts w:ascii="长城仿宋"/>
      <w:kern w:val="0"/>
      <w:szCs w:val="20"/>
    </w:rPr>
  </w:style>
  <w:style w:type="paragraph" w:customStyle="1" w:styleId="98">
    <w:name w:val="Char Char Char Char"/>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99">
    <w:name w:val="Char11"/>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100">
    <w:name w:val="Char Char Char Char11"/>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101">
    <w:name w:val="Table Contents"/>
    <w:basedOn w:val="1"/>
    <w:qFormat/>
    <w:uiPriority w:val="99"/>
    <w:pPr>
      <w:suppressAutoHyphens/>
      <w:autoSpaceDE w:val="0"/>
      <w:spacing w:after="120"/>
      <w:jc w:val="left"/>
    </w:pPr>
    <w:rPr>
      <w:rFonts w:ascii="Helvetica" w:hAnsi="Helvetica"/>
      <w:kern w:val="1"/>
      <w:sz w:val="20"/>
      <w:szCs w:val="20"/>
    </w:rPr>
  </w:style>
  <w:style w:type="paragraph" w:customStyle="1" w:styleId="102">
    <w:name w:val="自定义正文"/>
    <w:basedOn w:val="1"/>
    <w:qFormat/>
    <w:uiPriority w:val="99"/>
    <w:pPr>
      <w:spacing w:afterLines="50"/>
      <w:ind w:left="600" w:leftChars="600"/>
    </w:pPr>
  </w:style>
  <w:style w:type="paragraph" w:customStyle="1" w:styleId="103">
    <w:name w:val="Char Char Char Char Char"/>
    <w:basedOn w:val="1"/>
    <w:qFormat/>
    <w:uiPriority w:val="99"/>
    <w:rPr>
      <w:rFonts w:ascii="Tahoma" w:hAnsi="Tahoma"/>
      <w:sz w:val="24"/>
      <w:szCs w:val="20"/>
    </w:rPr>
  </w:style>
  <w:style w:type="paragraph" w:customStyle="1" w:styleId="104">
    <w:name w:val="小标题 1"/>
    <w:basedOn w:val="1"/>
    <w:qFormat/>
    <w:uiPriority w:val="99"/>
    <w:pPr>
      <w:autoSpaceDE w:val="0"/>
      <w:autoSpaceDN w:val="0"/>
      <w:adjustRightInd w:val="0"/>
      <w:spacing w:line="360" w:lineRule="atLeast"/>
    </w:pPr>
    <w:rPr>
      <w:rFonts w:ascii="文鼎粗黑" w:eastAsia="文鼎粗黑"/>
      <w:kern w:val="0"/>
      <w:sz w:val="22"/>
      <w:szCs w:val="20"/>
    </w:rPr>
  </w:style>
  <w:style w:type="paragraph" w:customStyle="1" w:styleId="105">
    <w:name w:val="Char Char"/>
    <w:basedOn w:val="1"/>
    <w:qFormat/>
    <w:uiPriority w:val="99"/>
    <w:rPr>
      <w:rFonts w:ascii="Tahoma" w:hAnsi="Tahoma"/>
      <w:sz w:val="24"/>
      <w:szCs w:val="20"/>
    </w:rPr>
  </w:style>
  <w:style w:type="paragraph" w:customStyle="1" w:styleId="106">
    <w:name w:val="È¡ÀÊ¡ÎÄ¡À¾"/>
    <w:basedOn w:val="1"/>
    <w:qFormat/>
    <w:uiPriority w:val="99"/>
    <w:pPr>
      <w:widowControl/>
      <w:overflowPunct w:val="0"/>
      <w:autoSpaceDE w:val="0"/>
      <w:autoSpaceDN w:val="0"/>
      <w:adjustRightInd w:val="0"/>
      <w:jc w:val="left"/>
      <w:textAlignment w:val="baseline"/>
    </w:pPr>
    <w:rPr>
      <w:kern w:val="0"/>
      <w:sz w:val="24"/>
      <w:szCs w:val="20"/>
    </w:rPr>
  </w:style>
  <w:style w:type="paragraph" w:customStyle="1" w:styleId="107">
    <w:name w:val="Char Char Char Char Char Char1 Char"/>
    <w:basedOn w:val="1"/>
    <w:qFormat/>
    <w:uiPriority w:val="99"/>
    <w:pPr>
      <w:widowControl/>
      <w:spacing w:after="160" w:line="240" w:lineRule="exact"/>
      <w:jc w:val="left"/>
    </w:pPr>
    <w:rPr>
      <w:rFonts w:ascii="Verdana" w:hAnsi="Verdana"/>
      <w:kern w:val="0"/>
      <w:szCs w:val="20"/>
      <w:lang w:eastAsia="en-US"/>
    </w:rPr>
  </w:style>
  <w:style w:type="paragraph" w:styleId="108">
    <w:name w:val="List Paragraph"/>
    <w:basedOn w:val="1"/>
    <w:qFormat/>
    <w:uiPriority w:val="99"/>
    <w:pPr>
      <w:ind w:firstLine="420" w:firstLineChars="200"/>
    </w:pPr>
    <w:rPr>
      <w:rFonts w:ascii="Calibri" w:hAnsi="Calibri"/>
      <w:szCs w:val="22"/>
    </w:rPr>
  </w:style>
  <w:style w:type="paragraph" w:customStyle="1" w:styleId="109">
    <w:name w:val="USE 1"/>
    <w:basedOn w:val="1"/>
    <w:qFormat/>
    <w:uiPriority w:val="99"/>
    <w:pPr>
      <w:spacing w:line="200" w:lineRule="atLeast"/>
      <w:jc w:val="left"/>
    </w:pPr>
    <w:rPr>
      <w:rFonts w:ascii="宋体" w:hAnsi="宋体"/>
      <w:b/>
      <w:sz w:val="24"/>
      <w:szCs w:val="28"/>
    </w:rPr>
  </w:style>
  <w:style w:type="paragraph" w:customStyle="1" w:styleId="110">
    <w:name w:val="RFI text from 3rd Level"/>
    <w:basedOn w:val="1"/>
    <w:qFormat/>
    <w:uiPriority w:val="99"/>
    <w:pPr>
      <w:widowControl/>
      <w:numPr>
        <w:ilvl w:val="0"/>
        <w:numId w:val="3"/>
      </w:numPr>
      <w:tabs>
        <w:tab w:val="left" w:pos="1080"/>
        <w:tab w:val="clear" w:pos="840"/>
      </w:tabs>
      <w:spacing w:beforeLines="50" w:line="360" w:lineRule="auto"/>
      <w:ind w:left="0" w:firstLine="0"/>
    </w:pPr>
    <w:rPr>
      <w:rFonts w:ascii="Arial (W1)" w:hAnsi="Arial (W1)"/>
      <w:bCs/>
      <w:kern w:val="0"/>
      <w:sz w:val="24"/>
      <w:lang w:val="en-GB"/>
    </w:rPr>
  </w:style>
  <w:style w:type="paragraph" w:customStyle="1" w:styleId="111">
    <w:name w:val="正文文字缩进项目"/>
    <w:basedOn w:val="20"/>
    <w:qFormat/>
    <w:uiPriority w:val="99"/>
    <w:pPr>
      <w:numPr>
        <w:ilvl w:val="1"/>
        <w:numId w:val="3"/>
      </w:numPr>
      <w:tabs>
        <w:tab w:val="left" w:pos="840"/>
        <w:tab w:val="clear" w:pos="1260"/>
      </w:tabs>
      <w:spacing w:after="120" w:line="240" w:lineRule="auto"/>
      <w:ind w:left="840" w:firstLine="0" w:firstLineChars="0"/>
    </w:pPr>
    <w:rPr>
      <w:rFonts w:ascii="Tahoma" w:hAnsi="Tahoma"/>
      <w:sz w:val="22"/>
      <w:szCs w:val="20"/>
    </w:rPr>
  </w:style>
  <w:style w:type="paragraph" w:customStyle="1" w:styleId="112">
    <w:name w:val="样式 标题 2 + 段前: 13 磅 段后: 13 磅 行距: 单倍行距"/>
    <w:basedOn w:val="3"/>
    <w:qFormat/>
    <w:uiPriority w:val="99"/>
    <w:pPr>
      <w:adjustRightInd/>
      <w:jc w:val="both"/>
      <w:textAlignment w:val="auto"/>
    </w:pPr>
    <w:rPr>
      <w:rFonts w:ascii="Cambria" w:hAnsi="Cambria" w:cs="宋体"/>
      <w:kern w:val="2"/>
      <w:sz w:val="32"/>
    </w:rPr>
  </w:style>
  <w:style w:type="character" w:customStyle="1" w:styleId="113">
    <w:name w:val="H4 Char2"/>
    <w:qFormat/>
    <w:uiPriority w:val="99"/>
    <w:rPr>
      <w:rFonts w:ascii="Arial" w:hAnsi="Arial" w:eastAsia="黑体"/>
      <w:b/>
      <w:kern w:val="2"/>
      <w:sz w:val="28"/>
      <w:lang w:val="en-US" w:eastAsia="zh-CN"/>
    </w:rPr>
  </w:style>
  <w:style w:type="character" w:customStyle="1" w:styleId="114">
    <w:name w:val="第*章 Char"/>
    <w:qFormat/>
    <w:uiPriority w:val="99"/>
    <w:rPr>
      <w:rFonts w:ascii="Arial" w:hAnsi="Arial" w:eastAsia="黑体"/>
      <w:b/>
      <w:kern w:val="2"/>
      <w:sz w:val="32"/>
    </w:rPr>
  </w:style>
  <w:style w:type="character" w:customStyle="1" w:styleId="115">
    <w:name w:val="章标题1 Char"/>
    <w:qFormat/>
    <w:uiPriority w:val="99"/>
    <w:rPr>
      <w:rFonts w:eastAsia="宋体"/>
      <w:b/>
      <w:kern w:val="2"/>
      <w:sz w:val="32"/>
      <w:lang w:val="en-US" w:eastAsia="zh-CN"/>
    </w:rPr>
  </w:style>
  <w:style w:type="character" w:customStyle="1" w:styleId="116">
    <w:name w:val="正文文字首行缩进 Char"/>
    <w:qFormat/>
    <w:uiPriority w:val="99"/>
    <w:rPr>
      <w:kern w:val="2"/>
      <w:sz w:val="24"/>
    </w:rPr>
  </w:style>
  <w:style w:type="paragraph" w:customStyle="1" w:styleId="117">
    <w:name w:val="样式1"/>
    <w:basedOn w:val="41"/>
    <w:qFormat/>
    <w:uiPriority w:val="99"/>
    <w:pPr>
      <w:spacing w:before="120" w:after="120"/>
    </w:pPr>
    <w:rPr>
      <w:rFonts w:eastAsia="黑体"/>
      <w:b w:val="0"/>
      <w:sz w:val="30"/>
      <w:szCs w:val="21"/>
    </w:rPr>
  </w:style>
  <w:style w:type="paragraph" w:customStyle="1" w:styleId="118">
    <w:name w:val="样式2"/>
    <w:basedOn w:val="41"/>
    <w:next w:val="117"/>
    <w:qFormat/>
    <w:uiPriority w:val="99"/>
    <w:pPr>
      <w:spacing w:before="120" w:after="120"/>
    </w:pPr>
    <w:rPr>
      <w:rFonts w:eastAsia="黑体"/>
      <w:b w:val="0"/>
      <w:sz w:val="30"/>
      <w:szCs w:val="30"/>
    </w:rPr>
  </w:style>
  <w:style w:type="character" w:customStyle="1" w:styleId="119">
    <w:name w:val="标题 3 Char Char"/>
    <w:qFormat/>
    <w:uiPriority w:val="99"/>
    <w:rPr>
      <w:rFonts w:eastAsia="宋体"/>
      <w:b/>
      <w:kern w:val="2"/>
      <w:sz w:val="32"/>
      <w:lang w:val="en-US" w:eastAsia="zh-CN"/>
    </w:rPr>
  </w:style>
  <w:style w:type="paragraph" w:customStyle="1" w:styleId="120">
    <w:name w:val="Char Char Char Char Char Char1 Char Char Char Char Char Char Char Char Char Char Char Char Char"/>
    <w:basedOn w:val="1"/>
    <w:qFormat/>
    <w:uiPriority w:val="99"/>
    <w:pPr>
      <w:widowControl/>
      <w:spacing w:after="160" w:line="240" w:lineRule="exact"/>
      <w:jc w:val="left"/>
    </w:pPr>
    <w:rPr>
      <w:rFonts w:ascii="Arial" w:hAnsi="Arial" w:cs="Verdana"/>
      <w:b/>
      <w:kern w:val="0"/>
      <w:sz w:val="24"/>
      <w:lang w:eastAsia="en-US"/>
    </w:rPr>
  </w:style>
  <w:style w:type="paragraph" w:customStyle="1" w:styleId="121">
    <w:name w:val="cont"/>
    <w:basedOn w:val="1"/>
    <w:qFormat/>
    <w:uiPriority w:val="99"/>
    <w:pPr>
      <w:adjustRightInd w:val="0"/>
      <w:spacing w:before="100" w:after="100" w:line="360" w:lineRule="auto"/>
      <w:ind w:firstLine="200" w:firstLineChars="200"/>
      <w:jc w:val="left"/>
      <w:textAlignment w:val="baseline"/>
    </w:pPr>
    <w:rPr>
      <w:rFonts w:ascii="Arial" w:hAnsi="Arial"/>
      <w:kern w:val="0"/>
      <w:sz w:val="24"/>
      <w:szCs w:val="20"/>
    </w:rPr>
  </w:style>
  <w:style w:type="paragraph" w:customStyle="1" w:styleId="122">
    <w:name w:val="--规划正文"/>
    <w:basedOn w:val="1"/>
    <w:qFormat/>
    <w:uiPriority w:val="99"/>
    <w:pPr>
      <w:spacing w:line="360" w:lineRule="auto"/>
      <w:ind w:firstLine="200" w:firstLineChars="200"/>
    </w:pPr>
    <w:rPr>
      <w:szCs w:val="20"/>
    </w:rPr>
  </w:style>
  <w:style w:type="paragraph" w:customStyle="1" w:styleId="123">
    <w:name w:val="设计依据"/>
    <w:basedOn w:val="18"/>
    <w:qFormat/>
    <w:uiPriority w:val="99"/>
    <w:pPr>
      <w:numPr>
        <w:ilvl w:val="1"/>
        <w:numId w:val="4"/>
      </w:numPr>
      <w:tabs>
        <w:tab w:val="left" w:pos="1440"/>
        <w:tab w:val="clear" w:pos="840"/>
      </w:tabs>
      <w:adjustRightInd w:val="0"/>
      <w:ind w:left="1440"/>
      <w:textAlignment w:val="baseline"/>
    </w:pPr>
    <w:rPr>
      <w:rFonts w:ascii="宋体" w:hAnsi="宋体"/>
      <w:b w:val="0"/>
      <w:kern w:val="0"/>
      <w:sz w:val="28"/>
      <w:szCs w:val="18"/>
    </w:rPr>
  </w:style>
  <w:style w:type="paragraph" w:customStyle="1" w:styleId="124">
    <w:name w:val="方案要点"/>
    <w:basedOn w:val="1"/>
    <w:qFormat/>
    <w:uiPriority w:val="99"/>
    <w:pPr>
      <w:numPr>
        <w:ilvl w:val="0"/>
        <w:numId w:val="4"/>
      </w:numPr>
      <w:spacing w:line="360" w:lineRule="auto"/>
    </w:pPr>
    <w:rPr>
      <w:rFonts w:ascii="仿宋_GB2312" w:hAnsi="宋体" w:eastAsia="仿宋_GB2312"/>
      <w:color w:val="000000"/>
      <w:sz w:val="28"/>
      <w:szCs w:val="28"/>
    </w:rPr>
  </w:style>
  <w:style w:type="paragraph" w:customStyle="1" w:styleId="125">
    <w:name w:val="样式4"/>
    <w:basedOn w:val="1"/>
    <w:qFormat/>
    <w:uiPriority w:val="99"/>
    <w:pPr>
      <w:tabs>
        <w:tab w:val="left" w:pos="842"/>
      </w:tabs>
      <w:spacing w:line="360" w:lineRule="auto"/>
      <w:ind w:left="842" w:hanging="420"/>
    </w:pPr>
    <w:rPr>
      <w:sz w:val="24"/>
    </w:rPr>
  </w:style>
  <w:style w:type="paragraph" w:customStyle="1" w:styleId="126">
    <w:name w:val="文字"/>
    <w:basedOn w:val="1"/>
    <w:qFormat/>
    <w:uiPriority w:val="99"/>
    <w:pPr>
      <w:tabs>
        <w:tab w:val="left" w:pos="8520"/>
      </w:tabs>
      <w:spacing w:line="312" w:lineRule="auto"/>
      <w:ind w:right="-210" w:firstLine="556"/>
    </w:pPr>
    <w:rPr>
      <w:rFonts w:ascii="宋体"/>
      <w:sz w:val="28"/>
      <w:szCs w:val="20"/>
    </w:rPr>
  </w:style>
  <w:style w:type="paragraph" w:customStyle="1" w:styleId="127">
    <w:name w:val="--规划-表格-居左"/>
    <w:basedOn w:val="122"/>
    <w:qFormat/>
    <w:uiPriority w:val="99"/>
    <w:pPr>
      <w:spacing w:line="240" w:lineRule="auto"/>
      <w:ind w:firstLine="0" w:firstLineChars="0"/>
    </w:pPr>
    <w:rPr>
      <w:sz w:val="20"/>
    </w:rPr>
  </w:style>
  <w:style w:type="paragraph" w:customStyle="1" w:styleId="128">
    <w:name w:val="--规划-表格-居中"/>
    <w:basedOn w:val="122"/>
    <w:qFormat/>
    <w:uiPriority w:val="99"/>
    <w:pPr>
      <w:spacing w:line="240" w:lineRule="auto"/>
      <w:ind w:firstLine="0" w:firstLineChars="0"/>
      <w:jc w:val="center"/>
    </w:pPr>
    <w:rPr>
      <w:sz w:val="20"/>
    </w:rPr>
  </w:style>
  <w:style w:type="paragraph" w:customStyle="1" w:styleId="129">
    <w:name w:val="--编号内缩进"/>
    <w:basedOn w:val="1"/>
    <w:qFormat/>
    <w:uiPriority w:val="99"/>
    <w:pPr>
      <w:spacing w:line="360" w:lineRule="auto"/>
      <w:ind w:left="420" w:firstLine="200" w:firstLineChars="200"/>
    </w:pPr>
    <w:rPr>
      <w:szCs w:val="21"/>
    </w:rPr>
  </w:style>
  <w:style w:type="paragraph" w:customStyle="1" w:styleId="130">
    <w:name w:val="--规划-题注"/>
    <w:basedOn w:val="1"/>
    <w:next w:val="122"/>
    <w:qFormat/>
    <w:uiPriority w:val="99"/>
    <w:pPr>
      <w:spacing w:line="360" w:lineRule="auto"/>
      <w:jc w:val="center"/>
    </w:pPr>
    <w:rPr>
      <w:rFonts w:eastAsia="黑体"/>
    </w:rPr>
  </w:style>
  <w:style w:type="paragraph" w:customStyle="1" w:styleId="131">
    <w:name w:val="--规划-图和表"/>
    <w:next w:val="122"/>
    <w:qFormat/>
    <w:uiPriority w:val="99"/>
    <w:pPr>
      <w:jc w:val="center"/>
    </w:pPr>
    <w:rPr>
      <w:rFonts w:ascii="Times New Roman" w:hAnsi="Times New Roman" w:eastAsia="宋体" w:cs="Times New Roman"/>
      <w:kern w:val="2"/>
      <w:sz w:val="21"/>
      <w:szCs w:val="20"/>
      <w:lang w:val="en-US" w:eastAsia="zh-CN" w:bidi="ar-SA"/>
    </w:rPr>
  </w:style>
  <w:style w:type="paragraph" w:customStyle="1" w:styleId="132">
    <w:name w:val="--规划-小标题"/>
    <w:basedOn w:val="1"/>
    <w:next w:val="122"/>
    <w:qFormat/>
    <w:uiPriority w:val="99"/>
    <w:pPr>
      <w:keepNext/>
      <w:keepLines/>
      <w:spacing w:line="360" w:lineRule="auto"/>
      <w:outlineLvl w:val="4"/>
    </w:pPr>
    <w:rPr>
      <w:rFonts w:eastAsia="黑体"/>
    </w:rPr>
  </w:style>
  <w:style w:type="paragraph" w:customStyle="1" w:styleId="133">
    <w:name w:val="--规划正文 Char"/>
    <w:basedOn w:val="1"/>
    <w:qFormat/>
    <w:uiPriority w:val="99"/>
    <w:pPr>
      <w:spacing w:line="360" w:lineRule="auto"/>
      <w:ind w:firstLine="200" w:firstLineChars="200"/>
    </w:pPr>
    <w:rPr>
      <w:sz w:val="24"/>
    </w:rPr>
  </w:style>
  <w:style w:type="paragraph" w:customStyle="1" w:styleId="134">
    <w:name w:val="缺省文本"/>
    <w:basedOn w:val="1"/>
    <w:qFormat/>
    <w:uiPriority w:val="99"/>
    <w:pPr>
      <w:autoSpaceDE w:val="0"/>
      <w:autoSpaceDN w:val="0"/>
      <w:adjustRightInd w:val="0"/>
      <w:jc w:val="left"/>
    </w:pPr>
    <w:rPr>
      <w:kern w:val="0"/>
    </w:rPr>
  </w:style>
  <w:style w:type="paragraph" w:customStyle="1" w:styleId="135">
    <w:name w:val="封面文档标题"/>
    <w:basedOn w:val="1"/>
    <w:qFormat/>
    <w:uiPriority w:val="99"/>
    <w:pPr>
      <w:autoSpaceDE w:val="0"/>
      <w:autoSpaceDN w:val="0"/>
      <w:adjustRightInd w:val="0"/>
      <w:spacing w:line="360" w:lineRule="auto"/>
      <w:jc w:val="center"/>
    </w:pPr>
    <w:rPr>
      <w:rFonts w:ascii="Arial" w:hAnsi="Arial"/>
      <w:b/>
      <w:kern w:val="0"/>
      <w:sz w:val="56"/>
    </w:rPr>
  </w:style>
  <w:style w:type="character" w:customStyle="1" w:styleId="136">
    <w:name w:val="--规划正文 Char Char"/>
    <w:qFormat/>
    <w:uiPriority w:val="99"/>
    <w:rPr>
      <w:rFonts w:eastAsia="宋体"/>
      <w:kern w:val="2"/>
      <w:sz w:val="24"/>
      <w:lang w:val="en-US" w:eastAsia="zh-CN"/>
    </w:rPr>
  </w:style>
  <w:style w:type="paragraph" w:customStyle="1" w:styleId="137">
    <w:name w:val="样式3"/>
    <w:basedOn w:val="2"/>
    <w:qFormat/>
    <w:uiPriority w:val="99"/>
    <w:pPr>
      <w:numPr>
        <w:ilvl w:val="0"/>
        <w:numId w:val="5"/>
      </w:numPr>
      <w:spacing w:before="240" w:after="240" w:line="480" w:lineRule="auto"/>
      <w:ind w:right="210" w:rightChars="100"/>
      <w:jc w:val="left"/>
    </w:pPr>
    <w:rPr>
      <w:rFonts w:ascii="Times New Roman" w:hAnsi="Times New Roman"/>
      <w:sz w:val="32"/>
    </w:rPr>
  </w:style>
  <w:style w:type="character" w:customStyle="1" w:styleId="138">
    <w:name w:val="--规划正文 Char1"/>
    <w:qFormat/>
    <w:uiPriority w:val="99"/>
    <w:rPr>
      <w:rFonts w:eastAsia="宋体"/>
      <w:kern w:val="2"/>
      <w:sz w:val="21"/>
      <w:lang w:val="en-US" w:eastAsia="zh-CN"/>
    </w:rPr>
  </w:style>
  <w:style w:type="paragraph" w:customStyle="1" w:styleId="139">
    <w:name w:val="word"/>
    <w:basedOn w:val="1"/>
    <w:qFormat/>
    <w:uiPriority w:val="99"/>
    <w:pPr>
      <w:widowControl/>
      <w:spacing w:before="100" w:beforeAutospacing="1" w:after="100" w:afterAutospacing="1" w:line="301" w:lineRule="atLeast"/>
      <w:jc w:val="left"/>
    </w:pPr>
    <w:rPr>
      <w:rFonts w:ascii="??" w:hAnsi="??"/>
      <w:color w:val="000000"/>
      <w:kern w:val="0"/>
      <w:sz w:val="20"/>
      <w:szCs w:val="20"/>
    </w:rPr>
  </w:style>
  <w:style w:type="paragraph" w:customStyle="1" w:styleId="140">
    <w:name w:val="列表项目"/>
    <w:basedOn w:val="1"/>
    <w:qFormat/>
    <w:uiPriority w:val="99"/>
    <w:pPr>
      <w:tabs>
        <w:tab w:val="left" w:pos="420"/>
        <w:tab w:val="left" w:pos="1080"/>
      </w:tabs>
      <w:spacing w:line="288" w:lineRule="auto"/>
      <w:ind w:left="1080" w:hanging="360"/>
    </w:pPr>
    <w:rPr>
      <w:sz w:val="24"/>
      <w:szCs w:val="20"/>
    </w:rPr>
  </w:style>
  <w:style w:type="character" w:customStyle="1" w:styleId="141">
    <w:name w:val="content1"/>
    <w:qFormat/>
    <w:uiPriority w:val="99"/>
    <w:rPr>
      <w:rFonts w:ascii="??" w:hAnsi="??"/>
      <w:sz w:val="16"/>
      <w:u w:val="none"/>
    </w:rPr>
  </w:style>
  <w:style w:type="character" w:customStyle="1" w:styleId="142">
    <w:name w:val="unnamed4"/>
    <w:basedOn w:val="48"/>
    <w:qFormat/>
    <w:uiPriority w:val="99"/>
    <w:rPr>
      <w:rFonts w:cs="Times New Roman"/>
    </w:rPr>
  </w:style>
  <w:style w:type="character" w:customStyle="1" w:styleId="143">
    <w:name w:val="font2"/>
    <w:basedOn w:val="48"/>
    <w:qFormat/>
    <w:uiPriority w:val="99"/>
    <w:rPr>
      <w:rFonts w:cs="Times New Roman"/>
    </w:rPr>
  </w:style>
  <w:style w:type="character" w:customStyle="1" w:styleId="144">
    <w:name w:val="font41"/>
    <w:qFormat/>
    <w:uiPriority w:val="99"/>
    <w:rPr>
      <w:color w:val="000000"/>
      <w:spacing w:val="260"/>
      <w:sz w:val="18"/>
      <w:u w:val="none"/>
    </w:rPr>
  </w:style>
  <w:style w:type="paragraph" w:customStyle="1" w:styleId="145">
    <w:name w:val="正文(首行缩进)"/>
    <w:qFormat/>
    <w:uiPriority w:val="99"/>
    <w:pPr>
      <w:spacing w:line="360" w:lineRule="auto"/>
      <w:ind w:firstLine="488" w:firstLineChars="200"/>
      <w:jc w:val="both"/>
    </w:pPr>
    <w:rPr>
      <w:rFonts w:ascii="Times New Roman" w:hAnsi="Times New Roman" w:eastAsia="仿宋_GB2312" w:cs="Times New Roman"/>
      <w:spacing w:val="2"/>
      <w:kern w:val="0"/>
      <w:sz w:val="24"/>
      <w:szCs w:val="24"/>
      <w:lang w:val="en-US" w:eastAsia="zh-CN" w:bidi="ar-SA"/>
    </w:rPr>
  </w:style>
  <w:style w:type="paragraph" w:customStyle="1" w:styleId="146">
    <w:name w:val="xl72"/>
    <w:basedOn w:val="1"/>
    <w:qFormat/>
    <w:uiPriority w:val="99"/>
    <w:pPr>
      <w:widowControl/>
      <w:spacing w:before="100" w:beforeAutospacing="1" w:after="100" w:afterAutospacing="1"/>
      <w:jc w:val="left"/>
    </w:pPr>
    <w:rPr>
      <w:rFonts w:ascii="宋体" w:hAnsi="宋体"/>
      <w:b/>
      <w:bCs/>
      <w:kern w:val="0"/>
      <w:sz w:val="28"/>
      <w:szCs w:val="28"/>
    </w:rPr>
  </w:style>
  <w:style w:type="paragraph" w:customStyle="1" w:styleId="147">
    <w:name w:val="正文(首行缩进) Char"/>
    <w:qFormat/>
    <w:uiPriority w:val="99"/>
    <w:pPr>
      <w:spacing w:before="120" w:after="60" w:line="360" w:lineRule="auto"/>
      <w:ind w:firstLine="200" w:firstLineChars="200"/>
    </w:pPr>
    <w:rPr>
      <w:rFonts w:ascii="Times New Roman" w:hAnsi="Times New Roman" w:eastAsia="仿宋_GB2312" w:cs="Times New Roman"/>
      <w:spacing w:val="2"/>
      <w:kern w:val="24"/>
      <w:sz w:val="24"/>
      <w:szCs w:val="24"/>
      <w:lang w:val="en-US" w:eastAsia="zh-CN" w:bidi="ar-SA"/>
    </w:rPr>
  </w:style>
  <w:style w:type="paragraph" w:customStyle="1" w:styleId="148">
    <w:name w:val="汉议细等线简8"/>
    <w:qFormat/>
    <w:uiPriority w:val="99"/>
    <w:pPr>
      <w:widowControl w:val="0"/>
      <w:autoSpaceDE w:val="0"/>
      <w:autoSpaceDN w:val="0"/>
      <w:adjustRightInd w:val="0"/>
      <w:spacing w:line="260" w:lineRule="atLeast"/>
      <w:jc w:val="both"/>
    </w:pPr>
    <w:rPr>
      <w:rFonts w:ascii="汉仪细等线简" w:hAnsi="Times New Roman" w:eastAsia="汉仪细等线简" w:cs="Times New Roman"/>
      <w:color w:val="000000"/>
      <w:kern w:val="0"/>
      <w:sz w:val="16"/>
      <w:szCs w:val="16"/>
      <w:lang w:val="en-US" w:eastAsia="zh-CN" w:bidi="ar-SA"/>
    </w:rPr>
  </w:style>
  <w:style w:type="paragraph" w:customStyle="1" w:styleId="149">
    <w:name w:val="汉仪细等线简9BOLD"/>
    <w:basedOn w:val="1"/>
    <w:qFormat/>
    <w:uiPriority w:val="99"/>
    <w:pPr>
      <w:autoSpaceDE w:val="0"/>
      <w:autoSpaceDN w:val="0"/>
      <w:adjustRightInd w:val="0"/>
      <w:spacing w:line="240" w:lineRule="atLeast"/>
    </w:pPr>
    <w:rPr>
      <w:rFonts w:ascii="汉仪细等线简" w:eastAsia="汉仪细等线简"/>
      <w:b/>
      <w:bCs/>
      <w:kern w:val="0"/>
      <w:sz w:val="18"/>
      <w:szCs w:val="18"/>
    </w:rPr>
  </w:style>
  <w:style w:type="character" w:customStyle="1" w:styleId="150">
    <w:name w:val="mode"/>
    <w:basedOn w:val="48"/>
    <w:qFormat/>
    <w:uiPriority w:val="99"/>
    <w:rPr>
      <w:rFonts w:cs="Times New Roman"/>
    </w:rPr>
  </w:style>
  <w:style w:type="paragraph" w:customStyle="1" w:styleId="151">
    <w:name w:val="9"/>
    <w:basedOn w:val="1"/>
    <w:next w:val="7"/>
    <w:qFormat/>
    <w:uiPriority w:val="99"/>
    <w:pPr>
      <w:autoSpaceDE w:val="0"/>
      <w:autoSpaceDN w:val="0"/>
      <w:adjustRightInd w:val="0"/>
      <w:ind w:firstLine="420"/>
      <w:jc w:val="left"/>
      <w:textAlignment w:val="baseline"/>
    </w:pPr>
    <w:rPr>
      <w:rFonts w:ascii="宋体"/>
      <w:kern w:val="0"/>
      <w:sz w:val="34"/>
      <w:szCs w:val="20"/>
    </w:rPr>
  </w:style>
  <w:style w:type="character" w:customStyle="1" w:styleId="152">
    <w:name w:val="unnamed3"/>
    <w:basedOn w:val="48"/>
    <w:qFormat/>
    <w:uiPriority w:val="99"/>
    <w:rPr>
      <w:rFonts w:cs="Times New Roman"/>
    </w:rPr>
  </w:style>
  <w:style w:type="paragraph" w:customStyle="1" w:styleId="153">
    <w:name w:val="8"/>
    <w:basedOn w:val="1"/>
    <w:next w:val="20"/>
    <w:qFormat/>
    <w:uiPriority w:val="99"/>
    <w:pPr>
      <w:spacing w:after="120"/>
      <w:ind w:left="420" w:leftChars="200"/>
    </w:pPr>
  </w:style>
  <w:style w:type="paragraph" w:customStyle="1" w:styleId="154">
    <w:name w:val="7"/>
    <w:basedOn w:val="1"/>
    <w:qFormat/>
    <w:uiPriority w:val="99"/>
    <w:pPr>
      <w:autoSpaceDE w:val="0"/>
      <w:autoSpaceDN w:val="0"/>
      <w:adjustRightInd w:val="0"/>
      <w:spacing w:line="270" w:lineRule="atLeast"/>
      <w:jc w:val="left"/>
    </w:pPr>
    <w:rPr>
      <w:rFonts w:ascii="宋体"/>
      <w:kern w:val="0"/>
      <w:sz w:val="18"/>
      <w:szCs w:val="18"/>
    </w:rPr>
  </w:style>
  <w:style w:type="paragraph" w:customStyle="1" w:styleId="155">
    <w:name w:val="00"/>
    <w:basedOn w:val="1"/>
    <w:qFormat/>
    <w:uiPriority w:val="99"/>
    <w:pPr>
      <w:autoSpaceDE w:val="0"/>
      <w:autoSpaceDN w:val="0"/>
      <w:adjustRightInd w:val="0"/>
      <w:jc w:val="left"/>
    </w:pPr>
    <w:rPr>
      <w:rFonts w:ascii="黑体" w:eastAsia="黑体"/>
      <w:b/>
      <w:bCs/>
      <w:kern w:val="0"/>
      <w:sz w:val="20"/>
      <w:szCs w:val="20"/>
    </w:rPr>
  </w:style>
  <w:style w:type="paragraph" w:customStyle="1" w:styleId="156">
    <w:name w:val="5"/>
    <w:basedOn w:val="1"/>
    <w:qFormat/>
    <w:uiPriority w:val="99"/>
    <w:pPr>
      <w:autoSpaceDE w:val="0"/>
      <w:autoSpaceDN w:val="0"/>
      <w:adjustRightInd w:val="0"/>
      <w:jc w:val="left"/>
    </w:pPr>
    <w:rPr>
      <w:rFonts w:ascii="宋体"/>
      <w:b/>
      <w:bCs/>
      <w:kern w:val="0"/>
      <w:sz w:val="18"/>
      <w:szCs w:val="18"/>
    </w:rPr>
  </w:style>
  <w:style w:type="paragraph" w:customStyle="1" w:styleId="157">
    <w:name w:val="6"/>
    <w:basedOn w:val="156"/>
    <w:qFormat/>
    <w:uiPriority w:val="99"/>
    <w:pPr>
      <w:spacing w:line="270" w:lineRule="atLeast"/>
      <w:jc w:val="both"/>
    </w:pPr>
    <w:rPr>
      <w:b w:val="0"/>
      <w:bCs w:val="0"/>
    </w:rPr>
  </w:style>
  <w:style w:type="paragraph" w:customStyle="1" w:styleId="158">
    <w:name w:val="产品描述"/>
    <w:qFormat/>
    <w:uiPriority w:val="99"/>
    <w:pPr>
      <w:widowControl w:val="0"/>
      <w:autoSpaceDE w:val="0"/>
      <w:autoSpaceDN w:val="0"/>
      <w:adjustRightInd w:val="0"/>
      <w:spacing w:line="270" w:lineRule="atLeast"/>
      <w:ind w:firstLine="397"/>
      <w:jc w:val="both"/>
    </w:pPr>
    <w:rPr>
      <w:rFonts w:ascii="宋体" w:hAnsi="Times New Roman" w:eastAsia="宋体" w:cs="Times New Roman"/>
      <w:kern w:val="0"/>
      <w:sz w:val="18"/>
      <w:szCs w:val="18"/>
      <w:lang w:val="en-US" w:eastAsia="zh-CN" w:bidi="ar-SA"/>
    </w:rPr>
  </w:style>
  <w:style w:type="paragraph" w:customStyle="1" w:styleId="159">
    <w:name w:val="姜文清定义的正文"/>
    <w:basedOn w:val="1"/>
    <w:qFormat/>
    <w:uiPriority w:val="99"/>
    <w:pPr>
      <w:spacing w:line="240" w:lineRule="atLeast"/>
      <w:ind w:firstLine="567"/>
    </w:pPr>
    <w:rPr>
      <w:szCs w:val="20"/>
    </w:rPr>
  </w:style>
  <w:style w:type="paragraph" w:customStyle="1" w:styleId="160">
    <w:name w:val="Default"/>
    <w:qFormat/>
    <w:uiPriority w:val="99"/>
    <w:pPr>
      <w:widowControl w:val="0"/>
      <w:autoSpaceDE w:val="0"/>
      <w:autoSpaceDN w:val="0"/>
      <w:adjustRightInd w:val="0"/>
    </w:pPr>
    <w:rPr>
      <w:rFonts w:ascii="H Yb 2gj" w:hAnsi="Times New Roman" w:eastAsia="H Yb 2gj" w:cs="H Yb 2gj"/>
      <w:color w:val="000000"/>
      <w:kern w:val="0"/>
      <w:sz w:val="24"/>
      <w:szCs w:val="24"/>
      <w:lang w:val="en-US" w:eastAsia="zh-CN" w:bidi="ar-SA"/>
    </w:rPr>
  </w:style>
  <w:style w:type="paragraph" w:customStyle="1" w:styleId="161">
    <w:name w:val="CM2"/>
    <w:basedOn w:val="160"/>
    <w:next w:val="160"/>
    <w:qFormat/>
    <w:uiPriority w:val="99"/>
    <w:pPr>
      <w:spacing w:line="200" w:lineRule="atLeast"/>
    </w:pPr>
    <w:rPr>
      <w:rFonts w:ascii="Arial" w:hAnsi="Arial" w:eastAsia="宋体" w:cs="Times New Roman"/>
      <w:color w:val="auto"/>
    </w:rPr>
  </w:style>
  <w:style w:type="paragraph" w:customStyle="1" w:styleId="162">
    <w:name w:val="Normal Paragraph"/>
    <w:basedOn w:val="1"/>
    <w:qFormat/>
    <w:uiPriority w:val="99"/>
    <w:pPr>
      <w:widowControl/>
      <w:spacing w:before="120" w:line="360" w:lineRule="auto"/>
      <w:ind w:firstLine="425"/>
    </w:pPr>
    <w:rPr>
      <w:kern w:val="0"/>
      <w:sz w:val="24"/>
    </w:rPr>
  </w:style>
  <w:style w:type="character" w:customStyle="1" w:styleId="163">
    <w:name w:val="blue"/>
    <w:basedOn w:val="48"/>
    <w:qFormat/>
    <w:uiPriority w:val="99"/>
    <w:rPr>
      <w:rFonts w:cs="Times New Roman"/>
    </w:rPr>
  </w:style>
  <w:style w:type="paragraph" w:customStyle="1" w:styleId="164">
    <w:name w:val="blue1"/>
    <w:basedOn w:val="1"/>
    <w:qFormat/>
    <w:uiPriority w:val="99"/>
    <w:pPr>
      <w:widowControl/>
      <w:spacing w:before="100" w:beforeAutospacing="1" w:after="100" w:afterAutospacing="1"/>
      <w:jc w:val="left"/>
    </w:pPr>
    <w:rPr>
      <w:rFonts w:ascii="宋体" w:hAnsi="宋体" w:cs="宋体"/>
      <w:kern w:val="0"/>
      <w:sz w:val="24"/>
    </w:rPr>
  </w:style>
  <w:style w:type="character" w:customStyle="1" w:styleId="165">
    <w:name w:val="font"/>
    <w:basedOn w:val="48"/>
    <w:qFormat/>
    <w:uiPriority w:val="99"/>
    <w:rPr>
      <w:rFonts w:cs="Times New Roman"/>
    </w:rPr>
  </w:style>
  <w:style w:type="character" w:customStyle="1" w:styleId="166">
    <w:name w:val="font11"/>
    <w:qFormat/>
    <w:uiPriority w:val="99"/>
    <w:rPr>
      <w:rFonts w:ascii="??" w:hAnsi="??"/>
    </w:rPr>
  </w:style>
  <w:style w:type="paragraph" w:customStyle="1" w:styleId="167">
    <w:name w:val="a14"/>
    <w:basedOn w:val="1"/>
    <w:qFormat/>
    <w:uiPriority w:val="99"/>
    <w:pPr>
      <w:widowControl/>
      <w:spacing w:before="100" w:beforeAutospacing="1" w:after="100" w:afterAutospacing="1" w:line="300" w:lineRule="atLeast"/>
      <w:ind w:firstLine="375"/>
      <w:jc w:val="left"/>
    </w:pPr>
    <w:rPr>
      <w:rFonts w:ascii="宋体" w:hAnsi="宋体" w:cs="宋体"/>
      <w:kern w:val="0"/>
      <w:szCs w:val="21"/>
    </w:rPr>
  </w:style>
  <w:style w:type="character" w:customStyle="1" w:styleId="168">
    <w:name w:val="proddescription"/>
    <w:basedOn w:val="48"/>
    <w:qFormat/>
    <w:uiPriority w:val="99"/>
    <w:rPr>
      <w:rFonts w:cs="Times New Roman"/>
    </w:rPr>
  </w:style>
  <w:style w:type="character" w:customStyle="1" w:styleId="169">
    <w:name w:val="prodheadlines"/>
    <w:basedOn w:val="48"/>
    <w:qFormat/>
    <w:uiPriority w:val="99"/>
    <w:rPr>
      <w:rFonts w:cs="Times New Roman"/>
    </w:rPr>
  </w:style>
  <w:style w:type="character" w:customStyle="1" w:styleId="170">
    <w:name w:val="text"/>
    <w:basedOn w:val="48"/>
    <w:qFormat/>
    <w:uiPriority w:val="99"/>
    <w:rPr>
      <w:rFonts w:cs="Times New Roman"/>
    </w:rPr>
  </w:style>
  <w:style w:type="paragraph" w:customStyle="1" w:styleId="171">
    <w:name w:val="text1"/>
    <w:basedOn w:val="1"/>
    <w:qFormat/>
    <w:uiPriority w:val="99"/>
    <w:pPr>
      <w:widowControl/>
      <w:spacing w:before="100" w:beforeAutospacing="1" w:after="100" w:afterAutospacing="1"/>
      <w:jc w:val="left"/>
    </w:pPr>
    <w:rPr>
      <w:rFonts w:ascii="宋体" w:hAnsi="宋体" w:cs="宋体"/>
      <w:kern w:val="0"/>
      <w:sz w:val="24"/>
    </w:rPr>
  </w:style>
  <w:style w:type="paragraph" w:customStyle="1" w:styleId="172">
    <w:name w:val="z-窗体顶端1"/>
    <w:basedOn w:val="1"/>
    <w:next w:val="1"/>
    <w:hidden/>
    <w:qFormat/>
    <w:uiPriority w:val="99"/>
    <w:pPr>
      <w:widowControl/>
      <w:pBdr>
        <w:bottom w:val="single" w:color="auto" w:sz="6" w:space="1"/>
      </w:pBdr>
      <w:jc w:val="center"/>
    </w:pPr>
    <w:rPr>
      <w:rFonts w:ascii="Arial" w:hAnsi="Arial" w:cs="Arial"/>
      <w:vanish/>
      <w:kern w:val="0"/>
      <w:sz w:val="16"/>
      <w:szCs w:val="16"/>
    </w:rPr>
  </w:style>
  <w:style w:type="paragraph" w:customStyle="1" w:styleId="173">
    <w:name w:val="z-窗体底端1"/>
    <w:basedOn w:val="1"/>
    <w:next w:val="1"/>
    <w:hidden/>
    <w:qFormat/>
    <w:uiPriority w:val="99"/>
    <w:pPr>
      <w:widowControl/>
      <w:pBdr>
        <w:top w:val="single" w:color="auto" w:sz="6" w:space="1"/>
      </w:pBdr>
      <w:jc w:val="center"/>
    </w:pPr>
    <w:rPr>
      <w:rFonts w:ascii="Arial" w:hAnsi="Arial" w:cs="Arial"/>
      <w:vanish/>
      <w:kern w:val="0"/>
      <w:sz w:val="16"/>
      <w:szCs w:val="16"/>
    </w:rPr>
  </w:style>
  <w:style w:type="paragraph" w:customStyle="1" w:styleId="174">
    <w:name w:val="正文样式"/>
    <w:basedOn w:val="1"/>
    <w:qFormat/>
    <w:uiPriority w:val="99"/>
    <w:pPr>
      <w:adjustRightInd w:val="0"/>
      <w:spacing w:line="400" w:lineRule="atLeast"/>
      <w:ind w:firstLine="570" w:firstLineChars="203"/>
      <w:textAlignment w:val="baseline"/>
    </w:pPr>
    <w:rPr>
      <w:rFonts w:eastAsia="仿宋_GB2312"/>
      <w:kern w:val="0"/>
      <w:sz w:val="28"/>
      <w:szCs w:val="20"/>
    </w:rPr>
  </w:style>
  <w:style w:type="paragraph" w:customStyle="1" w:styleId="175">
    <w:name w:val="xl34"/>
    <w:basedOn w:val="1"/>
    <w:qFormat/>
    <w:uiPriority w:val="99"/>
    <w:pPr>
      <w:widowControl/>
      <w:pBdr>
        <w:left w:val="single" w:color="auto" w:sz="4" w:space="0"/>
      </w:pBdr>
      <w:spacing w:before="100" w:beforeAutospacing="1" w:after="100" w:afterAutospacing="1"/>
      <w:jc w:val="center"/>
      <w:textAlignment w:val="center"/>
    </w:pPr>
    <w:rPr>
      <w:rFonts w:ascii="宋体" w:hAnsi="宋体"/>
      <w:kern w:val="0"/>
      <w:sz w:val="24"/>
    </w:rPr>
  </w:style>
  <w:style w:type="paragraph" w:customStyle="1" w:styleId="176">
    <w:name w:val="段落正文"/>
    <w:basedOn w:val="24"/>
    <w:qFormat/>
    <w:uiPriority w:val="99"/>
    <w:pPr>
      <w:ind w:firstLine="560" w:firstLineChars="200"/>
    </w:pPr>
    <w:rPr>
      <w:sz w:val="28"/>
    </w:rPr>
  </w:style>
  <w:style w:type="character" w:customStyle="1" w:styleId="177">
    <w:name w:val="gray6"/>
    <w:basedOn w:val="48"/>
    <w:qFormat/>
    <w:uiPriority w:val="99"/>
    <w:rPr>
      <w:rFonts w:cs="Times New Roman"/>
    </w:rPr>
  </w:style>
  <w:style w:type="character" w:customStyle="1" w:styleId="178">
    <w:name w:val="style9"/>
    <w:basedOn w:val="48"/>
    <w:qFormat/>
    <w:uiPriority w:val="99"/>
    <w:rPr>
      <w:rFonts w:cs="Times New Roman"/>
    </w:rPr>
  </w:style>
  <w:style w:type="paragraph" w:customStyle="1" w:styleId="179">
    <w:name w:val="2册标题4"/>
    <w:basedOn w:val="1"/>
    <w:next w:val="1"/>
    <w:qFormat/>
    <w:uiPriority w:val="99"/>
    <w:pPr>
      <w:spacing w:beforeLines="50" w:afterLines="50" w:line="300" w:lineRule="auto"/>
      <w:ind w:left="420" w:leftChars="200"/>
      <w:outlineLvl w:val="3"/>
    </w:pPr>
    <w:rPr>
      <w:rFonts w:ascii="Arial" w:hAnsi="Arial" w:eastAsia="幼圆" w:cs="Arial"/>
      <w:b/>
      <w:sz w:val="24"/>
    </w:rPr>
  </w:style>
  <w:style w:type="character" w:customStyle="1" w:styleId="180">
    <w:name w:val="grame"/>
    <w:basedOn w:val="48"/>
    <w:qFormat/>
    <w:uiPriority w:val="99"/>
    <w:rPr>
      <w:rFonts w:cs="Times New Roman"/>
    </w:rPr>
  </w:style>
  <w:style w:type="paragraph" w:customStyle="1" w:styleId="181">
    <w:name w:val="style2"/>
    <w:basedOn w:val="1"/>
    <w:qFormat/>
    <w:uiPriority w:val="99"/>
    <w:pPr>
      <w:widowControl/>
      <w:spacing w:before="100" w:beforeAutospacing="1" w:after="100" w:afterAutospacing="1"/>
      <w:jc w:val="left"/>
    </w:pPr>
    <w:rPr>
      <w:rFonts w:ascii="宋体" w:hAnsi="宋体" w:cs="宋体"/>
      <w:kern w:val="0"/>
      <w:sz w:val="18"/>
      <w:szCs w:val="18"/>
    </w:rPr>
  </w:style>
  <w:style w:type="paragraph" w:customStyle="1" w:styleId="182">
    <w:name w:val="Char1"/>
    <w:basedOn w:val="1"/>
    <w:qFormat/>
    <w:uiPriority w:val="99"/>
    <w:pPr>
      <w:jc w:val="left"/>
    </w:pPr>
    <w:rPr>
      <w:rFonts w:ascii="Tahoma" w:hAnsi="Tahoma"/>
      <w:sz w:val="24"/>
      <w:szCs w:val="20"/>
    </w:rPr>
  </w:style>
  <w:style w:type="paragraph" w:customStyle="1" w:styleId="183">
    <w:name w:val="编号1"/>
    <w:basedOn w:val="1"/>
    <w:qFormat/>
    <w:uiPriority w:val="99"/>
    <w:pPr>
      <w:numPr>
        <w:ilvl w:val="0"/>
        <w:numId w:val="6"/>
      </w:numPr>
      <w:adjustRightInd w:val="0"/>
      <w:spacing w:line="300" w:lineRule="auto"/>
      <w:ind w:right="210"/>
      <w:textAlignment w:val="center"/>
    </w:pPr>
    <w:rPr>
      <w:rFonts w:ascii="宋体" w:hAnsi="宋体"/>
      <w:spacing w:val="10"/>
      <w:kern w:val="24"/>
    </w:rPr>
  </w:style>
  <w:style w:type="paragraph" w:customStyle="1" w:styleId="184">
    <w:name w:val="Char Char Char Char Char Char Char Char Char Char Char Char Char Char Char Char Char Char Char Char Char Char"/>
    <w:basedOn w:val="1"/>
    <w:qFormat/>
    <w:uiPriority w:val="99"/>
    <w:pPr>
      <w:widowControl/>
      <w:spacing w:line="400" w:lineRule="exact"/>
      <w:jc w:val="center"/>
    </w:pPr>
    <w:rPr>
      <w:rFonts w:ascii="Verdana" w:hAnsi="Verdana"/>
      <w:kern w:val="0"/>
      <w:szCs w:val="20"/>
      <w:lang w:eastAsia="en-US"/>
    </w:rPr>
  </w:style>
  <w:style w:type="paragraph" w:customStyle="1" w:styleId="185">
    <w:name w:val="font0"/>
    <w:basedOn w:val="1"/>
    <w:qFormat/>
    <w:uiPriority w:val="99"/>
    <w:pPr>
      <w:widowControl/>
      <w:spacing w:before="100" w:beforeAutospacing="1" w:after="100" w:afterAutospacing="1"/>
      <w:jc w:val="left"/>
    </w:pPr>
    <w:rPr>
      <w:rFonts w:ascii="宋体" w:hAnsi="宋体"/>
      <w:kern w:val="0"/>
      <w:sz w:val="24"/>
    </w:rPr>
  </w:style>
  <w:style w:type="paragraph" w:customStyle="1" w:styleId="186">
    <w:name w:val="font5"/>
    <w:basedOn w:val="1"/>
    <w:qFormat/>
    <w:uiPriority w:val="99"/>
    <w:pPr>
      <w:widowControl/>
      <w:spacing w:before="100" w:beforeAutospacing="1" w:after="100" w:afterAutospacing="1"/>
      <w:jc w:val="left"/>
    </w:pPr>
    <w:rPr>
      <w:rFonts w:ascii="宋体" w:hAnsi="宋体"/>
      <w:kern w:val="0"/>
      <w:sz w:val="18"/>
      <w:szCs w:val="18"/>
    </w:rPr>
  </w:style>
  <w:style w:type="paragraph" w:customStyle="1" w:styleId="187">
    <w:name w:val="font6"/>
    <w:basedOn w:val="1"/>
    <w:qFormat/>
    <w:uiPriority w:val="99"/>
    <w:pPr>
      <w:widowControl/>
      <w:spacing w:before="100" w:beforeAutospacing="1" w:after="100" w:afterAutospacing="1"/>
      <w:jc w:val="left"/>
    </w:pPr>
    <w:rPr>
      <w:kern w:val="0"/>
      <w:sz w:val="24"/>
    </w:rPr>
  </w:style>
  <w:style w:type="paragraph" w:customStyle="1" w:styleId="188">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89">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90">
    <w:name w:val="表格字"/>
    <w:basedOn w:val="1"/>
    <w:qFormat/>
    <w:uiPriority w:val="99"/>
    <w:pPr>
      <w:adjustRightInd w:val="0"/>
      <w:jc w:val="center"/>
    </w:pPr>
    <w:rPr>
      <w:rFonts w:ascii="宋体"/>
      <w:sz w:val="24"/>
      <w:szCs w:val="20"/>
    </w:rPr>
  </w:style>
  <w:style w:type="character" w:customStyle="1" w:styleId="191">
    <w:name w:val="样式 小三 加粗"/>
    <w:qFormat/>
    <w:uiPriority w:val="99"/>
    <w:rPr>
      <w:rFonts w:eastAsia="宋体"/>
      <w:b/>
      <w:sz w:val="32"/>
    </w:rPr>
  </w:style>
  <w:style w:type="paragraph" w:customStyle="1" w:styleId="192">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93">
    <w:name w:val="qw"/>
    <w:qFormat/>
    <w:uiPriority w:val="99"/>
    <w:pPr>
      <w:widowControl w:val="0"/>
      <w:adjustRightInd w:val="0"/>
      <w:spacing w:line="312" w:lineRule="atLeast"/>
      <w:jc w:val="both"/>
      <w:textAlignment w:val="baseline"/>
    </w:pPr>
    <w:rPr>
      <w:rFonts w:ascii="宋体" w:hAnsi="Times New Roman" w:eastAsia="宋体" w:cs="Times New Roman"/>
      <w:kern w:val="0"/>
      <w:sz w:val="24"/>
      <w:szCs w:val="20"/>
      <w:lang w:val="en-US" w:eastAsia="zh-CN" w:bidi="ar-SA"/>
    </w:rPr>
  </w:style>
  <w:style w:type="paragraph" w:customStyle="1" w:styleId="194">
    <w:name w:val="Char Char Char"/>
    <w:basedOn w:val="1"/>
    <w:qFormat/>
    <w:uiPriority w:val="99"/>
    <w:rPr>
      <w:rFonts w:ascii="Tahoma" w:hAnsi="Tahoma"/>
      <w:sz w:val="24"/>
      <w:szCs w:val="20"/>
    </w:rPr>
  </w:style>
  <w:style w:type="paragraph" w:customStyle="1" w:styleId="195">
    <w:name w:val="Char2"/>
    <w:basedOn w:val="1"/>
    <w:qFormat/>
    <w:uiPriority w:val="99"/>
    <w:pPr>
      <w:widowControl/>
      <w:spacing w:after="160" w:line="240" w:lineRule="exact"/>
      <w:jc w:val="left"/>
    </w:pPr>
    <w:rPr>
      <w:rFonts w:ascii="Verdana" w:hAnsi="Verdana" w:eastAsia="仿宋_GB2312"/>
      <w:kern w:val="0"/>
      <w:sz w:val="24"/>
      <w:szCs w:val="20"/>
      <w:lang w:eastAsia="en-US"/>
    </w:rPr>
  </w:style>
  <w:style w:type="character" w:customStyle="1" w:styleId="196">
    <w:name w:val="info4"/>
    <w:basedOn w:val="48"/>
    <w:qFormat/>
    <w:uiPriority w:val="99"/>
    <w:rPr>
      <w:rFonts w:cs="Times New Roman"/>
    </w:rPr>
  </w:style>
  <w:style w:type="paragraph" w:customStyle="1" w:styleId="197">
    <w:name w:val="缩进正文"/>
    <w:basedOn w:val="1"/>
    <w:link w:val="198"/>
    <w:qFormat/>
    <w:uiPriority w:val="99"/>
    <w:pPr>
      <w:ind w:firstLine="560" w:firstLineChars="200"/>
    </w:pPr>
    <w:rPr>
      <w:rFonts w:eastAsia="仿宋_GB2312" w:cs="宋体"/>
      <w:sz w:val="28"/>
      <w:szCs w:val="20"/>
    </w:rPr>
  </w:style>
  <w:style w:type="character" w:customStyle="1" w:styleId="198">
    <w:name w:val="缩进正文 Char"/>
    <w:link w:val="197"/>
    <w:qFormat/>
    <w:locked/>
    <w:uiPriority w:val="99"/>
    <w:rPr>
      <w:rFonts w:eastAsia="仿宋_GB2312"/>
      <w:kern w:val="2"/>
      <w:sz w:val="28"/>
      <w:lang w:val="en-US" w:eastAsia="zh-CN"/>
    </w:rPr>
  </w:style>
  <w:style w:type="paragraph" w:customStyle="1" w:styleId="199">
    <w:name w:val="列出段落1"/>
    <w:basedOn w:val="1"/>
    <w:qFormat/>
    <w:uiPriority w:val="99"/>
    <w:pPr>
      <w:ind w:firstLine="420" w:firstLineChars="200"/>
    </w:pPr>
    <w:rPr>
      <w:rFonts w:ascii="Calibri" w:hAnsi="Calibri" w:cs="Calibri"/>
      <w:szCs w:val="21"/>
    </w:rPr>
  </w:style>
  <w:style w:type="paragraph" w:customStyle="1" w:styleId="200">
    <w:name w:val="评价"/>
    <w:basedOn w:val="1"/>
    <w:qFormat/>
    <w:uiPriority w:val="99"/>
    <w:pPr>
      <w:spacing w:afterLines="20"/>
      <w:ind w:firstLine="1446" w:firstLineChars="200"/>
    </w:pPr>
    <w:rPr>
      <w:rFonts w:ascii="Calibri" w:hAnsi="Calibri"/>
      <w:sz w:val="24"/>
    </w:rPr>
  </w:style>
  <w:style w:type="paragraph" w:customStyle="1" w:styleId="201">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202">
    <w:name w:val="alt-edited1"/>
    <w:qFormat/>
    <w:uiPriority w:val="99"/>
    <w:rPr>
      <w:color w:val="4D90F0"/>
    </w:rPr>
  </w:style>
  <w:style w:type="paragraph" w:customStyle="1" w:styleId="203">
    <w:name w:val="toc 14"/>
    <w:next w:val="1"/>
    <w:qFormat/>
    <w:uiPriority w:val="99"/>
    <w:pPr>
      <w:wordWrap w:val="0"/>
      <w:jc w:val="both"/>
    </w:pPr>
    <w:rPr>
      <w:rFonts w:ascii="Calibri" w:hAnsi="Calibri" w:eastAsia="宋体" w:cs="Times New Roman"/>
      <w:kern w:val="0"/>
      <w:sz w:val="21"/>
      <w:szCs w:val="20"/>
      <w:lang w:val="en-US" w:eastAsia="zh-CN" w:bidi="ar-SA"/>
    </w:rPr>
  </w:style>
  <w:style w:type="character" w:customStyle="1" w:styleId="204">
    <w:name w:val="文档结构图 Char1"/>
    <w:semiHidden/>
    <w:qFormat/>
    <w:uiPriority w:val="99"/>
    <w:rPr>
      <w:sz w:val="20"/>
    </w:rPr>
  </w:style>
  <w:style w:type="character" w:customStyle="1" w:styleId="205">
    <w:name w:val="文档结构图 Char"/>
    <w:semiHidden/>
    <w:qFormat/>
    <w:uiPriority w:val="99"/>
    <w:rPr>
      <w:sz w:val="20"/>
    </w:rPr>
  </w:style>
  <w:style w:type="character" w:customStyle="1" w:styleId="206">
    <w:name w:val="short_text"/>
    <w:basedOn w:val="48"/>
    <w:qFormat/>
    <w:uiPriority w:val="99"/>
    <w:rPr>
      <w:rFonts w:cs="Times New Roman"/>
      <w:sz w:val="20"/>
    </w:rPr>
  </w:style>
  <w:style w:type="character" w:customStyle="1" w:styleId="207">
    <w:name w:val="标题 Char1"/>
    <w:qFormat/>
    <w:uiPriority w:val="99"/>
    <w:rPr>
      <w:b/>
      <w:sz w:val="20"/>
    </w:rPr>
  </w:style>
  <w:style w:type="character" w:customStyle="1" w:styleId="208">
    <w:name w:val="正文文本缩进 3 Char1"/>
    <w:semiHidden/>
    <w:qFormat/>
    <w:uiPriority w:val="99"/>
    <w:rPr>
      <w:sz w:val="20"/>
    </w:rPr>
  </w:style>
  <w:style w:type="character" w:customStyle="1" w:styleId="209">
    <w:name w:val="font21"/>
    <w:qFormat/>
    <w:uiPriority w:val="99"/>
    <w:rPr>
      <w:color w:val="FF0000"/>
      <w:sz w:val="20"/>
      <w:u w:val="none"/>
    </w:rPr>
  </w:style>
  <w:style w:type="character" w:customStyle="1" w:styleId="210">
    <w:name w:val="不明显强调1"/>
    <w:qFormat/>
    <w:uiPriority w:val="99"/>
    <w:rPr>
      <w:i/>
      <w:sz w:val="20"/>
    </w:rPr>
  </w:style>
  <w:style w:type="character" w:customStyle="1" w:styleId="211">
    <w:name w:val="font71"/>
    <w:qFormat/>
    <w:uiPriority w:val="99"/>
    <w:rPr>
      <w:sz w:val="20"/>
      <w:u w:val="none"/>
    </w:rPr>
  </w:style>
  <w:style w:type="character" w:customStyle="1" w:styleId="212">
    <w:name w:val="页眉 Char1"/>
    <w:semiHidden/>
    <w:qFormat/>
    <w:uiPriority w:val="99"/>
    <w:rPr>
      <w:sz w:val="20"/>
    </w:rPr>
  </w:style>
  <w:style w:type="character" w:customStyle="1" w:styleId="213">
    <w:name w:val="正文文本缩进 2 Char1"/>
    <w:semiHidden/>
    <w:qFormat/>
    <w:uiPriority w:val="99"/>
    <w:rPr>
      <w:sz w:val="20"/>
    </w:rPr>
  </w:style>
  <w:style w:type="character" w:customStyle="1" w:styleId="214">
    <w:name w:val="font61"/>
    <w:qFormat/>
    <w:uiPriority w:val="99"/>
    <w:rPr>
      <w:sz w:val="20"/>
      <w:u w:val="none"/>
    </w:rPr>
  </w:style>
  <w:style w:type="character" w:customStyle="1" w:styleId="215">
    <w:name w:val="纯文本 Char1"/>
    <w:semiHidden/>
    <w:qFormat/>
    <w:uiPriority w:val="99"/>
    <w:rPr>
      <w:sz w:val="20"/>
    </w:rPr>
  </w:style>
  <w:style w:type="character" w:customStyle="1" w:styleId="216">
    <w:name w:val="正文文本 3 Char1"/>
    <w:semiHidden/>
    <w:qFormat/>
    <w:uiPriority w:val="99"/>
    <w:rPr>
      <w:sz w:val="20"/>
    </w:rPr>
  </w:style>
  <w:style w:type="character" w:customStyle="1" w:styleId="217">
    <w:name w:val="正文文本缩进 Char1"/>
    <w:semiHidden/>
    <w:qFormat/>
    <w:uiPriority w:val="99"/>
    <w:rPr>
      <w:sz w:val="20"/>
    </w:rPr>
  </w:style>
  <w:style w:type="character" w:customStyle="1" w:styleId="218">
    <w:name w:val="明显参考1"/>
    <w:qFormat/>
    <w:uiPriority w:val="99"/>
    <w:rPr>
      <w:b/>
      <w:sz w:val="20"/>
    </w:rPr>
  </w:style>
  <w:style w:type="character" w:customStyle="1" w:styleId="219">
    <w:name w:val="apple-converted-space"/>
    <w:qFormat/>
    <w:uiPriority w:val="99"/>
    <w:rPr>
      <w:sz w:val="20"/>
    </w:rPr>
  </w:style>
  <w:style w:type="character" w:customStyle="1" w:styleId="220">
    <w:name w:val="书籍标题1"/>
    <w:qFormat/>
    <w:uiPriority w:val="99"/>
    <w:rPr>
      <w:b/>
      <w:i/>
      <w:sz w:val="20"/>
    </w:rPr>
  </w:style>
  <w:style w:type="character" w:customStyle="1" w:styleId="221">
    <w:name w:val="long_text"/>
    <w:qFormat/>
    <w:uiPriority w:val="99"/>
    <w:rPr>
      <w:sz w:val="20"/>
    </w:rPr>
  </w:style>
  <w:style w:type="character" w:customStyle="1" w:styleId="222">
    <w:name w:val="日期 Char1"/>
    <w:semiHidden/>
    <w:qFormat/>
    <w:uiPriority w:val="99"/>
    <w:rPr>
      <w:sz w:val="20"/>
    </w:rPr>
  </w:style>
  <w:style w:type="character" w:customStyle="1" w:styleId="223">
    <w:name w:val="批注文字 Char1"/>
    <w:semiHidden/>
    <w:qFormat/>
    <w:uiPriority w:val="99"/>
    <w:rPr>
      <w:sz w:val="20"/>
    </w:rPr>
  </w:style>
  <w:style w:type="character" w:customStyle="1" w:styleId="224">
    <w:name w:val="明显强调1"/>
    <w:qFormat/>
    <w:uiPriority w:val="99"/>
    <w:rPr>
      <w:i/>
      <w:sz w:val="20"/>
    </w:rPr>
  </w:style>
  <w:style w:type="character" w:customStyle="1" w:styleId="225">
    <w:name w:val="16"/>
    <w:qFormat/>
    <w:uiPriority w:val="99"/>
    <w:rPr>
      <w:b/>
      <w:color w:val="FF0356"/>
      <w:sz w:val="20"/>
    </w:rPr>
  </w:style>
  <w:style w:type="character" w:customStyle="1" w:styleId="226">
    <w:name w:val="批注主题 Char1"/>
    <w:semiHidden/>
    <w:qFormat/>
    <w:uiPriority w:val="99"/>
    <w:rPr>
      <w:b/>
      <w:sz w:val="20"/>
    </w:rPr>
  </w:style>
  <w:style w:type="character" w:customStyle="1" w:styleId="227">
    <w:name w:val="正文文本 2 Char1"/>
    <w:semiHidden/>
    <w:qFormat/>
    <w:uiPriority w:val="99"/>
    <w:rPr>
      <w:sz w:val="20"/>
    </w:rPr>
  </w:style>
  <w:style w:type="character" w:customStyle="1" w:styleId="228">
    <w:name w:val="font31"/>
    <w:qFormat/>
    <w:uiPriority w:val="99"/>
    <w:rPr>
      <w:color w:val="FF0000"/>
      <w:sz w:val="20"/>
      <w:u w:val="none"/>
      <w:vertAlign w:val="superscript"/>
    </w:rPr>
  </w:style>
  <w:style w:type="character" w:customStyle="1" w:styleId="229">
    <w:name w:val="不明显参考1"/>
    <w:qFormat/>
    <w:uiPriority w:val="99"/>
    <w:rPr>
      <w:sz w:val="20"/>
    </w:rPr>
  </w:style>
  <w:style w:type="character" w:customStyle="1" w:styleId="230">
    <w:name w:val="HTML 预设格式 Char1"/>
    <w:semiHidden/>
    <w:qFormat/>
    <w:uiPriority w:val="99"/>
    <w:rPr>
      <w:sz w:val="20"/>
    </w:rPr>
  </w:style>
  <w:style w:type="character" w:customStyle="1" w:styleId="231">
    <w:name w:val="font01"/>
    <w:basedOn w:val="48"/>
    <w:qFormat/>
    <w:uiPriority w:val="99"/>
    <w:rPr>
      <w:rFonts w:cs="Times New Roman"/>
      <w:color w:val="FF0000"/>
      <w:sz w:val="20"/>
      <w:u w:val="none"/>
      <w:vertAlign w:val="superscript"/>
    </w:rPr>
  </w:style>
  <w:style w:type="character" w:customStyle="1" w:styleId="232">
    <w:name w:val="页脚 Char1"/>
    <w:semiHidden/>
    <w:qFormat/>
    <w:uiPriority w:val="99"/>
    <w:rPr>
      <w:sz w:val="20"/>
    </w:rPr>
  </w:style>
  <w:style w:type="character" w:customStyle="1" w:styleId="233">
    <w:name w:val="批注框文本 Char1"/>
    <w:semiHidden/>
    <w:qFormat/>
    <w:uiPriority w:val="99"/>
    <w:rPr>
      <w:sz w:val="20"/>
    </w:rPr>
  </w:style>
  <w:style w:type="paragraph" w:customStyle="1" w:styleId="234">
    <w:name w:val="列出段落2"/>
    <w:basedOn w:val="1"/>
    <w:next w:val="235"/>
    <w:qFormat/>
    <w:uiPriority w:val="99"/>
    <w:pPr>
      <w:ind w:firstLine="420"/>
    </w:pPr>
    <w:rPr>
      <w:rFonts w:hAnsi="Calibri"/>
      <w:kern w:val="0"/>
      <w:szCs w:val="20"/>
    </w:rPr>
  </w:style>
  <w:style w:type="paragraph" w:customStyle="1" w:styleId="235">
    <w:name w:val="toc 814"/>
    <w:next w:val="1"/>
    <w:qFormat/>
    <w:uiPriority w:val="99"/>
    <w:pPr>
      <w:wordWrap w:val="0"/>
      <w:ind w:left="2975"/>
      <w:jc w:val="both"/>
    </w:pPr>
    <w:rPr>
      <w:rFonts w:ascii="Calibri" w:hAnsi="Calibri" w:eastAsia="宋体" w:cs="Times New Roman"/>
      <w:kern w:val="0"/>
      <w:sz w:val="21"/>
      <w:szCs w:val="20"/>
      <w:lang w:val="en-US" w:eastAsia="zh-CN" w:bidi="ar-SA"/>
    </w:rPr>
  </w:style>
  <w:style w:type="paragraph" w:customStyle="1" w:styleId="236">
    <w:name w:val="toc 62"/>
    <w:next w:val="1"/>
    <w:qFormat/>
    <w:uiPriority w:val="99"/>
    <w:pPr>
      <w:wordWrap w:val="0"/>
      <w:ind w:left="2125"/>
      <w:jc w:val="both"/>
    </w:pPr>
    <w:rPr>
      <w:rFonts w:ascii="Calibri" w:hAnsi="Calibri" w:eastAsia="宋体" w:cs="Times New Roman"/>
      <w:kern w:val="0"/>
      <w:sz w:val="21"/>
      <w:szCs w:val="20"/>
      <w:lang w:val="en-US" w:eastAsia="zh-CN" w:bidi="ar-SA"/>
    </w:rPr>
  </w:style>
  <w:style w:type="paragraph" w:customStyle="1" w:styleId="237">
    <w:name w:val="toc 414"/>
    <w:next w:val="1"/>
    <w:qFormat/>
    <w:uiPriority w:val="99"/>
    <w:pPr>
      <w:wordWrap w:val="0"/>
      <w:ind w:left="1275"/>
      <w:jc w:val="both"/>
    </w:pPr>
    <w:rPr>
      <w:rFonts w:ascii="Calibri" w:hAnsi="Calibri" w:eastAsia="宋体" w:cs="Times New Roman"/>
      <w:kern w:val="0"/>
      <w:sz w:val="21"/>
      <w:szCs w:val="20"/>
      <w:lang w:val="en-US" w:eastAsia="zh-CN" w:bidi="ar-SA"/>
    </w:rPr>
  </w:style>
  <w:style w:type="paragraph" w:customStyle="1" w:styleId="238">
    <w:name w:val="toc 411"/>
    <w:next w:val="1"/>
    <w:qFormat/>
    <w:uiPriority w:val="99"/>
    <w:pPr>
      <w:wordWrap w:val="0"/>
      <w:ind w:left="1275"/>
      <w:jc w:val="both"/>
    </w:pPr>
    <w:rPr>
      <w:rFonts w:ascii="Calibri" w:hAnsi="Calibri" w:eastAsia="宋体" w:cs="Times New Roman"/>
      <w:kern w:val="0"/>
      <w:sz w:val="21"/>
      <w:szCs w:val="20"/>
      <w:lang w:val="en-US" w:eastAsia="zh-CN" w:bidi="ar-SA"/>
    </w:rPr>
  </w:style>
  <w:style w:type="paragraph" w:customStyle="1" w:styleId="239">
    <w:name w:val="xl86"/>
    <w:basedOn w:val="1"/>
    <w:next w:val="240"/>
    <w:qFormat/>
    <w:uiPriority w:val="99"/>
    <w:pPr>
      <w:widowControl/>
      <w:shd w:val="clear" w:color="000000" w:fill="FFFFFF"/>
      <w:spacing w:before="280" w:after="280"/>
      <w:jc w:val="center"/>
    </w:pPr>
    <w:rPr>
      <w:rFonts w:ascii="宋体" w:hAnsi="Calibri"/>
      <w:kern w:val="0"/>
      <w:sz w:val="20"/>
      <w:szCs w:val="20"/>
    </w:rPr>
  </w:style>
  <w:style w:type="paragraph" w:customStyle="1" w:styleId="240">
    <w:name w:val="toc 515"/>
    <w:next w:val="1"/>
    <w:qFormat/>
    <w:uiPriority w:val="99"/>
    <w:pPr>
      <w:wordWrap w:val="0"/>
      <w:ind w:left="1700"/>
      <w:jc w:val="both"/>
    </w:pPr>
    <w:rPr>
      <w:rFonts w:ascii="Calibri" w:hAnsi="Calibri" w:eastAsia="宋体" w:cs="Times New Roman"/>
      <w:kern w:val="0"/>
      <w:sz w:val="21"/>
      <w:szCs w:val="20"/>
      <w:lang w:val="en-US" w:eastAsia="zh-CN" w:bidi="ar-SA"/>
    </w:rPr>
  </w:style>
  <w:style w:type="paragraph" w:customStyle="1" w:styleId="241">
    <w:name w:val="TOC Heading4"/>
    <w:next w:val="1"/>
    <w:qFormat/>
    <w:uiPriority w:val="99"/>
    <w:pPr>
      <w:wordWrap w:val="0"/>
    </w:pPr>
    <w:rPr>
      <w:rFonts w:ascii="Calibri" w:hAnsi="Calibri" w:eastAsia="宋体" w:cs="Times New Roman"/>
      <w:kern w:val="0"/>
      <w:sz w:val="32"/>
      <w:szCs w:val="20"/>
      <w:lang w:val="en-US" w:eastAsia="zh-CN" w:bidi="ar-SA"/>
    </w:rPr>
  </w:style>
  <w:style w:type="paragraph" w:customStyle="1" w:styleId="242">
    <w:name w:val="toc 15"/>
    <w:next w:val="1"/>
    <w:qFormat/>
    <w:uiPriority w:val="99"/>
    <w:pPr>
      <w:wordWrap w:val="0"/>
      <w:jc w:val="both"/>
    </w:pPr>
    <w:rPr>
      <w:rFonts w:ascii="Calibri" w:hAnsi="Calibri" w:eastAsia="宋体" w:cs="Times New Roman"/>
      <w:kern w:val="0"/>
      <w:sz w:val="21"/>
      <w:szCs w:val="20"/>
      <w:lang w:val="en-US" w:eastAsia="zh-CN" w:bidi="ar-SA"/>
    </w:rPr>
  </w:style>
  <w:style w:type="paragraph" w:customStyle="1" w:styleId="243">
    <w:name w:val="TOC Heading2"/>
    <w:next w:val="1"/>
    <w:qFormat/>
    <w:uiPriority w:val="99"/>
    <w:pPr>
      <w:wordWrap w:val="0"/>
    </w:pPr>
    <w:rPr>
      <w:rFonts w:ascii="Calibri" w:hAnsi="Calibri" w:eastAsia="宋体" w:cs="Times New Roman"/>
      <w:kern w:val="0"/>
      <w:sz w:val="32"/>
      <w:szCs w:val="20"/>
      <w:lang w:val="en-US" w:eastAsia="zh-CN" w:bidi="ar-SA"/>
    </w:rPr>
  </w:style>
  <w:style w:type="paragraph" w:customStyle="1" w:styleId="244">
    <w:name w:val="TOC Heading1"/>
    <w:next w:val="1"/>
    <w:qFormat/>
    <w:uiPriority w:val="99"/>
    <w:pPr>
      <w:wordWrap w:val="0"/>
    </w:pPr>
    <w:rPr>
      <w:rFonts w:ascii="Calibri" w:hAnsi="Calibri" w:eastAsia="宋体" w:cs="Times New Roman"/>
      <w:kern w:val="0"/>
      <w:sz w:val="32"/>
      <w:szCs w:val="20"/>
      <w:lang w:val="en-US" w:eastAsia="zh-CN" w:bidi="ar-SA"/>
    </w:rPr>
  </w:style>
  <w:style w:type="paragraph" w:customStyle="1" w:styleId="245">
    <w:name w:val="toc 73"/>
    <w:next w:val="1"/>
    <w:qFormat/>
    <w:uiPriority w:val="99"/>
    <w:pPr>
      <w:wordWrap w:val="0"/>
      <w:ind w:left="2550"/>
      <w:jc w:val="both"/>
    </w:pPr>
    <w:rPr>
      <w:rFonts w:ascii="Calibri" w:hAnsi="Calibri" w:eastAsia="宋体" w:cs="Times New Roman"/>
      <w:kern w:val="0"/>
      <w:sz w:val="21"/>
      <w:szCs w:val="20"/>
      <w:lang w:val="en-US" w:eastAsia="zh-CN" w:bidi="ar-SA"/>
    </w:rPr>
  </w:style>
  <w:style w:type="paragraph" w:customStyle="1" w:styleId="246">
    <w:name w:val="font7"/>
    <w:basedOn w:val="1"/>
    <w:next w:val="247"/>
    <w:qFormat/>
    <w:uiPriority w:val="99"/>
    <w:pPr>
      <w:widowControl/>
      <w:spacing w:before="280" w:after="280"/>
    </w:pPr>
    <w:rPr>
      <w:rFonts w:ascii="Arial" w:hAnsi="Calibri"/>
      <w:kern w:val="0"/>
      <w:sz w:val="18"/>
      <w:szCs w:val="20"/>
    </w:rPr>
  </w:style>
  <w:style w:type="paragraph" w:customStyle="1" w:styleId="247">
    <w:name w:val="toc 810"/>
    <w:next w:val="1"/>
    <w:qFormat/>
    <w:uiPriority w:val="99"/>
    <w:pPr>
      <w:wordWrap w:val="0"/>
      <w:ind w:left="2975"/>
      <w:jc w:val="both"/>
    </w:pPr>
    <w:rPr>
      <w:rFonts w:ascii="Calibri" w:hAnsi="Calibri" w:eastAsia="宋体" w:cs="Times New Roman"/>
      <w:kern w:val="0"/>
      <w:sz w:val="21"/>
      <w:szCs w:val="20"/>
      <w:lang w:val="en-US" w:eastAsia="zh-CN" w:bidi="ar-SA"/>
    </w:rPr>
  </w:style>
  <w:style w:type="paragraph" w:customStyle="1" w:styleId="248">
    <w:name w:val="xl113"/>
    <w:basedOn w:val="1"/>
    <w:next w:val="249"/>
    <w:qFormat/>
    <w:uiPriority w:val="99"/>
    <w:pPr>
      <w:widowControl/>
      <w:shd w:val="clear" w:color="000000" w:fill="FFFFFF"/>
      <w:spacing w:before="280" w:after="280"/>
      <w:jc w:val="center"/>
    </w:pPr>
    <w:rPr>
      <w:rFonts w:ascii="宋体" w:hAnsi="Calibri"/>
      <w:b/>
      <w:kern w:val="0"/>
      <w:sz w:val="20"/>
      <w:szCs w:val="20"/>
    </w:rPr>
  </w:style>
  <w:style w:type="paragraph" w:customStyle="1" w:styleId="249">
    <w:name w:val="TOC Heading10"/>
    <w:next w:val="1"/>
    <w:qFormat/>
    <w:uiPriority w:val="99"/>
    <w:pPr>
      <w:wordWrap w:val="0"/>
    </w:pPr>
    <w:rPr>
      <w:rFonts w:ascii="Calibri" w:hAnsi="Calibri" w:eastAsia="宋体" w:cs="Times New Roman"/>
      <w:kern w:val="0"/>
      <w:sz w:val="32"/>
      <w:szCs w:val="20"/>
      <w:lang w:val="en-US" w:eastAsia="zh-CN" w:bidi="ar-SA"/>
    </w:rPr>
  </w:style>
  <w:style w:type="paragraph" w:customStyle="1" w:styleId="250">
    <w:name w:val="toc 89"/>
    <w:next w:val="1"/>
    <w:qFormat/>
    <w:uiPriority w:val="99"/>
    <w:pPr>
      <w:wordWrap w:val="0"/>
      <w:ind w:left="2975"/>
      <w:jc w:val="both"/>
    </w:pPr>
    <w:rPr>
      <w:rFonts w:ascii="Calibri" w:hAnsi="Calibri" w:eastAsia="宋体" w:cs="Times New Roman"/>
      <w:kern w:val="0"/>
      <w:sz w:val="21"/>
      <w:szCs w:val="20"/>
      <w:lang w:val="en-US" w:eastAsia="zh-CN" w:bidi="ar-SA"/>
    </w:rPr>
  </w:style>
  <w:style w:type="paragraph" w:customStyle="1" w:styleId="251">
    <w:name w:val="xl73"/>
    <w:basedOn w:val="1"/>
    <w:next w:val="252"/>
    <w:qFormat/>
    <w:uiPriority w:val="99"/>
    <w:pPr>
      <w:widowControl/>
      <w:shd w:val="clear" w:color="000000" w:fill="FFFFFF"/>
      <w:spacing w:before="280" w:after="280"/>
      <w:jc w:val="center"/>
    </w:pPr>
    <w:rPr>
      <w:rFonts w:ascii="宋体" w:hAnsi="Calibri"/>
      <w:kern w:val="0"/>
      <w:sz w:val="20"/>
      <w:szCs w:val="20"/>
    </w:rPr>
  </w:style>
  <w:style w:type="paragraph" w:customStyle="1" w:styleId="252">
    <w:name w:val="toc 613"/>
    <w:next w:val="1"/>
    <w:qFormat/>
    <w:uiPriority w:val="99"/>
    <w:pPr>
      <w:wordWrap w:val="0"/>
      <w:ind w:left="2125"/>
      <w:jc w:val="both"/>
    </w:pPr>
    <w:rPr>
      <w:rFonts w:ascii="Calibri" w:hAnsi="Calibri" w:eastAsia="宋体" w:cs="Times New Roman"/>
      <w:kern w:val="0"/>
      <w:sz w:val="21"/>
      <w:szCs w:val="20"/>
      <w:lang w:val="en-US" w:eastAsia="zh-CN" w:bidi="ar-SA"/>
    </w:rPr>
  </w:style>
  <w:style w:type="paragraph" w:customStyle="1" w:styleId="253">
    <w:name w:val="xl79"/>
    <w:basedOn w:val="1"/>
    <w:next w:val="254"/>
    <w:qFormat/>
    <w:uiPriority w:val="99"/>
    <w:pPr>
      <w:widowControl/>
      <w:shd w:val="clear" w:color="000000" w:fill="FFFFFF"/>
      <w:spacing w:before="280" w:after="280"/>
    </w:pPr>
    <w:rPr>
      <w:rFonts w:ascii="宋体" w:hAnsi="Calibri"/>
      <w:b/>
      <w:kern w:val="0"/>
      <w:sz w:val="20"/>
      <w:szCs w:val="20"/>
    </w:rPr>
  </w:style>
  <w:style w:type="paragraph" w:customStyle="1" w:styleId="254">
    <w:name w:val="toc 87"/>
    <w:next w:val="1"/>
    <w:qFormat/>
    <w:uiPriority w:val="99"/>
    <w:pPr>
      <w:wordWrap w:val="0"/>
      <w:ind w:left="2975"/>
      <w:jc w:val="both"/>
    </w:pPr>
    <w:rPr>
      <w:rFonts w:ascii="Calibri" w:hAnsi="Calibri" w:eastAsia="宋体" w:cs="Times New Roman"/>
      <w:kern w:val="0"/>
      <w:sz w:val="21"/>
      <w:szCs w:val="20"/>
      <w:lang w:val="en-US" w:eastAsia="zh-CN" w:bidi="ar-SA"/>
    </w:rPr>
  </w:style>
  <w:style w:type="paragraph" w:customStyle="1" w:styleId="255">
    <w:name w:val="toc 11"/>
    <w:next w:val="1"/>
    <w:qFormat/>
    <w:uiPriority w:val="99"/>
    <w:pPr>
      <w:wordWrap w:val="0"/>
      <w:jc w:val="both"/>
    </w:pPr>
    <w:rPr>
      <w:rFonts w:ascii="Calibri" w:hAnsi="Calibri" w:eastAsia="宋体" w:cs="Times New Roman"/>
      <w:kern w:val="0"/>
      <w:sz w:val="21"/>
      <w:szCs w:val="20"/>
      <w:lang w:val="en-US" w:eastAsia="zh-CN" w:bidi="ar-SA"/>
    </w:rPr>
  </w:style>
  <w:style w:type="paragraph" w:customStyle="1" w:styleId="256">
    <w:name w:val="toc 410"/>
    <w:next w:val="1"/>
    <w:qFormat/>
    <w:uiPriority w:val="99"/>
    <w:pPr>
      <w:wordWrap w:val="0"/>
      <w:ind w:left="1275"/>
      <w:jc w:val="both"/>
    </w:pPr>
    <w:rPr>
      <w:rFonts w:ascii="Calibri" w:hAnsi="Calibri" w:eastAsia="宋体" w:cs="Times New Roman"/>
      <w:kern w:val="0"/>
      <w:sz w:val="21"/>
      <w:szCs w:val="20"/>
      <w:lang w:val="en-US" w:eastAsia="zh-CN" w:bidi="ar-SA"/>
    </w:rPr>
  </w:style>
  <w:style w:type="paragraph" w:customStyle="1" w:styleId="257">
    <w:name w:val="toc 611"/>
    <w:next w:val="1"/>
    <w:qFormat/>
    <w:uiPriority w:val="99"/>
    <w:pPr>
      <w:wordWrap w:val="0"/>
      <w:ind w:left="2125"/>
      <w:jc w:val="both"/>
    </w:pPr>
    <w:rPr>
      <w:rFonts w:ascii="Calibri" w:hAnsi="Calibri" w:eastAsia="宋体" w:cs="Times New Roman"/>
      <w:kern w:val="0"/>
      <w:sz w:val="21"/>
      <w:szCs w:val="20"/>
      <w:lang w:val="en-US" w:eastAsia="zh-CN" w:bidi="ar-SA"/>
    </w:rPr>
  </w:style>
  <w:style w:type="paragraph" w:customStyle="1" w:styleId="258">
    <w:name w:val="xl112"/>
    <w:basedOn w:val="1"/>
    <w:next w:val="257"/>
    <w:qFormat/>
    <w:uiPriority w:val="99"/>
    <w:pPr>
      <w:widowControl/>
      <w:shd w:val="clear" w:color="000000" w:fill="FFFFFF"/>
      <w:spacing w:before="280" w:after="280"/>
      <w:jc w:val="center"/>
    </w:pPr>
    <w:rPr>
      <w:rFonts w:ascii="宋体" w:hAnsi="Calibri"/>
      <w:b/>
      <w:kern w:val="0"/>
      <w:sz w:val="20"/>
      <w:szCs w:val="20"/>
    </w:rPr>
  </w:style>
  <w:style w:type="paragraph" w:customStyle="1" w:styleId="259">
    <w:name w:val="toc 514"/>
    <w:next w:val="1"/>
    <w:qFormat/>
    <w:uiPriority w:val="99"/>
    <w:pPr>
      <w:wordWrap w:val="0"/>
      <w:ind w:left="1700"/>
      <w:jc w:val="both"/>
    </w:pPr>
    <w:rPr>
      <w:rFonts w:ascii="Calibri" w:hAnsi="Calibri" w:eastAsia="宋体" w:cs="Times New Roman"/>
      <w:kern w:val="0"/>
      <w:sz w:val="21"/>
      <w:szCs w:val="20"/>
      <w:lang w:val="en-US" w:eastAsia="zh-CN" w:bidi="ar-SA"/>
    </w:rPr>
  </w:style>
  <w:style w:type="paragraph" w:customStyle="1" w:styleId="260">
    <w:name w:val="toc 44"/>
    <w:next w:val="1"/>
    <w:qFormat/>
    <w:uiPriority w:val="99"/>
    <w:pPr>
      <w:wordWrap w:val="0"/>
      <w:ind w:left="1275"/>
      <w:jc w:val="both"/>
    </w:pPr>
    <w:rPr>
      <w:rFonts w:ascii="Calibri" w:hAnsi="Calibri" w:eastAsia="宋体" w:cs="Times New Roman"/>
      <w:kern w:val="0"/>
      <w:sz w:val="21"/>
      <w:szCs w:val="20"/>
      <w:lang w:val="en-US" w:eastAsia="zh-CN" w:bidi="ar-SA"/>
    </w:rPr>
  </w:style>
  <w:style w:type="paragraph" w:customStyle="1" w:styleId="261">
    <w:name w:val="toc 412"/>
    <w:next w:val="1"/>
    <w:qFormat/>
    <w:uiPriority w:val="99"/>
    <w:pPr>
      <w:wordWrap w:val="0"/>
      <w:ind w:left="1275"/>
      <w:jc w:val="both"/>
    </w:pPr>
    <w:rPr>
      <w:rFonts w:ascii="Calibri" w:hAnsi="Calibri" w:eastAsia="宋体" w:cs="Times New Roman"/>
      <w:kern w:val="0"/>
      <w:sz w:val="21"/>
      <w:szCs w:val="20"/>
      <w:lang w:val="en-US" w:eastAsia="zh-CN" w:bidi="ar-SA"/>
    </w:rPr>
  </w:style>
  <w:style w:type="paragraph" w:customStyle="1" w:styleId="262">
    <w:name w:val="xl74"/>
    <w:basedOn w:val="1"/>
    <w:next w:val="263"/>
    <w:qFormat/>
    <w:uiPriority w:val="99"/>
    <w:pPr>
      <w:widowControl/>
      <w:shd w:val="clear" w:color="000000" w:fill="FFFFFF"/>
      <w:spacing w:before="280" w:after="280"/>
    </w:pPr>
    <w:rPr>
      <w:rFonts w:ascii="宋体" w:hAnsi="Calibri"/>
      <w:kern w:val="0"/>
      <w:sz w:val="20"/>
      <w:szCs w:val="20"/>
    </w:rPr>
  </w:style>
  <w:style w:type="paragraph" w:customStyle="1" w:styleId="263">
    <w:name w:val="toc 57"/>
    <w:next w:val="1"/>
    <w:qFormat/>
    <w:uiPriority w:val="99"/>
    <w:pPr>
      <w:wordWrap w:val="0"/>
      <w:ind w:left="1700"/>
      <w:jc w:val="both"/>
    </w:pPr>
    <w:rPr>
      <w:rFonts w:ascii="Calibri" w:hAnsi="Calibri" w:eastAsia="宋体" w:cs="Times New Roman"/>
      <w:kern w:val="0"/>
      <w:sz w:val="21"/>
      <w:szCs w:val="20"/>
      <w:lang w:val="en-US" w:eastAsia="zh-CN" w:bidi="ar-SA"/>
    </w:rPr>
  </w:style>
  <w:style w:type="paragraph" w:customStyle="1" w:styleId="264">
    <w:name w:val="toc 912"/>
    <w:next w:val="1"/>
    <w:qFormat/>
    <w:uiPriority w:val="99"/>
    <w:pPr>
      <w:wordWrap w:val="0"/>
      <w:ind w:left="3400"/>
      <w:jc w:val="both"/>
    </w:pPr>
    <w:rPr>
      <w:rFonts w:ascii="Calibri" w:hAnsi="Calibri" w:eastAsia="宋体" w:cs="Times New Roman"/>
      <w:kern w:val="0"/>
      <w:sz w:val="21"/>
      <w:szCs w:val="20"/>
      <w:lang w:val="en-US" w:eastAsia="zh-CN" w:bidi="ar-SA"/>
    </w:rPr>
  </w:style>
  <w:style w:type="paragraph" w:customStyle="1" w:styleId="265">
    <w:name w:val="toc 91"/>
    <w:next w:val="1"/>
    <w:qFormat/>
    <w:uiPriority w:val="99"/>
    <w:pPr>
      <w:wordWrap w:val="0"/>
      <w:ind w:left="3400"/>
      <w:jc w:val="both"/>
    </w:pPr>
    <w:rPr>
      <w:rFonts w:ascii="Calibri" w:hAnsi="Calibri" w:eastAsia="宋体" w:cs="Times New Roman"/>
      <w:kern w:val="0"/>
      <w:sz w:val="21"/>
      <w:szCs w:val="20"/>
      <w:lang w:val="en-US" w:eastAsia="zh-CN" w:bidi="ar-SA"/>
    </w:rPr>
  </w:style>
  <w:style w:type="paragraph" w:customStyle="1" w:styleId="266">
    <w:name w:val="toc 38"/>
    <w:next w:val="1"/>
    <w:qFormat/>
    <w:uiPriority w:val="99"/>
    <w:pPr>
      <w:wordWrap w:val="0"/>
      <w:ind w:left="850"/>
      <w:jc w:val="both"/>
    </w:pPr>
    <w:rPr>
      <w:rFonts w:ascii="Calibri" w:hAnsi="Calibri" w:eastAsia="宋体" w:cs="Times New Roman"/>
      <w:kern w:val="0"/>
      <w:sz w:val="21"/>
      <w:szCs w:val="20"/>
      <w:lang w:val="en-US" w:eastAsia="zh-CN" w:bidi="ar-SA"/>
    </w:rPr>
  </w:style>
  <w:style w:type="paragraph" w:customStyle="1" w:styleId="267">
    <w:name w:val="toc 95"/>
    <w:next w:val="1"/>
    <w:qFormat/>
    <w:uiPriority w:val="99"/>
    <w:pPr>
      <w:wordWrap w:val="0"/>
      <w:ind w:left="3400"/>
      <w:jc w:val="both"/>
    </w:pPr>
    <w:rPr>
      <w:rFonts w:ascii="Calibri" w:hAnsi="Calibri" w:eastAsia="宋体" w:cs="Times New Roman"/>
      <w:kern w:val="0"/>
      <w:sz w:val="21"/>
      <w:szCs w:val="20"/>
      <w:lang w:val="en-US" w:eastAsia="zh-CN" w:bidi="ar-SA"/>
    </w:rPr>
  </w:style>
  <w:style w:type="paragraph" w:customStyle="1" w:styleId="268">
    <w:name w:val="列出段落5"/>
    <w:basedOn w:val="1"/>
    <w:next w:val="269"/>
    <w:qFormat/>
    <w:uiPriority w:val="99"/>
    <w:pPr>
      <w:ind w:firstLine="420"/>
    </w:pPr>
    <w:rPr>
      <w:rFonts w:hAnsi="Calibri"/>
      <w:kern w:val="0"/>
      <w:szCs w:val="20"/>
    </w:rPr>
  </w:style>
  <w:style w:type="paragraph" w:customStyle="1" w:styleId="269">
    <w:name w:val="toc 312"/>
    <w:next w:val="1"/>
    <w:qFormat/>
    <w:uiPriority w:val="99"/>
    <w:pPr>
      <w:wordWrap w:val="0"/>
      <w:ind w:left="850"/>
      <w:jc w:val="both"/>
    </w:pPr>
    <w:rPr>
      <w:rFonts w:ascii="Calibri" w:hAnsi="Calibri" w:eastAsia="宋体" w:cs="Times New Roman"/>
      <w:kern w:val="0"/>
      <w:sz w:val="21"/>
      <w:szCs w:val="20"/>
      <w:lang w:val="en-US" w:eastAsia="zh-CN" w:bidi="ar-SA"/>
    </w:rPr>
  </w:style>
  <w:style w:type="paragraph" w:customStyle="1" w:styleId="270">
    <w:name w:val="xl66"/>
    <w:basedOn w:val="1"/>
    <w:next w:val="271"/>
    <w:qFormat/>
    <w:uiPriority w:val="99"/>
    <w:pPr>
      <w:widowControl/>
      <w:shd w:val="clear" w:color="000000" w:fill="FFFFFF"/>
      <w:spacing w:before="280" w:after="280"/>
    </w:pPr>
    <w:rPr>
      <w:rFonts w:ascii="宋体" w:hAnsi="Calibri"/>
      <w:kern w:val="0"/>
      <w:sz w:val="20"/>
      <w:szCs w:val="20"/>
    </w:rPr>
  </w:style>
  <w:style w:type="paragraph" w:customStyle="1" w:styleId="271">
    <w:name w:val="toc 56"/>
    <w:next w:val="1"/>
    <w:qFormat/>
    <w:uiPriority w:val="99"/>
    <w:pPr>
      <w:wordWrap w:val="0"/>
      <w:ind w:left="1700"/>
      <w:jc w:val="both"/>
    </w:pPr>
    <w:rPr>
      <w:rFonts w:ascii="Calibri" w:hAnsi="Calibri" w:eastAsia="宋体" w:cs="Times New Roman"/>
      <w:kern w:val="0"/>
      <w:sz w:val="21"/>
      <w:szCs w:val="20"/>
      <w:lang w:val="en-US" w:eastAsia="zh-CN" w:bidi="ar-SA"/>
    </w:rPr>
  </w:style>
  <w:style w:type="paragraph" w:customStyle="1" w:styleId="272">
    <w:name w:val="TOC Heading3"/>
    <w:next w:val="1"/>
    <w:qFormat/>
    <w:uiPriority w:val="99"/>
    <w:pPr>
      <w:wordWrap w:val="0"/>
    </w:pPr>
    <w:rPr>
      <w:rFonts w:ascii="Calibri" w:hAnsi="Calibri" w:eastAsia="宋体" w:cs="Times New Roman"/>
      <w:kern w:val="0"/>
      <w:sz w:val="32"/>
      <w:szCs w:val="20"/>
      <w:lang w:val="en-US" w:eastAsia="zh-CN" w:bidi="ar-SA"/>
    </w:rPr>
  </w:style>
  <w:style w:type="paragraph" w:customStyle="1" w:styleId="273">
    <w:name w:val="toc 65"/>
    <w:next w:val="1"/>
    <w:qFormat/>
    <w:uiPriority w:val="99"/>
    <w:pPr>
      <w:wordWrap w:val="0"/>
      <w:ind w:left="2125"/>
      <w:jc w:val="both"/>
    </w:pPr>
    <w:rPr>
      <w:rFonts w:ascii="Calibri" w:hAnsi="Calibri" w:eastAsia="宋体" w:cs="Times New Roman"/>
      <w:kern w:val="0"/>
      <w:sz w:val="21"/>
      <w:szCs w:val="20"/>
      <w:lang w:val="en-US" w:eastAsia="zh-CN" w:bidi="ar-SA"/>
    </w:rPr>
  </w:style>
  <w:style w:type="paragraph" w:customStyle="1" w:styleId="274">
    <w:name w:val="toc 25"/>
    <w:next w:val="1"/>
    <w:qFormat/>
    <w:uiPriority w:val="99"/>
    <w:pPr>
      <w:wordWrap w:val="0"/>
      <w:ind w:left="425"/>
      <w:jc w:val="both"/>
    </w:pPr>
    <w:rPr>
      <w:rFonts w:ascii="Calibri" w:hAnsi="Calibri" w:eastAsia="宋体" w:cs="Times New Roman"/>
      <w:kern w:val="0"/>
      <w:sz w:val="21"/>
      <w:szCs w:val="20"/>
      <w:lang w:val="en-US" w:eastAsia="zh-CN" w:bidi="ar-SA"/>
    </w:rPr>
  </w:style>
  <w:style w:type="paragraph" w:customStyle="1" w:styleId="275">
    <w:name w:val="xl84"/>
    <w:basedOn w:val="1"/>
    <w:next w:val="276"/>
    <w:qFormat/>
    <w:uiPriority w:val="99"/>
    <w:pPr>
      <w:widowControl/>
      <w:shd w:val="clear" w:color="000000" w:fill="FFFFFF"/>
      <w:spacing w:before="280" w:after="280"/>
      <w:jc w:val="center"/>
    </w:pPr>
    <w:rPr>
      <w:rFonts w:ascii="宋体" w:hAnsi="Calibri"/>
      <w:kern w:val="0"/>
      <w:sz w:val="20"/>
      <w:szCs w:val="20"/>
    </w:rPr>
  </w:style>
  <w:style w:type="paragraph" w:customStyle="1" w:styleId="276">
    <w:name w:val="toc 99"/>
    <w:next w:val="1"/>
    <w:qFormat/>
    <w:uiPriority w:val="99"/>
    <w:pPr>
      <w:wordWrap w:val="0"/>
      <w:ind w:left="3400"/>
      <w:jc w:val="both"/>
    </w:pPr>
    <w:rPr>
      <w:rFonts w:ascii="Calibri" w:hAnsi="Calibri" w:eastAsia="宋体" w:cs="Times New Roman"/>
      <w:kern w:val="0"/>
      <w:sz w:val="21"/>
      <w:szCs w:val="20"/>
      <w:lang w:val="en-US" w:eastAsia="zh-CN" w:bidi="ar-SA"/>
    </w:rPr>
  </w:style>
  <w:style w:type="paragraph" w:customStyle="1" w:styleId="277">
    <w:name w:val="xl81"/>
    <w:basedOn w:val="1"/>
    <w:next w:val="278"/>
    <w:qFormat/>
    <w:uiPriority w:val="99"/>
    <w:pPr>
      <w:widowControl/>
      <w:shd w:val="clear" w:color="000000" w:fill="FFFFFF"/>
      <w:spacing w:before="280" w:after="280"/>
    </w:pPr>
    <w:rPr>
      <w:rFonts w:ascii="宋体" w:hAnsi="Calibri"/>
      <w:kern w:val="0"/>
      <w:sz w:val="20"/>
      <w:szCs w:val="20"/>
    </w:rPr>
  </w:style>
  <w:style w:type="paragraph" w:customStyle="1" w:styleId="278">
    <w:name w:val="toc 59"/>
    <w:next w:val="1"/>
    <w:qFormat/>
    <w:uiPriority w:val="99"/>
    <w:pPr>
      <w:wordWrap w:val="0"/>
      <w:ind w:left="1700"/>
      <w:jc w:val="both"/>
    </w:pPr>
    <w:rPr>
      <w:rFonts w:ascii="Calibri" w:hAnsi="Calibri" w:eastAsia="宋体" w:cs="Times New Roman"/>
      <w:kern w:val="0"/>
      <w:sz w:val="21"/>
      <w:szCs w:val="20"/>
      <w:lang w:val="en-US" w:eastAsia="zh-CN" w:bidi="ar-SA"/>
    </w:rPr>
  </w:style>
  <w:style w:type="paragraph" w:customStyle="1" w:styleId="279">
    <w:name w:val="目录 11"/>
    <w:next w:val="1"/>
    <w:qFormat/>
    <w:uiPriority w:val="99"/>
    <w:pPr>
      <w:wordWrap w:val="0"/>
      <w:jc w:val="both"/>
    </w:pPr>
    <w:rPr>
      <w:rFonts w:ascii="Calibri" w:hAnsi="Calibri" w:eastAsia="宋体" w:cs="Times New Roman"/>
      <w:kern w:val="0"/>
      <w:sz w:val="21"/>
      <w:szCs w:val="20"/>
      <w:lang w:val="en-US" w:eastAsia="zh-CN" w:bidi="ar-SA"/>
    </w:rPr>
  </w:style>
  <w:style w:type="paragraph" w:customStyle="1" w:styleId="280">
    <w:name w:val="toc 513"/>
    <w:next w:val="1"/>
    <w:qFormat/>
    <w:uiPriority w:val="99"/>
    <w:pPr>
      <w:wordWrap w:val="0"/>
      <w:ind w:left="1700"/>
      <w:jc w:val="both"/>
    </w:pPr>
    <w:rPr>
      <w:rFonts w:ascii="Calibri" w:hAnsi="Calibri" w:eastAsia="宋体" w:cs="Times New Roman"/>
      <w:kern w:val="0"/>
      <w:sz w:val="21"/>
      <w:szCs w:val="20"/>
      <w:lang w:val="en-US" w:eastAsia="zh-CN" w:bidi="ar-SA"/>
    </w:rPr>
  </w:style>
  <w:style w:type="paragraph" w:customStyle="1" w:styleId="281">
    <w:name w:val="TOC Heading12"/>
    <w:next w:val="1"/>
    <w:qFormat/>
    <w:uiPriority w:val="99"/>
    <w:pPr>
      <w:wordWrap w:val="0"/>
    </w:pPr>
    <w:rPr>
      <w:rFonts w:ascii="Calibri" w:hAnsi="Calibri" w:eastAsia="宋体" w:cs="Times New Roman"/>
      <w:kern w:val="0"/>
      <w:sz w:val="32"/>
      <w:szCs w:val="20"/>
      <w:lang w:val="en-US" w:eastAsia="zh-CN" w:bidi="ar-SA"/>
    </w:rPr>
  </w:style>
  <w:style w:type="paragraph" w:customStyle="1" w:styleId="282">
    <w:name w:val="TOC Heading8"/>
    <w:next w:val="1"/>
    <w:qFormat/>
    <w:uiPriority w:val="99"/>
    <w:pPr>
      <w:wordWrap w:val="0"/>
    </w:pPr>
    <w:rPr>
      <w:rFonts w:ascii="Calibri" w:hAnsi="Calibri" w:eastAsia="宋体" w:cs="Times New Roman"/>
      <w:kern w:val="0"/>
      <w:sz w:val="32"/>
      <w:szCs w:val="20"/>
      <w:lang w:val="en-US" w:eastAsia="zh-CN" w:bidi="ar-SA"/>
    </w:rPr>
  </w:style>
  <w:style w:type="paragraph" w:customStyle="1" w:styleId="283">
    <w:name w:val="toc 711"/>
    <w:next w:val="1"/>
    <w:qFormat/>
    <w:uiPriority w:val="99"/>
    <w:pPr>
      <w:wordWrap w:val="0"/>
      <w:ind w:left="2550"/>
      <w:jc w:val="both"/>
    </w:pPr>
    <w:rPr>
      <w:rFonts w:ascii="Calibri" w:hAnsi="Calibri" w:eastAsia="宋体" w:cs="Times New Roman"/>
      <w:kern w:val="0"/>
      <w:sz w:val="21"/>
      <w:szCs w:val="20"/>
      <w:lang w:val="en-US" w:eastAsia="zh-CN" w:bidi="ar-SA"/>
    </w:rPr>
  </w:style>
  <w:style w:type="paragraph" w:customStyle="1" w:styleId="284">
    <w:name w:val="toc 212"/>
    <w:next w:val="1"/>
    <w:qFormat/>
    <w:uiPriority w:val="99"/>
    <w:pPr>
      <w:wordWrap w:val="0"/>
      <w:ind w:left="425"/>
      <w:jc w:val="both"/>
    </w:pPr>
    <w:rPr>
      <w:rFonts w:ascii="Calibri" w:hAnsi="Calibri" w:eastAsia="宋体" w:cs="Times New Roman"/>
      <w:kern w:val="0"/>
      <w:sz w:val="21"/>
      <w:szCs w:val="20"/>
      <w:lang w:val="en-US" w:eastAsia="zh-CN" w:bidi="ar-SA"/>
    </w:rPr>
  </w:style>
  <w:style w:type="paragraph" w:customStyle="1" w:styleId="285">
    <w:name w:val="目录 21"/>
    <w:next w:val="1"/>
    <w:qFormat/>
    <w:uiPriority w:val="99"/>
    <w:pPr>
      <w:wordWrap w:val="0"/>
      <w:ind w:left="425"/>
      <w:jc w:val="both"/>
    </w:pPr>
    <w:rPr>
      <w:rFonts w:ascii="Calibri" w:hAnsi="Calibri" w:eastAsia="宋体" w:cs="Times New Roman"/>
      <w:kern w:val="0"/>
      <w:sz w:val="21"/>
      <w:szCs w:val="20"/>
      <w:lang w:val="en-US" w:eastAsia="zh-CN" w:bidi="ar-SA"/>
    </w:rPr>
  </w:style>
  <w:style w:type="paragraph" w:customStyle="1" w:styleId="286">
    <w:name w:val="toc 45"/>
    <w:next w:val="1"/>
    <w:qFormat/>
    <w:uiPriority w:val="99"/>
    <w:pPr>
      <w:wordWrap w:val="0"/>
      <w:ind w:left="1275"/>
      <w:jc w:val="both"/>
    </w:pPr>
    <w:rPr>
      <w:rFonts w:ascii="Calibri" w:hAnsi="Calibri" w:eastAsia="宋体" w:cs="Times New Roman"/>
      <w:kern w:val="0"/>
      <w:sz w:val="21"/>
      <w:szCs w:val="20"/>
      <w:lang w:val="en-US" w:eastAsia="zh-CN" w:bidi="ar-SA"/>
    </w:rPr>
  </w:style>
  <w:style w:type="paragraph" w:customStyle="1" w:styleId="287">
    <w:name w:val="xl116"/>
    <w:basedOn w:val="1"/>
    <w:next w:val="288"/>
    <w:qFormat/>
    <w:uiPriority w:val="99"/>
    <w:pPr>
      <w:widowControl/>
      <w:shd w:val="clear" w:color="000000" w:fill="FFFFFF"/>
      <w:spacing w:before="280" w:after="280"/>
      <w:jc w:val="center"/>
    </w:pPr>
    <w:rPr>
      <w:rFonts w:ascii="Arial Narrow" w:hAnsi="Calibri"/>
      <w:kern w:val="0"/>
      <w:sz w:val="20"/>
      <w:szCs w:val="20"/>
    </w:rPr>
  </w:style>
  <w:style w:type="paragraph" w:customStyle="1" w:styleId="288">
    <w:name w:val="toc 78"/>
    <w:next w:val="1"/>
    <w:qFormat/>
    <w:uiPriority w:val="99"/>
    <w:pPr>
      <w:wordWrap w:val="0"/>
      <w:ind w:left="2550"/>
      <w:jc w:val="both"/>
    </w:pPr>
    <w:rPr>
      <w:rFonts w:ascii="Calibri" w:hAnsi="Calibri" w:eastAsia="宋体" w:cs="Times New Roman"/>
      <w:kern w:val="0"/>
      <w:sz w:val="21"/>
      <w:szCs w:val="20"/>
      <w:lang w:val="en-US" w:eastAsia="zh-CN" w:bidi="ar-SA"/>
    </w:rPr>
  </w:style>
  <w:style w:type="paragraph" w:customStyle="1" w:styleId="289">
    <w:name w:val="font8"/>
    <w:basedOn w:val="1"/>
    <w:next w:val="290"/>
    <w:qFormat/>
    <w:uiPriority w:val="99"/>
    <w:pPr>
      <w:widowControl/>
      <w:spacing w:before="280" w:after="280"/>
    </w:pPr>
    <w:rPr>
      <w:rFonts w:ascii="Arial" w:hAnsi="Calibri"/>
      <w:kern w:val="0"/>
      <w:sz w:val="20"/>
      <w:szCs w:val="20"/>
    </w:rPr>
  </w:style>
  <w:style w:type="paragraph" w:customStyle="1" w:styleId="290">
    <w:name w:val="TOC Heading11"/>
    <w:next w:val="1"/>
    <w:qFormat/>
    <w:uiPriority w:val="99"/>
    <w:pPr>
      <w:wordWrap w:val="0"/>
    </w:pPr>
    <w:rPr>
      <w:rFonts w:ascii="Calibri" w:hAnsi="Calibri" w:eastAsia="宋体" w:cs="Times New Roman"/>
      <w:kern w:val="0"/>
      <w:sz w:val="32"/>
      <w:szCs w:val="20"/>
      <w:lang w:val="en-US" w:eastAsia="zh-CN" w:bidi="ar-SA"/>
    </w:rPr>
  </w:style>
  <w:style w:type="paragraph" w:customStyle="1" w:styleId="291">
    <w:name w:val="xl69"/>
    <w:basedOn w:val="1"/>
    <w:next w:val="292"/>
    <w:qFormat/>
    <w:uiPriority w:val="99"/>
    <w:pPr>
      <w:widowControl/>
      <w:shd w:val="clear" w:color="000000" w:fill="FFFFFF"/>
      <w:spacing w:before="280" w:after="280"/>
    </w:pPr>
    <w:rPr>
      <w:rFonts w:ascii="宋体" w:hAnsi="Calibri"/>
      <w:b/>
      <w:kern w:val="0"/>
      <w:sz w:val="20"/>
      <w:szCs w:val="20"/>
    </w:rPr>
  </w:style>
  <w:style w:type="paragraph" w:customStyle="1" w:styleId="292">
    <w:name w:val="toc 48"/>
    <w:next w:val="1"/>
    <w:qFormat/>
    <w:uiPriority w:val="99"/>
    <w:pPr>
      <w:wordWrap w:val="0"/>
      <w:ind w:left="1275"/>
      <w:jc w:val="both"/>
    </w:pPr>
    <w:rPr>
      <w:rFonts w:ascii="Calibri" w:hAnsi="Calibri" w:eastAsia="宋体" w:cs="Times New Roman"/>
      <w:kern w:val="0"/>
      <w:sz w:val="21"/>
      <w:szCs w:val="20"/>
      <w:lang w:val="en-US" w:eastAsia="zh-CN" w:bidi="ar-SA"/>
    </w:rPr>
  </w:style>
  <w:style w:type="paragraph" w:customStyle="1" w:styleId="293">
    <w:name w:val="toc 813"/>
    <w:next w:val="1"/>
    <w:qFormat/>
    <w:uiPriority w:val="99"/>
    <w:pPr>
      <w:wordWrap w:val="0"/>
      <w:ind w:left="2975"/>
      <w:jc w:val="both"/>
    </w:pPr>
    <w:rPr>
      <w:rFonts w:ascii="Calibri" w:hAnsi="Calibri" w:eastAsia="宋体" w:cs="Times New Roman"/>
      <w:kern w:val="0"/>
      <w:sz w:val="21"/>
      <w:szCs w:val="20"/>
      <w:lang w:val="en-US" w:eastAsia="zh-CN" w:bidi="ar-SA"/>
    </w:rPr>
  </w:style>
  <w:style w:type="paragraph" w:customStyle="1" w:styleId="294">
    <w:name w:val="目录 91"/>
    <w:next w:val="1"/>
    <w:qFormat/>
    <w:uiPriority w:val="99"/>
    <w:pPr>
      <w:wordWrap w:val="0"/>
      <w:ind w:left="3400"/>
      <w:jc w:val="both"/>
    </w:pPr>
    <w:rPr>
      <w:rFonts w:ascii="Calibri" w:hAnsi="Calibri" w:eastAsia="宋体" w:cs="Times New Roman"/>
      <w:kern w:val="0"/>
      <w:sz w:val="21"/>
      <w:szCs w:val="20"/>
      <w:lang w:val="en-US" w:eastAsia="zh-CN" w:bidi="ar-SA"/>
    </w:rPr>
  </w:style>
  <w:style w:type="paragraph" w:customStyle="1" w:styleId="295">
    <w:name w:val="列出段落3"/>
    <w:basedOn w:val="1"/>
    <w:next w:val="296"/>
    <w:qFormat/>
    <w:uiPriority w:val="99"/>
    <w:pPr>
      <w:ind w:firstLine="420"/>
    </w:pPr>
    <w:rPr>
      <w:rFonts w:hAnsi="Calibri"/>
      <w:kern w:val="0"/>
      <w:szCs w:val="20"/>
    </w:rPr>
  </w:style>
  <w:style w:type="paragraph" w:customStyle="1" w:styleId="296">
    <w:name w:val="toc 213"/>
    <w:next w:val="1"/>
    <w:qFormat/>
    <w:uiPriority w:val="99"/>
    <w:pPr>
      <w:wordWrap w:val="0"/>
      <w:ind w:left="425"/>
      <w:jc w:val="both"/>
    </w:pPr>
    <w:rPr>
      <w:rFonts w:ascii="Calibri" w:hAnsi="Calibri" w:eastAsia="宋体" w:cs="Times New Roman"/>
      <w:kern w:val="0"/>
      <w:sz w:val="21"/>
      <w:szCs w:val="20"/>
      <w:lang w:val="en-US" w:eastAsia="zh-CN" w:bidi="ar-SA"/>
    </w:rPr>
  </w:style>
  <w:style w:type="paragraph" w:customStyle="1" w:styleId="297">
    <w:name w:val="TOC 标题1"/>
    <w:next w:val="1"/>
    <w:qFormat/>
    <w:uiPriority w:val="99"/>
    <w:pPr>
      <w:wordWrap w:val="0"/>
    </w:pPr>
    <w:rPr>
      <w:rFonts w:ascii="Calibri" w:hAnsi="Calibri" w:eastAsia="宋体" w:cs="Times New Roman"/>
      <w:kern w:val="0"/>
      <w:sz w:val="32"/>
      <w:szCs w:val="20"/>
      <w:lang w:val="en-US" w:eastAsia="zh-CN" w:bidi="ar-SA"/>
    </w:rPr>
  </w:style>
  <w:style w:type="paragraph" w:customStyle="1" w:styleId="298">
    <w:name w:val="TOC Heading5"/>
    <w:next w:val="1"/>
    <w:qFormat/>
    <w:uiPriority w:val="99"/>
    <w:pPr>
      <w:wordWrap w:val="0"/>
    </w:pPr>
    <w:rPr>
      <w:rFonts w:ascii="Calibri" w:hAnsi="Calibri" w:eastAsia="宋体" w:cs="Times New Roman"/>
      <w:kern w:val="0"/>
      <w:sz w:val="32"/>
      <w:szCs w:val="20"/>
      <w:lang w:val="en-US" w:eastAsia="zh-CN" w:bidi="ar-SA"/>
    </w:rPr>
  </w:style>
  <w:style w:type="paragraph" w:customStyle="1" w:styleId="299">
    <w:name w:val="toc 313"/>
    <w:next w:val="1"/>
    <w:qFormat/>
    <w:uiPriority w:val="99"/>
    <w:pPr>
      <w:wordWrap w:val="0"/>
      <w:ind w:left="850"/>
      <w:jc w:val="both"/>
    </w:pPr>
    <w:rPr>
      <w:rFonts w:ascii="Calibri" w:hAnsi="Calibri" w:eastAsia="宋体" w:cs="Times New Roman"/>
      <w:kern w:val="0"/>
      <w:sz w:val="21"/>
      <w:szCs w:val="20"/>
      <w:lang w:val="en-US" w:eastAsia="zh-CN" w:bidi="ar-SA"/>
    </w:rPr>
  </w:style>
  <w:style w:type="paragraph" w:customStyle="1" w:styleId="300">
    <w:name w:val="toc 716"/>
    <w:next w:val="1"/>
    <w:qFormat/>
    <w:uiPriority w:val="99"/>
    <w:pPr>
      <w:wordWrap w:val="0"/>
      <w:ind w:left="2550"/>
      <w:jc w:val="both"/>
    </w:pPr>
    <w:rPr>
      <w:rFonts w:ascii="Calibri" w:hAnsi="Calibri" w:eastAsia="宋体" w:cs="Times New Roman"/>
      <w:kern w:val="0"/>
      <w:sz w:val="21"/>
      <w:szCs w:val="20"/>
      <w:lang w:val="en-US" w:eastAsia="zh-CN" w:bidi="ar-SA"/>
    </w:rPr>
  </w:style>
  <w:style w:type="paragraph" w:customStyle="1" w:styleId="301">
    <w:name w:val="xl115"/>
    <w:basedOn w:val="1"/>
    <w:next w:val="302"/>
    <w:qFormat/>
    <w:uiPriority w:val="99"/>
    <w:pPr>
      <w:widowControl/>
      <w:shd w:val="clear" w:color="000000" w:fill="FFFFFF"/>
      <w:spacing w:before="280" w:after="280"/>
      <w:jc w:val="center"/>
    </w:pPr>
    <w:rPr>
      <w:rFonts w:ascii="宋体" w:hAnsi="Calibri"/>
      <w:b/>
      <w:kern w:val="0"/>
      <w:sz w:val="20"/>
      <w:szCs w:val="20"/>
    </w:rPr>
  </w:style>
  <w:style w:type="paragraph" w:customStyle="1" w:styleId="302">
    <w:name w:val="toc 712"/>
    <w:next w:val="1"/>
    <w:qFormat/>
    <w:uiPriority w:val="99"/>
    <w:pPr>
      <w:wordWrap w:val="0"/>
      <w:ind w:left="2550"/>
      <w:jc w:val="both"/>
    </w:pPr>
    <w:rPr>
      <w:rFonts w:ascii="Calibri" w:hAnsi="Calibri" w:eastAsia="宋体" w:cs="Times New Roman"/>
      <w:kern w:val="0"/>
      <w:sz w:val="21"/>
      <w:szCs w:val="20"/>
      <w:lang w:val="en-US" w:eastAsia="zh-CN" w:bidi="ar-SA"/>
    </w:rPr>
  </w:style>
  <w:style w:type="paragraph" w:customStyle="1" w:styleId="303">
    <w:name w:val="toc 64"/>
    <w:next w:val="1"/>
    <w:qFormat/>
    <w:uiPriority w:val="99"/>
    <w:pPr>
      <w:wordWrap w:val="0"/>
      <w:ind w:left="2125"/>
      <w:jc w:val="both"/>
    </w:pPr>
    <w:rPr>
      <w:rFonts w:ascii="Calibri" w:hAnsi="Calibri" w:eastAsia="宋体" w:cs="Times New Roman"/>
      <w:kern w:val="0"/>
      <w:sz w:val="21"/>
      <w:szCs w:val="20"/>
      <w:lang w:val="en-US" w:eastAsia="zh-CN" w:bidi="ar-SA"/>
    </w:rPr>
  </w:style>
  <w:style w:type="paragraph" w:customStyle="1" w:styleId="304">
    <w:name w:val="toc 24"/>
    <w:next w:val="1"/>
    <w:qFormat/>
    <w:uiPriority w:val="99"/>
    <w:pPr>
      <w:wordWrap w:val="0"/>
      <w:ind w:left="425"/>
      <w:jc w:val="both"/>
    </w:pPr>
    <w:rPr>
      <w:rFonts w:ascii="Calibri" w:hAnsi="Calibri" w:eastAsia="宋体" w:cs="Times New Roman"/>
      <w:kern w:val="0"/>
      <w:sz w:val="21"/>
      <w:szCs w:val="20"/>
      <w:lang w:val="en-US" w:eastAsia="zh-CN" w:bidi="ar-SA"/>
    </w:rPr>
  </w:style>
  <w:style w:type="paragraph" w:customStyle="1" w:styleId="305">
    <w:name w:val="toc 54"/>
    <w:next w:val="1"/>
    <w:qFormat/>
    <w:uiPriority w:val="99"/>
    <w:pPr>
      <w:wordWrap w:val="0"/>
      <w:ind w:left="1700"/>
      <w:jc w:val="both"/>
    </w:pPr>
    <w:rPr>
      <w:rFonts w:ascii="Calibri" w:hAnsi="Calibri" w:eastAsia="宋体" w:cs="Times New Roman"/>
      <w:kern w:val="0"/>
      <w:sz w:val="21"/>
      <w:szCs w:val="20"/>
      <w:lang w:val="en-US" w:eastAsia="zh-CN" w:bidi="ar-SA"/>
    </w:rPr>
  </w:style>
  <w:style w:type="paragraph" w:customStyle="1" w:styleId="306">
    <w:name w:val="xl93"/>
    <w:basedOn w:val="1"/>
    <w:next w:val="307"/>
    <w:qFormat/>
    <w:uiPriority w:val="99"/>
    <w:pPr>
      <w:widowControl/>
      <w:shd w:val="clear" w:color="000000" w:fill="FFFFFF"/>
      <w:spacing w:before="280" w:after="280"/>
      <w:jc w:val="center"/>
    </w:pPr>
    <w:rPr>
      <w:rFonts w:ascii="宋体" w:hAnsi="Calibri"/>
      <w:kern w:val="0"/>
      <w:sz w:val="20"/>
      <w:szCs w:val="20"/>
    </w:rPr>
  </w:style>
  <w:style w:type="paragraph" w:customStyle="1" w:styleId="307">
    <w:name w:val="toc 112"/>
    <w:next w:val="1"/>
    <w:qFormat/>
    <w:uiPriority w:val="99"/>
    <w:pPr>
      <w:wordWrap w:val="0"/>
      <w:jc w:val="both"/>
    </w:pPr>
    <w:rPr>
      <w:rFonts w:ascii="Calibri" w:hAnsi="Calibri" w:eastAsia="宋体" w:cs="Times New Roman"/>
      <w:kern w:val="0"/>
      <w:sz w:val="21"/>
      <w:szCs w:val="20"/>
      <w:lang w:val="en-US" w:eastAsia="zh-CN" w:bidi="ar-SA"/>
    </w:rPr>
  </w:style>
  <w:style w:type="paragraph" w:customStyle="1" w:styleId="308">
    <w:name w:val="xl96"/>
    <w:basedOn w:val="1"/>
    <w:next w:val="259"/>
    <w:qFormat/>
    <w:uiPriority w:val="99"/>
    <w:pPr>
      <w:widowControl/>
      <w:shd w:val="clear" w:color="000000" w:fill="FFFFFF"/>
      <w:spacing w:before="280" w:after="280"/>
      <w:jc w:val="center"/>
    </w:pPr>
    <w:rPr>
      <w:rFonts w:ascii="宋体" w:hAnsi="Calibri"/>
      <w:kern w:val="0"/>
      <w:sz w:val="20"/>
      <w:szCs w:val="20"/>
    </w:rPr>
  </w:style>
  <w:style w:type="paragraph" w:customStyle="1" w:styleId="309">
    <w:name w:val="xl106"/>
    <w:basedOn w:val="1"/>
    <w:next w:val="293"/>
    <w:qFormat/>
    <w:uiPriority w:val="99"/>
    <w:pPr>
      <w:widowControl/>
      <w:shd w:val="clear" w:color="000000" w:fill="FFFFFF"/>
      <w:spacing w:before="280" w:after="280"/>
    </w:pPr>
    <w:rPr>
      <w:rFonts w:ascii="宋体" w:hAnsi="Calibri"/>
      <w:kern w:val="0"/>
      <w:sz w:val="20"/>
      <w:szCs w:val="20"/>
    </w:rPr>
  </w:style>
  <w:style w:type="paragraph" w:customStyle="1" w:styleId="310">
    <w:name w:val="toc 35"/>
    <w:next w:val="1"/>
    <w:qFormat/>
    <w:uiPriority w:val="99"/>
    <w:pPr>
      <w:wordWrap w:val="0"/>
      <w:ind w:left="850"/>
      <w:jc w:val="both"/>
    </w:pPr>
    <w:rPr>
      <w:rFonts w:ascii="Calibri" w:hAnsi="Calibri" w:eastAsia="宋体" w:cs="Times New Roman"/>
      <w:kern w:val="0"/>
      <w:sz w:val="21"/>
      <w:szCs w:val="20"/>
      <w:lang w:val="en-US" w:eastAsia="zh-CN" w:bidi="ar-SA"/>
    </w:rPr>
  </w:style>
  <w:style w:type="paragraph" w:customStyle="1" w:styleId="311">
    <w:name w:val="TOC Heading14"/>
    <w:next w:val="1"/>
    <w:qFormat/>
    <w:uiPriority w:val="99"/>
    <w:pPr>
      <w:wordWrap w:val="0"/>
    </w:pPr>
    <w:rPr>
      <w:rFonts w:ascii="Calibri" w:hAnsi="Calibri" w:eastAsia="宋体" w:cs="Times New Roman"/>
      <w:kern w:val="0"/>
      <w:sz w:val="32"/>
      <w:szCs w:val="20"/>
      <w:lang w:val="en-US" w:eastAsia="zh-CN" w:bidi="ar-SA"/>
    </w:rPr>
  </w:style>
  <w:style w:type="paragraph" w:customStyle="1" w:styleId="312">
    <w:name w:val="Char Char Char Char Char Char Char1"/>
    <w:basedOn w:val="1"/>
    <w:next w:val="313"/>
    <w:qFormat/>
    <w:uiPriority w:val="99"/>
    <w:pPr>
      <w:widowControl/>
      <w:spacing w:after="160" w:line="240" w:lineRule="exact"/>
    </w:pPr>
    <w:rPr>
      <w:rFonts w:hAnsi="Calibri"/>
      <w:kern w:val="0"/>
      <w:szCs w:val="20"/>
    </w:rPr>
  </w:style>
  <w:style w:type="paragraph" w:customStyle="1" w:styleId="313">
    <w:name w:val="toc 67"/>
    <w:next w:val="1"/>
    <w:qFormat/>
    <w:uiPriority w:val="99"/>
    <w:pPr>
      <w:wordWrap w:val="0"/>
      <w:ind w:left="2125"/>
      <w:jc w:val="both"/>
    </w:pPr>
    <w:rPr>
      <w:rFonts w:ascii="Calibri" w:hAnsi="Calibri" w:eastAsia="宋体" w:cs="Times New Roman"/>
      <w:kern w:val="0"/>
      <w:sz w:val="21"/>
      <w:szCs w:val="20"/>
      <w:lang w:val="en-US" w:eastAsia="zh-CN" w:bidi="ar-SA"/>
    </w:rPr>
  </w:style>
  <w:style w:type="paragraph" w:customStyle="1" w:styleId="314">
    <w:name w:val="列出段落4"/>
    <w:basedOn w:val="1"/>
    <w:next w:val="315"/>
    <w:qFormat/>
    <w:uiPriority w:val="99"/>
    <w:pPr>
      <w:ind w:firstLine="420"/>
    </w:pPr>
    <w:rPr>
      <w:rFonts w:hAnsi="Calibri"/>
      <w:kern w:val="0"/>
      <w:szCs w:val="20"/>
    </w:rPr>
  </w:style>
  <w:style w:type="paragraph" w:customStyle="1" w:styleId="315">
    <w:name w:val="TOC Heading9"/>
    <w:next w:val="1"/>
    <w:qFormat/>
    <w:uiPriority w:val="99"/>
    <w:pPr>
      <w:wordWrap w:val="0"/>
    </w:pPr>
    <w:rPr>
      <w:rFonts w:ascii="Calibri" w:hAnsi="Calibri" w:eastAsia="宋体" w:cs="Times New Roman"/>
      <w:kern w:val="0"/>
      <w:sz w:val="32"/>
      <w:szCs w:val="20"/>
      <w:lang w:val="en-US" w:eastAsia="zh-CN" w:bidi="ar-SA"/>
    </w:rPr>
  </w:style>
  <w:style w:type="paragraph" w:customStyle="1" w:styleId="316">
    <w:name w:val="xl71"/>
    <w:basedOn w:val="1"/>
    <w:next w:val="317"/>
    <w:qFormat/>
    <w:uiPriority w:val="99"/>
    <w:pPr>
      <w:widowControl/>
      <w:shd w:val="clear" w:color="000000" w:fill="FFFFFF"/>
      <w:spacing w:before="280" w:after="280"/>
    </w:pPr>
    <w:rPr>
      <w:rFonts w:ascii="宋体" w:hAnsi="Calibri"/>
      <w:kern w:val="0"/>
      <w:sz w:val="24"/>
      <w:szCs w:val="20"/>
    </w:rPr>
  </w:style>
  <w:style w:type="paragraph" w:customStyle="1" w:styleId="317">
    <w:name w:val="toc 115"/>
    <w:next w:val="1"/>
    <w:qFormat/>
    <w:uiPriority w:val="99"/>
    <w:pPr>
      <w:wordWrap w:val="0"/>
      <w:jc w:val="both"/>
    </w:pPr>
    <w:rPr>
      <w:rFonts w:ascii="Calibri" w:hAnsi="Calibri" w:eastAsia="宋体" w:cs="Times New Roman"/>
      <w:kern w:val="0"/>
      <w:sz w:val="21"/>
      <w:szCs w:val="20"/>
      <w:lang w:val="en-US" w:eastAsia="zh-CN" w:bidi="ar-SA"/>
    </w:rPr>
  </w:style>
  <w:style w:type="paragraph" w:customStyle="1" w:styleId="318">
    <w:name w:val="toc 51"/>
    <w:next w:val="1"/>
    <w:qFormat/>
    <w:uiPriority w:val="99"/>
    <w:pPr>
      <w:wordWrap w:val="0"/>
      <w:ind w:left="1700"/>
      <w:jc w:val="both"/>
    </w:pPr>
    <w:rPr>
      <w:rFonts w:ascii="Calibri" w:hAnsi="Calibri" w:eastAsia="宋体" w:cs="Times New Roman"/>
      <w:kern w:val="0"/>
      <w:sz w:val="21"/>
      <w:szCs w:val="20"/>
      <w:lang w:val="en-US" w:eastAsia="zh-CN" w:bidi="ar-SA"/>
    </w:rPr>
  </w:style>
  <w:style w:type="paragraph" w:customStyle="1" w:styleId="319">
    <w:name w:val="toc 47"/>
    <w:next w:val="1"/>
    <w:qFormat/>
    <w:uiPriority w:val="99"/>
    <w:pPr>
      <w:wordWrap w:val="0"/>
      <w:ind w:left="1275"/>
      <w:jc w:val="both"/>
    </w:pPr>
    <w:rPr>
      <w:rFonts w:ascii="Calibri" w:hAnsi="Calibri" w:eastAsia="宋体" w:cs="Times New Roman"/>
      <w:kern w:val="0"/>
      <w:sz w:val="21"/>
      <w:szCs w:val="20"/>
      <w:lang w:val="en-US" w:eastAsia="zh-CN" w:bidi="ar-SA"/>
    </w:rPr>
  </w:style>
  <w:style w:type="paragraph" w:customStyle="1" w:styleId="320">
    <w:name w:val="xl108"/>
    <w:basedOn w:val="1"/>
    <w:next w:val="321"/>
    <w:qFormat/>
    <w:uiPriority w:val="99"/>
    <w:pPr>
      <w:widowControl/>
      <w:shd w:val="clear" w:color="000000" w:fill="FFFFFF"/>
      <w:spacing w:before="280" w:after="280"/>
    </w:pPr>
    <w:rPr>
      <w:rFonts w:ascii="宋体" w:hAnsi="Calibri"/>
      <w:kern w:val="0"/>
      <w:sz w:val="18"/>
      <w:szCs w:val="20"/>
    </w:rPr>
  </w:style>
  <w:style w:type="paragraph" w:customStyle="1" w:styleId="321">
    <w:name w:val="toc 18"/>
    <w:next w:val="1"/>
    <w:qFormat/>
    <w:uiPriority w:val="99"/>
    <w:pPr>
      <w:wordWrap w:val="0"/>
      <w:jc w:val="both"/>
    </w:pPr>
    <w:rPr>
      <w:rFonts w:ascii="Calibri" w:hAnsi="Calibri" w:eastAsia="宋体" w:cs="Times New Roman"/>
      <w:kern w:val="0"/>
      <w:sz w:val="21"/>
      <w:szCs w:val="20"/>
      <w:lang w:val="en-US" w:eastAsia="zh-CN" w:bidi="ar-SA"/>
    </w:rPr>
  </w:style>
  <w:style w:type="paragraph" w:customStyle="1" w:styleId="322">
    <w:name w:val="TOC Heading7"/>
    <w:next w:val="1"/>
    <w:qFormat/>
    <w:uiPriority w:val="99"/>
    <w:pPr>
      <w:wordWrap w:val="0"/>
    </w:pPr>
    <w:rPr>
      <w:rFonts w:ascii="Calibri" w:hAnsi="Calibri" w:eastAsia="宋体" w:cs="Times New Roman"/>
      <w:kern w:val="0"/>
      <w:sz w:val="32"/>
      <w:szCs w:val="20"/>
      <w:lang w:val="en-US" w:eastAsia="zh-CN" w:bidi="ar-SA"/>
    </w:rPr>
  </w:style>
  <w:style w:type="paragraph" w:customStyle="1" w:styleId="323">
    <w:name w:val="目录 71"/>
    <w:next w:val="1"/>
    <w:qFormat/>
    <w:uiPriority w:val="99"/>
    <w:pPr>
      <w:wordWrap w:val="0"/>
      <w:ind w:left="2550"/>
      <w:jc w:val="both"/>
    </w:pPr>
    <w:rPr>
      <w:rFonts w:ascii="Calibri" w:hAnsi="Calibri" w:eastAsia="宋体" w:cs="Times New Roman"/>
      <w:kern w:val="0"/>
      <w:sz w:val="21"/>
      <w:szCs w:val="20"/>
      <w:lang w:val="en-US" w:eastAsia="zh-CN" w:bidi="ar-SA"/>
    </w:rPr>
  </w:style>
  <w:style w:type="paragraph" w:customStyle="1" w:styleId="324">
    <w:name w:val="toc 413"/>
    <w:next w:val="1"/>
    <w:qFormat/>
    <w:uiPriority w:val="99"/>
    <w:pPr>
      <w:wordWrap w:val="0"/>
      <w:ind w:left="1275"/>
      <w:jc w:val="both"/>
    </w:pPr>
    <w:rPr>
      <w:rFonts w:ascii="Calibri" w:hAnsi="Calibri" w:eastAsia="宋体" w:cs="Times New Roman"/>
      <w:kern w:val="0"/>
      <w:sz w:val="21"/>
      <w:szCs w:val="20"/>
      <w:lang w:val="en-US" w:eastAsia="zh-CN" w:bidi="ar-SA"/>
    </w:rPr>
  </w:style>
  <w:style w:type="paragraph" w:customStyle="1" w:styleId="325">
    <w:name w:val="toc 85"/>
    <w:next w:val="1"/>
    <w:qFormat/>
    <w:uiPriority w:val="99"/>
    <w:pPr>
      <w:wordWrap w:val="0"/>
      <w:ind w:left="2975"/>
      <w:jc w:val="both"/>
    </w:pPr>
    <w:rPr>
      <w:rFonts w:ascii="Calibri" w:hAnsi="Calibri" w:eastAsia="宋体" w:cs="Times New Roman"/>
      <w:kern w:val="0"/>
      <w:sz w:val="21"/>
      <w:szCs w:val="20"/>
      <w:lang w:val="en-US" w:eastAsia="zh-CN" w:bidi="ar-SA"/>
    </w:rPr>
  </w:style>
  <w:style w:type="paragraph" w:customStyle="1" w:styleId="326">
    <w:name w:val="列出段落6"/>
    <w:basedOn w:val="1"/>
    <w:next w:val="327"/>
    <w:qFormat/>
    <w:uiPriority w:val="99"/>
    <w:pPr>
      <w:ind w:firstLine="420"/>
    </w:pPr>
    <w:rPr>
      <w:rFonts w:hAnsi="Calibri"/>
      <w:kern w:val="0"/>
      <w:szCs w:val="20"/>
    </w:rPr>
  </w:style>
  <w:style w:type="paragraph" w:customStyle="1" w:styleId="327">
    <w:name w:val="toc 86"/>
    <w:next w:val="1"/>
    <w:qFormat/>
    <w:uiPriority w:val="99"/>
    <w:pPr>
      <w:wordWrap w:val="0"/>
      <w:ind w:left="2975"/>
      <w:jc w:val="both"/>
    </w:pPr>
    <w:rPr>
      <w:rFonts w:ascii="Calibri" w:hAnsi="Calibri" w:eastAsia="宋体" w:cs="Times New Roman"/>
      <w:kern w:val="0"/>
      <w:sz w:val="21"/>
      <w:szCs w:val="20"/>
      <w:lang w:val="en-US" w:eastAsia="zh-CN" w:bidi="ar-SA"/>
    </w:rPr>
  </w:style>
  <w:style w:type="paragraph" w:customStyle="1" w:styleId="328">
    <w:name w:val="xl80"/>
    <w:basedOn w:val="1"/>
    <w:next w:val="329"/>
    <w:qFormat/>
    <w:uiPriority w:val="99"/>
    <w:pPr>
      <w:widowControl/>
      <w:shd w:val="clear" w:color="000000" w:fill="FFFFFF"/>
      <w:spacing w:before="280" w:after="280"/>
      <w:jc w:val="center"/>
    </w:pPr>
    <w:rPr>
      <w:rFonts w:ascii="宋体" w:hAnsi="Calibri"/>
      <w:b/>
      <w:kern w:val="0"/>
      <w:sz w:val="20"/>
      <w:szCs w:val="20"/>
    </w:rPr>
  </w:style>
  <w:style w:type="paragraph" w:customStyle="1" w:styleId="329">
    <w:name w:val="toc 49"/>
    <w:next w:val="1"/>
    <w:qFormat/>
    <w:uiPriority w:val="99"/>
    <w:pPr>
      <w:wordWrap w:val="0"/>
      <w:ind w:left="1275"/>
      <w:jc w:val="both"/>
    </w:pPr>
    <w:rPr>
      <w:rFonts w:ascii="Calibri" w:hAnsi="Calibri" w:eastAsia="宋体" w:cs="Times New Roman"/>
      <w:kern w:val="0"/>
      <w:sz w:val="21"/>
      <w:szCs w:val="20"/>
      <w:lang w:val="en-US" w:eastAsia="zh-CN" w:bidi="ar-SA"/>
    </w:rPr>
  </w:style>
  <w:style w:type="paragraph" w:customStyle="1" w:styleId="330">
    <w:name w:val="Char Char Char Char1"/>
    <w:basedOn w:val="1"/>
    <w:next w:val="331"/>
    <w:qFormat/>
    <w:uiPriority w:val="99"/>
    <w:pPr>
      <w:widowControl/>
      <w:spacing w:after="160" w:line="240" w:lineRule="exact"/>
    </w:pPr>
    <w:rPr>
      <w:rFonts w:ascii="Verdana" w:hAnsi="Calibri" w:eastAsia="仿宋_GB2312"/>
      <w:kern w:val="0"/>
      <w:sz w:val="24"/>
      <w:szCs w:val="20"/>
    </w:rPr>
  </w:style>
  <w:style w:type="paragraph" w:customStyle="1" w:styleId="331">
    <w:name w:val="toc 713"/>
    <w:next w:val="1"/>
    <w:qFormat/>
    <w:uiPriority w:val="99"/>
    <w:pPr>
      <w:wordWrap w:val="0"/>
      <w:ind w:left="2550"/>
      <w:jc w:val="both"/>
    </w:pPr>
    <w:rPr>
      <w:rFonts w:ascii="Calibri" w:hAnsi="Calibri" w:eastAsia="宋体" w:cs="Times New Roman"/>
      <w:kern w:val="0"/>
      <w:sz w:val="21"/>
      <w:szCs w:val="20"/>
      <w:lang w:val="en-US" w:eastAsia="zh-CN" w:bidi="ar-SA"/>
    </w:rPr>
  </w:style>
  <w:style w:type="paragraph" w:customStyle="1" w:styleId="332">
    <w:name w:val="xl102"/>
    <w:basedOn w:val="1"/>
    <w:next w:val="333"/>
    <w:qFormat/>
    <w:uiPriority w:val="99"/>
    <w:pPr>
      <w:widowControl/>
      <w:shd w:val="clear" w:color="000000" w:fill="FFFFFF"/>
      <w:spacing w:before="280" w:after="280"/>
      <w:jc w:val="right"/>
    </w:pPr>
    <w:rPr>
      <w:rFonts w:ascii="宋体" w:hAnsi="Calibri"/>
      <w:kern w:val="0"/>
      <w:sz w:val="20"/>
      <w:szCs w:val="20"/>
    </w:rPr>
  </w:style>
  <w:style w:type="paragraph" w:customStyle="1" w:styleId="333">
    <w:name w:val="toc 17"/>
    <w:next w:val="1"/>
    <w:qFormat/>
    <w:uiPriority w:val="99"/>
    <w:pPr>
      <w:wordWrap w:val="0"/>
      <w:jc w:val="both"/>
    </w:pPr>
    <w:rPr>
      <w:rFonts w:ascii="Calibri" w:hAnsi="Calibri" w:eastAsia="宋体" w:cs="Times New Roman"/>
      <w:kern w:val="0"/>
      <w:sz w:val="21"/>
      <w:szCs w:val="20"/>
      <w:lang w:val="en-US" w:eastAsia="zh-CN" w:bidi="ar-SA"/>
    </w:rPr>
  </w:style>
  <w:style w:type="paragraph" w:customStyle="1" w:styleId="334">
    <w:name w:val="toc 46"/>
    <w:next w:val="1"/>
    <w:qFormat/>
    <w:uiPriority w:val="99"/>
    <w:pPr>
      <w:wordWrap w:val="0"/>
      <w:ind w:left="1275"/>
      <w:jc w:val="both"/>
    </w:pPr>
    <w:rPr>
      <w:rFonts w:ascii="Calibri" w:hAnsi="Calibri" w:eastAsia="宋体" w:cs="Times New Roman"/>
      <w:kern w:val="0"/>
      <w:sz w:val="21"/>
      <w:szCs w:val="20"/>
      <w:lang w:val="en-US" w:eastAsia="zh-CN" w:bidi="ar-SA"/>
    </w:rPr>
  </w:style>
  <w:style w:type="paragraph" w:customStyle="1" w:styleId="335">
    <w:name w:val="toc 311"/>
    <w:next w:val="1"/>
    <w:qFormat/>
    <w:uiPriority w:val="99"/>
    <w:pPr>
      <w:wordWrap w:val="0"/>
      <w:ind w:left="850"/>
      <w:jc w:val="both"/>
    </w:pPr>
    <w:rPr>
      <w:rFonts w:ascii="Calibri" w:hAnsi="Calibri" w:eastAsia="宋体" w:cs="Times New Roman"/>
      <w:kern w:val="0"/>
      <w:sz w:val="21"/>
      <w:szCs w:val="20"/>
      <w:lang w:val="en-US" w:eastAsia="zh-CN" w:bidi="ar-SA"/>
    </w:rPr>
  </w:style>
  <w:style w:type="paragraph" w:customStyle="1" w:styleId="336">
    <w:name w:val="xl65"/>
    <w:basedOn w:val="1"/>
    <w:next w:val="238"/>
    <w:qFormat/>
    <w:uiPriority w:val="99"/>
    <w:pPr>
      <w:widowControl/>
      <w:shd w:val="clear" w:color="000000" w:fill="FFFFFF"/>
      <w:spacing w:before="280" w:after="280"/>
      <w:jc w:val="center"/>
    </w:pPr>
    <w:rPr>
      <w:rFonts w:ascii="宋体" w:hAnsi="Calibri"/>
      <w:kern w:val="0"/>
      <w:sz w:val="20"/>
      <w:szCs w:val="20"/>
    </w:rPr>
  </w:style>
  <w:style w:type="paragraph" w:customStyle="1" w:styleId="337">
    <w:name w:val="toc 94"/>
    <w:next w:val="1"/>
    <w:qFormat/>
    <w:uiPriority w:val="99"/>
    <w:pPr>
      <w:wordWrap w:val="0"/>
      <w:ind w:left="3400"/>
      <w:jc w:val="both"/>
    </w:pPr>
    <w:rPr>
      <w:rFonts w:ascii="Calibri" w:hAnsi="Calibri" w:eastAsia="宋体" w:cs="Times New Roman"/>
      <w:kern w:val="0"/>
      <w:sz w:val="21"/>
      <w:szCs w:val="20"/>
      <w:lang w:val="en-US" w:eastAsia="zh-CN" w:bidi="ar-SA"/>
    </w:rPr>
  </w:style>
  <w:style w:type="paragraph" w:customStyle="1" w:styleId="338">
    <w:name w:val="toc 55"/>
    <w:next w:val="1"/>
    <w:qFormat/>
    <w:uiPriority w:val="99"/>
    <w:pPr>
      <w:wordWrap w:val="0"/>
      <w:ind w:left="1700"/>
      <w:jc w:val="both"/>
    </w:pPr>
    <w:rPr>
      <w:rFonts w:ascii="Calibri" w:hAnsi="Calibri" w:eastAsia="宋体" w:cs="Times New Roman"/>
      <w:kern w:val="0"/>
      <w:sz w:val="21"/>
      <w:szCs w:val="20"/>
      <w:lang w:val="en-US" w:eastAsia="zh-CN" w:bidi="ar-SA"/>
    </w:rPr>
  </w:style>
  <w:style w:type="paragraph" w:customStyle="1" w:styleId="339">
    <w:name w:val="toc 812"/>
    <w:next w:val="1"/>
    <w:qFormat/>
    <w:uiPriority w:val="99"/>
    <w:pPr>
      <w:wordWrap w:val="0"/>
      <w:ind w:left="2975"/>
      <w:jc w:val="both"/>
    </w:pPr>
    <w:rPr>
      <w:rFonts w:ascii="Calibri" w:hAnsi="Calibri" w:eastAsia="宋体" w:cs="Times New Roman"/>
      <w:kern w:val="0"/>
      <w:sz w:val="21"/>
      <w:szCs w:val="20"/>
      <w:lang w:val="en-US" w:eastAsia="zh-CN" w:bidi="ar-SA"/>
    </w:rPr>
  </w:style>
  <w:style w:type="paragraph" w:customStyle="1" w:styleId="340">
    <w:name w:val="xl75"/>
    <w:basedOn w:val="1"/>
    <w:next w:val="341"/>
    <w:qFormat/>
    <w:uiPriority w:val="99"/>
    <w:pPr>
      <w:widowControl/>
      <w:shd w:val="clear" w:color="000000" w:fill="FFFFFF"/>
      <w:spacing w:before="280" w:after="280"/>
    </w:pPr>
    <w:rPr>
      <w:rFonts w:ascii="宋体" w:hAnsi="Calibri"/>
      <w:kern w:val="0"/>
      <w:sz w:val="20"/>
      <w:szCs w:val="20"/>
    </w:rPr>
  </w:style>
  <w:style w:type="paragraph" w:customStyle="1" w:styleId="341">
    <w:name w:val="toc 914"/>
    <w:next w:val="1"/>
    <w:qFormat/>
    <w:uiPriority w:val="99"/>
    <w:pPr>
      <w:wordWrap w:val="0"/>
      <w:ind w:left="3400"/>
      <w:jc w:val="both"/>
    </w:pPr>
    <w:rPr>
      <w:rFonts w:ascii="Calibri" w:hAnsi="Calibri" w:eastAsia="宋体" w:cs="Times New Roman"/>
      <w:kern w:val="0"/>
      <w:sz w:val="21"/>
      <w:szCs w:val="20"/>
      <w:lang w:val="en-US" w:eastAsia="zh-CN" w:bidi="ar-SA"/>
    </w:rPr>
  </w:style>
  <w:style w:type="paragraph" w:customStyle="1" w:styleId="342">
    <w:name w:val="toc 19"/>
    <w:next w:val="1"/>
    <w:qFormat/>
    <w:uiPriority w:val="99"/>
    <w:pPr>
      <w:wordWrap w:val="0"/>
      <w:jc w:val="both"/>
    </w:pPr>
    <w:rPr>
      <w:rFonts w:ascii="Calibri" w:hAnsi="Calibri" w:eastAsia="宋体" w:cs="Times New Roman"/>
      <w:kern w:val="0"/>
      <w:sz w:val="21"/>
      <w:szCs w:val="20"/>
      <w:lang w:val="en-US" w:eastAsia="zh-CN" w:bidi="ar-SA"/>
    </w:rPr>
  </w:style>
  <w:style w:type="paragraph" w:customStyle="1" w:styleId="343">
    <w:name w:val="TOC Heading6"/>
    <w:next w:val="1"/>
    <w:qFormat/>
    <w:uiPriority w:val="99"/>
    <w:pPr>
      <w:wordWrap w:val="0"/>
    </w:pPr>
    <w:rPr>
      <w:rFonts w:ascii="Calibri" w:hAnsi="Calibri" w:eastAsia="宋体" w:cs="Times New Roman"/>
      <w:kern w:val="0"/>
      <w:sz w:val="32"/>
      <w:szCs w:val="20"/>
      <w:lang w:val="en-US" w:eastAsia="zh-CN" w:bidi="ar-SA"/>
    </w:rPr>
  </w:style>
  <w:style w:type="paragraph" w:customStyle="1" w:styleId="344">
    <w:name w:val="toc 52"/>
    <w:next w:val="1"/>
    <w:qFormat/>
    <w:uiPriority w:val="99"/>
    <w:pPr>
      <w:wordWrap w:val="0"/>
      <w:ind w:left="1700"/>
      <w:jc w:val="both"/>
    </w:pPr>
    <w:rPr>
      <w:rFonts w:ascii="Calibri" w:hAnsi="Calibri" w:eastAsia="宋体" w:cs="Times New Roman"/>
      <w:kern w:val="0"/>
      <w:sz w:val="21"/>
      <w:szCs w:val="20"/>
      <w:lang w:val="en-US" w:eastAsia="zh-CN" w:bidi="ar-SA"/>
    </w:rPr>
  </w:style>
  <w:style w:type="paragraph" w:customStyle="1" w:styleId="345">
    <w:name w:val="toc 36"/>
    <w:next w:val="1"/>
    <w:qFormat/>
    <w:uiPriority w:val="99"/>
    <w:pPr>
      <w:wordWrap w:val="0"/>
      <w:ind w:left="850"/>
      <w:jc w:val="both"/>
    </w:pPr>
    <w:rPr>
      <w:rFonts w:ascii="Calibri" w:hAnsi="Calibri" w:eastAsia="宋体" w:cs="Times New Roman"/>
      <w:kern w:val="0"/>
      <w:sz w:val="21"/>
      <w:szCs w:val="20"/>
      <w:lang w:val="en-US" w:eastAsia="zh-CN" w:bidi="ar-SA"/>
    </w:rPr>
  </w:style>
  <w:style w:type="paragraph" w:customStyle="1" w:styleId="346">
    <w:name w:val="toc 82"/>
    <w:next w:val="1"/>
    <w:qFormat/>
    <w:uiPriority w:val="99"/>
    <w:pPr>
      <w:wordWrap w:val="0"/>
      <w:ind w:left="2975"/>
      <w:jc w:val="both"/>
    </w:pPr>
    <w:rPr>
      <w:rFonts w:ascii="Calibri" w:hAnsi="Calibri" w:eastAsia="宋体" w:cs="Times New Roman"/>
      <w:kern w:val="0"/>
      <w:sz w:val="21"/>
      <w:szCs w:val="20"/>
      <w:lang w:val="en-US" w:eastAsia="zh-CN" w:bidi="ar-SA"/>
    </w:rPr>
  </w:style>
  <w:style w:type="paragraph" w:customStyle="1" w:styleId="347">
    <w:name w:val="xl104"/>
    <w:basedOn w:val="1"/>
    <w:next w:val="348"/>
    <w:qFormat/>
    <w:uiPriority w:val="99"/>
    <w:pPr>
      <w:widowControl/>
      <w:shd w:val="clear" w:color="000000" w:fill="FFFFFF"/>
      <w:spacing w:before="280" w:after="280"/>
      <w:jc w:val="center"/>
    </w:pPr>
    <w:rPr>
      <w:rFonts w:ascii="宋体" w:hAnsi="Calibri"/>
      <w:kern w:val="0"/>
      <w:sz w:val="20"/>
      <w:szCs w:val="20"/>
    </w:rPr>
  </w:style>
  <w:style w:type="paragraph" w:customStyle="1" w:styleId="348">
    <w:name w:val="toc 210"/>
    <w:next w:val="1"/>
    <w:qFormat/>
    <w:uiPriority w:val="99"/>
    <w:pPr>
      <w:wordWrap w:val="0"/>
      <w:ind w:left="425"/>
      <w:jc w:val="both"/>
    </w:pPr>
    <w:rPr>
      <w:rFonts w:ascii="Calibri" w:hAnsi="Calibri" w:eastAsia="宋体" w:cs="Times New Roman"/>
      <w:kern w:val="0"/>
      <w:sz w:val="21"/>
      <w:szCs w:val="20"/>
      <w:lang w:val="en-US" w:eastAsia="zh-CN" w:bidi="ar-SA"/>
    </w:rPr>
  </w:style>
  <w:style w:type="paragraph" w:customStyle="1" w:styleId="349">
    <w:name w:val="toc 110"/>
    <w:next w:val="1"/>
    <w:qFormat/>
    <w:uiPriority w:val="99"/>
    <w:pPr>
      <w:wordWrap w:val="0"/>
      <w:jc w:val="both"/>
    </w:pPr>
    <w:rPr>
      <w:rFonts w:ascii="Calibri" w:hAnsi="Calibri" w:eastAsia="宋体" w:cs="Times New Roman"/>
      <w:kern w:val="0"/>
      <w:sz w:val="21"/>
      <w:szCs w:val="20"/>
      <w:lang w:val="en-US" w:eastAsia="zh-CN" w:bidi="ar-SA"/>
    </w:rPr>
  </w:style>
  <w:style w:type="paragraph" w:customStyle="1" w:styleId="350">
    <w:name w:val="toc 66"/>
    <w:next w:val="1"/>
    <w:qFormat/>
    <w:uiPriority w:val="99"/>
    <w:pPr>
      <w:wordWrap w:val="0"/>
      <w:ind w:left="2125"/>
      <w:jc w:val="both"/>
    </w:pPr>
    <w:rPr>
      <w:rFonts w:ascii="Calibri" w:hAnsi="Calibri" w:eastAsia="宋体" w:cs="Times New Roman"/>
      <w:kern w:val="0"/>
      <w:sz w:val="21"/>
      <w:szCs w:val="20"/>
      <w:lang w:val="en-US" w:eastAsia="zh-CN" w:bidi="ar-SA"/>
    </w:rPr>
  </w:style>
  <w:style w:type="paragraph" w:customStyle="1" w:styleId="351">
    <w:name w:val="toc 31"/>
    <w:next w:val="1"/>
    <w:qFormat/>
    <w:uiPriority w:val="99"/>
    <w:pPr>
      <w:wordWrap w:val="0"/>
      <w:ind w:left="850"/>
      <w:jc w:val="both"/>
    </w:pPr>
    <w:rPr>
      <w:rFonts w:ascii="Calibri" w:hAnsi="Calibri" w:eastAsia="宋体" w:cs="Times New Roman"/>
      <w:kern w:val="0"/>
      <w:sz w:val="21"/>
      <w:szCs w:val="20"/>
      <w:lang w:val="en-US" w:eastAsia="zh-CN" w:bidi="ar-SA"/>
    </w:rPr>
  </w:style>
  <w:style w:type="paragraph" w:customStyle="1" w:styleId="352">
    <w:name w:val="toc 93"/>
    <w:next w:val="1"/>
    <w:qFormat/>
    <w:uiPriority w:val="99"/>
    <w:pPr>
      <w:wordWrap w:val="0"/>
      <w:ind w:left="3400"/>
      <w:jc w:val="both"/>
    </w:pPr>
    <w:rPr>
      <w:rFonts w:ascii="Calibri" w:hAnsi="Calibri" w:eastAsia="宋体" w:cs="Times New Roman"/>
      <w:kern w:val="0"/>
      <w:sz w:val="21"/>
      <w:szCs w:val="20"/>
      <w:lang w:val="en-US" w:eastAsia="zh-CN" w:bidi="ar-SA"/>
    </w:rPr>
  </w:style>
  <w:style w:type="paragraph" w:customStyle="1" w:styleId="353">
    <w:name w:val="toc 614"/>
    <w:next w:val="1"/>
    <w:qFormat/>
    <w:uiPriority w:val="99"/>
    <w:pPr>
      <w:wordWrap w:val="0"/>
      <w:ind w:left="2125"/>
      <w:jc w:val="both"/>
    </w:pPr>
    <w:rPr>
      <w:rFonts w:ascii="Calibri" w:hAnsi="Calibri" w:eastAsia="宋体" w:cs="Times New Roman"/>
      <w:kern w:val="0"/>
      <w:sz w:val="21"/>
      <w:szCs w:val="20"/>
      <w:lang w:val="en-US" w:eastAsia="zh-CN" w:bidi="ar-SA"/>
    </w:rPr>
  </w:style>
  <w:style w:type="paragraph" w:customStyle="1" w:styleId="354">
    <w:name w:val="无间隔1"/>
    <w:next w:val="349"/>
    <w:qFormat/>
    <w:uiPriority w:val="99"/>
    <w:pPr>
      <w:widowControl w:val="0"/>
      <w:jc w:val="both"/>
    </w:pPr>
    <w:rPr>
      <w:rFonts w:ascii="Calibri" w:hAnsi="Calibri" w:eastAsia="宋体" w:cs="Times New Roman"/>
      <w:kern w:val="0"/>
      <w:sz w:val="22"/>
      <w:szCs w:val="20"/>
      <w:lang w:val="en-US" w:eastAsia="zh-CN" w:bidi="ar-SA"/>
    </w:rPr>
  </w:style>
  <w:style w:type="paragraph" w:customStyle="1" w:styleId="355">
    <w:name w:val="目录 41"/>
    <w:next w:val="1"/>
    <w:qFormat/>
    <w:uiPriority w:val="99"/>
    <w:pPr>
      <w:wordWrap w:val="0"/>
      <w:ind w:left="1275"/>
      <w:jc w:val="both"/>
    </w:pPr>
    <w:rPr>
      <w:rFonts w:ascii="Calibri" w:hAnsi="Calibri" w:eastAsia="宋体" w:cs="Times New Roman"/>
      <w:kern w:val="0"/>
      <w:sz w:val="21"/>
      <w:szCs w:val="20"/>
      <w:lang w:val="en-US" w:eastAsia="zh-CN" w:bidi="ar-SA"/>
    </w:rPr>
  </w:style>
  <w:style w:type="paragraph" w:customStyle="1" w:styleId="356">
    <w:name w:val="xl105"/>
    <w:basedOn w:val="1"/>
    <w:next w:val="357"/>
    <w:qFormat/>
    <w:uiPriority w:val="99"/>
    <w:pPr>
      <w:widowControl/>
      <w:shd w:val="clear" w:color="000000" w:fill="FFFFFF"/>
      <w:spacing w:before="280" w:after="280"/>
    </w:pPr>
    <w:rPr>
      <w:rFonts w:ascii="宋体" w:hAnsi="Calibri"/>
      <w:kern w:val="0"/>
      <w:sz w:val="18"/>
      <w:szCs w:val="20"/>
    </w:rPr>
  </w:style>
  <w:style w:type="paragraph" w:customStyle="1" w:styleId="357">
    <w:name w:val="toc 615"/>
    <w:next w:val="1"/>
    <w:qFormat/>
    <w:uiPriority w:val="99"/>
    <w:pPr>
      <w:wordWrap w:val="0"/>
      <w:ind w:left="2125"/>
      <w:jc w:val="both"/>
    </w:pPr>
    <w:rPr>
      <w:rFonts w:ascii="Calibri" w:hAnsi="Calibri" w:eastAsia="宋体" w:cs="Times New Roman"/>
      <w:kern w:val="0"/>
      <w:sz w:val="21"/>
      <w:szCs w:val="20"/>
      <w:lang w:val="en-US" w:eastAsia="zh-CN" w:bidi="ar-SA"/>
    </w:rPr>
  </w:style>
  <w:style w:type="paragraph" w:customStyle="1" w:styleId="358">
    <w:name w:val="toc 41"/>
    <w:next w:val="1"/>
    <w:qFormat/>
    <w:uiPriority w:val="99"/>
    <w:pPr>
      <w:wordWrap w:val="0"/>
      <w:ind w:left="1275"/>
      <w:jc w:val="both"/>
    </w:pPr>
    <w:rPr>
      <w:rFonts w:ascii="Calibri" w:hAnsi="Calibri" w:eastAsia="宋体" w:cs="Times New Roman"/>
      <w:kern w:val="0"/>
      <w:sz w:val="21"/>
      <w:szCs w:val="20"/>
      <w:lang w:val="en-US" w:eastAsia="zh-CN" w:bidi="ar-SA"/>
    </w:rPr>
  </w:style>
  <w:style w:type="paragraph" w:customStyle="1" w:styleId="359">
    <w:name w:val="toc 81"/>
    <w:next w:val="1"/>
    <w:qFormat/>
    <w:uiPriority w:val="99"/>
    <w:pPr>
      <w:wordWrap w:val="0"/>
      <w:ind w:left="2975"/>
      <w:jc w:val="both"/>
    </w:pPr>
    <w:rPr>
      <w:rFonts w:ascii="Calibri" w:hAnsi="Calibri" w:eastAsia="宋体" w:cs="Times New Roman"/>
      <w:kern w:val="0"/>
      <w:sz w:val="21"/>
      <w:szCs w:val="20"/>
      <w:lang w:val="en-US" w:eastAsia="zh-CN" w:bidi="ar-SA"/>
    </w:rPr>
  </w:style>
  <w:style w:type="paragraph" w:customStyle="1" w:styleId="360">
    <w:name w:val="xl111"/>
    <w:basedOn w:val="1"/>
    <w:next w:val="361"/>
    <w:qFormat/>
    <w:uiPriority w:val="99"/>
    <w:pPr>
      <w:widowControl/>
      <w:shd w:val="clear" w:color="000000" w:fill="FFFFFF"/>
      <w:spacing w:before="280" w:after="280"/>
      <w:jc w:val="center"/>
    </w:pPr>
    <w:rPr>
      <w:rFonts w:ascii="宋体" w:hAnsi="Calibri"/>
      <w:b/>
      <w:kern w:val="0"/>
      <w:sz w:val="20"/>
      <w:szCs w:val="20"/>
    </w:rPr>
  </w:style>
  <w:style w:type="paragraph" w:customStyle="1" w:styleId="361">
    <w:name w:val="toc 88"/>
    <w:next w:val="1"/>
    <w:qFormat/>
    <w:uiPriority w:val="99"/>
    <w:pPr>
      <w:wordWrap w:val="0"/>
      <w:ind w:left="2975"/>
      <w:jc w:val="both"/>
    </w:pPr>
    <w:rPr>
      <w:rFonts w:ascii="Calibri" w:hAnsi="Calibri" w:eastAsia="宋体" w:cs="Times New Roman"/>
      <w:kern w:val="0"/>
      <w:sz w:val="21"/>
      <w:szCs w:val="20"/>
      <w:lang w:val="en-US" w:eastAsia="zh-CN" w:bidi="ar-SA"/>
    </w:rPr>
  </w:style>
  <w:style w:type="paragraph" w:customStyle="1" w:styleId="362">
    <w:name w:val="toc 84"/>
    <w:next w:val="1"/>
    <w:qFormat/>
    <w:uiPriority w:val="99"/>
    <w:pPr>
      <w:wordWrap w:val="0"/>
      <w:ind w:left="2975"/>
      <w:jc w:val="both"/>
    </w:pPr>
    <w:rPr>
      <w:rFonts w:ascii="Calibri" w:hAnsi="Calibri" w:eastAsia="宋体" w:cs="Times New Roman"/>
      <w:kern w:val="0"/>
      <w:sz w:val="21"/>
      <w:szCs w:val="20"/>
      <w:lang w:val="en-US" w:eastAsia="zh-CN" w:bidi="ar-SA"/>
    </w:rPr>
  </w:style>
  <w:style w:type="paragraph" w:customStyle="1" w:styleId="363">
    <w:name w:val="p0"/>
    <w:basedOn w:val="1"/>
    <w:next w:val="364"/>
    <w:qFormat/>
    <w:uiPriority w:val="99"/>
    <w:pPr>
      <w:widowControl/>
      <w:spacing w:before="280" w:after="280"/>
    </w:pPr>
    <w:rPr>
      <w:rFonts w:ascii="宋体" w:hAnsi="Calibri"/>
      <w:kern w:val="0"/>
      <w:sz w:val="24"/>
      <w:szCs w:val="20"/>
    </w:rPr>
  </w:style>
  <w:style w:type="paragraph" w:customStyle="1" w:styleId="364">
    <w:name w:val="toc 69"/>
    <w:next w:val="1"/>
    <w:qFormat/>
    <w:uiPriority w:val="99"/>
    <w:pPr>
      <w:wordWrap w:val="0"/>
      <w:ind w:left="2125"/>
      <w:jc w:val="both"/>
    </w:pPr>
    <w:rPr>
      <w:rFonts w:ascii="Calibri" w:hAnsi="Calibri" w:eastAsia="宋体" w:cs="Times New Roman"/>
      <w:kern w:val="0"/>
      <w:sz w:val="21"/>
      <w:szCs w:val="20"/>
      <w:lang w:val="en-US" w:eastAsia="zh-CN" w:bidi="ar-SA"/>
    </w:rPr>
  </w:style>
  <w:style w:type="paragraph" w:customStyle="1" w:styleId="365">
    <w:name w:val="列出段落11"/>
    <w:basedOn w:val="1"/>
    <w:next w:val="366"/>
    <w:qFormat/>
    <w:uiPriority w:val="99"/>
    <w:pPr>
      <w:widowControl/>
      <w:spacing w:line="360" w:lineRule="auto"/>
      <w:ind w:firstLine="420"/>
    </w:pPr>
    <w:rPr>
      <w:rFonts w:hAnsi="Calibri" w:eastAsia="微软雅黑"/>
      <w:kern w:val="0"/>
      <w:sz w:val="24"/>
      <w:szCs w:val="20"/>
    </w:rPr>
  </w:style>
  <w:style w:type="paragraph" w:customStyle="1" w:styleId="366">
    <w:name w:val="toc 214"/>
    <w:next w:val="1"/>
    <w:qFormat/>
    <w:uiPriority w:val="99"/>
    <w:pPr>
      <w:wordWrap w:val="0"/>
      <w:ind w:left="425"/>
      <w:jc w:val="both"/>
    </w:pPr>
    <w:rPr>
      <w:rFonts w:ascii="Calibri" w:hAnsi="Calibri" w:eastAsia="宋体" w:cs="Times New Roman"/>
      <w:kern w:val="0"/>
      <w:sz w:val="21"/>
      <w:szCs w:val="20"/>
      <w:lang w:val="en-US" w:eastAsia="zh-CN" w:bidi="ar-SA"/>
    </w:rPr>
  </w:style>
  <w:style w:type="paragraph" w:customStyle="1" w:styleId="367">
    <w:name w:val="toc 63"/>
    <w:next w:val="1"/>
    <w:qFormat/>
    <w:uiPriority w:val="99"/>
    <w:pPr>
      <w:wordWrap w:val="0"/>
      <w:ind w:left="2125"/>
      <w:jc w:val="both"/>
    </w:pPr>
    <w:rPr>
      <w:rFonts w:ascii="Calibri" w:hAnsi="Calibri" w:eastAsia="宋体" w:cs="Times New Roman"/>
      <w:kern w:val="0"/>
      <w:sz w:val="21"/>
      <w:szCs w:val="20"/>
      <w:lang w:val="en-US" w:eastAsia="zh-CN" w:bidi="ar-SA"/>
    </w:rPr>
  </w:style>
  <w:style w:type="paragraph" w:customStyle="1" w:styleId="368">
    <w:name w:val="xl91"/>
    <w:basedOn w:val="1"/>
    <w:next w:val="266"/>
    <w:qFormat/>
    <w:uiPriority w:val="99"/>
    <w:pPr>
      <w:widowControl/>
      <w:shd w:val="clear" w:color="000000" w:fill="FFFFFF"/>
      <w:spacing w:before="280" w:after="280"/>
    </w:pPr>
    <w:rPr>
      <w:rFonts w:ascii="宋体" w:hAnsi="Calibri"/>
      <w:kern w:val="0"/>
      <w:sz w:val="20"/>
      <w:szCs w:val="20"/>
    </w:rPr>
  </w:style>
  <w:style w:type="paragraph" w:customStyle="1" w:styleId="369">
    <w:name w:val="toc 316"/>
    <w:next w:val="1"/>
    <w:qFormat/>
    <w:uiPriority w:val="99"/>
    <w:pPr>
      <w:wordWrap w:val="0"/>
      <w:ind w:left="850"/>
      <w:jc w:val="both"/>
    </w:pPr>
    <w:rPr>
      <w:rFonts w:ascii="Calibri" w:hAnsi="Calibri" w:eastAsia="宋体" w:cs="Times New Roman"/>
      <w:kern w:val="0"/>
      <w:sz w:val="21"/>
      <w:szCs w:val="20"/>
      <w:lang w:val="en-US" w:eastAsia="zh-CN" w:bidi="ar-SA"/>
    </w:rPr>
  </w:style>
  <w:style w:type="paragraph" w:customStyle="1" w:styleId="370">
    <w:name w:val="TOC Heading13"/>
    <w:next w:val="1"/>
    <w:qFormat/>
    <w:uiPriority w:val="99"/>
    <w:pPr>
      <w:wordWrap w:val="0"/>
    </w:pPr>
    <w:rPr>
      <w:rFonts w:ascii="Calibri" w:hAnsi="Calibri" w:eastAsia="宋体" w:cs="Times New Roman"/>
      <w:kern w:val="0"/>
      <w:sz w:val="32"/>
      <w:szCs w:val="20"/>
      <w:lang w:val="en-US" w:eastAsia="zh-CN" w:bidi="ar-SA"/>
    </w:rPr>
  </w:style>
  <w:style w:type="paragraph" w:customStyle="1" w:styleId="371">
    <w:name w:val="toc 116"/>
    <w:next w:val="1"/>
    <w:qFormat/>
    <w:uiPriority w:val="99"/>
    <w:pPr>
      <w:wordWrap w:val="0"/>
      <w:jc w:val="both"/>
    </w:pPr>
    <w:rPr>
      <w:rFonts w:ascii="Calibri" w:hAnsi="Calibri" w:eastAsia="宋体" w:cs="Times New Roman"/>
      <w:kern w:val="0"/>
      <w:sz w:val="21"/>
      <w:szCs w:val="20"/>
      <w:lang w:val="en-US" w:eastAsia="zh-CN" w:bidi="ar-SA"/>
    </w:rPr>
  </w:style>
  <w:style w:type="paragraph" w:customStyle="1" w:styleId="372">
    <w:name w:val="toc 72"/>
    <w:next w:val="1"/>
    <w:qFormat/>
    <w:uiPriority w:val="99"/>
    <w:pPr>
      <w:wordWrap w:val="0"/>
      <w:ind w:left="2550"/>
      <w:jc w:val="both"/>
    </w:pPr>
    <w:rPr>
      <w:rFonts w:ascii="Calibri" w:hAnsi="Calibri" w:eastAsia="宋体" w:cs="Times New Roman"/>
      <w:kern w:val="0"/>
      <w:sz w:val="21"/>
      <w:szCs w:val="20"/>
      <w:lang w:val="en-US" w:eastAsia="zh-CN" w:bidi="ar-SA"/>
    </w:rPr>
  </w:style>
  <w:style w:type="paragraph" w:customStyle="1" w:styleId="373">
    <w:name w:val="x_msonormal"/>
    <w:basedOn w:val="1"/>
    <w:next w:val="324"/>
    <w:qFormat/>
    <w:uiPriority w:val="99"/>
    <w:pPr>
      <w:widowControl/>
      <w:spacing w:before="280" w:after="280"/>
    </w:pPr>
    <w:rPr>
      <w:rFonts w:ascii="PMingLiUfalt" w:hAnsi="Calibri" w:eastAsia="PMingLiUfalt"/>
      <w:kern w:val="0"/>
      <w:sz w:val="24"/>
      <w:szCs w:val="20"/>
    </w:rPr>
  </w:style>
  <w:style w:type="paragraph" w:customStyle="1" w:styleId="374">
    <w:name w:val="toc 310"/>
    <w:next w:val="1"/>
    <w:qFormat/>
    <w:uiPriority w:val="99"/>
    <w:pPr>
      <w:wordWrap w:val="0"/>
      <w:ind w:left="850"/>
      <w:jc w:val="both"/>
    </w:pPr>
    <w:rPr>
      <w:rFonts w:ascii="Calibri" w:hAnsi="Calibri" w:eastAsia="宋体" w:cs="Times New Roman"/>
      <w:kern w:val="0"/>
      <w:sz w:val="21"/>
      <w:szCs w:val="20"/>
      <w:lang w:val="en-US" w:eastAsia="zh-CN" w:bidi="ar-SA"/>
    </w:rPr>
  </w:style>
  <w:style w:type="paragraph" w:customStyle="1" w:styleId="375">
    <w:name w:val="toc 83"/>
    <w:next w:val="1"/>
    <w:qFormat/>
    <w:uiPriority w:val="99"/>
    <w:pPr>
      <w:wordWrap w:val="0"/>
      <w:ind w:left="2975"/>
      <w:jc w:val="both"/>
    </w:pPr>
    <w:rPr>
      <w:rFonts w:ascii="Calibri" w:hAnsi="Calibri" w:eastAsia="宋体" w:cs="Times New Roman"/>
      <w:kern w:val="0"/>
      <w:sz w:val="21"/>
      <w:szCs w:val="20"/>
      <w:lang w:val="en-US" w:eastAsia="zh-CN" w:bidi="ar-SA"/>
    </w:rPr>
  </w:style>
  <w:style w:type="paragraph" w:customStyle="1" w:styleId="376">
    <w:name w:val="TOC Heading17"/>
    <w:next w:val="1"/>
    <w:qFormat/>
    <w:uiPriority w:val="99"/>
    <w:pPr>
      <w:wordWrap w:val="0"/>
    </w:pPr>
    <w:rPr>
      <w:rFonts w:ascii="Calibri" w:hAnsi="Calibri" w:eastAsia="宋体" w:cs="Times New Roman"/>
      <w:kern w:val="0"/>
      <w:sz w:val="32"/>
      <w:szCs w:val="20"/>
      <w:lang w:val="en-US" w:eastAsia="zh-CN" w:bidi="ar-SA"/>
    </w:rPr>
  </w:style>
  <w:style w:type="paragraph" w:customStyle="1" w:styleId="377">
    <w:name w:val="toc 911"/>
    <w:next w:val="1"/>
    <w:qFormat/>
    <w:uiPriority w:val="99"/>
    <w:pPr>
      <w:wordWrap w:val="0"/>
      <w:ind w:left="3400"/>
      <w:jc w:val="both"/>
    </w:pPr>
    <w:rPr>
      <w:rFonts w:ascii="Calibri" w:hAnsi="Calibri" w:eastAsia="宋体" w:cs="Times New Roman"/>
      <w:kern w:val="0"/>
      <w:sz w:val="21"/>
      <w:szCs w:val="20"/>
      <w:lang w:val="en-US" w:eastAsia="zh-CN" w:bidi="ar-SA"/>
    </w:rPr>
  </w:style>
  <w:style w:type="paragraph" w:customStyle="1" w:styleId="378">
    <w:name w:val="toc 811"/>
    <w:next w:val="1"/>
    <w:qFormat/>
    <w:uiPriority w:val="99"/>
    <w:pPr>
      <w:wordWrap w:val="0"/>
      <w:ind w:left="2975"/>
      <w:jc w:val="both"/>
    </w:pPr>
    <w:rPr>
      <w:rFonts w:ascii="Calibri" w:hAnsi="Calibri" w:eastAsia="宋体" w:cs="Times New Roman"/>
      <w:kern w:val="0"/>
      <w:sz w:val="21"/>
      <w:szCs w:val="20"/>
      <w:lang w:val="en-US" w:eastAsia="zh-CN" w:bidi="ar-SA"/>
    </w:rPr>
  </w:style>
  <w:style w:type="paragraph" w:customStyle="1" w:styleId="379">
    <w:name w:val="目录 31"/>
    <w:next w:val="1"/>
    <w:qFormat/>
    <w:uiPriority w:val="99"/>
    <w:pPr>
      <w:wordWrap w:val="0"/>
      <w:ind w:left="850"/>
      <w:jc w:val="both"/>
    </w:pPr>
    <w:rPr>
      <w:rFonts w:ascii="Calibri" w:hAnsi="Calibri" w:eastAsia="宋体" w:cs="Times New Roman"/>
      <w:kern w:val="0"/>
      <w:sz w:val="21"/>
      <w:szCs w:val="20"/>
      <w:lang w:val="en-US" w:eastAsia="zh-CN" w:bidi="ar-SA"/>
    </w:rPr>
  </w:style>
  <w:style w:type="paragraph" w:customStyle="1" w:styleId="380">
    <w:name w:val="xl118"/>
    <w:basedOn w:val="1"/>
    <w:next w:val="256"/>
    <w:qFormat/>
    <w:uiPriority w:val="99"/>
    <w:pPr>
      <w:widowControl/>
      <w:shd w:val="clear" w:color="000000" w:fill="FFFFFF"/>
      <w:spacing w:before="280" w:after="280"/>
      <w:jc w:val="center"/>
    </w:pPr>
    <w:rPr>
      <w:rFonts w:ascii="宋体" w:hAnsi="Calibri"/>
      <w:b/>
      <w:kern w:val="0"/>
      <w:sz w:val="20"/>
      <w:szCs w:val="20"/>
    </w:rPr>
  </w:style>
  <w:style w:type="paragraph" w:customStyle="1" w:styleId="381">
    <w:name w:val="xl83"/>
    <w:basedOn w:val="1"/>
    <w:next w:val="311"/>
    <w:qFormat/>
    <w:uiPriority w:val="99"/>
    <w:pPr>
      <w:widowControl/>
      <w:shd w:val="clear" w:color="000000" w:fill="FFFFFF"/>
      <w:spacing w:before="280" w:after="280"/>
    </w:pPr>
    <w:rPr>
      <w:rFonts w:ascii="宋体" w:hAnsi="Calibri"/>
      <w:kern w:val="0"/>
      <w:sz w:val="20"/>
      <w:szCs w:val="20"/>
    </w:rPr>
  </w:style>
  <w:style w:type="paragraph" w:customStyle="1" w:styleId="382">
    <w:name w:val="xl103"/>
    <w:basedOn w:val="1"/>
    <w:next w:val="383"/>
    <w:qFormat/>
    <w:uiPriority w:val="99"/>
    <w:pPr>
      <w:widowControl/>
      <w:shd w:val="clear" w:color="000000" w:fill="FFFFFF"/>
      <w:spacing w:before="280" w:after="280"/>
    </w:pPr>
    <w:rPr>
      <w:rFonts w:ascii="宋体" w:hAnsi="Calibri"/>
      <w:kern w:val="0"/>
      <w:sz w:val="20"/>
      <w:szCs w:val="20"/>
    </w:rPr>
  </w:style>
  <w:style w:type="paragraph" w:customStyle="1" w:styleId="383">
    <w:name w:val="toc 111"/>
    <w:next w:val="1"/>
    <w:qFormat/>
    <w:uiPriority w:val="99"/>
    <w:pPr>
      <w:wordWrap w:val="0"/>
      <w:jc w:val="both"/>
    </w:pPr>
    <w:rPr>
      <w:rFonts w:ascii="Calibri" w:hAnsi="Calibri" w:eastAsia="宋体" w:cs="Times New Roman"/>
      <w:kern w:val="0"/>
      <w:sz w:val="21"/>
      <w:szCs w:val="20"/>
      <w:lang w:val="en-US" w:eastAsia="zh-CN" w:bidi="ar-SA"/>
    </w:rPr>
  </w:style>
  <w:style w:type="paragraph" w:customStyle="1" w:styleId="384">
    <w:name w:val="xl68"/>
    <w:basedOn w:val="1"/>
    <w:next w:val="385"/>
    <w:qFormat/>
    <w:uiPriority w:val="99"/>
    <w:pPr>
      <w:widowControl/>
      <w:shd w:val="clear" w:color="000000" w:fill="FFFFFF"/>
      <w:spacing w:before="280" w:after="280"/>
    </w:pPr>
    <w:rPr>
      <w:rFonts w:ascii="宋体" w:hAnsi="Calibri"/>
      <w:b/>
      <w:kern w:val="0"/>
      <w:sz w:val="20"/>
      <w:szCs w:val="20"/>
    </w:rPr>
  </w:style>
  <w:style w:type="paragraph" w:customStyle="1" w:styleId="385">
    <w:name w:val="TOC Heading16"/>
    <w:next w:val="1"/>
    <w:qFormat/>
    <w:uiPriority w:val="99"/>
    <w:pPr>
      <w:wordWrap w:val="0"/>
    </w:pPr>
    <w:rPr>
      <w:rFonts w:ascii="Calibri" w:hAnsi="Calibri" w:eastAsia="宋体" w:cs="Times New Roman"/>
      <w:kern w:val="0"/>
      <w:sz w:val="32"/>
      <w:szCs w:val="20"/>
      <w:lang w:val="en-US" w:eastAsia="zh-CN" w:bidi="ar-SA"/>
    </w:rPr>
  </w:style>
  <w:style w:type="paragraph" w:customStyle="1" w:styleId="386">
    <w:name w:val="toc 113"/>
    <w:next w:val="1"/>
    <w:qFormat/>
    <w:uiPriority w:val="99"/>
    <w:pPr>
      <w:wordWrap w:val="0"/>
      <w:jc w:val="both"/>
    </w:pPr>
    <w:rPr>
      <w:rFonts w:ascii="Calibri" w:hAnsi="Calibri" w:eastAsia="宋体" w:cs="Times New Roman"/>
      <w:kern w:val="0"/>
      <w:sz w:val="21"/>
      <w:szCs w:val="20"/>
      <w:lang w:val="en-US" w:eastAsia="zh-CN" w:bidi="ar-SA"/>
    </w:rPr>
  </w:style>
  <w:style w:type="paragraph" w:customStyle="1" w:styleId="387">
    <w:name w:val="xl94"/>
    <w:basedOn w:val="1"/>
    <w:next w:val="280"/>
    <w:qFormat/>
    <w:uiPriority w:val="99"/>
    <w:pPr>
      <w:widowControl/>
      <w:shd w:val="clear" w:color="000000" w:fill="FFFFFF"/>
      <w:spacing w:before="280" w:after="280"/>
      <w:jc w:val="center"/>
    </w:pPr>
    <w:rPr>
      <w:rFonts w:ascii="宋体" w:hAnsi="Calibri"/>
      <w:kern w:val="0"/>
      <w:sz w:val="20"/>
      <w:szCs w:val="20"/>
    </w:rPr>
  </w:style>
  <w:style w:type="paragraph" w:customStyle="1" w:styleId="388">
    <w:name w:val="toc 53"/>
    <w:next w:val="1"/>
    <w:qFormat/>
    <w:uiPriority w:val="99"/>
    <w:pPr>
      <w:wordWrap w:val="0"/>
      <w:ind w:left="1700"/>
      <w:jc w:val="both"/>
    </w:pPr>
    <w:rPr>
      <w:rFonts w:ascii="Calibri" w:hAnsi="Calibri" w:eastAsia="宋体" w:cs="Times New Roman"/>
      <w:kern w:val="0"/>
      <w:sz w:val="21"/>
      <w:szCs w:val="20"/>
      <w:lang w:val="en-US" w:eastAsia="zh-CN" w:bidi="ar-SA"/>
    </w:rPr>
  </w:style>
  <w:style w:type="paragraph" w:customStyle="1" w:styleId="389">
    <w:name w:val="xl92"/>
    <w:basedOn w:val="1"/>
    <w:next w:val="390"/>
    <w:qFormat/>
    <w:uiPriority w:val="99"/>
    <w:pPr>
      <w:widowControl/>
      <w:shd w:val="clear" w:color="000000" w:fill="FFFFFF"/>
      <w:spacing w:before="280" w:after="280"/>
    </w:pPr>
    <w:rPr>
      <w:rFonts w:ascii="宋体" w:hAnsi="Calibri"/>
      <w:kern w:val="0"/>
      <w:sz w:val="20"/>
      <w:szCs w:val="20"/>
    </w:rPr>
  </w:style>
  <w:style w:type="paragraph" w:customStyle="1" w:styleId="390">
    <w:name w:val="toc 913"/>
    <w:next w:val="1"/>
    <w:qFormat/>
    <w:uiPriority w:val="99"/>
    <w:pPr>
      <w:wordWrap w:val="0"/>
      <w:ind w:left="3400"/>
      <w:jc w:val="both"/>
    </w:pPr>
    <w:rPr>
      <w:rFonts w:ascii="Calibri" w:hAnsi="Calibri" w:eastAsia="宋体" w:cs="Times New Roman"/>
      <w:kern w:val="0"/>
      <w:sz w:val="21"/>
      <w:szCs w:val="20"/>
      <w:lang w:val="en-US" w:eastAsia="zh-CN" w:bidi="ar-SA"/>
    </w:rPr>
  </w:style>
  <w:style w:type="paragraph" w:customStyle="1" w:styleId="391">
    <w:name w:val="toc 512"/>
    <w:next w:val="1"/>
    <w:qFormat/>
    <w:uiPriority w:val="99"/>
    <w:pPr>
      <w:wordWrap w:val="0"/>
      <w:ind w:left="1700"/>
      <w:jc w:val="both"/>
    </w:pPr>
    <w:rPr>
      <w:rFonts w:ascii="Calibri" w:hAnsi="Calibri" w:eastAsia="宋体" w:cs="Times New Roman"/>
      <w:kern w:val="0"/>
      <w:sz w:val="21"/>
      <w:szCs w:val="20"/>
      <w:lang w:val="en-US" w:eastAsia="zh-CN" w:bidi="ar-SA"/>
    </w:rPr>
  </w:style>
  <w:style w:type="paragraph" w:customStyle="1" w:styleId="392">
    <w:name w:val="目录 81"/>
    <w:next w:val="1"/>
    <w:qFormat/>
    <w:uiPriority w:val="99"/>
    <w:pPr>
      <w:wordWrap w:val="0"/>
      <w:ind w:left="2975"/>
      <w:jc w:val="both"/>
    </w:pPr>
    <w:rPr>
      <w:rFonts w:ascii="Calibri" w:hAnsi="Calibri" w:eastAsia="宋体" w:cs="Times New Roman"/>
      <w:kern w:val="0"/>
      <w:sz w:val="21"/>
      <w:szCs w:val="20"/>
      <w:lang w:val="en-US" w:eastAsia="zh-CN" w:bidi="ar-SA"/>
    </w:rPr>
  </w:style>
  <w:style w:type="paragraph" w:customStyle="1" w:styleId="393">
    <w:name w:val="正文表标题"/>
    <w:next w:val="1"/>
    <w:qFormat/>
    <w:uiPriority w:val="99"/>
    <w:pPr>
      <w:ind w:left="630"/>
      <w:jc w:val="center"/>
    </w:pPr>
    <w:rPr>
      <w:rFonts w:ascii="黑体" w:hAnsi="Calibri" w:eastAsia="黑体" w:cs="Times New Roman"/>
      <w:kern w:val="0"/>
      <w:sz w:val="21"/>
      <w:szCs w:val="20"/>
      <w:lang w:val="en-US" w:eastAsia="zh-CN" w:bidi="ar-SA"/>
    </w:rPr>
  </w:style>
  <w:style w:type="paragraph" w:customStyle="1" w:styleId="394">
    <w:name w:val="toc 28"/>
    <w:next w:val="1"/>
    <w:qFormat/>
    <w:uiPriority w:val="99"/>
    <w:pPr>
      <w:wordWrap w:val="0"/>
      <w:ind w:left="425"/>
      <w:jc w:val="both"/>
    </w:pPr>
    <w:rPr>
      <w:rFonts w:ascii="Calibri" w:hAnsi="Calibri" w:eastAsia="宋体" w:cs="Times New Roman"/>
      <w:kern w:val="0"/>
      <w:sz w:val="21"/>
      <w:szCs w:val="20"/>
      <w:lang w:val="en-US" w:eastAsia="zh-CN" w:bidi="ar-SA"/>
    </w:rPr>
  </w:style>
  <w:style w:type="paragraph" w:customStyle="1" w:styleId="395">
    <w:name w:val="toc 79"/>
    <w:next w:val="1"/>
    <w:qFormat/>
    <w:uiPriority w:val="99"/>
    <w:pPr>
      <w:wordWrap w:val="0"/>
      <w:ind w:left="2550"/>
      <w:jc w:val="both"/>
    </w:pPr>
    <w:rPr>
      <w:rFonts w:ascii="Calibri" w:hAnsi="Calibri" w:eastAsia="宋体" w:cs="Times New Roman"/>
      <w:kern w:val="0"/>
      <w:sz w:val="21"/>
      <w:szCs w:val="20"/>
      <w:lang w:val="en-US" w:eastAsia="zh-CN" w:bidi="ar-SA"/>
    </w:rPr>
  </w:style>
  <w:style w:type="paragraph" w:customStyle="1" w:styleId="396">
    <w:name w:val="xl110"/>
    <w:basedOn w:val="1"/>
    <w:next w:val="353"/>
    <w:qFormat/>
    <w:uiPriority w:val="99"/>
    <w:pPr>
      <w:widowControl/>
      <w:shd w:val="clear" w:color="000000" w:fill="FFFFFF"/>
      <w:spacing w:before="280" w:after="280"/>
      <w:jc w:val="center"/>
    </w:pPr>
    <w:rPr>
      <w:rFonts w:ascii="宋体" w:hAnsi="Calibri"/>
      <w:kern w:val="0"/>
      <w:sz w:val="20"/>
      <w:szCs w:val="20"/>
    </w:rPr>
  </w:style>
  <w:style w:type="paragraph" w:customStyle="1" w:styleId="397">
    <w:name w:val="toc 511"/>
    <w:next w:val="1"/>
    <w:qFormat/>
    <w:uiPriority w:val="99"/>
    <w:pPr>
      <w:wordWrap w:val="0"/>
      <w:ind w:left="1700"/>
      <w:jc w:val="both"/>
    </w:pPr>
    <w:rPr>
      <w:rFonts w:ascii="Calibri" w:hAnsi="Calibri" w:eastAsia="宋体" w:cs="Times New Roman"/>
      <w:kern w:val="0"/>
      <w:sz w:val="21"/>
      <w:szCs w:val="20"/>
      <w:lang w:val="en-US" w:eastAsia="zh-CN" w:bidi="ar-SA"/>
    </w:rPr>
  </w:style>
  <w:style w:type="paragraph" w:customStyle="1" w:styleId="398">
    <w:name w:val="toc 416"/>
    <w:next w:val="1"/>
    <w:qFormat/>
    <w:uiPriority w:val="99"/>
    <w:pPr>
      <w:wordWrap w:val="0"/>
      <w:ind w:left="1275"/>
      <w:jc w:val="both"/>
    </w:pPr>
    <w:rPr>
      <w:rFonts w:ascii="Calibri" w:hAnsi="Calibri" w:eastAsia="宋体" w:cs="Times New Roman"/>
      <w:kern w:val="0"/>
      <w:sz w:val="21"/>
      <w:szCs w:val="20"/>
      <w:lang w:val="en-US" w:eastAsia="zh-CN" w:bidi="ar-SA"/>
    </w:rPr>
  </w:style>
  <w:style w:type="paragraph" w:customStyle="1" w:styleId="399">
    <w:name w:val="xl85"/>
    <w:basedOn w:val="1"/>
    <w:next w:val="400"/>
    <w:qFormat/>
    <w:uiPriority w:val="99"/>
    <w:pPr>
      <w:widowControl/>
      <w:shd w:val="clear" w:color="000000" w:fill="FFFFFF"/>
      <w:spacing w:before="280" w:after="280"/>
      <w:jc w:val="center"/>
    </w:pPr>
    <w:rPr>
      <w:rFonts w:ascii="宋体" w:hAnsi="Calibri"/>
      <w:kern w:val="0"/>
      <w:sz w:val="20"/>
      <w:szCs w:val="20"/>
    </w:rPr>
  </w:style>
  <w:style w:type="paragraph" w:customStyle="1" w:styleId="400">
    <w:name w:val="toc 76"/>
    <w:next w:val="1"/>
    <w:qFormat/>
    <w:uiPriority w:val="99"/>
    <w:pPr>
      <w:wordWrap w:val="0"/>
      <w:ind w:left="2550"/>
      <w:jc w:val="both"/>
    </w:pPr>
    <w:rPr>
      <w:rFonts w:ascii="Calibri" w:hAnsi="Calibri" w:eastAsia="宋体" w:cs="Times New Roman"/>
      <w:kern w:val="0"/>
      <w:sz w:val="21"/>
      <w:szCs w:val="20"/>
      <w:lang w:val="en-US" w:eastAsia="zh-CN" w:bidi="ar-SA"/>
    </w:rPr>
  </w:style>
  <w:style w:type="paragraph" w:customStyle="1" w:styleId="401">
    <w:name w:val="toc 27"/>
    <w:next w:val="1"/>
    <w:qFormat/>
    <w:uiPriority w:val="99"/>
    <w:pPr>
      <w:wordWrap w:val="0"/>
      <w:ind w:left="425"/>
      <w:jc w:val="both"/>
    </w:pPr>
    <w:rPr>
      <w:rFonts w:ascii="Calibri" w:hAnsi="Calibri" w:eastAsia="宋体" w:cs="Times New Roman"/>
      <w:kern w:val="0"/>
      <w:sz w:val="21"/>
      <w:szCs w:val="20"/>
      <w:lang w:val="en-US" w:eastAsia="zh-CN" w:bidi="ar-SA"/>
    </w:rPr>
  </w:style>
  <w:style w:type="paragraph" w:customStyle="1" w:styleId="402">
    <w:name w:val="toc 916"/>
    <w:next w:val="1"/>
    <w:qFormat/>
    <w:uiPriority w:val="99"/>
    <w:pPr>
      <w:wordWrap w:val="0"/>
      <w:ind w:left="3400"/>
      <w:jc w:val="both"/>
    </w:pPr>
    <w:rPr>
      <w:rFonts w:ascii="Calibri" w:hAnsi="Calibri" w:eastAsia="宋体" w:cs="Times New Roman"/>
      <w:kern w:val="0"/>
      <w:sz w:val="21"/>
      <w:szCs w:val="20"/>
      <w:lang w:val="en-US" w:eastAsia="zh-CN" w:bidi="ar-SA"/>
    </w:rPr>
  </w:style>
  <w:style w:type="paragraph" w:customStyle="1" w:styleId="403">
    <w:name w:val="toc 77"/>
    <w:next w:val="1"/>
    <w:qFormat/>
    <w:uiPriority w:val="99"/>
    <w:pPr>
      <w:wordWrap w:val="0"/>
      <w:ind w:left="2550"/>
      <w:jc w:val="both"/>
    </w:pPr>
    <w:rPr>
      <w:rFonts w:ascii="Calibri" w:hAnsi="Calibri" w:eastAsia="宋体" w:cs="Times New Roman"/>
      <w:kern w:val="0"/>
      <w:sz w:val="21"/>
      <w:szCs w:val="20"/>
      <w:lang w:val="en-US" w:eastAsia="zh-CN" w:bidi="ar-SA"/>
    </w:rPr>
  </w:style>
  <w:style w:type="paragraph" w:customStyle="1" w:styleId="404">
    <w:name w:val="toc 211"/>
    <w:next w:val="1"/>
    <w:qFormat/>
    <w:uiPriority w:val="99"/>
    <w:pPr>
      <w:wordWrap w:val="0"/>
      <w:ind w:left="425"/>
      <w:jc w:val="both"/>
    </w:pPr>
    <w:rPr>
      <w:rFonts w:ascii="Calibri" w:hAnsi="Calibri" w:eastAsia="宋体" w:cs="Times New Roman"/>
      <w:kern w:val="0"/>
      <w:sz w:val="21"/>
      <w:szCs w:val="20"/>
      <w:lang w:val="en-US" w:eastAsia="zh-CN" w:bidi="ar-SA"/>
    </w:rPr>
  </w:style>
  <w:style w:type="paragraph" w:customStyle="1" w:styleId="405">
    <w:name w:val="toc 815"/>
    <w:next w:val="1"/>
    <w:qFormat/>
    <w:uiPriority w:val="99"/>
    <w:pPr>
      <w:wordWrap w:val="0"/>
      <w:ind w:left="2975"/>
      <w:jc w:val="both"/>
    </w:pPr>
    <w:rPr>
      <w:rFonts w:ascii="Calibri" w:hAnsi="Calibri" w:eastAsia="宋体" w:cs="Times New Roman"/>
      <w:kern w:val="0"/>
      <w:sz w:val="21"/>
      <w:szCs w:val="20"/>
      <w:lang w:val="en-US" w:eastAsia="zh-CN" w:bidi="ar-SA"/>
    </w:rPr>
  </w:style>
  <w:style w:type="paragraph" w:customStyle="1" w:styleId="406">
    <w:name w:val="xl99"/>
    <w:basedOn w:val="1"/>
    <w:next w:val="391"/>
    <w:qFormat/>
    <w:uiPriority w:val="99"/>
    <w:pPr>
      <w:widowControl/>
      <w:shd w:val="clear" w:color="000000" w:fill="FFFFFF"/>
      <w:spacing w:before="280" w:after="280"/>
    </w:pPr>
    <w:rPr>
      <w:rFonts w:ascii="宋体" w:hAnsi="Calibri"/>
      <w:kern w:val="0"/>
      <w:sz w:val="18"/>
      <w:szCs w:val="20"/>
    </w:rPr>
  </w:style>
  <w:style w:type="paragraph" w:customStyle="1" w:styleId="407">
    <w:name w:val="xl97"/>
    <w:basedOn w:val="1"/>
    <w:next w:val="281"/>
    <w:qFormat/>
    <w:uiPriority w:val="99"/>
    <w:pPr>
      <w:widowControl/>
      <w:shd w:val="clear" w:color="000000" w:fill="FFFFFF"/>
      <w:spacing w:before="280" w:after="280"/>
      <w:jc w:val="center"/>
    </w:pPr>
    <w:rPr>
      <w:rFonts w:ascii="宋体" w:hAnsi="Calibri"/>
      <w:kern w:val="0"/>
      <w:sz w:val="20"/>
      <w:szCs w:val="20"/>
    </w:rPr>
  </w:style>
  <w:style w:type="paragraph" w:customStyle="1" w:styleId="408">
    <w:name w:val="toc 612"/>
    <w:next w:val="1"/>
    <w:qFormat/>
    <w:uiPriority w:val="99"/>
    <w:pPr>
      <w:wordWrap w:val="0"/>
      <w:ind w:left="2125"/>
      <w:jc w:val="both"/>
    </w:pPr>
    <w:rPr>
      <w:rFonts w:ascii="Calibri" w:hAnsi="Calibri" w:eastAsia="宋体" w:cs="Times New Roman"/>
      <w:kern w:val="0"/>
      <w:sz w:val="21"/>
      <w:szCs w:val="20"/>
      <w:lang w:val="en-US" w:eastAsia="zh-CN" w:bidi="ar-SA"/>
    </w:rPr>
  </w:style>
  <w:style w:type="paragraph" w:customStyle="1" w:styleId="409">
    <w:name w:val="toc 315"/>
    <w:next w:val="1"/>
    <w:qFormat/>
    <w:uiPriority w:val="99"/>
    <w:pPr>
      <w:wordWrap w:val="0"/>
      <w:ind w:left="850"/>
      <w:jc w:val="both"/>
    </w:pPr>
    <w:rPr>
      <w:rFonts w:ascii="Calibri" w:hAnsi="Calibri" w:eastAsia="宋体" w:cs="Times New Roman"/>
      <w:kern w:val="0"/>
      <w:sz w:val="21"/>
      <w:szCs w:val="20"/>
      <w:lang w:val="en-US" w:eastAsia="zh-CN" w:bidi="ar-SA"/>
    </w:rPr>
  </w:style>
  <w:style w:type="paragraph" w:customStyle="1" w:styleId="410">
    <w:name w:val="TOC Heading15"/>
    <w:next w:val="1"/>
    <w:qFormat/>
    <w:uiPriority w:val="99"/>
    <w:pPr>
      <w:wordWrap w:val="0"/>
    </w:pPr>
    <w:rPr>
      <w:rFonts w:ascii="Calibri" w:hAnsi="Calibri" w:eastAsia="宋体" w:cs="Times New Roman"/>
      <w:kern w:val="0"/>
      <w:sz w:val="32"/>
      <w:szCs w:val="20"/>
      <w:lang w:val="en-US" w:eastAsia="zh-CN" w:bidi="ar-SA"/>
    </w:rPr>
  </w:style>
  <w:style w:type="paragraph" w:customStyle="1" w:styleId="411">
    <w:name w:val="toc 915"/>
    <w:next w:val="1"/>
    <w:qFormat/>
    <w:uiPriority w:val="99"/>
    <w:pPr>
      <w:wordWrap w:val="0"/>
      <w:ind w:left="3400"/>
      <w:jc w:val="both"/>
    </w:pPr>
    <w:rPr>
      <w:rFonts w:ascii="Calibri" w:hAnsi="Calibri" w:eastAsia="宋体" w:cs="Times New Roman"/>
      <w:kern w:val="0"/>
      <w:sz w:val="21"/>
      <w:szCs w:val="20"/>
      <w:lang w:val="en-US" w:eastAsia="zh-CN" w:bidi="ar-SA"/>
    </w:rPr>
  </w:style>
  <w:style w:type="paragraph" w:customStyle="1" w:styleId="412">
    <w:name w:val="toc 39"/>
    <w:next w:val="1"/>
    <w:qFormat/>
    <w:uiPriority w:val="99"/>
    <w:pPr>
      <w:wordWrap w:val="0"/>
      <w:ind w:left="850"/>
      <w:jc w:val="both"/>
    </w:pPr>
    <w:rPr>
      <w:rFonts w:ascii="Calibri" w:hAnsi="Calibri" w:eastAsia="宋体" w:cs="Times New Roman"/>
      <w:kern w:val="0"/>
      <w:sz w:val="21"/>
      <w:szCs w:val="20"/>
      <w:lang w:val="en-US" w:eastAsia="zh-CN" w:bidi="ar-SA"/>
    </w:rPr>
  </w:style>
  <w:style w:type="paragraph" w:customStyle="1" w:styleId="413">
    <w:name w:val="toc 710"/>
    <w:next w:val="1"/>
    <w:qFormat/>
    <w:uiPriority w:val="99"/>
    <w:pPr>
      <w:wordWrap w:val="0"/>
      <w:ind w:left="2550"/>
      <w:jc w:val="both"/>
    </w:pPr>
    <w:rPr>
      <w:rFonts w:ascii="Calibri" w:hAnsi="Calibri" w:eastAsia="宋体" w:cs="Times New Roman"/>
      <w:kern w:val="0"/>
      <w:sz w:val="21"/>
      <w:szCs w:val="20"/>
      <w:lang w:val="en-US" w:eastAsia="zh-CN" w:bidi="ar-SA"/>
    </w:rPr>
  </w:style>
  <w:style w:type="paragraph" w:customStyle="1" w:styleId="414">
    <w:name w:val="toc 12"/>
    <w:next w:val="1"/>
    <w:qFormat/>
    <w:uiPriority w:val="99"/>
    <w:pPr>
      <w:wordWrap w:val="0"/>
      <w:jc w:val="both"/>
    </w:pPr>
    <w:rPr>
      <w:rFonts w:ascii="Calibri" w:hAnsi="Calibri" w:eastAsia="宋体" w:cs="Times New Roman"/>
      <w:kern w:val="0"/>
      <w:sz w:val="21"/>
      <w:szCs w:val="20"/>
      <w:lang w:val="en-US" w:eastAsia="zh-CN" w:bidi="ar-SA"/>
    </w:rPr>
  </w:style>
  <w:style w:type="paragraph" w:customStyle="1" w:styleId="415">
    <w:name w:val="xl95"/>
    <w:basedOn w:val="1"/>
    <w:next w:val="416"/>
    <w:qFormat/>
    <w:uiPriority w:val="99"/>
    <w:pPr>
      <w:widowControl/>
      <w:shd w:val="clear" w:color="000000" w:fill="FFFFFF"/>
      <w:spacing w:before="280" w:after="280"/>
    </w:pPr>
    <w:rPr>
      <w:rFonts w:ascii="宋体" w:hAnsi="Calibri"/>
      <w:kern w:val="0"/>
      <w:sz w:val="20"/>
      <w:szCs w:val="20"/>
    </w:rPr>
  </w:style>
  <w:style w:type="paragraph" w:customStyle="1" w:styleId="416">
    <w:name w:val="toc 415"/>
    <w:next w:val="1"/>
    <w:qFormat/>
    <w:uiPriority w:val="99"/>
    <w:pPr>
      <w:wordWrap w:val="0"/>
      <w:ind w:left="1275"/>
      <w:jc w:val="both"/>
    </w:pPr>
    <w:rPr>
      <w:rFonts w:ascii="Calibri" w:hAnsi="Calibri" w:eastAsia="宋体" w:cs="Times New Roman"/>
      <w:kern w:val="0"/>
      <w:sz w:val="21"/>
      <w:szCs w:val="20"/>
      <w:lang w:val="en-US" w:eastAsia="zh-CN" w:bidi="ar-SA"/>
    </w:rPr>
  </w:style>
  <w:style w:type="paragraph" w:customStyle="1" w:styleId="417">
    <w:name w:val="toc 29"/>
    <w:next w:val="1"/>
    <w:qFormat/>
    <w:uiPriority w:val="99"/>
    <w:pPr>
      <w:wordWrap w:val="0"/>
      <w:ind w:left="425"/>
      <w:jc w:val="both"/>
    </w:pPr>
    <w:rPr>
      <w:rFonts w:ascii="Calibri" w:hAnsi="Calibri" w:eastAsia="宋体" w:cs="Times New Roman"/>
      <w:kern w:val="0"/>
      <w:sz w:val="21"/>
      <w:szCs w:val="20"/>
      <w:lang w:val="en-US" w:eastAsia="zh-CN" w:bidi="ar-SA"/>
    </w:rPr>
  </w:style>
  <w:style w:type="paragraph" w:customStyle="1" w:styleId="418">
    <w:name w:val="xl67"/>
    <w:basedOn w:val="1"/>
    <w:next w:val="419"/>
    <w:qFormat/>
    <w:uiPriority w:val="99"/>
    <w:pPr>
      <w:widowControl/>
      <w:shd w:val="clear" w:color="000000" w:fill="FFFFFF"/>
      <w:spacing w:before="280" w:after="280"/>
      <w:jc w:val="center"/>
    </w:pPr>
    <w:rPr>
      <w:rFonts w:ascii="宋体" w:hAnsi="Calibri"/>
      <w:b/>
      <w:kern w:val="0"/>
      <w:sz w:val="20"/>
      <w:szCs w:val="20"/>
    </w:rPr>
  </w:style>
  <w:style w:type="paragraph" w:customStyle="1" w:styleId="419">
    <w:name w:val="toc 714"/>
    <w:next w:val="1"/>
    <w:qFormat/>
    <w:uiPriority w:val="99"/>
    <w:pPr>
      <w:wordWrap w:val="0"/>
      <w:ind w:left="2550"/>
      <w:jc w:val="both"/>
    </w:pPr>
    <w:rPr>
      <w:rFonts w:ascii="Calibri" w:hAnsi="Calibri" w:eastAsia="宋体" w:cs="Times New Roman"/>
      <w:kern w:val="0"/>
      <w:sz w:val="21"/>
      <w:szCs w:val="20"/>
      <w:lang w:val="en-US" w:eastAsia="zh-CN" w:bidi="ar-SA"/>
    </w:rPr>
  </w:style>
  <w:style w:type="paragraph" w:customStyle="1" w:styleId="420">
    <w:name w:val="toc 21"/>
    <w:next w:val="1"/>
    <w:qFormat/>
    <w:uiPriority w:val="99"/>
    <w:pPr>
      <w:wordWrap w:val="0"/>
      <w:ind w:left="425"/>
      <w:jc w:val="both"/>
    </w:pPr>
    <w:rPr>
      <w:rFonts w:ascii="Calibri" w:hAnsi="Calibri" w:eastAsia="宋体" w:cs="Times New Roman"/>
      <w:kern w:val="0"/>
      <w:sz w:val="21"/>
      <w:szCs w:val="20"/>
      <w:lang w:val="en-US" w:eastAsia="zh-CN" w:bidi="ar-SA"/>
    </w:rPr>
  </w:style>
  <w:style w:type="paragraph" w:customStyle="1" w:styleId="421">
    <w:name w:val="正文 A"/>
    <w:next w:val="339"/>
    <w:qFormat/>
    <w:uiPriority w:val="99"/>
    <w:rPr>
      <w:rFonts w:ascii="Arial" w:hAnsi="Calibri" w:eastAsia="Times New Roman" w:cs="Times New Roman"/>
      <w:color w:val="000000"/>
      <w:kern w:val="0"/>
      <w:sz w:val="21"/>
      <w:szCs w:val="20"/>
      <w:lang w:val="en-US" w:eastAsia="zh-CN" w:bidi="ar-SA"/>
    </w:rPr>
  </w:style>
  <w:style w:type="paragraph" w:customStyle="1" w:styleId="422">
    <w:name w:val="toc 68"/>
    <w:next w:val="1"/>
    <w:qFormat/>
    <w:uiPriority w:val="99"/>
    <w:pPr>
      <w:wordWrap w:val="0"/>
      <w:ind w:left="2125"/>
      <w:jc w:val="both"/>
    </w:pPr>
    <w:rPr>
      <w:rFonts w:ascii="Calibri" w:hAnsi="Calibri" w:eastAsia="宋体" w:cs="Times New Roman"/>
      <w:kern w:val="0"/>
      <w:sz w:val="21"/>
      <w:szCs w:val="20"/>
      <w:lang w:val="en-US" w:eastAsia="zh-CN" w:bidi="ar-SA"/>
    </w:rPr>
  </w:style>
  <w:style w:type="paragraph" w:customStyle="1" w:styleId="423">
    <w:name w:val="toc 58"/>
    <w:next w:val="1"/>
    <w:qFormat/>
    <w:uiPriority w:val="99"/>
    <w:pPr>
      <w:wordWrap w:val="0"/>
      <w:ind w:left="1700"/>
      <w:jc w:val="both"/>
    </w:pPr>
    <w:rPr>
      <w:rFonts w:ascii="Calibri" w:hAnsi="Calibri" w:eastAsia="宋体" w:cs="Times New Roman"/>
      <w:kern w:val="0"/>
      <w:sz w:val="21"/>
      <w:szCs w:val="20"/>
      <w:lang w:val="en-US" w:eastAsia="zh-CN" w:bidi="ar-SA"/>
    </w:rPr>
  </w:style>
  <w:style w:type="paragraph" w:customStyle="1" w:styleId="424">
    <w:name w:val="xl88"/>
    <w:basedOn w:val="1"/>
    <w:next w:val="410"/>
    <w:qFormat/>
    <w:uiPriority w:val="99"/>
    <w:pPr>
      <w:widowControl/>
      <w:shd w:val="clear" w:color="000000" w:fill="FFFFFF"/>
      <w:spacing w:before="280" w:after="280"/>
      <w:jc w:val="center"/>
    </w:pPr>
    <w:rPr>
      <w:rFonts w:ascii="宋体" w:hAnsi="Calibri"/>
      <w:kern w:val="0"/>
      <w:sz w:val="20"/>
      <w:szCs w:val="20"/>
    </w:rPr>
  </w:style>
  <w:style w:type="paragraph" w:customStyle="1" w:styleId="425">
    <w:name w:val="toc 71"/>
    <w:next w:val="1"/>
    <w:qFormat/>
    <w:uiPriority w:val="99"/>
    <w:pPr>
      <w:wordWrap w:val="0"/>
      <w:ind w:left="2550"/>
      <w:jc w:val="both"/>
    </w:pPr>
    <w:rPr>
      <w:rFonts w:ascii="Calibri" w:hAnsi="Calibri" w:eastAsia="宋体" w:cs="Times New Roman"/>
      <w:kern w:val="0"/>
      <w:sz w:val="21"/>
      <w:szCs w:val="20"/>
      <w:lang w:val="en-US" w:eastAsia="zh-CN" w:bidi="ar-SA"/>
    </w:rPr>
  </w:style>
  <w:style w:type="paragraph" w:customStyle="1" w:styleId="426">
    <w:name w:val="xl100"/>
    <w:basedOn w:val="1"/>
    <w:next w:val="427"/>
    <w:qFormat/>
    <w:uiPriority w:val="99"/>
    <w:pPr>
      <w:widowControl/>
      <w:shd w:val="clear" w:color="000000" w:fill="FFFFFF"/>
      <w:spacing w:before="280" w:after="280"/>
    </w:pPr>
    <w:rPr>
      <w:rFonts w:ascii="宋体" w:hAnsi="Calibri"/>
      <w:kern w:val="0"/>
      <w:sz w:val="20"/>
      <w:szCs w:val="20"/>
    </w:rPr>
  </w:style>
  <w:style w:type="paragraph" w:customStyle="1" w:styleId="427">
    <w:name w:val="toc 510"/>
    <w:next w:val="1"/>
    <w:qFormat/>
    <w:uiPriority w:val="99"/>
    <w:pPr>
      <w:wordWrap w:val="0"/>
      <w:ind w:left="1700"/>
      <w:jc w:val="both"/>
    </w:pPr>
    <w:rPr>
      <w:rFonts w:ascii="Calibri" w:hAnsi="Calibri" w:eastAsia="宋体" w:cs="Times New Roman"/>
      <w:kern w:val="0"/>
      <w:sz w:val="21"/>
      <w:szCs w:val="20"/>
      <w:lang w:val="en-US" w:eastAsia="zh-CN" w:bidi="ar-SA"/>
    </w:rPr>
  </w:style>
  <w:style w:type="paragraph" w:customStyle="1" w:styleId="428">
    <w:name w:val="toc 314"/>
    <w:next w:val="1"/>
    <w:qFormat/>
    <w:uiPriority w:val="99"/>
    <w:pPr>
      <w:wordWrap w:val="0"/>
      <w:ind w:left="850"/>
      <w:jc w:val="both"/>
    </w:pPr>
    <w:rPr>
      <w:rFonts w:ascii="Calibri" w:hAnsi="Calibri" w:eastAsia="宋体" w:cs="Times New Roman"/>
      <w:kern w:val="0"/>
      <w:sz w:val="21"/>
      <w:szCs w:val="20"/>
      <w:lang w:val="en-US" w:eastAsia="zh-CN" w:bidi="ar-SA"/>
    </w:rPr>
  </w:style>
  <w:style w:type="paragraph" w:customStyle="1" w:styleId="429">
    <w:name w:val="xl114"/>
    <w:basedOn w:val="1"/>
    <w:next w:val="283"/>
    <w:qFormat/>
    <w:uiPriority w:val="99"/>
    <w:pPr>
      <w:widowControl/>
      <w:shd w:val="clear" w:color="000000" w:fill="FFFFFF"/>
      <w:spacing w:before="280" w:after="280"/>
      <w:jc w:val="center"/>
    </w:pPr>
    <w:rPr>
      <w:rFonts w:ascii="宋体" w:hAnsi="Calibri"/>
      <w:b/>
      <w:kern w:val="0"/>
      <w:sz w:val="20"/>
      <w:szCs w:val="20"/>
    </w:rPr>
  </w:style>
  <w:style w:type="paragraph" w:customStyle="1" w:styleId="430">
    <w:name w:val="xl107"/>
    <w:basedOn w:val="1"/>
    <w:next w:val="431"/>
    <w:qFormat/>
    <w:uiPriority w:val="99"/>
    <w:pPr>
      <w:widowControl/>
      <w:shd w:val="clear" w:color="000000" w:fill="FFFFFF"/>
      <w:spacing w:before="280" w:after="280"/>
    </w:pPr>
    <w:rPr>
      <w:rFonts w:ascii="宋体" w:hAnsi="Calibri"/>
      <w:kern w:val="0"/>
      <w:sz w:val="20"/>
      <w:szCs w:val="20"/>
    </w:rPr>
  </w:style>
  <w:style w:type="paragraph" w:customStyle="1" w:styleId="431">
    <w:name w:val="toc 610"/>
    <w:next w:val="1"/>
    <w:qFormat/>
    <w:uiPriority w:val="99"/>
    <w:pPr>
      <w:wordWrap w:val="0"/>
      <w:ind w:left="2125"/>
      <w:jc w:val="both"/>
    </w:pPr>
    <w:rPr>
      <w:rFonts w:ascii="Calibri" w:hAnsi="Calibri" w:eastAsia="宋体" w:cs="Times New Roman"/>
      <w:kern w:val="0"/>
      <w:sz w:val="21"/>
      <w:szCs w:val="20"/>
      <w:lang w:val="en-US" w:eastAsia="zh-CN" w:bidi="ar-SA"/>
    </w:rPr>
  </w:style>
  <w:style w:type="paragraph" w:customStyle="1" w:styleId="432">
    <w:name w:val="toc 22"/>
    <w:next w:val="1"/>
    <w:qFormat/>
    <w:uiPriority w:val="99"/>
    <w:pPr>
      <w:wordWrap w:val="0"/>
      <w:ind w:left="425"/>
      <w:jc w:val="both"/>
    </w:pPr>
    <w:rPr>
      <w:rFonts w:ascii="Calibri" w:hAnsi="Calibri" w:eastAsia="宋体" w:cs="Times New Roman"/>
      <w:kern w:val="0"/>
      <w:sz w:val="21"/>
      <w:szCs w:val="20"/>
      <w:lang w:val="en-US" w:eastAsia="zh-CN" w:bidi="ar-SA"/>
    </w:rPr>
  </w:style>
  <w:style w:type="paragraph" w:customStyle="1" w:styleId="433">
    <w:name w:val="xl90"/>
    <w:basedOn w:val="1"/>
    <w:next w:val="237"/>
    <w:qFormat/>
    <w:uiPriority w:val="99"/>
    <w:pPr>
      <w:widowControl/>
      <w:shd w:val="clear" w:color="000000" w:fill="FFFFFF"/>
      <w:spacing w:before="280" w:after="280"/>
    </w:pPr>
    <w:rPr>
      <w:rFonts w:ascii="宋体" w:hAnsi="Calibri"/>
      <w:kern w:val="0"/>
      <w:sz w:val="18"/>
      <w:szCs w:val="20"/>
    </w:rPr>
  </w:style>
  <w:style w:type="paragraph" w:customStyle="1" w:styleId="434">
    <w:name w:val="toc 616"/>
    <w:next w:val="1"/>
    <w:qFormat/>
    <w:uiPriority w:val="99"/>
    <w:pPr>
      <w:wordWrap w:val="0"/>
      <w:ind w:left="2125"/>
      <w:jc w:val="both"/>
    </w:pPr>
    <w:rPr>
      <w:rFonts w:ascii="Calibri" w:hAnsi="Calibri" w:eastAsia="宋体" w:cs="Times New Roman"/>
      <w:kern w:val="0"/>
      <w:sz w:val="21"/>
      <w:szCs w:val="20"/>
      <w:lang w:val="en-US" w:eastAsia="zh-CN" w:bidi="ar-SA"/>
    </w:rPr>
  </w:style>
  <w:style w:type="paragraph" w:customStyle="1" w:styleId="435">
    <w:name w:val="toc 96"/>
    <w:next w:val="1"/>
    <w:qFormat/>
    <w:uiPriority w:val="99"/>
    <w:pPr>
      <w:wordWrap w:val="0"/>
      <w:ind w:left="3400"/>
      <w:jc w:val="both"/>
    </w:pPr>
    <w:rPr>
      <w:rFonts w:ascii="Calibri" w:hAnsi="Calibri" w:eastAsia="宋体" w:cs="Times New Roman"/>
      <w:kern w:val="0"/>
      <w:sz w:val="21"/>
      <w:szCs w:val="20"/>
      <w:lang w:val="en-US" w:eastAsia="zh-CN" w:bidi="ar-SA"/>
    </w:rPr>
  </w:style>
  <w:style w:type="paragraph" w:customStyle="1" w:styleId="436">
    <w:name w:val="toc 42"/>
    <w:next w:val="1"/>
    <w:qFormat/>
    <w:uiPriority w:val="99"/>
    <w:pPr>
      <w:wordWrap w:val="0"/>
      <w:ind w:left="1275"/>
      <w:jc w:val="both"/>
    </w:pPr>
    <w:rPr>
      <w:rFonts w:ascii="Calibri" w:hAnsi="Calibri" w:eastAsia="宋体" w:cs="Times New Roman"/>
      <w:kern w:val="0"/>
      <w:sz w:val="21"/>
      <w:szCs w:val="20"/>
      <w:lang w:val="en-US" w:eastAsia="zh-CN" w:bidi="ar-SA"/>
    </w:rPr>
  </w:style>
  <w:style w:type="paragraph" w:customStyle="1" w:styleId="437">
    <w:name w:val="xl117"/>
    <w:basedOn w:val="1"/>
    <w:next w:val="335"/>
    <w:qFormat/>
    <w:uiPriority w:val="99"/>
    <w:pPr>
      <w:widowControl/>
      <w:shd w:val="clear" w:color="000000" w:fill="FFFFFF"/>
      <w:spacing w:before="280" w:after="280"/>
      <w:jc w:val="center"/>
    </w:pPr>
    <w:rPr>
      <w:rFonts w:ascii="Arial Narrow" w:hAnsi="Calibri"/>
      <w:kern w:val="0"/>
      <w:sz w:val="24"/>
      <w:szCs w:val="20"/>
    </w:rPr>
  </w:style>
  <w:style w:type="paragraph" w:customStyle="1" w:styleId="438">
    <w:name w:val="p15"/>
    <w:basedOn w:val="1"/>
    <w:next w:val="261"/>
    <w:qFormat/>
    <w:uiPriority w:val="99"/>
    <w:pPr>
      <w:widowControl/>
      <w:ind w:firstLine="420"/>
    </w:pPr>
    <w:rPr>
      <w:rFonts w:hAnsi="Calibri"/>
      <w:kern w:val="0"/>
      <w:szCs w:val="20"/>
    </w:rPr>
  </w:style>
  <w:style w:type="paragraph" w:customStyle="1" w:styleId="439">
    <w:name w:val="xl87"/>
    <w:basedOn w:val="1"/>
    <w:next w:val="440"/>
    <w:qFormat/>
    <w:uiPriority w:val="99"/>
    <w:pPr>
      <w:widowControl/>
      <w:shd w:val="clear" w:color="000000" w:fill="FFFFFF"/>
      <w:spacing w:before="280" w:after="280"/>
    </w:pPr>
    <w:rPr>
      <w:rFonts w:ascii="Arial" w:hAnsi="Calibri"/>
      <w:kern w:val="0"/>
      <w:sz w:val="18"/>
      <w:szCs w:val="20"/>
    </w:rPr>
  </w:style>
  <w:style w:type="paragraph" w:customStyle="1" w:styleId="440">
    <w:name w:val="toc 98"/>
    <w:next w:val="1"/>
    <w:qFormat/>
    <w:uiPriority w:val="99"/>
    <w:pPr>
      <w:wordWrap w:val="0"/>
      <w:ind w:left="3400"/>
      <w:jc w:val="both"/>
    </w:pPr>
    <w:rPr>
      <w:rFonts w:ascii="Calibri" w:hAnsi="Calibri" w:eastAsia="宋体" w:cs="Times New Roman"/>
      <w:kern w:val="0"/>
      <w:sz w:val="21"/>
      <w:szCs w:val="20"/>
      <w:lang w:val="en-US" w:eastAsia="zh-CN" w:bidi="ar-SA"/>
    </w:rPr>
  </w:style>
  <w:style w:type="paragraph" w:customStyle="1" w:styleId="441">
    <w:name w:val="列出段落7"/>
    <w:basedOn w:val="1"/>
    <w:next w:val="423"/>
    <w:qFormat/>
    <w:uiPriority w:val="99"/>
    <w:pPr>
      <w:ind w:firstLine="420"/>
    </w:pPr>
    <w:rPr>
      <w:rFonts w:hAnsi="Calibri"/>
      <w:kern w:val="0"/>
      <w:szCs w:val="20"/>
    </w:rPr>
  </w:style>
  <w:style w:type="paragraph" w:customStyle="1" w:styleId="442">
    <w:name w:val="xl78"/>
    <w:basedOn w:val="1"/>
    <w:next w:val="413"/>
    <w:qFormat/>
    <w:uiPriority w:val="99"/>
    <w:pPr>
      <w:widowControl/>
      <w:shd w:val="clear" w:color="000000" w:fill="FFFFFF"/>
      <w:spacing w:before="280" w:after="280"/>
    </w:pPr>
    <w:rPr>
      <w:rFonts w:ascii="宋体" w:hAnsi="Calibri"/>
      <w:b/>
      <w:kern w:val="0"/>
      <w:sz w:val="20"/>
      <w:szCs w:val="20"/>
    </w:rPr>
  </w:style>
  <w:style w:type="paragraph" w:customStyle="1" w:styleId="443">
    <w:name w:val="toc 516"/>
    <w:next w:val="1"/>
    <w:qFormat/>
    <w:uiPriority w:val="99"/>
    <w:pPr>
      <w:wordWrap w:val="0"/>
      <w:ind w:left="1700"/>
      <w:jc w:val="both"/>
    </w:pPr>
    <w:rPr>
      <w:rFonts w:ascii="Calibri" w:hAnsi="Calibri" w:eastAsia="宋体" w:cs="Times New Roman"/>
      <w:kern w:val="0"/>
      <w:sz w:val="21"/>
      <w:szCs w:val="20"/>
      <w:lang w:val="en-US" w:eastAsia="zh-CN" w:bidi="ar-SA"/>
    </w:rPr>
  </w:style>
  <w:style w:type="paragraph" w:customStyle="1" w:styleId="444">
    <w:name w:val="xl89"/>
    <w:basedOn w:val="1"/>
    <w:next w:val="378"/>
    <w:qFormat/>
    <w:uiPriority w:val="99"/>
    <w:pPr>
      <w:widowControl/>
      <w:shd w:val="clear" w:color="000000" w:fill="FFFFFF"/>
      <w:spacing w:before="280" w:after="280"/>
    </w:pPr>
    <w:rPr>
      <w:rFonts w:ascii="宋体" w:hAnsi="Calibri"/>
      <w:kern w:val="0"/>
      <w:sz w:val="20"/>
      <w:szCs w:val="20"/>
    </w:rPr>
  </w:style>
  <w:style w:type="paragraph" w:customStyle="1" w:styleId="445">
    <w:name w:val="toc 910"/>
    <w:next w:val="1"/>
    <w:qFormat/>
    <w:uiPriority w:val="99"/>
    <w:pPr>
      <w:wordWrap w:val="0"/>
      <w:ind w:left="3400"/>
      <w:jc w:val="both"/>
    </w:pPr>
    <w:rPr>
      <w:rFonts w:ascii="Calibri" w:hAnsi="Calibri" w:eastAsia="宋体" w:cs="Times New Roman"/>
      <w:kern w:val="0"/>
      <w:sz w:val="21"/>
      <w:szCs w:val="20"/>
      <w:lang w:val="en-US" w:eastAsia="zh-CN" w:bidi="ar-SA"/>
    </w:rPr>
  </w:style>
  <w:style w:type="paragraph" w:customStyle="1" w:styleId="446">
    <w:name w:val="toc 34"/>
    <w:next w:val="1"/>
    <w:qFormat/>
    <w:uiPriority w:val="99"/>
    <w:pPr>
      <w:wordWrap w:val="0"/>
      <w:ind w:left="850"/>
      <w:jc w:val="both"/>
    </w:pPr>
    <w:rPr>
      <w:rFonts w:ascii="Calibri" w:hAnsi="Calibri" w:eastAsia="宋体" w:cs="Times New Roman"/>
      <w:kern w:val="0"/>
      <w:sz w:val="21"/>
      <w:szCs w:val="20"/>
      <w:lang w:val="en-US" w:eastAsia="zh-CN" w:bidi="ar-SA"/>
    </w:rPr>
  </w:style>
  <w:style w:type="paragraph" w:customStyle="1" w:styleId="447">
    <w:name w:val="toc 816"/>
    <w:next w:val="1"/>
    <w:qFormat/>
    <w:uiPriority w:val="99"/>
    <w:pPr>
      <w:wordWrap w:val="0"/>
      <w:ind w:left="2975"/>
      <w:jc w:val="both"/>
    </w:pPr>
    <w:rPr>
      <w:rFonts w:ascii="Calibri" w:hAnsi="Calibri" w:eastAsia="宋体" w:cs="Times New Roman"/>
      <w:kern w:val="0"/>
      <w:sz w:val="21"/>
      <w:szCs w:val="20"/>
      <w:lang w:val="en-US" w:eastAsia="zh-CN" w:bidi="ar-SA"/>
    </w:rPr>
  </w:style>
  <w:style w:type="paragraph" w:customStyle="1" w:styleId="448">
    <w:name w:val="toc 43"/>
    <w:next w:val="1"/>
    <w:qFormat/>
    <w:uiPriority w:val="99"/>
    <w:pPr>
      <w:wordWrap w:val="0"/>
      <w:ind w:left="1275"/>
      <w:jc w:val="both"/>
    </w:pPr>
    <w:rPr>
      <w:rFonts w:ascii="Calibri" w:hAnsi="Calibri" w:eastAsia="宋体" w:cs="Times New Roman"/>
      <w:kern w:val="0"/>
      <w:sz w:val="21"/>
      <w:szCs w:val="20"/>
      <w:lang w:val="en-US" w:eastAsia="zh-CN" w:bidi="ar-SA"/>
    </w:rPr>
  </w:style>
  <w:style w:type="paragraph" w:customStyle="1" w:styleId="449">
    <w:name w:val="toc 16"/>
    <w:next w:val="1"/>
    <w:qFormat/>
    <w:uiPriority w:val="99"/>
    <w:pPr>
      <w:wordWrap w:val="0"/>
      <w:jc w:val="both"/>
    </w:pPr>
    <w:rPr>
      <w:rFonts w:ascii="Calibri" w:hAnsi="Calibri" w:eastAsia="宋体" w:cs="Times New Roman"/>
      <w:kern w:val="0"/>
      <w:sz w:val="21"/>
      <w:szCs w:val="20"/>
      <w:lang w:val="en-US" w:eastAsia="zh-CN" w:bidi="ar-SA"/>
    </w:rPr>
  </w:style>
  <w:style w:type="paragraph" w:styleId="450">
    <w:name w:val="Quote"/>
    <w:basedOn w:val="1"/>
    <w:next w:val="1"/>
    <w:link w:val="451"/>
    <w:qFormat/>
    <w:uiPriority w:val="99"/>
    <w:pPr>
      <w:widowControl/>
      <w:wordWrap w:val="0"/>
      <w:spacing w:before="200" w:after="160"/>
      <w:ind w:left="864" w:right="864"/>
      <w:jc w:val="center"/>
    </w:pPr>
    <w:rPr>
      <w:rFonts w:ascii="Calibri" w:hAnsi="Calibri"/>
      <w:i/>
      <w:kern w:val="0"/>
      <w:szCs w:val="20"/>
    </w:rPr>
  </w:style>
  <w:style w:type="character" w:customStyle="1" w:styleId="451">
    <w:name w:val="Quote Char"/>
    <w:basedOn w:val="48"/>
    <w:link w:val="450"/>
    <w:qFormat/>
    <w:locked/>
    <w:uiPriority w:val="99"/>
    <w:rPr>
      <w:rFonts w:ascii="Calibri" w:hAnsi="Calibri" w:cs="Times New Roman"/>
      <w:i/>
      <w:sz w:val="21"/>
      <w:lang w:val="en-US" w:eastAsia="zh-CN" w:bidi="ar-SA"/>
    </w:rPr>
  </w:style>
  <w:style w:type="paragraph" w:customStyle="1" w:styleId="452">
    <w:name w:val="toc 114"/>
    <w:next w:val="1"/>
    <w:qFormat/>
    <w:uiPriority w:val="99"/>
    <w:pPr>
      <w:wordWrap w:val="0"/>
      <w:jc w:val="both"/>
    </w:pPr>
    <w:rPr>
      <w:rFonts w:ascii="Calibri" w:hAnsi="Calibri" w:eastAsia="宋体" w:cs="Times New Roman"/>
      <w:kern w:val="0"/>
      <w:sz w:val="21"/>
      <w:szCs w:val="20"/>
      <w:lang w:val="en-US" w:eastAsia="zh-CN" w:bidi="ar-SA"/>
    </w:rPr>
  </w:style>
  <w:style w:type="paragraph" w:customStyle="1" w:styleId="453">
    <w:name w:val="xl119"/>
    <w:basedOn w:val="1"/>
    <w:next w:val="428"/>
    <w:qFormat/>
    <w:uiPriority w:val="99"/>
    <w:pPr>
      <w:widowControl/>
      <w:shd w:val="clear" w:color="000000" w:fill="FFFFFF"/>
      <w:spacing w:before="280" w:after="280"/>
      <w:jc w:val="center"/>
    </w:pPr>
    <w:rPr>
      <w:rFonts w:ascii="宋体" w:hAnsi="Calibri"/>
      <w:b/>
      <w:kern w:val="0"/>
      <w:sz w:val="20"/>
      <w:szCs w:val="20"/>
    </w:rPr>
  </w:style>
  <w:style w:type="paragraph" w:customStyle="1" w:styleId="454">
    <w:name w:val="toc 37"/>
    <w:next w:val="1"/>
    <w:qFormat/>
    <w:uiPriority w:val="99"/>
    <w:pPr>
      <w:wordWrap w:val="0"/>
      <w:ind w:left="850"/>
      <w:jc w:val="both"/>
    </w:pPr>
    <w:rPr>
      <w:rFonts w:ascii="Calibri" w:hAnsi="Calibri" w:eastAsia="宋体" w:cs="Times New Roman"/>
      <w:kern w:val="0"/>
      <w:sz w:val="21"/>
      <w:szCs w:val="20"/>
      <w:lang w:val="en-US" w:eastAsia="zh-CN" w:bidi="ar-SA"/>
    </w:rPr>
  </w:style>
  <w:style w:type="paragraph" w:customStyle="1" w:styleId="455">
    <w:name w:val="xl109"/>
    <w:basedOn w:val="1"/>
    <w:next w:val="401"/>
    <w:qFormat/>
    <w:uiPriority w:val="99"/>
    <w:pPr>
      <w:widowControl/>
      <w:shd w:val="clear" w:color="000000" w:fill="FFFFFF"/>
      <w:spacing w:before="280" w:after="280"/>
    </w:pPr>
    <w:rPr>
      <w:rFonts w:ascii="宋体" w:hAnsi="Calibri"/>
      <w:kern w:val="0"/>
      <w:sz w:val="20"/>
      <w:szCs w:val="20"/>
    </w:rPr>
  </w:style>
  <w:style w:type="paragraph" w:customStyle="1" w:styleId="456">
    <w:name w:val="toc 215"/>
    <w:next w:val="1"/>
    <w:qFormat/>
    <w:uiPriority w:val="99"/>
    <w:pPr>
      <w:wordWrap w:val="0"/>
      <w:ind w:left="425"/>
      <w:jc w:val="both"/>
    </w:pPr>
    <w:rPr>
      <w:rFonts w:ascii="Calibri" w:hAnsi="Calibri" w:eastAsia="宋体" w:cs="Times New Roman"/>
      <w:kern w:val="0"/>
      <w:sz w:val="21"/>
      <w:szCs w:val="20"/>
      <w:lang w:val="en-US" w:eastAsia="zh-CN" w:bidi="ar-SA"/>
    </w:rPr>
  </w:style>
  <w:style w:type="paragraph" w:customStyle="1" w:styleId="457">
    <w:name w:val="xl76"/>
    <w:basedOn w:val="1"/>
    <w:next w:val="409"/>
    <w:qFormat/>
    <w:uiPriority w:val="99"/>
    <w:pPr>
      <w:widowControl/>
      <w:shd w:val="clear" w:color="000000" w:fill="FFFFFF"/>
      <w:spacing w:before="280" w:after="280"/>
      <w:jc w:val="center"/>
    </w:pPr>
    <w:rPr>
      <w:rFonts w:ascii="宋体" w:hAnsi="Calibri"/>
      <w:b/>
      <w:kern w:val="0"/>
      <w:sz w:val="20"/>
      <w:szCs w:val="20"/>
    </w:rPr>
  </w:style>
  <w:style w:type="paragraph" w:customStyle="1" w:styleId="458">
    <w:name w:val="toc 92"/>
    <w:next w:val="1"/>
    <w:qFormat/>
    <w:uiPriority w:val="99"/>
    <w:pPr>
      <w:wordWrap w:val="0"/>
      <w:ind w:left="3400"/>
      <w:jc w:val="both"/>
    </w:pPr>
    <w:rPr>
      <w:rFonts w:ascii="Calibri" w:hAnsi="Calibri" w:eastAsia="宋体" w:cs="Times New Roman"/>
      <w:kern w:val="0"/>
      <w:sz w:val="21"/>
      <w:szCs w:val="20"/>
      <w:lang w:val="en-US" w:eastAsia="zh-CN" w:bidi="ar-SA"/>
    </w:rPr>
  </w:style>
  <w:style w:type="paragraph" w:customStyle="1" w:styleId="459">
    <w:name w:val="toc 216"/>
    <w:next w:val="1"/>
    <w:qFormat/>
    <w:uiPriority w:val="99"/>
    <w:pPr>
      <w:wordWrap w:val="0"/>
      <w:ind w:left="425"/>
      <w:jc w:val="both"/>
    </w:pPr>
    <w:rPr>
      <w:rFonts w:ascii="Calibri" w:hAnsi="Calibri" w:eastAsia="宋体" w:cs="Times New Roman"/>
      <w:kern w:val="0"/>
      <w:sz w:val="21"/>
      <w:szCs w:val="20"/>
      <w:lang w:val="en-US" w:eastAsia="zh-CN" w:bidi="ar-SA"/>
    </w:rPr>
  </w:style>
  <w:style w:type="paragraph" w:customStyle="1" w:styleId="460">
    <w:name w:val="xl70"/>
    <w:basedOn w:val="1"/>
    <w:next w:val="386"/>
    <w:qFormat/>
    <w:uiPriority w:val="99"/>
    <w:pPr>
      <w:widowControl/>
      <w:shd w:val="clear" w:color="000000" w:fill="FFFFFF"/>
      <w:spacing w:before="280" w:after="280"/>
    </w:pPr>
    <w:rPr>
      <w:rFonts w:ascii="宋体" w:hAnsi="Calibri"/>
      <w:kern w:val="0"/>
      <w:sz w:val="20"/>
      <w:szCs w:val="20"/>
    </w:rPr>
  </w:style>
  <w:style w:type="paragraph" w:customStyle="1" w:styleId="461">
    <w:name w:val="toc 33"/>
    <w:next w:val="1"/>
    <w:qFormat/>
    <w:uiPriority w:val="99"/>
    <w:pPr>
      <w:wordWrap w:val="0"/>
      <w:ind w:left="850"/>
      <w:jc w:val="both"/>
    </w:pPr>
    <w:rPr>
      <w:rFonts w:ascii="Calibri" w:hAnsi="Calibri" w:eastAsia="宋体" w:cs="Times New Roman"/>
      <w:kern w:val="0"/>
      <w:sz w:val="21"/>
      <w:szCs w:val="20"/>
      <w:lang w:val="en-US" w:eastAsia="zh-CN" w:bidi="ar-SA"/>
    </w:rPr>
  </w:style>
  <w:style w:type="paragraph" w:customStyle="1" w:styleId="462">
    <w:name w:val="toc 61"/>
    <w:next w:val="1"/>
    <w:qFormat/>
    <w:uiPriority w:val="99"/>
    <w:pPr>
      <w:wordWrap w:val="0"/>
      <w:ind w:left="2125"/>
      <w:jc w:val="both"/>
    </w:pPr>
    <w:rPr>
      <w:rFonts w:ascii="Calibri" w:hAnsi="Calibri" w:eastAsia="宋体" w:cs="Times New Roman"/>
      <w:kern w:val="0"/>
      <w:sz w:val="21"/>
      <w:szCs w:val="20"/>
      <w:lang w:val="en-US" w:eastAsia="zh-CN" w:bidi="ar-SA"/>
    </w:rPr>
  </w:style>
  <w:style w:type="paragraph" w:customStyle="1" w:styleId="463">
    <w:name w:val="xl98"/>
    <w:basedOn w:val="1"/>
    <w:next w:val="404"/>
    <w:qFormat/>
    <w:uiPriority w:val="99"/>
    <w:pPr>
      <w:widowControl/>
      <w:shd w:val="clear" w:color="000000" w:fill="FFFFFF"/>
      <w:spacing w:before="280" w:after="280"/>
      <w:jc w:val="center"/>
    </w:pPr>
    <w:rPr>
      <w:rFonts w:ascii="宋体" w:hAnsi="Calibri"/>
      <w:kern w:val="0"/>
      <w:sz w:val="20"/>
      <w:szCs w:val="20"/>
    </w:rPr>
  </w:style>
  <w:style w:type="paragraph" w:customStyle="1" w:styleId="464">
    <w:name w:val="toc 26"/>
    <w:next w:val="1"/>
    <w:qFormat/>
    <w:uiPriority w:val="99"/>
    <w:pPr>
      <w:wordWrap w:val="0"/>
      <w:ind w:left="425"/>
      <w:jc w:val="both"/>
    </w:pPr>
    <w:rPr>
      <w:rFonts w:ascii="Calibri" w:hAnsi="Calibri" w:eastAsia="宋体" w:cs="Times New Roman"/>
      <w:kern w:val="0"/>
      <w:sz w:val="21"/>
      <w:szCs w:val="20"/>
      <w:lang w:val="en-US" w:eastAsia="zh-CN" w:bidi="ar-SA"/>
    </w:rPr>
  </w:style>
  <w:style w:type="paragraph" w:customStyle="1" w:styleId="465">
    <w:name w:val="toc 13"/>
    <w:next w:val="1"/>
    <w:qFormat/>
    <w:uiPriority w:val="99"/>
    <w:pPr>
      <w:wordWrap w:val="0"/>
      <w:jc w:val="both"/>
    </w:pPr>
    <w:rPr>
      <w:rFonts w:ascii="Calibri" w:hAnsi="Calibri" w:eastAsia="宋体" w:cs="Times New Roman"/>
      <w:kern w:val="0"/>
      <w:sz w:val="21"/>
      <w:szCs w:val="20"/>
      <w:lang w:val="en-US" w:eastAsia="zh-CN" w:bidi="ar-SA"/>
    </w:rPr>
  </w:style>
  <w:style w:type="paragraph" w:customStyle="1" w:styleId="466">
    <w:name w:val="目录 51"/>
    <w:next w:val="1"/>
    <w:qFormat/>
    <w:uiPriority w:val="99"/>
    <w:pPr>
      <w:wordWrap w:val="0"/>
      <w:ind w:left="1700"/>
      <w:jc w:val="both"/>
    </w:pPr>
    <w:rPr>
      <w:rFonts w:ascii="Calibri" w:hAnsi="Calibri" w:eastAsia="宋体" w:cs="Times New Roman"/>
      <w:kern w:val="0"/>
      <w:sz w:val="21"/>
      <w:szCs w:val="20"/>
      <w:lang w:val="en-US" w:eastAsia="zh-CN" w:bidi="ar-SA"/>
    </w:rPr>
  </w:style>
  <w:style w:type="paragraph" w:customStyle="1" w:styleId="467">
    <w:name w:val="xl101"/>
    <w:basedOn w:val="1"/>
    <w:next w:val="435"/>
    <w:qFormat/>
    <w:uiPriority w:val="99"/>
    <w:pPr>
      <w:widowControl/>
      <w:spacing w:before="280" w:after="280"/>
    </w:pPr>
    <w:rPr>
      <w:rFonts w:ascii="宋体" w:hAnsi="Calibri"/>
      <w:kern w:val="0"/>
      <w:sz w:val="20"/>
      <w:szCs w:val="20"/>
    </w:rPr>
  </w:style>
  <w:style w:type="paragraph" w:customStyle="1" w:styleId="468">
    <w:name w:val="toc 75"/>
    <w:next w:val="1"/>
    <w:qFormat/>
    <w:uiPriority w:val="99"/>
    <w:pPr>
      <w:wordWrap w:val="0"/>
      <w:ind w:left="2550"/>
      <w:jc w:val="both"/>
    </w:pPr>
    <w:rPr>
      <w:rFonts w:ascii="Calibri" w:hAnsi="Calibri" w:eastAsia="宋体" w:cs="Times New Roman"/>
      <w:kern w:val="0"/>
      <w:sz w:val="21"/>
      <w:szCs w:val="20"/>
      <w:lang w:val="en-US" w:eastAsia="zh-CN" w:bidi="ar-SA"/>
    </w:rPr>
  </w:style>
  <w:style w:type="paragraph" w:customStyle="1" w:styleId="469">
    <w:name w:val="toc 715"/>
    <w:next w:val="1"/>
    <w:qFormat/>
    <w:uiPriority w:val="99"/>
    <w:pPr>
      <w:wordWrap w:val="0"/>
      <w:ind w:left="2550"/>
      <w:jc w:val="both"/>
    </w:pPr>
    <w:rPr>
      <w:rFonts w:ascii="Calibri" w:hAnsi="Calibri" w:eastAsia="宋体" w:cs="Times New Roman"/>
      <w:kern w:val="0"/>
      <w:sz w:val="21"/>
      <w:szCs w:val="20"/>
      <w:lang w:val="en-US" w:eastAsia="zh-CN" w:bidi="ar-SA"/>
    </w:rPr>
  </w:style>
  <w:style w:type="paragraph" w:styleId="470">
    <w:name w:val="Intense Quote"/>
    <w:basedOn w:val="1"/>
    <w:next w:val="1"/>
    <w:link w:val="471"/>
    <w:qFormat/>
    <w:uiPriority w:val="99"/>
    <w:pPr>
      <w:widowControl/>
      <w:wordWrap w:val="0"/>
      <w:spacing w:before="360" w:after="360"/>
      <w:ind w:left="950" w:right="950"/>
      <w:jc w:val="center"/>
    </w:pPr>
    <w:rPr>
      <w:rFonts w:ascii="Calibri" w:hAnsi="Calibri"/>
      <w:i/>
      <w:kern w:val="0"/>
      <w:szCs w:val="20"/>
    </w:rPr>
  </w:style>
  <w:style w:type="character" w:customStyle="1" w:styleId="471">
    <w:name w:val="Intense Quote Char"/>
    <w:basedOn w:val="48"/>
    <w:link w:val="470"/>
    <w:qFormat/>
    <w:locked/>
    <w:uiPriority w:val="99"/>
    <w:rPr>
      <w:rFonts w:ascii="Calibri" w:hAnsi="Calibri" w:cs="Times New Roman"/>
      <w:i/>
      <w:sz w:val="21"/>
      <w:lang w:val="en-US" w:eastAsia="zh-CN" w:bidi="ar-SA"/>
    </w:rPr>
  </w:style>
  <w:style w:type="paragraph" w:customStyle="1" w:styleId="472">
    <w:name w:val="Char Char Char Char Char Char Char"/>
    <w:basedOn w:val="1"/>
    <w:next w:val="456"/>
    <w:qFormat/>
    <w:uiPriority w:val="99"/>
    <w:pPr>
      <w:widowControl/>
      <w:spacing w:after="160" w:line="240" w:lineRule="exact"/>
    </w:pPr>
    <w:rPr>
      <w:rFonts w:hAnsi="Calibri"/>
      <w:kern w:val="0"/>
      <w:szCs w:val="20"/>
    </w:rPr>
  </w:style>
  <w:style w:type="paragraph" w:customStyle="1" w:styleId="473">
    <w:name w:val="toc 23"/>
    <w:next w:val="1"/>
    <w:qFormat/>
    <w:uiPriority w:val="99"/>
    <w:pPr>
      <w:wordWrap w:val="0"/>
      <w:ind w:left="425"/>
      <w:jc w:val="both"/>
    </w:pPr>
    <w:rPr>
      <w:rFonts w:ascii="Calibri" w:hAnsi="Calibri" w:eastAsia="宋体" w:cs="Times New Roman"/>
      <w:kern w:val="0"/>
      <w:sz w:val="21"/>
      <w:szCs w:val="20"/>
      <w:lang w:val="en-US" w:eastAsia="zh-CN" w:bidi="ar-SA"/>
    </w:rPr>
  </w:style>
  <w:style w:type="paragraph" w:customStyle="1" w:styleId="474">
    <w:name w:val="目录 61"/>
    <w:next w:val="1"/>
    <w:qFormat/>
    <w:uiPriority w:val="99"/>
    <w:pPr>
      <w:wordWrap w:val="0"/>
      <w:ind w:left="2125"/>
      <w:jc w:val="both"/>
    </w:pPr>
    <w:rPr>
      <w:rFonts w:ascii="Calibri" w:hAnsi="Calibri" w:eastAsia="宋体" w:cs="Times New Roman"/>
      <w:kern w:val="0"/>
      <w:sz w:val="21"/>
      <w:szCs w:val="20"/>
      <w:lang w:val="en-US" w:eastAsia="zh-CN" w:bidi="ar-SA"/>
    </w:rPr>
  </w:style>
  <w:style w:type="paragraph" w:customStyle="1" w:styleId="475">
    <w:name w:val="toc 97"/>
    <w:next w:val="1"/>
    <w:qFormat/>
    <w:uiPriority w:val="99"/>
    <w:pPr>
      <w:wordWrap w:val="0"/>
      <w:ind w:left="3400"/>
      <w:jc w:val="both"/>
    </w:pPr>
    <w:rPr>
      <w:rFonts w:ascii="Calibri" w:hAnsi="Calibri" w:eastAsia="宋体" w:cs="Times New Roman"/>
      <w:kern w:val="0"/>
      <w:sz w:val="21"/>
      <w:szCs w:val="20"/>
      <w:lang w:val="en-US" w:eastAsia="zh-CN" w:bidi="ar-SA"/>
    </w:rPr>
  </w:style>
  <w:style w:type="paragraph" w:customStyle="1" w:styleId="476">
    <w:name w:val="toc 74"/>
    <w:next w:val="1"/>
    <w:qFormat/>
    <w:uiPriority w:val="99"/>
    <w:pPr>
      <w:wordWrap w:val="0"/>
      <w:ind w:left="2550"/>
      <w:jc w:val="both"/>
    </w:pPr>
    <w:rPr>
      <w:rFonts w:ascii="Calibri" w:hAnsi="Calibri" w:eastAsia="宋体" w:cs="Times New Roman"/>
      <w:kern w:val="0"/>
      <w:sz w:val="21"/>
      <w:szCs w:val="20"/>
      <w:lang w:val="en-US" w:eastAsia="zh-CN" w:bidi="ar-SA"/>
    </w:rPr>
  </w:style>
  <w:style w:type="paragraph" w:customStyle="1" w:styleId="477">
    <w:name w:val="xl64"/>
    <w:basedOn w:val="1"/>
    <w:next w:val="452"/>
    <w:qFormat/>
    <w:uiPriority w:val="99"/>
    <w:pPr>
      <w:widowControl/>
      <w:shd w:val="clear" w:color="000000" w:fill="FFFFFF"/>
      <w:spacing w:before="280" w:after="280"/>
    </w:pPr>
    <w:rPr>
      <w:rFonts w:ascii="宋体" w:hAnsi="Calibri"/>
      <w:kern w:val="0"/>
      <w:sz w:val="20"/>
      <w:szCs w:val="20"/>
    </w:rPr>
  </w:style>
  <w:style w:type="paragraph" w:customStyle="1" w:styleId="478">
    <w:name w:val="xl82"/>
    <w:basedOn w:val="1"/>
    <w:next w:val="299"/>
    <w:qFormat/>
    <w:uiPriority w:val="99"/>
    <w:pPr>
      <w:widowControl/>
      <w:shd w:val="clear" w:color="000000" w:fill="FFFFFF"/>
      <w:spacing w:before="280" w:after="280"/>
    </w:pPr>
    <w:rPr>
      <w:rFonts w:ascii="宋体" w:hAnsi="Calibri"/>
      <w:kern w:val="0"/>
      <w:sz w:val="20"/>
      <w:szCs w:val="20"/>
    </w:rPr>
  </w:style>
  <w:style w:type="paragraph" w:customStyle="1" w:styleId="479">
    <w:name w:val="toc 32"/>
    <w:next w:val="1"/>
    <w:qFormat/>
    <w:uiPriority w:val="99"/>
    <w:pPr>
      <w:wordWrap w:val="0"/>
      <w:ind w:left="850"/>
      <w:jc w:val="both"/>
    </w:pPr>
    <w:rPr>
      <w:rFonts w:ascii="Calibri" w:hAnsi="Calibri" w:eastAsia="宋体" w:cs="Times New Roman"/>
      <w:kern w:val="0"/>
      <w:sz w:val="21"/>
      <w:szCs w:val="20"/>
      <w:lang w:val="en-US" w:eastAsia="zh-CN" w:bidi="ar-SA"/>
    </w:rPr>
  </w:style>
  <w:style w:type="paragraph" w:customStyle="1" w:styleId="480">
    <w:name w:val="xl77"/>
    <w:basedOn w:val="1"/>
    <w:next w:val="445"/>
    <w:qFormat/>
    <w:uiPriority w:val="99"/>
    <w:pPr>
      <w:widowControl/>
      <w:shd w:val="clear" w:color="000000" w:fill="FFFFFF"/>
      <w:spacing w:before="280" w:after="280"/>
      <w:jc w:val="center"/>
    </w:pPr>
    <w:rPr>
      <w:rFonts w:ascii="宋体" w:hAnsi="Calibri"/>
      <w:kern w:val="0"/>
      <w:sz w:val="20"/>
      <w:szCs w:val="20"/>
    </w:rPr>
  </w:style>
  <w:style w:type="character" w:customStyle="1" w:styleId="481">
    <w:name w:val="正文缩进 Char1"/>
    <w:qFormat/>
    <w:uiPriority w:val="99"/>
    <w:rPr>
      <w:rFonts w:eastAsia="宋体"/>
      <w:kern w:val="2"/>
      <w:sz w:val="21"/>
      <w:lang w:val="en-US" w:eastAsia="zh-CN"/>
    </w:rPr>
  </w:style>
  <w:style w:type="character" w:customStyle="1" w:styleId="482">
    <w:name w:val="fielderror"/>
    <w:basedOn w:val="48"/>
    <w:qFormat/>
    <w:uiPriority w:val="99"/>
    <w:rPr>
      <w:rFonts w:cs="Times New Roman"/>
      <w:color w:val="800000"/>
    </w:rPr>
  </w:style>
  <w:style w:type="character" w:customStyle="1" w:styleId="483">
    <w:name w:val="hilite6"/>
    <w:basedOn w:val="48"/>
    <w:qFormat/>
    <w:uiPriority w:val="99"/>
    <w:rPr>
      <w:rFonts w:cs="Times New Roman"/>
      <w:color w:val="000000"/>
    </w:rPr>
  </w:style>
  <w:style w:type="character" w:customStyle="1" w:styleId="484">
    <w:name w:val="active6"/>
    <w:basedOn w:val="48"/>
    <w:qFormat/>
    <w:uiPriority w:val="99"/>
    <w:rPr>
      <w:rFonts w:cs="Times New Roman"/>
      <w:color w:val="FFFFFF"/>
    </w:rPr>
  </w:style>
  <w:style w:type="character" w:customStyle="1" w:styleId="485">
    <w:name w:val="inline-help"/>
    <w:basedOn w:val="48"/>
    <w:qFormat/>
    <w:uiPriority w:val="99"/>
    <w:rPr>
      <w:rFonts w:cs="Times New Roman"/>
    </w:rPr>
  </w:style>
  <w:style w:type="character" w:customStyle="1" w:styleId="486">
    <w:name w:val="active"/>
    <w:basedOn w:val="48"/>
    <w:qFormat/>
    <w:uiPriority w:val="99"/>
    <w:rPr>
      <w:rFonts w:cs="Times New Roman"/>
      <w:color w:val="FFFFFF"/>
    </w:rPr>
  </w:style>
  <w:style w:type="paragraph" w:customStyle="1" w:styleId="487">
    <w:name w:val="msonormal"/>
    <w:basedOn w:val="1"/>
    <w:qFormat/>
    <w:uiPriority w:val="99"/>
    <w:pPr>
      <w:widowControl/>
      <w:spacing w:before="100" w:beforeAutospacing="1" w:after="100" w:afterAutospacing="1"/>
      <w:jc w:val="left"/>
    </w:pPr>
    <w:rPr>
      <w:rFonts w:ascii="宋体" w:hAnsi="宋体" w:cs="宋体"/>
      <w:kern w:val="0"/>
      <w:sz w:val="24"/>
    </w:rPr>
  </w:style>
  <w:style w:type="character" w:customStyle="1" w:styleId="488">
    <w:name w:val="hover1"/>
    <w:basedOn w:val="48"/>
    <w:qFormat/>
    <w:uiPriority w:val="99"/>
    <w:rPr>
      <w:rFonts w:cs="Times New Roman"/>
      <w:color w:val="2590EB"/>
    </w:rPr>
  </w:style>
  <w:style w:type="character" w:customStyle="1" w:styleId="489">
    <w:name w:val="hover2"/>
    <w:basedOn w:val="48"/>
    <w:qFormat/>
    <w:uiPriority w:val="99"/>
    <w:rPr>
      <w:rFonts w:cs="Times New Roman"/>
      <w:color w:val="2590EB"/>
    </w:rPr>
  </w:style>
  <w:style w:type="character" w:customStyle="1" w:styleId="490">
    <w:name w:val="hover3"/>
    <w:basedOn w:val="48"/>
    <w:qFormat/>
    <w:uiPriority w:val="99"/>
    <w:rPr>
      <w:rFonts w:cs="Times New Roman"/>
    </w:rPr>
  </w:style>
  <w:style w:type="character" w:customStyle="1" w:styleId="491">
    <w:name w:val="hover4"/>
    <w:basedOn w:val="48"/>
    <w:qFormat/>
    <w:uiPriority w:val="99"/>
    <w:rPr>
      <w:rFonts w:cs="Times New Roman"/>
      <w:color w:val="2590EB"/>
      <w:shd w:val="clear" w:color="auto" w:fill="E9F4FD"/>
    </w:rPr>
  </w:style>
  <w:style w:type="character" w:customStyle="1" w:styleId="492">
    <w:name w:val="mini-outputtext1"/>
    <w:basedOn w:val="48"/>
    <w:qFormat/>
    <w:uiPriority w:val="99"/>
    <w:rPr>
      <w:rFonts w:cs="Times New Roman"/>
    </w:rPr>
  </w:style>
  <w:style w:type="character" w:customStyle="1" w:styleId="493">
    <w:name w:val="hover"/>
    <w:basedOn w:val="48"/>
    <w:qFormat/>
    <w:uiPriority w:val="99"/>
    <w:rPr>
      <w:rFonts w:cs="Times New Roman"/>
    </w:rPr>
  </w:style>
  <w:style w:type="paragraph" w:customStyle="1" w:styleId="494">
    <w:name w:val="Table Text"/>
    <w:basedOn w:val="1"/>
    <w:semiHidden/>
    <w:qFormat/>
    <w:uiPriority w:val="0"/>
    <w:rPr>
      <w:rFonts w:ascii="微软雅黑" w:hAnsi="微软雅黑" w:eastAsia="微软雅黑" w:cs="微软雅黑"/>
      <w:sz w:val="24"/>
      <w:szCs w:val="24"/>
      <w:lang w:val="en-US" w:eastAsia="en-US" w:bidi="ar-SA"/>
    </w:rPr>
  </w:style>
  <w:style w:type="table" w:customStyle="1" w:styleId="495">
    <w:name w:val="Table Normal_0"/>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Normal_Wordconv.dotm</Template>
  <Company>Microsoft</Company>
  <Pages>61</Pages>
  <Words>3033</Words>
  <Characters>3186</Characters>
  <Lines>0</Lines>
  <Paragraphs>0</Paragraphs>
  <TotalTime>5</TotalTime>
  <ScaleCrop>false</ScaleCrop>
  <LinksUpToDate>false</LinksUpToDate>
  <CharactersWithSpaces>3199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2022-04-05T20:08:00Z</dcterms:created>
  <dc:creator>thsware</dc:creator>
  <cp:lastModifiedBy>东海国际</cp:lastModifiedBy>
  <cp:lastPrinted>2022-11-10T08:15:00Z</cp:lastPrinted>
  <dcterms:modified xsi:type="dcterms:W3CDTF">2025-11-14T03:41:13Z</dcterms:modified>
  <dc:title>招  标　文　件</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6B2DEC0BF6CB4B319D5308690471550F_43</vt:lpwstr>
  </property>
  <property fmtid="{D5CDD505-2E9C-101B-9397-08002B2CF9AE}" pid="3" name="KSOProductBuildVer">
    <vt:lpwstr>2052-12.1.0.23542</vt:lpwstr>
  </property>
  <property fmtid="{D5CDD505-2E9C-101B-9397-08002B2CF9AE}" pid="4" name="KSOTemplateDocerSaveRecord">
    <vt:lpwstr>eyJoZGlkIjoiMWY3ZDI3ZDEwZDA0ZmRlNjY1M2I4NzFiYjc1ZTVlZTEiLCJ1c2VySWQiOiIxMTQwMDYwNTgwIn0=</vt:lpwstr>
  </property>
</Properties>
</file>