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E978E9F">
      <w:pPr>
        <w:keepNext w:val="0"/>
        <w:keepLines w:val="0"/>
        <w:pageBreakBefore w:val="0"/>
        <w:widowControl w:val="0"/>
        <w:kinsoku/>
        <w:wordWrap/>
        <w:overflowPunct/>
        <w:topLinePunct w:val="0"/>
        <w:autoSpaceDE/>
        <w:autoSpaceDN/>
        <w:bidi w:val="0"/>
        <w:adjustRightInd/>
        <w:snapToGrid/>
        <w:spacing w:line="240" w:lineRule="auto"/>
        <w:ind w:firstLine="3654" w:firstLineChars="1300"/>
        <w:textAlignment w:val="auto"/>
        <w:rPr>
          <w:rFonts w:ascii="宋体" w:hAnsi="宋体"/>
          <w:color w:val="FF0000"/>
          <w:szCs w:val="21"/>
        </w:rPr>
      </w:pPr>
      <w:r>
        <w:rPr>
          <w:rFonts w:hint="eastAsia" w:ascii="宋体" w:hAnsi="宋体" w:eastAsia="黑体"/>
          <w:b/>
          <w:bCs/>
          <w:color w:val="FF0000"/>
          <w:kern w:val="44"/>
          <w:sz w:val="28"/>
          <w:szCs w:val="44"/>
          <w:lang w:val="en-US" w:eastAsia="zh-CN"/>
        </w:rPr>
        <w:t>特别</w:t>
      </w:r>
      <w:r>
        <w:rPr>
          <w:rFonts w:hint="eastAsia" w:ascii="宋体" w:hAnsi="宋体" w:eastAsia="黑体"/>
          <w:b/>
          <w:bCs/>
          <w:color w:val="FF0000"/>
          <w:kern w:val="44"/>
          <w:sz w:val="28"/>
          <w:szCs w:val="44"/>
        </w:rPr>
        <w:t>警示条款</w:t>
      </w:r>
    </w:p>
    <w:p w14:paraId="75AEE560">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line="240" w:lineRule="auto"/>
        <w:ind w:firstLine="422" w:firstLineChars="200"/>
        <w:jc w:val="both"/>
        <w:textAlignment w:val="auto"/>
        <w:rPr>
          <w:rFonts w:hint="eastAsia" w:ascii="宋体" w:hAnsi="宋体" w:eastAsia="宋体" w:cs="宋体"/>
          <w:b/>
          <w:bCs/>
          <w:color w:val="FF0000"/>
          <w:sz w:val="21"/>
          <w:szCs w:val="21"/>
          <w:highlight w:val="none"/>
          <w:lang w:val="en-US" w:eastAsia="zh-CN"/>
        </w:rPr>
      </w:pPr>
    </w:p>
    <w:p w14:paraId="746395BB">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line="240" w:lineRule="auto"/>
        <w:ind w:firstLine="422" w:firstLineChars="200"/>
        <w:jc w:val="both"/>
        <w:textAlignment w:val="auto"/>
        <w:rPr>
          <w:rFonts w:hint="eastAsia" w:ascii="宋体" w:hAnsi="宋体" w:eastAsia="宋体" w:cs="宋体"/>
          <w:b/>
          <w:bCs/>
          <w:color w:val="FF0000"/>
          <w:sz w:val="21"/>
          <w:szCs w:val="21"/>
          <w:highlight w:val="none"/>
          <w:lang w:val="en-US" w:eastAsia="zh-CN"/>
        </w:rPr>
      </w:pPr>
      <w:r>
        <w:rPr>
          <w:rFonts w:hint="eastAsia" w:ascii="宋体" w:hAnsi="宋体" w:eastAsia="宋体" w:cs="宋体"/>
          <w:b/>
          <w:bCs/>
          <w:color w:val="FF0000"/>
          <w:sz w:val="21"/>
          <w:szCs w:val="21"/>
          <w:highlight w:val="none"/>
          <w:lang w:val="en-US" w:eastAsia="zh-CN"/>
        </w:rPr>
        <w:t>参与本项目政府采购活动的供应商应认真阅读以下特别警示条款，不得存在以下所列禁止情形，一旦发现，将被处以记入供应商诚信档案、罚款、取消参与政府采购资格、吊销营业执照等处罚；构成犯罪的，依法追究刑事责任。</w:t>
      </w:r>
    </w:p>
    <w:tbl>
      <w:tblPr>
        <w:tblStyle w:val="4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1"/>
        <w:gridCol w:w="7711"/>
      </w:tblGrid>
      <w:tr w14:paraId="127181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11" w:type="dxa"/>
            <w:tcBorders>
              <w:tl2br w:val="nil"/>
              <w:tr2bl w:val="nil"/>
            </w:tcBorders>
            <w:noWrap w:val="0"/>
            <w:vAlign w:val="center"/>
          </w:tcPr>
          <w:p w14:paraId="4C97F971">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序号</w:t>
            </w:r>
          </w:p>
        </w:tc>
        <w:tc>
          <w:tcPr>
            <w:tcW w:w="7711" w:type="dxa"/>
            <w:tcBorders>
              <w:tl2br w:val="nil"/>
              <w:tr2bl w:val="nil"/>
            </w:tcBorders>
            <w:noWrap w:val="0"/>
            <w:vAlign w:val="center"/>
          </w:tcPr>
          <w:p w14:paraId="548FD985">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FF0000"/>
                <w:sz w:val="21"/>
                <w:szCs w:val="21"/>
                <w:highlight w:val="none"/>
                <w:lang w:val="en-US" w:eastAsia="zh-CN"/>
              </w:rPr>
            </w:pPr>
            <w:r>
              <w:rPr>
                <w:rFonts w:hint="eastAsia" w:ascii="宋体" w:hAnsi="宋体" w:eastAsia="宋体" w:cs="宋体"/>
                <w:b/>
                <w:bCs/>
                <w:color w:val="FF0000"/>
                <w:sz w:val="21"/>
                <w:szCs w:val="21"/>
                <w:highlight w:val="none"/>
                <w:lang w:val="en-US" w:eastAsia="zh-CN"/>
              </w:rPr>
              <w:t>供应商参与投标禁止情形</w:t>
            </w:r>
          </w:p>
        </w:tc>
      </w:tr>
      <w:tr w14:paraId="5FE7BF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11" w:type="dxa"/>
            <w:tcBorders>
              <w:tl2br w:val="nil"/>
              <w:tr2bl w:val="nil"/>
            </w:tcBorders>
            <w:noWrap w:val="0"/>
            <w:vAlign w:val="center"/>
          </w:tcPr>
          <w:p w14:paraId="503D1BE1">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1</w:t>
            </w:r>
          </w:p>
        </w:tc>
        <w:tc>
          <w:tcPr>
            <w:tcW w:w="7711" w:type="dxa"/>
            <w:tcBorders>
              <w:tl2br w:val="nil"/>
              <w:tr2bl w:val="nil"/>
            </w:tcBorders>
            <w:noWrap w:val="0"/>
            <w:vAlign w:val="center"/>
          </w:tcPr>
          <w:p w14:paraId="60DB0064">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与其他投标供应商的法定代表人、主要经营负责人、投标授权代表人、项目负责人、主要技术人员为</w:t>
            </w:r>
            <w:r>
              <w:rPr>
                <w:rFonts w:hint="eastAsia" w:ascii="宋体" w:hAnsi="宋体" w:eastAsia="宋体" w:cs="宋体"/>
                <w:b/>
                <w:bCs/>
                <w:color w:val="FF0000"/>
                <w:sz w:val="21"/>
                <w:szCs w:val="21"/>
                <w:highlight w:val="none"/>
                <w:lang w:val="en-US" w:eastAsia="zh-CN"/>
              </w:rPr>
              <w:t>同一人、属同一单位或者在同一单位缴纳社会保险</w:t>
            </w:r>
            <w:r>
              <w:rPr>
                <w:rFonts w:hint="eastAsia" w:ascii="宋体" w:hAnsi="宋体" w:eastAsia="宋体" w:cs="宋体"/>
                <w:color w:val="FF0000"/>
                <w:sz w:val="21"/>
                <w:szCs w:val="21"/>
                <w:highlight w:val="none"/>
                <w:lang w:val="en-US" w:eastAsia="zh-CN"/>
              </w:rPr>
              <w:t>。</w:t>
            </w:r>
          </w:p>
        </w:tc>
      </w:tr>
      <w:tr w14:paraId="2F5BDB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11" w:type="dxa"/>
            <w:tcBorders>
              <w:tl2br w:val="nil"/>
              <w:tr2bl w:val="nil"/>
            </w:tcBorders>
            <w:noWrap w:val="0"/>
            <w:vAlign w:val="center"/>
          </w:tcPr>
          <w:p w14:paraId="4A4C64F6">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2</w:t>
            </w:r>
          </w:p>
        </w:tc>
        <w:tc>
          <w:tcPr>
            <w:tcW w:w="7711" w:type="dxa"/>
            <w:tcBorders>
              <w:tl2br w:val="nil"/>
              <w:tr2bl w:val="nil"/>
            </w:tcBorders>
            <w:noWrap w:val="0"/>
            <w:vAlign w:val="center"/>
          </w:tcPr>
          <w:p w14:paraId="04AE2334">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参与本项目政府采购活动时，与其他投标供应商存在单位负责人为</w:t>
            </w:r>
            <w:r>
              <w:rPr>
                <w:rFonts w:hint="eastAsia" w:ascii="宋体" w:hAnsi="宋体" w:eastAsia="宋体" w:cs="宋体"/>
                <w:b/>
                <w:bCs/>
                <w:color w:val="FF0000"/>
                <w:sz w:val="21"/>
                <w:szCs w:val="21"/>
                <w:highlight w:val="none"/>
                <w:lang w:val="en-US" w:eastAsia="zh-CN"/>
              </w:rPr>
              <w:t>同一人或直接控股、管理关系</w:t>
            </w:r>
            <w:r>
              <w:rPr>
                <w:rFonts w:hint="eastAsia" w:ascii="宋体" w:hAnsi="宋体" w:eastAsia="宋体" w:cs="宋体"/>
                <w:color w:val="FF0000"/>
                <w:sz w:val="21"/>
                <w:szCs w:val="21"/>
                <w:highlight w:val="none"/>
                <w:lang w:val="en-US" w:eastAsia="zh-CN"/>
              </w:rPr>
              <w:t>。</w:t>
            </w:r>
          </w:p>
        </w:tc>
      </w:tr>
      <w:tr w14:paraId="3579B7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11" w:type="dxa"/>
            <w:tcBorders>
              <w:tl2br w:val="nil"/>
              <w:tr2bl w:val="nil"/>
            </w:tcBorders>
            <w:noWrap w:val="0"/>
            <w:vAlign w:val="center"/>
          </w:tcPr>
          <w:p w14:paraId="2CBBFF4A">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3</w:t>
            </w:r>
          </w:p>
        </w:tc>
        <w:tc>
          <w:tcPr>
            <w:tcW w:w="7711" w:type="dxa"/>
            <w:tcBorders>
              <w:tl2br w:val="nil"/>
              <w:tr2bl w:val="nil"/>
            </w:tcBorders>
            <w:noWrap w:val="0"/>
            <w:vAlign w:val="center"/>
          </w:tcPr>
          <w:p w14:paraId="46E543A0">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与其他投标供应商的投标文件或部分投标文件</w:t>
            </w:r>
            <w:r>
              <w:rPr>
                <w:rFonts w:hint="eastAsia" w:ascii="宋体" w:hAnsi="宋体" w:eastAsia="宋体" w:cs="宋体"/>
                <w:b/>
                <w:bCs/>
                <w:color w:val="FF0000"/>
                <w:sz w:val="21"/>
                <w:szCs w:val="21"/>
                <w:highlight w:val="none"/>
                <w:lang w:val="en-US" w:eastAsia="zh-CN"/>
              </w:rPr>
              <w:t>相互混装或存在非正常一致</w:t>
            </w:r>
            <w:r>
              <w:rPr>
                <w:rFonts w:hint="eastAsia" w:ascii="宋体" w:hAnsi="宋体" w:eastAsia="宋体" w:cs="宋体"/>
                <w:color w:val="FF0000"/>
                <w:sz w:val="21"/>
                <w:szCs w:val="21"/>
                <w:highlight w:val="none"/>
                <w:lang w:val="en-US" w:eastAsia="zh-CN"/>
              </w:rPr>
              <w:t>。</w:t>
            </w:r>
          </w:p>
        </w:tc>
      </w:tr>
      <w:tr w14:paraId="253844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11" w:type="dxa"/>
            <w:tcBorders>
              <w:tl2br w:val="nil"/>
              <w:tr2bl w:val="nil"/>
            </w:tcBorders>
            <w:noWrap w:val="0"/>
            <w:vAlign w:val="center"/>
          </w:tcPr>
          <w:p w14:paraId="3757922C">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4</w:t>
            </w:r>
          </w:p>
        </w:tc>
        <w:tc>
          <w:tcPr>
            <w:tcW w:w="7711" w:type="dxa"/>
            <w:tcBorders>
              <w:tl2br w:val="nil"/>
              <w:tr2bl w:val="nil"/>
            </w:tcBorders>
            <w:noWrap w:val="0"/>
            <w:vAlign w:val="center"/>
          </w:tcPr>
          <w:p w14:paraId="25B69785">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FF0000"/>
                <w:kern w:val="2"/>
                <w:sz w:val="21"/>
                <w:szCs w:val="21"/>
                <w:highlight w:val="none"/>
                <w:lang w:val="en-US" w:eastAsia="zh-CN" w:bidi="ar-SA"/>
              </w:rPr>
            </w:pPr>
            <w:r>
              <w:rPr>
                <w:rFonts w:hint="eastAsia" w:ascii="宋体" w:hAnsi="宋体" w:eastAsia="宋体" w:cs="宋体"/>
                <w:color w:val="FF0000"/>
                <w:sz w:val="21"/>
                <w:szCs w:val="21"/>
                <w:highlight w:val="none"/>
                <w:lang w:val="en-US" w:eastAsia="zh-CN"/>
              </w:rPr>
              <w:t>与其他投标供应商的投标文件由</w:t>
            </w:r>
            <w:r>
              <w:rPr>
                <w:rFonts w:hint="eastAsia" w:ascii="宋体" w:hAnsi="宋体" w:eastAsia="宋体" w:cs="宋体"/>
                <w:b/>
                <w:bCs/>
                <w:color w:val="FF0000"/>
                <w:sz w:val="21"/>
                <w:szCs w:val="21"/>
                <w:highlight w:val="none"/>
                <w:lang w:val="en-US" w:eastAsia="zh-CN"/>
              </w:rPr>
              <w:t>同一单位或者同一人编制</w:t>
            </w:r>
            <w:r>
              <w:rPr>
                <w:rFonts w:hint="eastAsia" w:ascii="宋体" w:hAnsi="宋体" w:eastAsia="宋体" w:cs="宋体"/>
                <w:color w:val="FF0000"/>
                <w:sz w:val="21"/>
                <w:szCs w:val="21"/>
                <w:highlight w:val="none"/>
                <w:lang w:val="en-US" w:eastAsia="zh-CN"/>
              </w:rPr>
              <w:t>，或者使用</w:t>
            </w:r>
            <w:r>
              <w:rPr>
                <w:rFonts w:hint="eastAsia" w:ascii="宋体" w:hAnsi="宋体" w:eastAsia="宋体" w:cs="宋体"/>
                <w:b/>
                <w:bCs/>
                <w:color w:val="FF0000"/>
                <w:sz w:val="21"/>
                <w:szCs w:val="21"/>
                <w:highlight w:val="none"/>
                <w:lang w:val="en-US" w:eastAsia="zh-CN"/>
              </w:rPr>
              <w:t>同一设备编制</w:t>
            </w:r>
            <w:r>
              <w:rPr>
                <w:rFonts w:hint="eastAsia" w:ascii="宋体" w:hAnsi="宋体" w:eastAsia="宋体" w:cs="宋体"/>
                <w:color w:val="FF0000"/>
                <w:sz w:val="21"/>
                <w:szCs w:val="21"/>
                <w:highlight w:val="none"/>
                <w:lang w:val="en-US" w:eastAsia="zh-CN"/>
              </w:rPr>
              <w:t>（“文件制作机器码”“文件创建标识码”一致）。</w:t>
            </w:r>
          </w:p>
        </w:tc>
      </w:tr>
      <w:tr w14:paraId="64582C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11" w:type="dxa"/>
            <w:tcBorders>
              <w:tl2br w:val="nil"/>
              <w:tr2bl w:val="nil"/>
            </w:tcBorders>
            <w:noWrap w:val="0"/>
            <w:vAlign w:val="center"/>
          </w:tcPr>
          <w:p w14:paraId="67848132">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5</w:t>
            </w:r>
          </w:p>
        </w:tc>
        <w:tc>
          <w:tcPr>
            <w:tcW w:w="7711" w:type="dxa"/>
            <w:tcBorders>
              <w:tl2br w:val="nil"/>
              <w:tr2bl w:val="nil"/>
            </w:tcBorders>
            <w:noWrap w:val="0"/>
            <w:vAlign w:val="center"/>
          </w:tcPr>
          <w:p w14:paraId="06C2ECDD">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提供</w:t>
            </w:r>
            <w:r>
              <w:rPr>
                <w:rFonts w:hint="eastAsia" w:ascii="宋体" w:hAnsi="宋体" w:eastAsia="宋体" w:cs="宋体"/>
                <w:b/>
                <w:bCs/>
                <w:color w:val="FF0000"/>
                <w:sz w:val="21"/>
                <w:szCs w:val="21"/>
                <w:highlight w:val="none"/>
                <w:lang w:val="en-US" w:eastAsia="zh-CN"/>
              </w:rPr>
              <w:t>未经出具机构核实</w:t>
            </w:r>
            <w:r>
              <w:rPr>
                <w:rFonts w:hint="eastAsia" w:ascii="宋体" w:hAnsi="宋体" w:eastAsia="宋体" w:cs="宋体"/>
                <w:color w:val="FF0000"/>
                <w:sz w:val="21"/>
                <w:szCs w:val="21"/>
                <w:highlight w:val="none"/>
                <w:lang w:val="en-US" w:eastAsia="zh-CN"/>
              </w:rPr>
              <w:t>的虚假的检验检测报告、业绩材料、社保缴纳证明、学历学位证书、职称认证证书等材料。</w:t>
            </w:r>
          </w:p>
        </w:tc>
      </w:tr>
      <w:tr w14:paraId="2D0E6F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11" w:type="dxa"/>
            <w:tcBorders>
              <w:tl2br w:val="nil"/>
              <w:tr2bl w:val="nil"/>
            </w:tcBorders>
            <w:noWrap w:val="0"/>
            <w:vAlign w:val="center"/>
          </w:tcPr>
          <w:p w14:paraId="51BA02C0">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6</w:t>
            </w:r>
          </w:p>
        </w:tc>
        <w:tc>
          <w:tcPr>
            <w:tcW w:w="7711" w:type="dxa"/>
            <w:tcBorders>
              <w:tl2br w:val="nil"/>
              <w:tr2bl w:val="nil"/>
            </w:tcBorders>
            <w:noWrap w:val="0"/>
            <w:vAlign w:val="center"/>
          </w:tcPr>
          <w:p w14:paraId="08EB7FB9">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FF0000"/>
                <w:kern w:val="2"/>
                <w:sz w:val="21"/>
                <w:szCs w:val="21"/>
                <w:highlight w:val="none"/>
                <w:lang w:val="en-US" w:eastAsia="zh-CN" w:bidi="ar-SA"/>
              </w:rPr>
            </w:pPr>
            <w:r>
              <w:rPr>
                <w:rFonts w:hint="eastAsia" w:ascii="宋体" w:hAnsi="宋体" w:eastAsia="宋体" w:cs="宋体"/>
                <w:color w:val="FF0000"/>
                <w:sz w:val="21"/>
                <w:szCs w:val="21"/>
                <w:highlight w:val="none"/>
                <w:lang w:val="en-US" w:eastAsia="zh-CN"/>
              </w:rPr>
              <w:t>擅自将投标密钥</w:t>
            </w:r>
            <w:r>
              <w:rPr>
                <w:rFonts w:hint="eastAsia" w:ascii="宋体" w:hAnsi="宋体" w:eastAsia="宋体" w:cs="宋体"/>
                <w:color w:val="FF0000"/>
                <w:sz w:val="21"/>
                <w:szCs w:val="21"/>
                <w:highlight w:val="none"/>
                <w:lang w:eastAsia="zh-CN"/>
              </w:rPr>
              <w:t>或</w:t>
            </w:r>
            <w:r>
              <w:rPr>
                <w:rFonts w:hint="eastAsia" w:ascii="宋体" w:hAnsi="宋体" w:eastAsia="宋体" w:cs="宋体"/>
                <w:color w:val="FF0000"/>
                <w:sz w:val="21"/>
                <w:szCs w:val="21"/>
                <w:highlight w:val="none"/>
                <w:lang w:val="en-US" w:eastAsia="zh-CN"/>
              </w:rPr>
              <w:t>电子营业执照出借他人使用或未妥善保管。</w:t>
            </w:r>
          </w:p>
        </w:tc>
      </w:tr>
    </w:tbl>
    <w:p w14:paraId="614C1EAE">
      <w:pPr>
        <w:keepNext w:val="0"/>
        <w:keepLines w:val="0"/>
        <w:pageBreakBefore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beforeAutospacing="0" w:afterAutospacing="0" w:line="240" w:lineRule="auto"/>
        <w:ind w:firstLine="400" w:firstLineChars="200"/>
        <w:textAlignment w:val="auto"/>
        <w:rPr>
          <w:rFonts w:ascii="宋体" w:hAnsi="宋体"/>
          <w:color w:val="FF0000"/>
          <w:sz w:val="20"/>
          <w:szCs w:val="20"/>
        </w:rPr>
      </w:pPr>
      <w:r>
        <w:rPr>
          <w:rFonts w:hint="eastAsia" w:ascii="宋体" w:hAnsi="宋体"/>
          <w:color w:val="FF0000"/>
          <w:sz w:val="20"/>
          <w:szCs w:val="20"/>
        </w:rPr>
        <w:t>一、</w:t>
      </w:r>
      <w:r>
        <w:rPr>
          <w:rFonts w:hint="eastAsia" w:ascii="宋体" w:hAnsi="宋体"/>
          <w:b/>
          <w:bCs/>
          <w:color w:val="FF0000"/>
          <w:sz w:val="20"/>
          <w:szCs w:val="20"/>
        </w:rPr>
        <w:t>《深圳经济特区政府采购条例》第五十七条</w:t>
      </w:r>
      <w:r>
        <w:rPr>
          <w:rFonts w:hint="eastAsia" w:ascii="宋体" w:hAnsi="宋体"/>
          <w:color w:val="FF0000"/>
          <w:sz w:val="20"/>
          <w:szCs w:val="20"/>
        </w:rPr>
        <w:t xml:space="preserve"> 供应商在政府采购中，有下列行为之一的，一至三年内禁止其参与本市政府采购，并由主管部门记入供应商诚信档案，处采购金额千分之十以上千分之二十以下的罚款；情节严重的，取消其参与本市政府采购资格，处采购金额千分之二十以上千分之三十以下的罚款，并由市场监管部门依法吊销其营业执照；给他人造成损失的，依法承担赔偿责任；构成犯罪的，依法追究刑事责任：</w:t>
      </w:r>
    </w:p>
    <w:p w14:paraId="30D48EDF">
      <w:pPr>
        <w:keepNext w:val="0"/>
        <w:keepLines w:val="0"/>
        <w:pageBreakBefore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beforeAutospacing="0" w:afterAutospacing="0" w:line="240" w:lineRule="auto"/>
        <w:ind w:firstLine="400" w:firstLineChars="200"/>
        <w:textAlignment w:val="auto"/>
        <w:rPr>
          <w:rFonts w:ascii="宋体" w:hAnsi="宋体"/>
          <w:color w:val="FF0000"/>
          <w:sz w:val="20"/>
          <w:szCs w:val="20"/>
        </w:rPr>
      </w:pPr>
      <w:r>
        <w:rPr>
          <w:rFonts w:hint="eastAsia" w:ascii="宋体" w:hAnsi="宋体"/>
          <w:color w:val="FF0000"/>
          <w:sz w:val="20"/>
          <w:szCs w:val="20"/>
        </w:rPr>
        <w:t>（一）在采购活动中应当回避而未回避的；</w:t>
      </w:r>
    </w:p>
    <w:p w14:paraId="2E431EE3">
      <w:pPr>
        <w:keepNext w:val="0"/>
        <w:keepLines w:val="0"/>
        <w:pageBreakBefore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beforeAutospacing="0" w:afterAutospacing="0" w:line="240" w:lineRule="auto"/>
        <w:ind w:firstLine="400" w:firstLineChars="200"/>
        <w:textAlignment w:val="auto"/>
        <w:rPr>
          <w:rFonts w:ascii="宋体" w:hAnsi="宋体"/>
          <w:color w:val="FF0000"/>
          <w:sz w:val="20"/>
          <w:szCs w:val="20"/>
        </w:rPr>
      </w:pPr>
      <w:r>
        <w:rPr>
          <w:rFonts w:hint="eastAsia" w:ascii="宋体" w:hAnsi="宋体"/>
          <w:color w:val="FF0000"/>
          <w:sz w:val="20"/>
          <w:szCs w:val="20"/>
        </w:rPr>
        <w:t>（二）未按本条例规定签订、履行采购合同，造成严重后果的；</w:t>
      </w:r>
    </w:p>
    <w:p w14:paraId="1C13E53C">
      <w:pPr>
        <w:keepNext w:val="0"/>
        <w:keepLines w:val="0"/>
        <w:pageBreakBefore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beforeAutospacing="0" w:afterAutospacing="0" w:line="240" w:lineRule="auto"/>
        <w:ind w:firstLine="400" w:firstLineChars="200"/>
        <w:textAlignment w:val="auto"/>
        <w:rPr>
          <w:rFonts w:ascii="宋体" w:hAnsi="宋体"/>
          <w:color w:val="FF0000"/>
          <w:sz w:val="20"/>
          <w:szCs w:val="20"/>
        </w:rPr>
      </w:pPr>
      <w:r>
        <w:rPr>
          <w:rFonts w:hint="eastAsia" w:ascii="宋体" w:hAnsi="宋体"/>
          <w:color w:val="FF0000"/>
          <w:sz w:val="20"/>
          <w:szCs w:val="20"/>
        </w:rPr>
        <w:t>（三）隐瞒真实情况，提供虚假资料的；</w:t>
      </w:r>
    </w:p>
    <w:p w14:paraId="44BDDAF2">
      <w:pPr>
        <w:keepNext w:val="0"/>
        <w:keepLines w:val="0"/>
        <w:pageBreakBefore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beforeAutospacing="0" w:afterAutospacing="0" w:line="240" w:lineRule="auto"/>
        <w:ind w:firstLine="400" w:firstLineChars="200"/>
        <w:textAlignment w:val="auto"/>
        <w:rPr>
          <w:rFonts w:ascii="宋体" w:hAnsi="宋体"/>
          <w:color w:val="FF0000"/>
          <w:sz w:val="20"/>
          <w:szCs w:val="20"/>
        </w:rPr>
      </w:pPr>
      <w:r>
        <w:rPr>
          <w:rFonts w:hint="eastAsia" w:ascii="宋体" w:hAnsi="宋体"/>
          <w:color w:val="FF0000"/>
          <w:sz w:val="20"/>
          <w:szCs w:val="20"/>
        </w:rPr>
        <w:t>（四）以非法手段排斥其他供应商参与竞争的；</w:t>
      </w:r>
    </w:p>
    <w:p w14:paraId="07E68319">
      <w:pPr>
        <w:keepNext w:val="0"/>
        <w:keepLines w:val="0"/>
        <w:pageBreakBefore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beforeAutospacing="0" w:afterAutospacing="0" w:line="240" w:lineRule="auto"/>
        <w:ind w:firstLine="400" w:firstLineChars="200"/>
        <w:textAlignment w:val="auto"/>
        <w:rPr>
          <w:rFonts w:ascii="宋体" w:hAnsi="宋体"/>
          <w:color w:val="FF0000"/>
          <w:sz w:val="20"/>
          <w:szCs w:val="20"/>
        </w:rPr>
      </w:pPr>
      <w:r>
        <w:rPr>
          <w:rFonts w:hint="eastAsia" w:ascii="宋体" w:hAnsi="宋体"/>
          <w:color w:val="FF0000"/>
          <w:sz w:val="20"/>
          <w:szCs w:val="20"/>
        </w:rPr>
        <w:t>（五）与其他采购参加人串通投标的；</w:t>
      </w:r>
    </w:p>
    <w:p w14:paraId="4F045647">
      <w:pPr>
        <w:keepNext w:val="0"/>
        <w:keepLines w:val="0"/>
        <w:pageBreakBefore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beforeAutospacing="0" w:afterAutospacing="0" w:line="240" w:lineRule="auto"/>
        <w:ind w:firstLine="400" w:firstLineChars="200"/>
        <w:textAlignment w:val="auto"/>
        <w:rPr>
          <w:rFonts w:ascii="宋体" w:hAnsi="宋体"/>
          <w:color w:val="FF0000"/>
          <w:sz w:val="20"/>
          <w:szCs w:val="20"/>
        </w:rPr>
      </w:pPr>
      <w:r>
        <w:rPr>
          <w:rFonts w:hint="eastAsia" w:ascii="宋体" w:hAnsi="宋体"/>
          <w:color w:val="FF0000"/>
          <w:sz w:val="20"/>
          <w:szCs w:val="20"/>
        </w:rPr>
        <w:t>（六）恶意投诉的；</w:t>
      </w:r>
    </w:p>
    <w:p w14:paraId="28AE3F28">
      <w:pPr>
        <w:keepNext w:val="0"/>
        <w:keepLines w:val="0"/>
        <w:pageBreakBefore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beforeAutospacing="0" w:afterAutospacing="0" w:line="240" w:lineRule="auto"/>
        <w:ind w:firstLine="400" w:firstLineChars="200"/>
        <w:textAlignment w:val="auto"/>
        <w:rPr>
          <w:rFonts w:ascii="宋体" w:hAnsi="宋体"/>
          <w:color w:val="FF0000"/>
          <w:sz w:val="20"/>
          <w:szCs w:val="20"/>
        </w:rPr>
      </w:pPr>
      <w:r>
        <w:rPr>
          <w:rFonts w:hint="eastAsia" w:ascii="宋体" w:hAnsi="宋体"/>
          <w:color w:val="FF0000"/>
          <w:sz w:val="20"/>
          <w:szCs w:val="20"/>
        </w:rPr>
        <w:t>（七）向采购项目相关人行贿或者提供其他不当利益的；</w:t>
      </w:r>
    </w:p>
    <w:p w14:paraId="21B079B1">
      <w:pPr>
        <w:keepNext w:val="0"/>
        <w:keepLines w:val="0"/>
        <w:pageBreakBefore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beforeAutospacing="0" w:afterAutospacing="0" w:line="240" w:lineRule="auto"/>
        <w:ind w:firstLine="400" w:firstLineChars="200"/>
        <w:textAlignment w:val="auto"/>
        <w:rPr>
          <w:rFonts w:ascii="宋体" w:hAnsi="宋体"/>
          <w:color w:val="FF0000"/>
          <w:sz w:val="20"/>
          <w:szCs w:val="20"/>
        </w:rPr>
      </w:pPr>
      <w:r>
        <w:rPr>
          <w:rFonts w:hint="eastAsia" w:ascii="宋体" w:hAnsi="宋体"/>
          <w:color w:val="FF0000"/>
          <w:sz w:val="20"/>
          <w:szCs w:val="20"/>
        </w:rPr>
        <w:t>（八）阻碍、抗拒主管部门监督检查的；</w:t>
      </w:r>
    </w:p>
    <w:p w14:paraId="78AF9E91">
      <w:pPr>
        <w:keepNext w:val="0"/>
        <w:keepLines w:val="0"/>
        <w:pageBreakBefore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beforeAutospacing="0" w:afterAutospacing="0" w:line="240" w:lineRule="auto"/>
        <w:ind w:firstLine="400" w:firstLineChars="200"/>
        <w:textAlignment w:val="auto"/>
        <w:rPr>
          <w:rFonts w:ascii="宋体" w:hAnsi="宋体"/>
          <w:color w:val="FF0000"/>
          <w:sz w:val="20"/>
          <w:szCs w:val="20"/>
        </w:rPr>
      </w:pPr>
      <w:r>
        <w:rPr>
          <w:rFonts w:hint="eastAsia" w:ascii="宋体" w:hAnsi="宋体"/>
          <w:color w:val="FF0000"/>
          <w:sz w:val="20"/>
          <w:szCs w:val="20"/>
        </w:rPr>
        <w:t>（九）其他违反本条例规定的行为。</w:t>
      </w:r>
    </w:p>
    <w:p w14:paraId="2596EDA6">
      <w:pPr>
        <w:keepNext w:val="0"/>
        <w:keepLines w:val="0"/>
        <w:pageBreakBefore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beforeAutospacing="0" w:afterAutospacing="0" w:line="240" w:lineRule="auto"/>
        <w:textAlignment w:val="auto"/>
        <w:rPr>
          <w:rFonts w:hint="eastAsia" w:ascii="宋体" w:hAnsi="宋体"/>
          <w:b/>
          <w:bCs/>
          <w:color w:val="FF0000"/>
          <w:sz w:val="20"/>
          <w:szCs w:val="20"/>
        </w:rPr>
      </w:pPr>
    </w:p>
    <w:p w14:paraId="78FF21E8">
      <w:pPr>
        <w:keepNext w:val="0"/>
        <w:keepLines w:val="0"/>
        <w:pageBreakBefore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beforeAutospacing="0" w:afterAutospacing="0" w:line="240" w:lineRule="auto"/>
        <w:ind w:firstLine="402" w:firstLineChars="200"/>
        <w:textAlignment w:val="auto"/>
        <w:rPr>
          <w:rFonts w:ascii="宋体" w:hAnsi="宋体"/>
          <w:color w:val="FF0000"/>
          <w:sz w:val="20"/>
          <w:szCs w:val="20"/>
        </w:rPr>
      </w:pPr>
      <w:r>
        <w:rPr>
          <w:rFonts w:hint="eastAsia" w:ascii="宋体" w:hAnsi="宋体"/>
          <w:b/>
          <w:bCs/>
          <w:color w:val="FF0000"/>
          <w:sz w:val="20"/>
          <w:szCs w:val="20"/>
        </w:rPr>
        <w:t>二、《深圳经济特区政府采购条例实施细则》第七十五条</w:t>
      </w:r>
      <w:r>
        <w:rPr>
          <w:rFonts w:hint="eastAsia" w:ascii="宋体" w:hAnsi="宋体"/>
          <w:b/>
          <w:bCs/>
          <w:color w:val="FF0000"/>
          <w:sz w:val="20"/>
          <w:szCs w:val="20"/>
          <w:lang w:val="en-US" w:eastAsia="zh-CN"/>
        </w:rPr>
        <w:t xml:space="preserve"> </w:t>
      </w:r>
      <w:r>
        <w:rPr>
          <w:rFonts w:hint="eastAsia" w:ascii="宋体" w:hAnsi="宋体"/>
          <w:color w:val="FF0000"/>
          <w:sz w:val="20"/>
          <w:szCs w:val="20"/>
        </w:rPr>
        <w:t>供应商有下列情形</w:t>
      </w:r>
      <w:r>
        <w:rPr>
          <w:rFonts w:hint="eastAsia" w:ascii="宋体" w:hAnsi="宋体"/>
          <w:color w:val="FF0000"/>
          <w:sz w:val="20"/>
          <w:szCs w:val="20"/>
          <w:lang w:val="en-US" w:eastAsia="zh-CN"/>
        </w:rPr>
        <w:t>之一</w:t>
      </w:r>
      <w:r>
        <w:rPr>
          <w:rFonts w:hint="eastAsia" w:ascii="宋体" w:hAnsi="宋体"/>
          <w:color w:val="FF0000"/>
          <w:sz w:val="20"/>
          <w:szCs w:val="20"/>
        </w:rPr>
        <w:t>的，属于采购条例所称的串通投标行为，按照采购条例第五十七条有关规定处理：（一）投标供应商之间相互约定给予未中标的供应商利益补偿</w:t>
      </w:r>
      <w:r>
        <w:rPr>
          <w:rFonts w:hint="eastAsia" w:ascii="宋体" w:hAnsi="宋体"/>
          <w:color w:val="FF0000"/>
          <w:sz w:val="20"/>
          <w:szCs w:val="20"/>
          <w:lang w:eastAsia="zh-CN"/>
        </w:rPr>
        <w:t>。</w:t>
      </w:r>
      <w:r>
        <w:rPr>
          <w:rFonts w:hint="eastAsia" w:ascii="宋体" w:hAnsi="宋体"/>
          <w:color w:val="FF0000"/>
          <w:sz w:val="20"/>
          <w:szCs w:val="20"/>
        </w:rPr>
        <w:t>（二）不同投标供应商的法定代表人、主要经营负责人、项目投标授权代表人、项目负责人、主要技术人员为同一人、属同一单位或者在同一单位缴纳社会保险</w:t>
      </w:r>
      <w:r>
        <w:rPr>
          <w:rFonts w:hint="eastAsia" w:ascii="宋体" w:hAnsi="宋体"/>
          <w:color w:val="FF0000"/>
          <w:sz w:val="20"/>
          <w:szCs w:val="20"/>
          <w:lang w:eastAsia="zh-CN"/>
        </w:rPr>
        <w:t>。</w:t>
      </w:r>
      <w:r>
        <w:rPr>
          <w:rFonts w:hint="eastAsia" w:ascii="宋体" w:hAnsi="宋体"/>
          <w:color w:val="FF0000"/>
          <w:sz w:val="20"/>
          <w:szCs w:val="20"/>
        </w:rPr>
        <w:t>（三）不同投标供应商的投标文件由同一单位或者同一人编制，或者由同一人分阶段参与编制的</w:t>
      </w:r>
      <w:r>
        <w:rPr>
          <w:rFonts w:hint="eastAsia" w:ascii="宋体" w:hAnsi="宋体"/>
          <w:color w:val="FF0000"/>
          <w:sz w:val="20"/>
          <w:szCs w:val="20"/>
          <w:lang w:eastAsia="zh-CN"/>
        </w:rPr>
        <w:t>。</w:t>
      </w:r>
      <w:r>
        <w:rPr>
          <w:rFonts w:hint="eastAsia" w:ascii="宋体" w:hAnsi="宋体"/>
          <w:color w:val="FF0000"/>
          <w:sz w:val="20"/>
          <w:szCs w:val="20"/>
        </w:rPr>
        <w:t>（四）不同投标供应商的投标文件或部分投标文件相互混装</w:t>
      </w:r>
      <w:r>
        <w:rPr>
          <w:rFonts w:hint="eastAsia" w:ascii="宋体" w:hAnsi="宋体"/>
          <w:color w:val="FF0000"/>
          <w:sz w:val="20"/>
          <w:szCs w:val="20"/>
          <w:lang w:eastAsia="zh-CN"/>
        </w:rPr>
        <w:t>。</w:t>
      </w:r>
      <w:r>
        <w:rPr>
          <w:rFonts w:hint="eastAsia" w:ascii="宋体" w:hAnsi="宋体"/>
          <w:color w:val="FF0000"/>
          <w:sz w:val="20"/>
          <w:szCs w:val="20"/>
        </w:rPr>
        <w:t>（五）不同投标供应商的投标文件内容存在非正常一致</w:t>
      </w:r>
      <w:r>
        <w:rPr>
          <w:rFonts w:hint="eastAsia" w:ascii="宋体" w:hAnsi="宋体"/>
          <w:color w:val="FF0000"/>
          <w:sz w:val="20"/>
          <w:szCs w:val="20"/>
          <w:lang w:eastAsia="zh-CN"/>
        </w:rPr>
        <w:t>。</w:t>
      </w:r>
      <w:r>
        <w:rPr>
          <w:rFonts w:hint="eastAsia" w:ascii="宋体" w:hAnsi="宋体"/>
          <w:color w:val="FF0000"/>
          <w:sz w:val="20"/>
          <w:szCs w:val="20"/>
        </w:rPr>
        <w:t>（六）由同一单位工作人员为两家以上（含两家）供应商进行同一项投标活动的</w:t>
      </w:r>
      <w:r>
        <w:rPr>
          <w:rFonts w:hint="eastAsia" w:ascii="宋体" w:hAnsi="宋体"/>
          <w:color w:val="FF0000"/>
          <w:sz w:val="20"/>
          <w:szCs w:val="20"/>
          <w:lang w:eastAsia="zh-CN"/>
        </w:rPr>
        <w:t>。</w:t>
      </w:r>
      <w:r>
        <w:rPr>
          <w:rFonts w:hint="eastAsia" w:ascii="宋体" w:hAnsi="宋体"/>
          <w:color w:val="FF0000"/>
          <w:sz w:val="20"/>
          <w:szCs w:val="20"/>
        </w:rPr>
        <w:t>（七）主管部门依照法律、法规认定的其他情形。</w:t>
      </w:r>
    </w:p>
    <w:p w14:paraId="261F052F">
      <w:pPr>
        <w:keepNext w:val="0"/>
        <w:keepLines w:val="0"/>
        <w:pageBreakBefore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beforeAutospacing="0" w:afterAutospacing="0" w:line="240" w:lineRule="auto"/>
        <w:ind w:firstLine="402" w:firstLineChars="200"/>
        <w:textAlignment w:val="auto"/>
        <w:rPr>
          <w:rFonts w:hint="eastAsia" w:ascii="宋体" w:hAnsi="宋体"/>
          <w:b/>
          <w:bCs/>
          <w:color w:val="FF0000"/>
          <w:sz w:val="20"/>
          <w:szCs w:val="20"/>
        </w:rPr>
      </w:pPr>
    </w:p>
    <w:p w14:paraId="1741B862">
      <w:pPr>
        <w:keepNext w:val="0"/>
        <w:keepLines w:val="0"/>
        <w:pageBreakBefore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beforeAutospacing="0" w:afterAutospacing="0" w:line="240" w:lineRule="auto"/>
        <w:ind w:firstLine="402" w:firstLineChars="200"/>
        <w:textAlignment w:val="auto"/>
        <w:rPr>
          <w:rFonts w:ascii="宋体" w:hAnsi="宋体"/>
          <w:color w:val="FF0000"/>
          <w:sz w:val="20"/>
          <w:szCs w:val="20"/>
        </w:rPr>
      </w:pPr>
      <w:r>
        <w:rPr>
          <w:rFonts w:hint="eastAsia" w:ascii="宋体" w:hAnsi="宋体"/>
          <w:b/>
          <w:bCs/>
          <w:color w:val="FF0000"/>
          <w:sz w:val="20"/>
          <w:szCs w:val="20"/>
        </w:rPr>
        <w:t>三、《深圳经济特区政府采购条例实施细则》第七十七条</w:t>
      </w:r>
      <w:r>
        <w:rPr>
          <w:rFonts w:hint="eastAsia" w:ascii="宋体" w:hAnsi="宋体"/>
          <w:b/>
          <w:bCs/>
          <w:color w:val="FF0000"/>
          <w:sz w:val="20"/>
          <w:szCs w:val="20"/>
          <w:lang w:val="en-US" w:eastAsia="zh-CN"/>
        </w:rPr>
        <w:t xml:space="preserve"> </w:t>
      </w:r>
      <w:r>
        <w:rPr>
          <w:rFonts w:hint="eastAsia" w:ascii="宋体" w:hAnsi="宋体"/>
          <w:color w:val="FF0000"/>
          <w:sz w:val="20"/>
          <w:szCs w:val="20"/>
        </w:rPr>
        <w:t>供应商有下列情形之一的，属于隐瞒真实情况，提供虚假资料，按照采购条例第五十七</w:t>
      </w:r>
      <w:r>
        <w:rPr>
          <w:rFonts w:hint="eastAsia" w:ascii="宋体" w:hAnsi="宋体"/>
          <w:color w:val="FF0000"/>
          <w:sz w:val="20"/>
          <w:szCs w:val="20"/>
          <w:lang w:val="en-US" w:eastAsia="zh-CN"/>
        </w:rPr>
        <w:t>条</w:t>
      </w:r>
      <w:r>
        <w:rPr>
          <w:rFonts w:hint="eastAsia" w:ascii="宋体" w:hAnsi="宋体"/>
          <w:color w:val="FF0000"/>
          <w:sz w:val="20"/>
          <w:szCs w:val="20"/>
        </w:rPr>
        <w:t>的有关规定处理：（一）通过转让或者租借等方式从其他单位获取资格或者资质证书投标的</w:t>
      </w:r>
      <w:r>
        <w:rPr>
          <w:rFonts w:hint="eastAsia" w:ascii="宋体" w:hAnsi="宋体"/>
          <w:color w:val="FF0000"/>
          <w:sz w:val="20"/>
          <w:szCs w:val="20"/>
          <w:lang w:eastAsia="zh-CN"/>
        </w:rPr>
        <w:t>。</w:t>
      </w:r>
      <w:r>
        <w:rPr>
          <w:rFonts w:hint="eastAsia" w:ascii="宋体" w:hAnsi="宋体"/>
          <w:color w:val="FF0000"/>
          <w:sz w:val="20"/>
          <w:szCs w:val="20"/>
        </w:rPr>
        <w:t>（二）由其他单位或者其他单位负责人在投标供应商编制的投标文件上加盖印章或者签字的</w:t>
      </w:r>
      <w:r>
        <w:rPr>
          <w:rFonts w:hint="eastAsia" w:ascii="宋体" w:hAnsi="宋体"/>
          <w:color w:val="FF0000"/>
          <w:sz w:val="20"/>
          <w:szCs w:val="20"/>
          <w:lang w:eastAsia="zh-CN"/>
        </w:rPr>
        <w:t>。</w:t>
      </w:r>
      <w:r>
        <w:rPr>
          <w:rFonts w:hint="eastAsia" w:ascii="宋体" w:hAnsi="宋体"/>
          <w:color w:val="FF0000"/>
          <w:sz w:val="20"/>
          <w:szCs w:val="20"/>
        </w:rPr>
        <w:t>（三）项目负责人或者主要技术人员不是本单位人员的</w:t>
      </w:r>
      <w:r>
        <w:rPr>
          <w:rFonts w:hint="eastAsia" w:ascii="宋体" w:hAnsi="宋体"/>
          <w:color w:val="FF0000"/>
          <w:sz w:val="20"/>
          <w:szCs w:val="20"/>
          <w:lang w:eastAsia="zh-CN"/>
        </w:rPr>
        <w:t>。</w:t>
      </w:r>
      <w:r>
        <w:rPr>
          <w:rFonts w:hint="eastAsia" w:ascii="宋体" w:hAnsi="宋体"/>
          <w:color w:val="FF0000"/>
          <w:sz w:val="20"/>
          <w:szCs w:val="20"/>
        </w:rPr>
        <w:t>（四）投标保证金不是从投标供应商基本账户转出的</w:t>
      </w:r>
      <w:r>
        <w:rPr>
          <w:rFonts w:hint="eastAsia" w:ascii="宋体" w:hAnsi="宋体"/>
          <w:color w:val="FF0000"/>
          <w:sz w:val="20"/>
          <w:szCs w:val="20"/>
          <w:lang w:eastAsia="zh-CN"/>
        </w:rPr>
        <w:t>。</w:t>
      </w:r>
      <w:r>
        <w:rPr>
          <w:rFonts w:hint="eastAsia" w:ascii="宋体" w:hAnsi="宋体"/>
          <w:color w:val="FF0000"/>
          <w:sz w:val="20"/>
          <w:szCs w:val="20"/>
        </w:rPr>
        <w:t>（五）其他隐瞒真实情况、提供虚假资料的行为。</w:t>
      </w:r>
    </w:p>
    <w:p w14:paraId="27B3B6E5">
      <w:pPr>
        <w:keepNext w:val="0"/>
        <w:keepLines w:val="0"/>
        <w:pageBreakBefore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beforeAutospacing="0" w:afterAutospacing="0" w:line="240" w:lineRule="auto"/>
        <w:ind w:firstLine="400" w:firstLineChars="200"/>
        <w:textAlignment w:val="auto"/>
        <w:rPr>
          <w:rFonts w:ascii="宋体" w:hAnsi="宋体"/>
          <w:color w:val="FF0000"/>
          <w:sz w:val="20"/>
          <w:szCs w:val="20"/>
        </w:rPr>
      </w:pPr>
      <w:r>
        <w:rPr>
          <w:rFonts w:hint="eastAsia" w:ascii="宋体" w:hAnsi="宋体"/>
          <w:color w:val="FF0000"/>
          <w:sz w:val="20"/>
          <w:szCs w:val="20"/>
        </w:rPr>
        <w:t>投标供应商不能提供项目负责人或者主要技术人员的劳动合同、社会保险等劳动关系证明材料的，视为存在前款第（三）项规定的情形。</w:t>
      </w:r>
    </w:p>
    <w:p w14:paraId="4D6193A0">
      <w:pPr>
        <w:keepNext w:val="0"/>
        <w:keepLines w:val="0"/>
        <w:pageBreakBefore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beforeAutospacing="0" w:afterAutospacing="0" w:line="240" w:lineRule="auto"/>
        <w:ind w:firstLine="400" w:firstLineChars="200"/>
        <w:textAlignment w:val="auto"/>
        <w:rPr>
          <w:rFonts w:hint="eastAsia"/>
          <w:b w:val="0"/>
          <w:bCs/>
          <w:color w:val="FF0000"/>
          <w:sz w:val="20"/>
          <w:szCs w:val="20"/>
          <w:lang w:val="en-US" w:eastAsia="zh-CN"/>
        </w:rPr>
      </w:pPr>
    </w:p>
    <w:p w14:paraId="2848FD84">
      <w:pPr>
        <w:keepNext w:val="0"/>
        <w:keepLines w:val="0"/>
        <w:pageBreakBefore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beforeAutospacing="0" w:afterAutospacing="0" w:line="240" w:lineRule="auto"/>
        <w:ind w:firstLine="400" w:firstLineChars="200"/>
        <w:textAlignment w:val="auto"/>
        <w:rPr>
          <w:rFonts w:hint="eastAsia"/>
          <w:b w:val="0"/>
          <w:bCs/>
          <w:color w:val="FF0000"/>
          <w:sz w:val="20"/>
          <w:szCs w:val="20"/>
          <w:lang w:val="en-US" w:eastAsia="zh-CN"/>
        </w:rPr>
      </w:pPr>
      <w:r>
        <w:rPr>
          <w:rFonts w:hint="eastAsia"/>
          <w:b w:val="0"/>
          <w:bCs/>
          <w:color w:val="FF0000"/>
          <w:sz w:val="20"/>
          <w:szCs w:val="20"/>
          <w:lang w:val="en-US" w:eastAsia="zh-CN"/>
        </w:rPr>
        <w:t>四</w:t>
      </w:r>
      <w:r>
        <w:rPr>
          <w:rFonts w:hint="eastAsia" w:ascii="Times New Roman" w:eastAsia="宋体"/>
          <w:b w:val="0"/>
          <w:bCs/>
          <w:color w:val="FF0000"/>
          <w:sz w:val="20"/>
          <w:szCs w:val="20"/>
          <w:lang w:val="en-US" w:eastAsia="zh-CN"/>
        </w:rPr>
        <w:t>、供应商在使用深圳政府采购智慧平台的投标文件制作工具创建投标文件时，该工具将自动在投标文件中记录文件创建标识码，同时提取投标文件制作电脑的网卡MAC地址、硬盘序列号、CPU序列号、主板序列号和工具标识号，经加密生成文件制作机器码并在投标文件中记录。文件制作机器码一致表明不同供应商使用了同一设备编制投标文件，文件创建标识码一致表明不同供应商的投标文件为同一份文件，IP地址一致表明上传投标文件时使用了相同的网络。</w:t>
      </w:r>
    </w:p>
    <w:p w14:paraId="40AEDE67">
      <w:pPr>
        <w:keepNext w:val="0"/>
        <w:keepLines w:val="0"/>
        <w:pageBreakBefore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beforeAutospacing="0" w:afterAutospacing="0" w:line="240" w:lineRule="auto"/>
        <w:ind w:firstLine="400" w:firstLineChars="200"/>
        <w:textAlignment w:val="auto"/>
        <w:rPr>
          <w:rFonts w:hint="eastAsia"/>
          <w:b w:val="0"/>
          <w:bCs/>
          <w:color w:val="FF0000"/>
          <w:sz w:val="20"/>
          <w:szCs w:val="20"/>
          <w:lang w:val="en-US" w:eastAsia="zh-CN"/>
        </w:rPr>
      </w:pPr>
      <w:r>
        <w:rPr>
          <w:rFonts w:hint="eastAsia" w:ascii="Times New Roman" w:eastAsia="宋体"/>
          <w:b w:val="0"/>
          <w:bCs/>
          <w:color w:val="FF0000"/>
          <w:sz w:val="20"/>
          <w:szCs w:val="20"/>
          <w:lang w:val="en-US" w:eastAsia="zh-CN"/>
        </w:rPr>
        <w:t>为避免出现不同供应商投标文件的文件制作机器码、文件创建标识码、IP地址一致的异常情况，建议各供应商编制、上传投标文件时不要使用公共电脑设备或公共网络。</w:t>
      </w:r>
    </w:p>
    <w:p w14:paraId="7E338769">
      <w:pPr>
        <w:keepNext w:val="0"/>
        <w:keepLines w:val="0"/>
        <w:pageBreakBefore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beforeAutospacing="0" w:afterAutospacing="0" w:line="240" w:lineRule="auto"/>
        <w:ind w:firstLine="400" w:firstLineChars="200"/>
        <w:textAlignment w:val="auto"/>
        <w:rPr>
          <w:rFonts w:hint="eastAsia" w:ascii="Times New Roman" w:eastAsia="宋体"/>
          <w:b w:val="0"/>
          <w:bCs/>
          <w:color w:val="FF0000"/>
          <w:sz w:val="20"/>
          <w:szCs w:val="20"/>
          <w:lang w:val="en-US" w:eastAsia="zh-CN"/>
        </w:rPr>
      </w:pPr>
      <w:r>
        <w:rPr>
          <w:rFonts w:hint="eastAsia" w:ascii="Times New Roman" w:eastAsia="宋体"/>
          <w:b w:val="0"/>
          <w:bCs/>
          <w:color w:val="FF0000"/>
          <w:sz w:val="20"/>
          <w:szCs w:val="20"/>
          <w:lang w:val="en-US" w:eastAsia="zh-CN"/>
        </w:rPr>
        <w:t>根据《深圳经济特区政府采购条例实施细则》第七十五条规定，不同投标供应商的投标文件由同一单位或者同一人编制，或者由同一人分阶段参与编制的，或者由同一单位工作人员为两家以上（含两家）供应商进行同一项投标活动的，属于串通投标行为。一经查实，供应商将面临罚款、一定年限内禁止参与政府采购活动、</w:t>
      </w:r>
      <w:r>
        <w:rPr>
          <w:rFonts w:hint="eastAsia" w:ascii="宋体" w:hAnsi="宋体"/>
          <w:color w:val="FF0000"/>
          <w:sz w:val="20"/>
          <w:szCs w:val="20"/>
        </w:rPr>
        <w:t>取消参与本市政府采购资格</w:t>
      </w:r>
      <w:r>
        <w:rPr>
          <w:rFonts w:hint="eastAsia" w:hAnsi="宋体"/>
          <w:color w:val="FF0000"/>
          <w:sz w:val="20"/>
          <w:szCs w:val="20"/>
          <w:lang w:eastAsia="zh-CN"/>
        </w:rPr>
        <w:t>、</w:t>
      </w:r>
      <w:r>
        <w:rPr>
          <w:rFonts w:hint="eastAsia" w:ascii="宋体" w:hAnsi="宋体"/>
          <w:color w:val="FF0000"/>
          <w:sz w:val="20"/>
          <w:szCs w:val="20"/>
        </w:rPr>
        <w:t>依法吊销其营业</w:t>
      </w:r>
      <w:r>
        <w:rPr>
          <w:rFonts w:hint="eastAsia" w:hAnsi="宋体"/>
          <w:color w:val="FF0000"/>
          <w:sz w:val="20"/>
          <w:szCs w:val="20"/>
          <w:lang w:val="en-US" w:eastAsia="zh-CN"/>
        </w:rPr>
        <w:t>执照等行政处罚，</w:t>
      </w:r>
      <w:r>
        <w:rPr>
          <w:rFonts w:hint="eastAsia" w:ascii="宋体" w:hAnsi="宋体"/>
          <w:color w:val="FF0000"/>
          <w:sz w:val="20"/>
          <w:szCs w:val="20"/>
        </w:rPr>
        <w:t>构成犯罪的，依法追究刑事责任</w:t>
      </w:r>
      <w:r>
        <w:rPr>
          <w:rFonts w:hint="eastAsia" w:ascii="Times New Roman" w:eastAsia="宋体"/>
          <w:b w:val="0"/>
          <w:bCs/>
          <w:color w:val="FF0000"/>
          <w:sz w:val="20"/>
          <w:szCs w:val="20"/>
          <w:lang w:val="en-US" w:eastAsia="zh-CN"/>
        </w:rPr>
        <w:t>，请各供应商独立编制、上传投标文件，妥善保管和使用电子密钥。</w:t>
      </w:r>
    </w:p>
    <w:p w14:paraId="73C5730C">
      <w:pPr>
        <w:keepNext w:val="0"/>
        <w:keepLines w:val="0"/>
        <w:pageBreakBefore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beforeAutospacing="0" w:afterAutospacing="0" w:line="240" w:lineRule="auto"/>
        <w:ind w:firstLine="422" w:firstLineChars="200"/>
        <w:textAlignment w:val="auto"/>
        <w:rPr>
          <w:rFonts w:hint="eastAsia"/>
          <w:b/>
          <w:color w:val="FF0000"/>
          <w:lang w:val="en-US" w:eastAsia="zh-CN"/>
        </w:rPr>
      </w:pPr>
    </w:p>
    <w:p w14:paraId="273ED247">
      <w:pPr>
        <w:keepNext w:val="0"/>
        <w:keepLines w:val="0"/>
        <w:pageBreakBefore w:val="0"/>
        <w:numPr>
          <w:ilvl w:val="0"/>
          <w:numId w:val="0"/>
        </w:numPr>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beforeAutospacing="0" w:afterAutospacing="0" w:line="240" w:lineRule="auto"/>
        <w:ind w:firstLine="422" w:firstLineChars="200"/>
        <w:textAlignment w:val="auto"/>
        <w:rPr>
          <w:rFonts w:hint="eastAsia"/>
          <w:b/>
          <w:color w:val="FF0000"/>
          <w:lang w:eastAsia="zh-CN"/>
        </w:rPr>
      </w:pPr>
      <w:r>
        <w:rPr>
          <w:rFonts w:hint="eastAsia" w:cs="Times New Roman"/>
          <w:b/>
          <w:color w:val="FF0000"/>
          <w:kern w:val="2"/>
          <w:sz w:val="21"/>
          <w:szCs w:val="24"/>
          <w:lang w:val="en-US" w:eastAsia="zh-CN" w:bidi="ar-SA"/>
        </w:rPr>
        <w:t>五</w:t>
      </w:r>
      <w:r>
        <w:rPr>
          <w:rFonts w:hint="eastAsia" w:ascii="Times New Roman" w:hAnsi="Times New Roman" w:eastAsia="宋体" w:cs="Times New Roman"/>
          <w:b/>
          <w:color w:val="FF0000"/>
          <w:kern w:val="2"/>
          <w:sz w:val="21"/>
          <w:szCs w:val="24"/>
          <w:lang w:val="en-US" w:eastAsia="zh-CN" w:bidi="ar-SA"/>
        </w:rPr>
        <w:t>、</w:t>
      </w:r>
      <w:r>
        <w:rPr>
          <w:rFonts w:hint="eastAsia"/>
          <w:b/>
          <w:color w:val="FF0000"/>
        </w:rPr>
        <w:t>投标供应商严格核实所提交检测报告的真实性，除通过国家市场监督管理总局的全国认证认可信息公共服务平台核实报告编号、出具机构等基础信息外，还应尽可能通过检测报告出具机构的官网、邮箱、电话等可靠途径查询所提交检测报告具体内容的真实性（不可轻信检测报告上载明的网址、电话、二维码等），并留存核实过程证据备查，避免因未尽核实义务在投标文件中提交伪造、变造的虚假检测报告而被相关部门予以行政处罚</w:t>
      </w:r>
      <w:r>
        <w:rPr>
          <w:rFonts w:hint="eastAsia"/>
          <w:b/>
          <w:color w:val="FF0000"/>
          <w:lang w:eastAsia="zh-CN"/>
        </w:rPr>
        <w:t>。</w:t>
      </w:r>
    </w:p>
    <w:p w14:paraId="2A589DA0">
      <w:pPr>
        <w:pStyle w:val="19"/>
        <w:keepNext w:val="0"/>
        <w:keepLines w:val="0"/>
        <w:pageBreakBefore w:val="0"/>
        <w:numPr>
          <w:ilvl w:val="0"/>
          <w:numId w:val="0"/>
        </w:numPr>
        <w:kinsoku/>
        <w:wordWrap/>
        <w:overflowPunct/>
        <w:topLinePunct w:val="0"/>
        <w:autoSpaceDE/>
        <w:autoSpaceDN/>
        <w:bidi w:val="0"/>
        <w:adjustRightInd/>
        <w:snapToGrid/>
        <w:spacing w:beforeAutospacing="0" w:afterAutospacing="0" w:line="240" w:lineRule="auto"/>
        <w:textAlignment w:val="auto"/>
        <w:rPr>
          <w:rFonts w:hint="eastAsia"/>
          <w:lang w:val="en-US" w:eastAsia="zh-CN"/>
        </w:rPr>
      </w:pPr>
    </w:p>
    <w:p w14:paraId="5F119392">
      <w:pPr>
        <w:keepNext w:val="0"/>
        <w:keepLines w:val="0"/>
        <w:pageBreakBefore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beforeAutospacing="0" w:afterAutospacing="0" w:line="240" w:lineRule="auto"/>
        <w:ind w:firstLine="422" w:firstLineChars="200"/>
        <w:textAlignment w:val="auto"/>
        <w:rPr>
          <w:rFonts w:hint="eastAsia"/>
          <w:lang w:val="en-US" w:eastAsia="zh-CN"/>
        </w:rPr>
      </w:pPr>
      <w:r>
        <w:rPr>
          <w:rFonts w:hint="eastAsia"/>
          <w:b/>
          <w:color w:val="FF0000"/>
          <w:lang w:val="en-US" w:eastAsia="zh-CN"/>
        </w:rPr>
        <w:t>六</w:t>
      </w:r>
      <w:r>
        <w:rPr>
          <w:rFonts w:hint="eastAsia"/>
          <w:b/>
          <w:color w:val="FF0000"/>
        </w:rPr>
        <w:t>、请投标供应商阅读《政府采购违法行为风险知悉确认书》（内容详见“投标文件附件（信息不公开部分）”中节点“投标人认为需要加以说明的其他内容（格式自定）”），并经各投标供应商负责人签字并加盖单位公章后，扫描上传至投标文件一并提交。</w:t>
      </w:r>
    </w:p>
    <w:p w14:paraId="5F3BAB7D">
      <w:pPr>
        <w:pStyle w:val="201"/>
        <w:keepNext w:val="0"/>
        <w:keepLines w:val="0"/>
        <w:pageBreakBefore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beforeAutospacing="0" w:afterAutospacing="0" w:line="240" w:lineRule="auto"/>
        <w:textAlignment w:val="auto"/>
        <w:rPr>
          <w:rFonts w:hint="eastAsia"/>
          <w:b w:val="0"/>
          <w:bCs/>
          <w:color w:val="FF0000"/>
          <w:sz w:val="20"/>
          <w:szCs w:val="20"/>
          <w:lang w:val="en-US" w:eastAsia="zh-CN"/>
        </w:rPr>
      </w:pPr>
    </w:p>
    <w:p w14:paraId="739F2671">
      <w:pPr>
        <w:keepNext w:val="0"/>
        <w:keepLines w:val="0"/>
        <w:pageBreakBefore w:val="0"/>
        <w:widowControl/>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beforeAutospacing="0" w:afterAutospacing="0" w:line="240" w:lineRule="auto"/>
        <w:jc w:val="both"/>
        <w:textAlignment w:val="auto"/>
        <w:outlineLvl w:val="9"/>
        <w:rPr>
          <w:rFonts w:hint="eastAsia" w:ascii="Times New Roman" w:hAnsi="Times New Roman" w:eastAsia="宋体" w:cs="Times New Roman"/>
          <w:b/>
          <w:color w:val="FF0000"/>
          <w:kern w:val="2"/>
          <w:sz w:val="21"/>
          <w:szCs w:val="24"/>
          <w:lang w:val="en-US" w:eastAsia="zh-CN" w:bidi="ar-SA"/>
        </w:rPr>
      </w:pPr>
      <w:r>
        <w:rPr>
          <w:rFonts w:hint="eastAsia" w:ascii="Times New Roman" w:hAnsi="Times New Roman" w:eastAsia="宋体" w:cs="Times New Roman"/>
          <w:b/>
          <w:color w:val="FF0000"/>
          <w:kern w:val="2"/>
          <w:sz w:val="21"/>
          <w:szCs w:val="24"/>
          <w:lang w:val="en-US" w:eastAsia="zh-CN" w:bidi="ar-SA"/>
        </w:rPr>
        <w:t>注：“特别警示条款”和《政府采购违法行为风险知悉确认书》用于对供应商违法行为的提醒，不作为供应商资格性审查及符合性审查条件。</w:t>
      </w:r>
    </w:p>
    <w:p w14:paraId="7D9778B1">
      <w:pPr>
        <w:widowControl/>
        <w:spacing w:beforeAutospacing="1" w:afterAutospacing="1"/>
        <w:jc w:val="center"/>
        <w:outlineLvl w:val="9"/>
        <w:rPr>
          <w:rFonts w:hint="eastAsia" w:ascii="黑体" w:hAnsi="宋体" w:eastAsia="黑体" w:cs="黑体"/>
          <w:kern w:val="0"/>
          <w:sz w:val="40"/>
          <w:szCs w:val="40"/>
        </w:rPr>
      </w:pPr>
    </w:p>
    <w:p w14:paraId="2B34ED89">
      <w:pPr>
        <w:widowControl/>
        <w:spacing w:beforeAutospacing="1" w:afterAutospacing="1"/>
        <w:jc w:val="center"/>
        <w:outlineLvl w:val="9"/>
        <w:rPr>
          <w:rFonts w:hint="eastAsia" w:ascii="黑体" w:hAnsi="宋体" w:eastAsia="黑体" w:cs="黑体"/>
          <w:kern w:val="0"/>
          <w:sz w:val="40"/>
          <w:szCs w:val="40"/>
        </w:rPr>
      </w:pPr>
    </w:p>
    <w:p w14:paraId="5CA30A0C">
      <w:pPr>
        <w:widowControl/>
        <w:spacing w:beforeAutospacing="1" w:afterAutospacing="1"/>
        <w:jc w:val="center"/>
        <w:outlineLvl w:val="1"/>
        <w:rPr>
          <w:rFonts w:hint="eastAsia" w:ascii="黑体" w:hAnsi="宋体" w:eastAsia="黑体" w:cs="黑体"/>
          <w:kern w:val="0"/>
          <w:sz w:val="40"/>
          <w:szCs w:val="40"/>
        </w:rPr>
        <w:sectPr>
          <w:headerReference r:id="rId3" w:type="first"/>
          <w:footerReference r:id="rId6" w:type="first"/>
          <w:footerReference r:id="rId4" w:type="default"/>
          <w:footerReference r:id="rId5" w:type="even"/>
          <w:pgSz w:w="11907" w:h="16840"/>
          <w:pgMar w:top="1440" w:right="1417" w:bottom="1440" w:left="1417" w:header="851" w:footer="992" w:gutter="0"/>
          <w:cols w:space="425" w:num="1"/>
          <w:titlePg/>
          <w:docGrid w:linePitch="462" w:charSpace="0"/>
        </w:sectPr>
      </w:pPr>
    </w:p>
    <w:p w14:paraId="289AE740">
      <w:pPr>
        <w:widowControl/>
        <w:spacing w:beforeAutospacing="1" w:afterAutospacing="1"/>
        <w:jc w:val="center"/>
        <w:outlineLvl w:val="9"/>
        <w:rPr>
          <w:rFonts w:hint="eastAsia" w:ascii="黑体" w:hAnsi="宋体" w:eastAsia="黑体" w:cs="黑体"/>
          <w:kern w:val="0"/>
          <w:sz w:val="40"/>
          <w:szCs w:val="40"/>
        </w:rPr>
      </w:pPr>
    </w:p>
    <w:p w14:paraId="5F5E8BB5">
      <w:pPr>
        <w:widowControl/>
        <w:spacing w:beforeAutospacing="1" w:afterAutospacing="1"/>
        <w:jc w:val="center"/>
        <w:outlineLvl w:val="9"/>
        <w:rPr>
          <w:rFonts w:hint="eastAsia" w:ascii="黑体" w:hAnsi="宋体" w:eastAsia="黑体" w:cs="黑体"/>
          <w:kern w:val="0"/>
          <w:sz w:val="40"/>
          <w:szCs w:val="40"/>
        </w:rPr>
      </w:pPr>
    </w:p>
    <w:p w14:paraId="551A8567">
      <w:pPr>
        <w:widowControl/>
        <w:spacing w:beforeAutospacing="1" w:afterAutospacing="1"/>
        <w:jc w:val="center"/>
        <w:outlineLvl w:val="9"/>
        <w:rPr>
          <w:rFonts w:hint="eastAsia" w:ascii="黑体" w:hAnsi="宋体" w:eastAsia="黑体" w:cs="黑体"/>
          <w:kern w:val="0"/>
          <w:sz w:val="40"/>
          <w:szCs w:val="40"/>
        </w:rPr>
      </w:pPr>
    </w:p>
    <w:p w14:paraId="188D9DF1">
      <w:pPr>
        <w:widowControl/>
        <w:spacing w:beforeAutospacing="1" w:afterAutospacing="1"/>
        <w:jc w:val="center"/>
        <w:outlineLvl w:val="1"/>
        <w:rPr>
          <w:rFonts w:ascii="黑体" w:hAnsi="宋体" w:eastAsia="黑体" w:cs="黑体"/>
          <w:kern w:val="0"/>
          <w:sz w:val="40"/>
          <w:szCs w:val="40"/>
        </w:rPr>
      </w:pPr>
      <w:r>
        <w:rPr>
          <w:rFonts w:hint="eastAsia" w:ascii="黑体" w:hAnsi="宋体" w:eastAsia="黑体" w:cs="黑体"/>
          <w:kern w:val="0"/>
          <w:sz w:val="40"/>
          <w:szCs w:val="40"/>
        </w:rPr>
        <w:t>招标文件信息</w:t>
      </w:r>
    </w:p>
    <w:tbl>
      <w:tblPr>
        <w:tblStyle w:val="42"/>
        <w:tblW w:w="7943" w:type="dxa"/>
        <w:jc w:val="center"/>
        <w:tblCellSpacing w:w="0" w:type="dxa"/>
        <w:tblLayout w:type="fixed"/>
        <w:tblCellMar>
          <w:top w:w="45" w:type="dxa"/>
          <w:left w:w="45" w:type="dxa"/>
          <w:bottom w:w="45" w:type="dxa"/>
          <w:right w:w="45" w:type="dxa"/>
        </w:tblCellMar>
      </w:tblPr>
      <w:tblGrid>
        <w:gridCol w:w="2723"/>
        <w:gridCol w:w="5220"/>
      </w:tblGrid>
      <w:tr w14:paraId="745366EC">
        <w:tblPrEx>
          <w:tblCellMar>
            <w:top w:w="45" w:type="dxa"/>
            <w:left w:w="45" w:type="dxa"/>
            <w:bottom w:w="45" w:type="dxa"/>
            <w:right w:w="45" w:type="dxa"/>
          </w:tblCellMar>
        </w:tblPrEx>
        <w:trPr>
          <w:trHeight w:val="738" w:hRule="atLeast"/>
          <w:tblCellSpacing w:w="0" w:type="dxa"/>
          <w:jc w:val="center"/>
        </w:trPr>
        <w:tc>
          <w:tcPr>
            <w:tcW w:w="2723" w:type="dxa"/>
            <w:shd w:val="clear" w:color="auto" w:fill="auto"/>
            <w:vAlign w:val="center"/>
          </w:tcPr>
          <w:p w14:paraId="039449C7">
            <w:pPr>
              <w:widowControl/>
              <w:jc w:val="right"/>
              <w:rPr>
                <w:sz w:val="30"/>
                <w:szCs w:val="30"/>
              </w:rPr>
            </w:pPr>
            <w:r>
              <w:rPr>
                <w:rFonts w:ascii="宋体" w:hAnsi="宋体" w:cs="宋体"/>
                <w:kern w:val="0"/>
                <w:sz w:val="30"/>
                <w:szCs w:val="30"/>
              </w:rPr>
              <w:t>项目编号：</w:t>
            </w:r>
          </w:p>
        </w:tc>
        <w:tc>
          <w:tcPr>
            <w:tcW w:w="5220" w:type="dxa"/>
            <w:shd w:val="clear" w:color="auto" w:fill="auto"/>
            <w:vAlign w:val="center"/>
          </w:tcPr>
          <w:p w14:paraId="0E07DAC6">
            <w:pPr>
              <w:widowControl/>
              <w:jc w:val="left"/>
              <w:rPr>
                <w:rFonts w:hint="eastAsia" w:eastAsia="宋体"/>
                <w:sz w:val="30"/>
                <w:szCs w:val="30"/>
                <w:lang w:eastAsia="zh-CN"/>
              </w:rPr>
            </w:pPr>
            <w:r>
              <w:rPr>
                <w:rFonts w:hint="eastAsia" w:asciiTheme="minorEastAsia" w:hAnsiTheme="minorEastAsia"/>
                <w:sz w:val="30"/>
                <w:szCs w:val="30"/>
                <w:lang w:eastAsia="zh-CN"/>
              </w:rPr>
              <w:t>BACG2026000358</w:t>
            </w:r>
          </w:p>
        </w:tc>
      </w:tr>
      <w:tr w14:paraId="0A335696">
        <w:tblPrEx>
          <w:tblCellMar>
            <w:top w:w="45" w:type="dxa"/>
            <w:left w:w="45" w:type="dxa"/>
            <w:bottom w:w="45" w:type="dxa"/>
            <w:right w:w="45" w:type="dxa"/>
          </w:tblCellMar>
        </w:tblPrEx>
        <w:trPr>
          <w:trHeight w:val="738" w:hRule="atLeast"/>
          <w:tblCellSpacing w:w="0" w:type="dxa"/>
          <w:jc w:val="center"/>
        </w:trPr>
        <w:tc>
          <w:tcPr>
            <w:tcW w:w="2723" w:type="dxa"/>
            <w:shd w:val="clear" w:color="auto" w:fill="auto"/>
            <w:vAlign w:val="center"/>
          </w:tcPr>
          <w:p w14:paraId="75FAAC0E">
            <w:pPr>
              <w:widowControl/>
              <w:jc w:val="right"/>
              <w:rPr>
                <w:sz w:val="30"/>
                <w:szCs w:val="30"/>
              </w:rPr>
            </w:pPr>
            <w:r>
              <w:rPr>
                <w:rFonts w:ascii="宋体" w:hAnsi="宋体" w:cs="宋体"/>
                <w:kern w:val="0"/>
                <w:sz w:val="30"/>
                <w:szCs w:val="30"/>
              </w:rPr>
              <w:t>项目名称：</w:t>
            </w:r>
          </w:p>
        </w:tc>
        <w:tc>
          <w:tcPr>
            <w:tcW w:w="5220" w:type="dxa"/>
            <w:shd w:val="clear" w:color="auto" w:fill="auto"/>
            <w:vAlign w:val="center"/>
          </w:tcPr>
          <w:p w14:paraId="157BD982">
            <w:pPr>
              <w:widowControl/>
              <w:jc w:val="left"/>
              <w:rPr>
                <w:rFonts w:hint="eastAsia" w:eastAsia="宋体"/>
                <w:sz w:val="30"/>
                <w:szCs w:val="30"/>
                <w:lang w:eastAsia="zh-CN"/>
              </w:rPr>
            </w:pPr>
            <w:r>
              <w:rPr>
                <w:rFonts w:hint="eastAsia" w:asciiTheme="minorEastAsia" w:hAnsiTheme="minorEastAsia"/>
                <w:sz w:val="30"/>
                <w:szCs w:val="30"/>
                <w:lang w:eastAsia="zh-CN"/>
              </w:rPr>
              <w:t>深圳市宝安区公园管理中心凤凰山森林公园安保服务</w:t>
            </w:r>
          </w:p>
        </w:tc>
      </w:tr>
      <w:tr w14:paraId="547E47E0">
        <w:tblPrEx>
          <w:tblCellMar>
            <w:top w:w="45" w:type="dxa"/>
            <w:left w:w="45" w:type="dxa"/>
            <w:bottom w:w="45" w:type="dxa"/>
            <w:right w:w="45" w:type="dxa"/>
          </w:tblCellMar>
        </w:tblPrEx>
        <w:trPr>
          <w:trHeight w:val="738" w:hRule="atLeast"/>
          <w:tblCellSpacing w:w="0" w:type="dxa"/>
          <w:jc w:val="center"/>
        </w:trPr>
        <w:tc>
          <w:tcPr>
            <w:tcW w:w="2723" w:type="dxa"/>
            <w:shd w:val="clear" w:color="auto" w:fill="auto"/>
            <w:vAlign w:val="center"/>
          </w:tcPr>
          <w:p w14:paraId="321DCB6C">
            <w:pPr>
              <w:widowControl/>
              <w:jc w:val="right"/>
              <w:rPr>
                <w:sz w:val="30"/>
                <w:szCs w:val="30"/>
              </w:rPr>
            </w:pPr>
            <w:r>
              <w:rPr>
                <w:rFonts w:ascii="宋体" w:hAnsi="宋体" w:cs="宋体"/>
                <w:kern w:val="0"/>
                <w:sz w:val="30"/>
                <w:szCs w:val="30"/>
              </w:rPr>
              <w:t>包 号：</w:t>
            </w:r>
          </w:p>
        </w:tc>
        <w:tc>
          <w:tcPr>
            <w:tcW w:w="5220" w:type="dxa"/>
            <w:shd w:val="clear" w:color="auto" w:fill="auto"/>
            <w:vAlign w:val="center"/>
          </w:tcPr>
          <w:p w14:paraId="47AF5637">
            <w:pPr>
              <w:widowControl/>
              <w:jc w:val="left"/>
              <w:rPr>
                <w:sz w:val="30"/>
                <w:szCs w:val="30"/>
              </w:rPr>
            </w:pPr>
            <w:r>
              <w:rPr>
                <w:rFonts w:ascii="宋体" w:hAnsi="宋体" w:cs="宋体"/>
                <w:kern w:val="0"/>
                <w:sz w:val="30"/>
                <w:szCs w:val="30"/>
              </w:rPr>
              <w:t>A</w:t>
            </w:r>
          </w:p>
        </w:tc>
      </w:tr>
      <w:tr w14:paraId="79B07223">
        <w:tblPrEx>
          <w:tblCellMar>
            <w:top w:w="45" w:type="dxa"/>
            <w:left w:w="45" w:type="dxa"/>
            <w:bottom w:w="45" w:type="dxa"/>
            <w:right w:w="45" w:type="dxa"/>
          </w:tblCellMar>
        </w:tblPrEx>
        <w:trPr>
          <w:trHeight w:val="738" w:hRule="atLeast"/>
          <w:tblCellSpacing w:w="0" w:type="dxa"/>
          <w:jc w:val="center"/>
        </w:trPr>
        <w:tc>
          <w:tcPr>
            <w:tcW w:w="2723" w:type="dxa"/>
            <w:shd w:val="clear" w:color="auto" w:fill="auto"/>
            <w:vAlign w:val="center"/>
          </w:tcPr>
          <w:p w14:paraId="0DF70731">
            <w:pPr>
              <w:widowControl/>
              <w:jc w:val="right"/>
              <w:rPr>
                <w:sz w:val="30"/>
                <w:szCs w:val="30"/>
              </w:rPr>
            </w:pPr>
            <w:r>
              <w:rPr>
                <w:rFonts w:ascii="宋体" w:hAnsi="宋体" w:cs="宋体"/>
                <w:kern w:val="0"/>
                <w:sz w:val="30"/>
                <w:szCs w:val="30"/>
              </w:rPr>
              <w:t>项目类型：</w:t>
            </w:r>
          </w:p>
        </w:tc>
        <w:tc>
          <w:tcPr>
            <w:tcW w:w="5220" w:type="dxa"/>
            <w:shd w:val="clear" w:color="auto" w:fill="auto"/>
            <w:vAlign w:val="center"/>
          </w:tcPr>
          <w:p w14:paraId="7E6F1224">
            <w:pPr>
              <w:widowControl/>
              <w:jc w:val="left"/>
              <w:rPr>
                <w:sz w:val="30"/>
                <w:szCs w:val="30"/>
              </w:rPr>
            </w:pPr>
            <w:r>
              <w:rPr>
                <w:rFonts w:hint="eastAsia" w:ascii="宋体" w:hAnsi="宋体" w:cs="宋体"/>
                <w:kern w:val="0"/>
                <w:sz w:val="30"/>
                <w:szCs w:val="30"/>
              </w:rPr>
              <w:t>服务</w:t>
            </w:r>
            <w:r>
              <w:rPr>
                <w:rFonts w:ascii="宋体" w:hAnsi="宋体" w:cs="宋体"/>
                <w:kern w:val="0"/>
                <w:sz w:val="30"/>
                <w:szCs w:val="30"/>
              </w:rPr>
              <w:t>类</w:t>
            </w:r>
          </w:p>
        </w:tc>
      </w:tr>
      <w:tr w14:paraId="4B4648EE">
        <w:tblPrEx>
          <w:tblCellMar>
            <w:top w:w="45" w:type="dxa"/>
            <w:left w:w="45" w:type="dxa"/>
            <w:bottom w:w="45" w:type="dxa"/>
            <w:right w:w="45" w:type="dxa"/>
          </w:tblCellMar>
        </w:tblPrEx>
        <w:trPr>
          <w:trHeight w:val="738" w:hRule="atLeast"/>
          <w:tblCellSpacing w:w="0" w:type="dxa"/>
          <w:jc w:val="center"/>
        </w:trPr>
        <w:tc>
          <w:tcPr>
            <w:tcW w:w="2723" w:type="dxa"/>
            <w:shd w:val="clear" w:color="auto" w:fill="auto"/>
            <w:vAlign w:val="center"/>
          </w:tcPr>
          <w:p w14:paraId="0190A359">
            <w:pPr>
              <w:widowControl/>
              <w:jc w:val="right"/>
              <w:rPr>
                <w:sz w:val="30"/>
                <w:szCs w:val="30"/>
              </w:rPr>
            </w:pPr>
            <w:r>
              <w:rPr>
                <w:rFonts w:ascii="宋体" w:hAnsi="宋体" w:cs="宋体"/>
                <w:kern w:val="0"/>
                <w:sz w:val="30"/>
                <w:szCs w:val="30"/>
              </w:rPr>
              <w:t>采购方式：</w:t>
            </w:r>
          </w:p>
        </w:tc>
        <w:tc>
          <w:tcPr>
            <w:tcW w:w="5220" w:type="dxa"/>
            <w:shd w:val="clear" w:color="auto" w:fill="auto"/>
            <w:vAlign w:val="center"/>
          </w:tcPr>
          <w:p w14:paraId="55D42218">
            <w:pPr>
              <w:widowControl/>
              <w:jc w:val="left"/>
              <w:rPr>
                <w:sz w:val="30"/>
                <w:szCs w:val="30"/>
              </w:rPr>
            </w:pPr>
            <w:r>
              <w:rPr>
                <w:rFonts w:ascii="宋体" w:hAnsi="宋体" w:cs="宋体"/>
                <w:kern w:val="0"/>
                <w:sz w:val="30"/>
                <w:szCs w:val="30"/>
              </w:rPr>
              <w:t>公开招标</w:t>
            </w:r>
          </w:p>
        </w:tc>
      </w:tr>
      <w:tr w14:paraId="3B946B27">
        <w:tblPrEx>
          <w:tblCellMar>
            <w:top w:w="45" w:type="dxa"/>
            <w:left w:w="45" w:type="dxa"/>
            <w:bottom w:w="45" w:type="dxa"/>
            <w:right w:w="45" w:type="dxa"/>
          </w:tblCellMar>
        </w:tblPrEx>
        <w:trPr>
          <w:trHeight w:val="738" w:hRule="atLeast"/>
          <w:tblCellSpacing w:w="0" w:type="dxa"/>
          <w:jc w:val="center"/>
        </w:trPr>
        <w:tc>
          <w:tcPr>
            <w:tcW w:w="2723" w:type="dxa"/>
            <w:shd w:val="clear" w:color="auto" w:fill="auto"/>
            <w:vAlign w:val="center"/>
          </w:tcPr>
          <w:p w14:paraId="4484A70B">
            <w:pPr>
              <w:widowControl/>
              <w:jc w:val="right"/>
              <w:rPr>
                <w:sz w:val="30"/>
                <w:szCs w:val="30"/>
              </w:rPr>
            </w:pPr>
            <w:r>
              <w:rPr>
                <w:rFonts w:ascii="宋体" w:hAnsi="宋体" w:cs="宋体"/>
                <w:kern w:val="0"/>
                <w:sz w:val="30"/>
                <w:szCs w:val="30"/>
              </w:rPr>
              <w:t>货币类型：</w:t>
            </w:r>
          </w:p>
        </w:tc>
        <w:tc>
          <w:tcPr>
            <w:tcW w:w="5220" w:type="dxa"/>
            <w:shd w:val="clear" w:color="auto" w:fill="auto"/>
            <w:vAlign w:val="center"/>
          </w:tcPr>
          <w:p w14:paraId="4ACDC412">
            <w:pPr>
              <w:widowControl/>
              <w:jc w:val="left"/>
              <w:rPr>
                <w:sz w:val="30"/>
                <w:szCs w:val="30"/>
              </w:rPr>
            </w:pPr>
            <w:r>
              <w:rPr>
                <w:rFonts w:ascii="宋体" w:hAnsi="宋体" w:cs="宋体"/>
                <w:kern w:val="0"/>
                <w:sz w:val="30"/>
                <w:szCs w:val="30"/>
              </w:rPr>
              <w:t>人民币</w:t>
            </w:r>
          </w:p>
        </w:tc>
      </w:tr>
    </w:tbl>
    <w:p w14:paraId="2F155217">
      <w:pPr>
        <w:pStyle w:val="38"/>
        <w:jc w:val="center"/>
        <w:outlineLvl w:val="9"/>
        <w:rPr>
          <w:rFonts w:hint="eastAsia" w:ascii="黑体" w:hAnsi="黑体" w:eastAsia="黑体"/>
          <w:sz w:val="40"/>
          <w:szCs w:val="40"/>
        </w:rPr>
      </w:pPr>
    </w:p>
    <w:p w14:paraId="40D17C45">
      <w:pPr>
        <w:pStyle w:val="38"/>
        <w:jc w:val="center"/>
        <w:outlineLvl w:val="1"/>
        <w:rPr>
          <w:rFonts w:hint="eastAsia" w:ascii="黑体" w:hAnsi="黑体" w:eastAsia="黑体"/>
          <w:sz w:val="40"/>
          <w:szCs w:val="40"/>
        </w:rPr>
        <w:sectPr>
          <w:pgSz w:w="11907" w:h="16840"/>
          <w:pgMar w:top="1440" w:right="1417" w:bottom="1440" w:left="1417" w:header="851" w:footer="992" w:gutter="0"/>
          <w:cols w:space="425" w:num="1"/>
          <w:titlePg/>
          <w:docGrid w:linePitch="462" w:charSpace="0"/>
        </w:sectPr>
      </w:pPr>
    </w:p>
    <w:p w14:paraId="0955333F">
      <w:pPr>
        <w:pStyle w:val="38"/>
        <w:jc w:val="center"/>
        <w:outlineLvl w:val="1"/>
        <w:rPr>
          <w:rFonts w:ascii="黑体" w:hAnsi="黑体" w:eastAsia="黑体"/>
          <w:sz w:val="40"/>
          <w:szCs w:val="40"/>
        </w:rPr>
      </w:pPr>
      <w:r>
        <w:rPr>
          <w:rFonts w:hint="eastAsia" w:ascii="黑体" w:hAnsi="黑体" w:eastAsia="黑体"/>
          <w:sz w:val="40"/>
          <w:szCs w:val="40"/>
        </w:rPr>
        <w:t>资格性审查表</w:t>
      </w:r>
    </w:p>
    <w:tbl>
      <w:tblPr>
        <w:tblStyle w:val="42"/>
        <w:tblW w:w="9072"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0" w:type="dxa"/>
          <w:left w:w="108" w:type="dxa"/>
          <w:bottom w:w="20" w:type="dxa"/>
          <w:right w:w="108" w:type="dxa"/>
        </w:tblCellMar>
      </w:tblPr>
      <w:tblGrid>
        <w:gridCol w:w="794"/>
        <w:gridCol w:w="8278"/>
      </w:tblGrid>
      <w:tr w14:paraId="587BB28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PrEx>
        <w:trPr>
          <w:jc w:val="center"/>
        </w:trPr>
        <w:tc>
          <w:tcPr>
            <w:tcW w:w="794" w:type="dxa"/>
            <w:tcBorders>
              <w:top w:val="single" w:color="000000" w:sz="8" w:space="0"/>
              <w:left w:val="single" w:color="000000" w:sz="8" w:space="0"/>
              <w:bottom w:val="single" w:color="000000" w:sz="8" w:space="0"/>
              <w:right w:val="single" w:color="000000" w:sz="8" w:space="0"/>
            </w:tcBorders>
            <w:shd w:val="clear" w:color="auto" w:fill="E6EFFA"/>
            <w:vAlign w:val="center"/>
          </w:tcPr>
          <w:p w14:paraId="6EAFCCDD">
            <w:pPr>
              <w:jc w:val="center"/>
              <w:rPr>
                <w:rFonts w:hint="eastAsia" w:ascii="宋体" w:hAnsi="宋体" w:eastAsia="宋体" w:cs="宋体"/>
                <w:sz w:val="21"/>
                <w:szCs w:val="21"/>
              </w:rPr>
            </w:pPr>
            <w:r>
              <w:rPr>
                <w:rFonts w:hint="eastAsia" w:ascii="宋体" w:hAnsi="宋体" w:eastAsia="宋体" w:cs="宋体"/>
                <w:sz w:val="21"/>
                <w:szCs w:val="21"/>
              </w:rPr>
              <w:t>序号</w:t>
            </w:r>
          </w:p>
        </w:tc>
        <w:tc>
          <w:tcPr>
            <w:tcW w:w="8278" w:type="dxa"/>
            <w:tcBorders>
              <w:top w:val="single" w:color="000000" w:sz="8" w:space="0"/>
              <w:left w:val="single" w:color="000000" w:sz="8" w:space="0"/>
              <w:bottom w:val="single" w:color="000000" w:sz="8" w:space="0"/>
              <w:right w:val="single" w:color="000000" w:sz="8" w:space="0"/>
            </w:tcBorders>
            <w:shd w:val="clear" w:color="auto" w:fill="E6EFFA"/>
            <w:vAlign w:val="center"/>
          </w:tcPr>
          <w:p w14:paraId="759A8CFC">
            <w:pPr>
              <w:jc w:val="center"/>
              <w:rPr>
                <w:rFonts w:hint="eastAsia" w:ascii="宋体" w:hAnsi="宋体" w:eastAsia="宋体" w:cs="宋体"/>
                <w:sz w:val="21"/>
                <w:szCs w:val="21"/>
              </w:rPr>
            </w:pPr>
            <w:r>
              <w:rPr>
                <w:rFonts w:hint="eastAsia" w:ascii="宋体" w:hAnsi="宋体" w:eastAsia="宋体" w:cs="宋体"/>
                <w:sz w:val="21"/>
                <w:szCs w:val="21"/>
              </w:rPr>
              <w:t>内容</w:t>
            </w:r>
          </w:p>
        </w:tc>
      </w:tr>
      <w:tr w14:paraId="7D3755F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14:paraId="5A079837">
            <w:pPr>
              <w:jc w:val="center"/>
              <w:rPr>
                <w:rFonts w:hint="eastAsia" w:ascii="宋体" w:hAnsi="宋体" w:eastAsia="宋体" w:cs="宋体"/>
                <w:sz w:val="21"/>
                <w:szCs w:val="21"/>
              </w:rPr>
            </w:pPr>
            <w:r>
              <w:rPr>
                <w:rFonts w:hint="eastAsia" w:ascii="宋体" w:hAnsi="宋体" w:eastAsia="宋体" w:cs="宋体"/>
                <w:sz w:val="21"/>
                <w:szCs w:val="21"/>
              </w:rPr>
              <w:t>1</w:t>
            </w:r>
          </w:p>
        </w:tc>
        <w:tc>
          <w:tcPr>
            <w:tcW w:w="8278" w:type="dxa"/>
            <w:tcBorders>
              <w:top w:val="single" w:color="000000" w:sz="8" w:space="0"/>
              <w:left w:val="single" w:color="000000" w:sz="8" w:space="0"/>
              <w:bottom w:val="single" w:color="000000" w:sz="8" w:space="0"/>
              <w:right w:val="single" w:color="000000" w:sz="8" w:space="0"/>
            </w:tcBorders>
          </w:tcPr>
          <w:p w14:paraId="501AAB50">
            <w:pPr>
              <w:rPr>
                <w:rFonts w:hint="eastAsia" w:ascii="宋体" w:hAnsi="宋体" w:eastAsia="宋体" w:cs="宋体"/>
                <w:sz w:val="21"/>
                <w:szCs w:val="21"/>
              </w:rPr>
            </w:pPr>
            <w:r>
              <w:rPr>
                <w:rFonts w:hint="eastAsia" w:ascii="宋体" w:hAnsi="宋体" w:eastAsia="宋体" w:cs="宋体"/>
                <w:kern w:val="0"/>
                <w:sz w:val="21"/>
                <w:szCs w:val="21"/>
              </w:rPr>
              <w:t>投标人不符合资格要求，或未提交相应的资格证明资料（详见招标公告</w:t>
            </w:r>
            <w:r>
              <w:rPr>
                <w:rFonts w:hint="eastAsia" w:ascii="宋体" w:hAnsi="宋体" w:eastAsia="宋体" w:cs="宋体"/>
                <w:sz w:val="21"/>
                <w:szCs w:val="21"/>
              </w:rPr>
              <w:t>投标人资格要求，即申请人的资格要求</w:t>
            </w:r>
            <w:r>
              <w:rPr>
                <w:rFonts w:hint="eastAsia" w:ascii="宋体" w:hAnsi="宋体" w:eastAsia="宋体" w:cs="宋体"/>
                <w:kern w:val="0"/>
                <w:sz w:val="21"/>
                <w:szCs w:val="21"/>
              </w:rPr>
              <w:t>）</w:t>
            </w:r>
          </w:p>
        </w:tc>
      </w:tr>
    </w:tbl>
    <w:p w14:paraId="0F0CC0DD">
      <w:pPr>
        <w:pStyle w:val="38"/>
        <w:spacing w:before="280"/>
        <w:jc w:val="center"/>
        <w:outlineLvl w:val="1"/>
        <w:rPr>
          <w:rFonts w:ascii="黑体" w:hAnsi="黑体" w:eastAsia="黑体"/>
          <w:sz w:val="40"/>
          <w:szCs w:val="40"/>
        </w:rPr>
      </w:pPr>
      <w:r>
        <w:rPr>
          <w:rFonts w:hint="eastAsia" w:ascii="黑体" w:hAnsi="黑体" w:eastAsia="黑体"/>
          <w:sz w:val="40"/>
          <w:szCs w:val="40"/>
        </w:rPr>
        <w:t>符合性审查表</w:t>
      </w:r>
    </w:p>
    <w:tbl>
      <w:tblPr>
        <w:tblStyle w:val="42"/>
        <w:tblW w:w="9072"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0" w:type="dxa"/>
          <w:left w:w="108" w:type="dxa"/>
          <w:bottom w:w="20" w:type="dxa"/>
          <w:right w:w="108" w:type="dxa"/>
        </w:tblCellMar>
      </w:tblPr>
      <w:tblGrid>
        <w:gridCol w:w="794"/>
        <w:gridCol w:w="8278"/>
      </w:tblGrid>
      <w:tr w14:paraId="7395975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shd w:val="clear" w:color="auto" w:fill="E6EFFA"/>
            <w:vAlign w:val="center"/>
          </w:tcPr>
          <w:p w14:paraId="7D56BA18">
            <w:pPr>
              <w:keepNext w:val="0"/>
              <w:keepLines w:val="0"/>
              <w:pageBreakBefore w:val="0"/>
              <w:kinsoku/>
              <w:wordWrap/>
              <w:overflowPunct/>
              <w:topLinePunct w:val="0"/>
              <w:autoSpaceDE/>
              <w:autoSpaceDN/>
              <w:bidi w:val="0"/>
              <w:adjustRightInd/>
              <w:snapToGrid/>
              <w:jc w:val="center"/>
              <w:rPr>
                <w:rFonts w:hint="eastAsia" w:ascii="宋体" w:hAnsi="宋体" w:eastAsia="宋体" w:cs="宋体"/>
                <w:sz w:val="21"/>
                <w:szCs w:val="21"/>
              </w:rPr>
            </w:pPr>
            <w:r>
              <w:rPr>
                <w:rFonts w:hint="eastAsia" w:ascii="宋体" w:hAnsi="宋体" w:eastAsia="宋体" w:cs="宋体"/>
                <w:sz w:val="21"/>
                <w:szCs w:val="21"/>
              </w:rPr>
              <w:t>序号</w:t>
            </w:r>
          </w:p>
        </w:tc>
        <w:tc>
          <w:tcPr>
            <w:tcW w:w="8278" w:type="dxa"/>
            <w:tcBorders>
              <w:top w:val="single" w:color="000000" w:sz="8" w:space="0"/>
              <w:left w:val="single" w:color="000000" w:sz="8" w:space="0"/>
              <w:bottom w:val="single" w:color="000000" w:sz="8" w:space="0"/>
              <w:right w:val="single" w:color="000000" w:sz="8" w:space="0"/>
            </w:tcBorders>
            <w:shd w:val="clear" w:color="auto" w:fill="E6EFFA"/>
            <w:vAlign w:val="center"/>
          </w:tcPr>
          <w:p w14:paraId="552A6DB2">
            <w:pPr>
              <w:keepNext w:val="0"/>
              <w:keepLines w:val="0"/>
              <w:pageBreakBefore w:val="0"/>
              <w:kinsoku/>
              <w:wordWrap/>
              <w:overflowPunct/>
              <w:topLinePunct w:val="0"/>
              <w:autoSpaceDE/>
              <w:autoSpaceDN/>
              <w:bidi w:val="0"/>
              <w:adjustRightInd/>
              <w:snapToGrid/>
              <w:jc w:val="center"/>
              <w:rPr>
                <w:rFonts w:hint="eastAsia" w:ascii="宋体" w:hAnsi="宋体" w:eastAsia="宋体" w:cs="宋体"/>
                <w:sz w:val="21"/>
                <w:szCs w:val="21"/>
              </w:rPr>
            </w:pPr>
            <w:r>
              <w:rPr>
                <w:rFonts w:hint="eastAsia" w:ascii="宋体" w:hAnsi="宋体" w:eastAsia="宋体" w:cs="宋体"/>
                <w:sz w:val="21"/>
                <w:szCs w:val="21"/>
              </w:rPr>
              <w:t>内容</w:t>
            </w:r>
          </w:p>
        </w:tc>
      </w:tr>
      <w:tr w14:paraId="09D6143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14:paraId="370BCEA0">
            <w:pPr>
              <w:keepNext w:val="0"/>
              <w:keepLines w:val="0"/>
              <w:pageBreakBefore w:val="0"/>
              <w:kinsoku/>
              <w:wordWrap/>
              <w:overflowPunct/>
              <w:topLinePunct w:val="0"/>
              <w:autoSpaceDE/>
              <w:autoSpaceDN/>
              <w:bidi w:val="0"/>
              <w:adjustRightInd/>
              <w:snapToGrid/>
              <w:jc w:val="center"/>
              <w:rPr>
                <w:rFonts w:hint="eastAsia" w:ascii="宋体" w:hAnsi="宋体" w:eastAsia="宋体" w:cs="宋体"/>
                <w:sz w:val="21"/>
                <w:szCs w:val="21"/>
              </w:rPr>
            </w:pPr>
            <w:r>
              <w:rPr>
                <w:rFonts w:hint="eastAsia" w:ascii="宋体" w:hAnsi="宋体" w:eastAsia="宋体" w:cs="宋体"/>
                <w:sz w:val="21"/>
                <w:szCs w:val="21"/>
              </w:rPr>
              <w:t>1</w:t>
            </w:r>
          </w:p>
        </w:tc>
        <w:tc>
          <w:tcPr>
            <w:tcW w:w="8278" w:type="dxa"/>
            <w:tcBorders>
              <w:top w:val="single" w:color="000000" w:sz="8" w:space="0"/>
              <w:left w:val="single" w:color="000000" w:sz="8" w:space="0"/>
              <w:bottom w:val="single" w:color="000000" w:sz="8" w:space="0"/>
              <w:right w:val="single" w:color="000000" w:sz="8" w:space="0"/>
            </w:tcBorders>
          </w:tcPr>
          <w:p w14:paraId="69D14DCB">
            <w:pPr>
              <w:keepNext w:val="0"/>
              <w:keepLines w:val="0"/>
              <w:pageBreakBefore w:val="0"/>
              <w:kinsoku/>
              <w:wordWrap/>
              <w:overflowPunct/>
              <w:topLinePunct w:val="0"/>
              <w:autoSpaceDE/>
              <w:autoSpaceDN/>
              <w:bidi w:val="0"/>
              <w:adjustRightInd/>
              <w:snapToGrid/>
              <w:rPr>
                <w:rFonts w:hint="eastAsia" w:ascii="宋体" w:hAnsi="宋体" w:eastAsia="宋体" w:cs="宋体"/>
                <w:sz w:val="21"/>
                <w:szCs w:val="21"/>
              </w:rPr>
            </w:pPr>
            <w:r>
              <w:rPr>
                <w:rFonts w:hint="eastAsia" w:ascii="宋体" w:hAnsi="宋体" w:eastAsia="宋体" w:cs="宋体"/>
                <w:sz w:val="21"/>
                <w:szCs w:val="21"/>
                <w:lang w:val="en-US" w:eastAsia="zh-CN"/>
              </w:rPr>
              <w:t>不得</w:t>
            </w:r>
            <w:r>
              <w:rPr>
                <w:rFonts w:hint="eastAsia" w:ascii="宋体" w:hAnsi="宋体" w:eastAsia="宋体" w:cs="宋体"/>
                <w:sz w:val="21"/>
                <w:szCs w:val="21"/>
              </w:rPr>
              <w:t>将一个包的内容拆开投标；</w:t>
            </w:r>
          </w:p>
        </w:tc>
      </w:tr>
      <w:tr w14:paraId="1C10B3A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14:paraId="144F68B9">
            <w:pPr>
              <w:keepNext w:val="0"/>
              <w:keepLines w:val="0"/>
              <w:pageBreakBefore w:val="0"/>
              <w:kinsoku/>
              <w:wordWrap/>
              <w:overflowPunct/>
              <w:topLinePunct w:val="0"/>
              <w:autoSpaceDE/>
              <w:autoSpaceDN/>
              <w:bidi w:val="0"/>
              <w:adjustRightInd/>
              <w:snapToGrid/>
              <w:jc w:val="center"/>
              <w:rPr>
                <w:rFonts w:hint="eastAsia" w:ascii="宋体" w:hAnsi="宋体" w:eastAsia="宋体" w:cs="宋体"/>
                <w:sz w:val="21"/>
                <w:szCs w:val="21"/>
              </w:rPr>
            </w:pPr>
            <w:r>
              <w:rPr>
                <w:rFonts w:hint="eastAsia" w:ascii="宋体" w:hAnsi="宋体" w:eastAsia="宋体" w:cs="宋体"/>
                <w:sz w:val="21"/>
                <w:szCs w:val="21"/>
              </w:rPr>
              <w:t>2</w:t>
            </w:r>
          </w:p>
        </w:tc>
        <w:tc>
          <w:tcPr>
            <w:tcW w:w="8278" w:type="dxa"/>
            <w:tcBorders>
              <w:top w:val="single" w:color="000000" w:sz="8" w:space="0"/>
              <w:left w:val="single" w:color="000000" w:sz="8" w:space="0"/>
              <w:bottom w:val="single" w:color="000000" w:sz="8" w:space="0"/>
              <w:right w:val="single" w:color="000000" w:sz="8" w:space="0"/>
            </w:tcBorders>
          </w:tcPr>
          <w:p w14:paraId="705A9A5C">
            <w:pPr>
              <w:keepNext w:val="0"/>
              <w:keepLines w:val="0"/>
              <w:pageBreakBefore w:val="0"/>
              <w:kinsoku/>
              <w:wordWrap/>
              <w:overflowPunct/>
              <w:topLinePunct w:val="0"/>
              <w:autoSpaceDE/>
              <w:autoSpaceDN/>
              <w:bidi w:val="0"/>
              <w:adjustRightInd/>
              <w:snapToGrid/>
              <w:rPr>
                <w:rFonts w:hint="eastAsia" w:ascii="宋体" w:hAnsi="宋体" w:eastAsia="宋体" w:cs="宋体"/>
                <w:sz w:val="21"/>
                <w:szCs w:val="21"/>
              </w:rPr>
            </w:pPr>
            <w:r>
              <w:rPr>
                <w:rFonts w:hint="eastAsia" w:ascii="宋体" w:hAnsi="宋体" w:eastAsia="宋体" w:cs="宋体"/>
                <w:sz w:val="21"/>
                <w:szCs w:val="21"/>
              </w:rPr>
              <w:t>对同一项目投标时，</w:t>
            </w:r>
            <w:r>
              <w:rPr>
                <w:rFonts w:hint="eastAsia" w:ascii="宋体" w:hAnsi="宋体" w:eastAsia="宋体" w:cs="宋体"/>
                <w:sz w:val="21"/>
                <w:szCs w:val="21"/>
                <w:lang w:val="en-US" w:eastAsia="zh-CN"/>
              </w:rPr>
              <w:t>不得</w:t>
            </w:r>
            <w:r>
              <w:rPr>
                <w:rFonts w:hint="eastAsia" w:ascii="宋体" w:hAnsi="宋体" w:eastAsia="宋体" w:cs="宋体"/>
                <w:sz w:val="21"/>
                <w:szCs w:val="21"/>
              </w:rPr>
              <w:t>提供两套以上的投标方案（招标文件另有规定的除外）；</w:t>
            </w:r>
          </w:p>
        </w:tc>
      </w:tr>
      <w:tr w14:paraId="2113C51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14:paraId="7734978A">
            <w:pPr>
              <w:keepNext w:val="0"/>
              <w:keepLines w:val="0"/>
              <w:pageBreakBefore w:val="0"/>
              <w:kinsoku/>
              <w:wordWrap/>
              <w:overflowPunct/>
              <w:topLinePunct w:val="0"/>
              <w:autoSpaceDE/>
              <w:autoSpaceDN/>
              <w:bidi w:val="0"/>
              <w:adjustRightInd/>
              <w:snapToGrid/>
              <w:jc w:val="center"/>
              <w:rPr>
                <w:rFonts w:hint="eastAsia" w:ascii="宋体" w:hAnsi="宋体" w:eastAsia="宋体" w:cs="宋体"/>
                <w:sz w:val="21"/>
                <w:szCs w:val="21"/>
              </w:rPr>
            </w:pPr>
            <w:r>
              <w:rPr>
                <w:rFonts w:hint="eastAsia" w:ascii="宋体" w:hAnsi="宋体" w:eastAsia="宋体" w:cs="宋体"/>
                <w:sz w:val="21"/>
                <w:szCs w:val="21"/>
              </w:rPr>
              <w:t>3</w:t>
            </w:r>
          </w:p>
        </w:tc>
        <w:tc>
          <w:tcPr>
            <w:tcW w:w="8278" w:type="dxa"/>
            <w:tcBorders>
              <w:top w:val="single" w:color="000000" w:sz="8" w:space="0"/>
              <w:left w:val="single" w:color="000000" w:sz="8" w:space="0"/>
              <w:bottom w:val="single" w:color="000000" w:sz="8" w:space="0"/>
              <w:right w:val="single" w:color="000000" w:sz="8" w:space="0"/>
            </w:tcBorders>
          </w:tcPr>
          <w:p w14:paraId="6A52C4A4">
            <w:pPr>
              <w:keepNext w:val="0"/>
              <w:keepLines w:val="0"/>
              <w:pageBreakBefore w:val="0"/>
              <w:kinsoku/>
              <w:wordWrap/>
              <w:overflowPunct/>
              <w:topLinePunct w:val="0"/>
              <w:autoSpaceDE/>
              <w:autoSpaceDN/>
              <w:bidi w:val="0"/>
              <w:adjustRightInd/>
              <w:snapToGrid/>
              <w:rPr>
                <w:rFonts w:hint="eastAsia" w:ascii="宋体" w:hAnsi="宋体" w:eastAsia="宋体" w:cs="宋体"/>
                <w:sz w:val="21"/>
                <w:szCs w:val="21"/>
              </w:rPr>
            </w:pPr>
            <w:r>
              <w:rPr>
                <w:rFonts w:hint="eastAsia" w:ascii="宋体" w:hAnsi="宋体" w:eastAsia="宋体" w:cs="宋体"/>
                <w:sz w:val="21"/>
                <w:szCs w:val="21"/>
              </w:rPr>
              <w:t>分项报价或投标总价</w:t>
            </w:r>
            <w:r>
              <w:rPr>
                <w:rFonts w:hint="eastAsia" w:ascii="宋体" w:hAnsi="宋体" w:eastAsia="宋体" w:cs="宋体"/>
                <w:sz w:val="21"/>
                <w:szCs w:val="21"/>
                <w:lang w:val="en-US" w:eastAsia="zh-CN"/>
              </w:rPr>
              <w:t>不得</w:t>
            </w:r>
            <w:r>
              <w:rPr>
                <w:rFonts w:hint="eastAsia" w:ascii="宋体" w:hAnsi="宋体" w:eastAsia="宋体" w:cs="宋体"/>
                <w:sz w:val="21"/>
                <w:szCs w:val="21"/>
              </w:rPr>
              <w:t>高于相应预算金额（或设定的预算金额下的最高限价）；</w:t>
            </w:r>
          </w:p>
        </w:tc>
      </w:tr>
      <w:tr w14:paraId="608F298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14:paraId="79D8C0E0">
            <w:pPr>
              <w:keepNext w:val="0"/>
              <w:keepLines w:val="0"/>
              <w:pageBreakBefore w:val="0"/>
              <w:kinsoku/>
              <w:wordWrap/>
              <w:overflowPunct/>
              <w:topLinePunct w:val="0"/>
              <w:autoSpaceDE/>
              <w:autoSpaceDN/>
              <w:bidi w:val="0"/>
              <w:adjustRightInd/>
              <w:snapToGrid/>
              <w:jc w:val="center"/>
              <w:rPr>
                <w:rFonts w:hint="eastAsia" w:ascii="宋体" w:hAnsi="宋体" w:eastAsia="宋体" w:cs="宋体"/>
                <w:sz w:val="21"/>
                <w:szCs w:val="21"/>
                <w:lang w:eastAsia="zh-CN"/>
              </w:rPr>
            </w:pPr>
            <w:r>
              <w:rPr>
                <w:rFonts w:hint="eastAsia" w:ascii="宋体" w:hAnsi="宋体" w:cs="宋体"/>
                <w:sz w:val="21"/>
                <w:szCs w:val="21"/>
                <w:lang w:val="en-US" w:eastAsia="zh-CN"/>
              </w:rPr>
              <w:t>4</w:t>
            </w:r>
          </w:p>
        </w:tc>
        <w:tc>
          <w:tcPr>
            <w:tcW w:w="8278" w:type="dxa"/>
            <w:tcBorders>
              <w:top w:val="single" w:color="000000" w:sz="8" w:space="0"/>
              <w:left w:val="single" w:color="000000" w:sz="8" w:space="0"/>
              <w:bottom w:val="single" w:color="000000" w:sz="8" w:space="0"/>
              <w:right w:val="single" w:color="000000" w:sz="8" w:space="0"/>
            </w:tcBorders>
          </w:tcPr>
          <w:p w14:paraId="5B9D88BF">
            <w:pPr>
              <w:keepNext w:val="0"/>
              <w:keepLines w:val="0"/>
              <w:pageBreakBefore w:val="0"/>
              <w:kinsoku/>
              <w:wordWrap/>
              <w:overflowPunct/>
              <w:topLinePunct w:val="0"/>
              <w:autoSpaceDE/>
              <w:autoSpaceDN/>
              <w:bidi w:val="0"/>
              <w:adjustRightInd/>
              <w:snapToGrid/>
              <w:rPr>
                <w:rFonts w:hint="eastAsia" w:ascii="宋体" w:hAnsi="宋体" w:eastAsia="宋体" w:cs="宋体"/>
                <w:sz w:val="21"/>
                <w:szCs w:val="21"/>
              </w:rPr>
            </w:pPr>
            <w:r>
              <w:rPr>
                <w:rFonts w:hint="eastAsia" w:ascii="宋体" w:hAnsi="宋体" w:eastAsia="宋体" w:cs="宋体"/>
                <w:sz w:val="21"/>
                <w:szCs w:val="21"/>
              </w:rPr>
              <w:t>所投货物、服务在技术、商务等方面没有实质性满足招标文件要求的（是否实质性满足招标文件要求，由评审委员会根据实质性条款响应情况做出评判；若招标文件未设置实质性条款，不得据此做投标无效处理）；</w:t>
            </w:r>
          </w:p>
        </w:tc>
      </w:tr>
      <w:tr w14:paraId="6904F70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14:paraId="26E77999">
            <w:pPr>
              <w:keepNext w:val="0"/>
              <w:keepLines w:val="0"/>
              <w:pageBreakBefore w:val="0"/>
              <w:kinsoku/>
              <w:wordWrap/>
              <w:overflowPunct/>
              <w:topLinePunct w:val="0"/>
              <w:autoSpaceDE/>
              <w:autoSpaceDN/>
              <w:bidi w:val="0"/>
              <w:adjustRightInd/>
              <w:snapToGrid/>
              <w:jc w:val="center"/>
              <w:rPr>
                <w:rFonts w:hint="eastAsia" w:ascii="宋体" w:hAnsi="宋体" w:eastAsia="宋体" w:cs="宋体"/>
                <w:sz w:val="21"/>
                <w:szCs w:val="21"/>
                <w:lang w:eastAsia="zh-CN"/>
              </w:rPr>
            </w:pPr>
            <w:r>
              <w:rPr>
                <w:rFonts w:hint="eastAsia" w:ascii="宋体" w:hAnsi="宋体" w:cs="宋体"/>
                <w:sz w:val="21"/>
                <w:szCs w:val="21"/>
                <w:lang w:val="en-US" w:eastAsia="zh-CN"/>
              </w:rPr>
              <w:t>5</w:t>
            </w:r>
          </w:p>
        </w:tc>
        <w:tc>
          <w:tcPr>
            <w:tcW w:w="8278" w:type="dxa"/>
            <w:tcBorders>
              <w:top w:val="single" w:color="000000" w:sz="8" w:space="0"/>
              <w:left w:val="single" w:color="000000" w:sz="8" w:space="0"/>
              <w:bottom w:val="single" w:color="000000" w:sz="8" w:space="0"/>
              <w:right w:val="single" w:color="000000" w:sz="8" w:space="0"/>
            </w:tcBorders>
          </w:tcPr>
          <w:p w14:paraId="48C43112">
            <w:pPr>
              <w:keepNext w:val="0"/>
              <w:keepLines w:val="0"/>
              <w:pageBreakBefore w:val="0"/>
              <w:kinsoku/>
              <w:wordWrap/>
              <w:overflowPunct/>
              <w:topLinePunct w:val="0"/>
              <w:autoSpaceDE/>
              <w:autoSpaceDN/>
              <w:bidi w:val="0"/>
              <w:adjustRightInd/>
              <w:snapToGrid/>
              <w:rPr>
                <w:rFonts w:hint="eastAsia" w:ascii="宋体" w:hAnsi="宋体" w:eastAsia="宋体" w:cs="宋体"/>
                <w:sz w:val="21"/>
                <w:szCs w:val="21"/>
              </w:rPr>
            </w:pPr>
            <w:r>
              <w:rPr>
                <w:rFonts w:hint="eastAsia" w:ascii="宋体" w:hAnsi="宋体" w:eastAsia="宋体" w:cs="宋体"/>
                <w:sz w:val="21"/>
                <w:szCs w:val="21"/>
              </w:rPr>
              <w:t>未按招标文件所提供的样式填写《投标函》；未按招标文件所提供的《政府采购投标及履约承诺函》进行承诺；未按招标文件对投标文件组成的要求提供投标文件；</w:t>
            </w:r>
          </w:p>
        </w:tc>
      </w:tr>
      <w:tr w14:paraId="389F139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14:paraId="5E5180C0">
            <w:pPr>
              <w:keepNext w:val="0"/>
              <w:keepLines w:val="0"/>
              <w:pageBreakBefore w:val="0"/>
              <w:kinsoku/>
              <w:wordWrap/>
              <w:overflowPunct/>
              <w:topLinePunct w:val="0"/>
              <w:autoSpaceDE/>
              <w:autoSpaceDN/>
              <w:bidi w:val="0"/>
              <w:adjustRightInd/>
              <w:snapToGrid/>
              <w:jc w:val="center"/>
              <w:rPr>
                <w:rFonts w:hint="eastAsia" w:ascii="宋体" w:hAnsi="宋体" w:eastAsia="宋体" w:cs="宋体"/>
                <w:sz w:val="21"/>
                <w:szCs w:val="21"/>
                <w:lang w:eastAsia="zh-CN"/>
              </w:rPr>
            </w:pPr>
            <w:r>
              <w:rPr>
                <w:rFonts w:hint="eastAsia" w:ascii="宋体" w:hAnsi="宋体" w:cs="宋体"/>
                <w:sz w:val="21"/>
                <w:szCs w:val="21"/>
                <w:lang w:val="en-US" w:eastAsia="zh-CN"/>
              </w:rPr>
              <w:t>6</w:t>
            </w:r>
          </w:p>
        </w:tc>
        <w:tc>
          <w:tcPr>
            <w:tcW w:w="8278" w:type="dxa"/>
            <w:tcBorders>
              <w:top w:val="single" w:color="000000" w:sz="8" w:space="0"/>
              <w:left w:val="single" w:color="000000" w:sz="8" w:space="0"/>
              <w:bottom w:val="single" w:color="000000" w:sz="8" w:space="0"/>
              <w:right w:val="single" w:color="000000" w:sz="8" w:space="0"/>
            </w:tcBorders>
          </w:tcPr>
          <w:p w14:paraId="79EDE035">
            <w:pPr>
              <w:keepNext w:val="0"/>
              <w:keepLines w:val="0"/>
              <w:pageBreakBefore w:val="0"/>
              <w:kinsoku/>
              <w:wordWrap/>
              <w:overflowPunct/>
              <w:topLinePunct w:val="0"/>
              <w:autoSpaceDE/>
              <w:autoSpaceDN/>
              <w:bidi w:val="0"/>
              <w:adjustRightInd/>
              <w:snapToGrid/>
              <w:rPr>
                <w:rFonts w:hint="eastAsia" w:ascii="宋体" w:hAnsi="宋体" w:eastAsia="宋体" w:cs="宋体"/>
                <w:sz w:val="21"/>
                <w:szCs w:val="21"/>
              </w:rPr>
            </w:pPr>
            <w:r>
              <w:rPr>
                <w:rFonts w:hint="eastAsia" w:ascii="宋体" w:hAnsi="宋体" w:eastAsia="宋体" w:cs="宋体"/>
                <w:color w:val="auto"/>
                <w:sz w:val="21"/>
                <w:szCs w:val="21"/>
                <w:lang w:val="en-US" w:eastAsia="zh-CN"/>
              </w:rPr>
              <w:t>采购标的/服务清单/报价等任意一类有缺漏项或响应不全，</w:t>
            </w:r>
            <w:r>
              <w:rPr>
                <w:rFonts w:hint="eastAsia" w:ascii="宋体" w:hAnsi="宋体" w:eastAsia="宋体" w:cs="宋体"/>
                <w:sz w:val="21"/>
                <w:szCs w:val="21"/>
              </w:rPr>
              <w:t>或者对招标文件规定的项目需求内容或者需求数量进行修改，评审委员会判定投标响应不满足采购需求；</w:t>
            </w:r>
          </w:p>
        </w:tc>
      </w:tr>
      <w:tr w14:paraId="5D289D9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14:paraId="5C9393B7">
            <w:pPr>
              <w:keepNext w:val="0"/>
              <w:keepLines w:val="0"/>
              <w:pageBreakBefore w:val="0"/>
              <w:kinsoku/>
              <w:wordWrap/>
              <w:overflowPunct/>
              <w:topLinePunct w:val="0"/>
              <w:autoSpaceDE/>
              <w:autoSpaceDN/>
              <w:bidi w:val="0"/>
              <w:adjustRightInd/>
              <w:snapToGrid/>
              <w:jc w:val="center"/>
              <w:rPr>
                <w:rFonts w:hint="eastAsia" w:ascii="宋体" w:hAnsi="宋体" w:eastAsia="宋体" w:cs="宋体"/>
                <w:sz w:val="21"/>
                <w:szCs w:val="21"/>
                <w:lang w:eastAsia="zh-CN"/>
              </w:rPr>
            </w:pPr>
            <w:r>
              <w:rPr>
                <w:rFonts w:hint="eastAsia" w:ascii="宋体" w:hAnsi="宋体" w:cs="宋体"/>
                <w:sz w:val="21"/>
                <w:szCs w:val="21"/>
                <w:lang w:val="en-US" w:eastAsia="zh-CN"/>
              </w:rPr>
              <w:t>7</w:t>
            </w:r>
          </w:p>
        </w:tc>
        <w:tc>
          <w:tcPr>
            <w:tcW w:w="8278" w:type="dxa"/>
            <w:tcBorders>
              <w:top w:val="single" w:color="000000" w:sz="8" w:space="0"/>
              <w:left w:val="single" w:color="000000" w:sz="8" w:space="0"/>
              <w:bottom w:val="single" w:color="000000" w:sz="8" w:space="0"/>
              <w:right w:val="single" w:color="000000" w:sz="8" w:space="0"/>
            </w:tcBorders>
          </w:tcPr>
          <w:p w14:paraId="165C46C6">
            <w:pPr>
              <w:keepNext w:val="0"/>
              <w:keepLines w:val="0"/>
              <w:pageBreakBefore w:val="0"/>
              <w:kinsoku/>
              <w:wordWrap/>
              <w:overflowPunct/>
              <w:topLinePunct w:val="0"/>
              <w:autoSpaceDE/>
              <w:autoSpaceDN/>
              <w:bidi w:val="0"/>
              <w:adjustRightInd/>
              <w:snapToGrid/>
              <w:rPr>
                <w:rFonts w:hint="eastAsia" w:ascii="宋体" w:hAnsi="宋体" w:eastAsia="宋体" w:cs="宋体"/>
                <w:sz w:val="21"/>
                <w:szCs w:val="21"/>
              </w:rPr>
            </w:pPr>
            <w:r>
              <w:rPr>
                <w:rFonts w:hint="eastAsia" w:ascii="宋体" w:hAnsi="宋体" w:eastAsia="宋体" w:cs="宋体"/>
                <w:sz w:val="21"/>
                <w:szCs w:val="21"/>
              </w:rPr>
              <w:t>投标文件存在列放位置错误，导致属于信息公开情形的没有被公开；</w:t>
            </w:r>
          </w:p>
        </w:tc>
      </w:tr>
      <w:tr w14:paraId="57DD22F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14:paraId="75BA7395">
            <w:pPr>
              <w:keepNext w:val="0"/>
              <w:keepLines w:val="0"/>
              <w:pageBreakBefore w:val="0"/>
              <w:kinsoku/>
              <w:wordWrap/>
              <w:overflowPunct/>
              <w:topLinePunct w:val="0"/>
              <w:autoSpaceDE/>
              <w:autoSpaceDN/>
              <w:bidi w:val="0"/>
              <w:adjustRightInd/>
              <w:snapToGrid/>
              <w:jc w:val="center"/>
              <w:rPr>
                <w:rFonts w:hint="eastAsia" w:ascii="宋体" w:hAnsi="宋体" w:eastAsia="宋体" w:cs="宋体"/>
                <w:sz w:val="21"/>
                <w:szCs w:val="21"/>
                <w:lang w:val="en-US" w:eastAsia="zh-CN"/>
              </w:rPr>
            </w:pPr>
            <w:r>
              <w:rPr>
                <w:rFonts w:hint="eastAsia" w:ascii="宋体" w:hAnsi="宋体" w:cs="宋体"/>
                <w:sz w:val="21"/>
                <w:szCs w:val="21"/>
                <w:lang w:val="en-US" w:eastAsia="zh-CN"/>
              </w:rPr>
              <w:t>8</w:t>
            </w:r>
          </w:p>
        </w:tc>
        <w:tc>
          <w:tcPr>
            <w:tcW w:w="8278" w:type="dxa"/>
            <w:tcBorders>
              <w:top w:val="single" w:color="000000" w:sz="8" w:space="0"/>
              <w:left w:val="single" w:color="000000" w:sz="8" w:space="0"/>
              <w:bottom w:val="single" w:color="000000" w:sz="8" w:space="0"/>
              <w:right w:val="single" w:color="000000" w:sz="8" w:space="0"/>
            </w:tcBorders>
          </w:tcPr>
          <w:p w14:paraId="0914FCB3">
            <w:pPr>
              <w:keepNext w:val="0"/>
              <w:keepLines w:val="0"/>
              <w:pageBreakBefore w:val="0"/>
              <w:kinsoku/>
              <w:wordWrap/>
              <w:overflowPunct/>
              <w:topLinePunct w:val="0"/>
              <w:autoSpaceDE/>
              <w:autoSpaceDN/>
              <w:bidi w:val="0"/>
              <w:adjustRightInd/>
              <w:snapToGrid/>
              <w:rPr>
                <w:rFonts w:hint="eastAsia" w:ascii="宋体" w:hAnsi="宋体" w:eastAsia="宋体" w:cs="宋体"/>
                <w:sz w:val="21"/>
                <w:szCs w:val="21"/>
              </w:rPr>
            </w:pPr>
            <w:r>
              <w:rPr>
                <w:rFonts w:hint="eastAsia" w:ascii="宋体" w:hAnsi="宋体" w:eastAsia="宋体" w:cs="宋体"/>
                <w:sz w:val="21"/>
                <w:szCs w:val="21"/>
              </w:rPr>
              <w:t>投标文件电子文档</w:t>
            </w:r>
            <w:r>
              <w:rPr>
                <w:rFonts w:hint="eastAsia" w:ascii="宋体" w:hAnsi="宋体" w:eastAsia="宋体" w:cs="宋体"/>
                <w:sz w:val="21"/>
                <w:szCs w:val="21"/>
                <w:lang w:val="en-US" w:eastAsia="zh-CN"/>
              </w:rPr>
              <w:t>不得</w:t>
            </w:r>
            <w:r>
              <w:rPr>
                <w:rFonts w:hint="eastAsia" w:ascii="宋体" w:hAnsi="宋体" w:eastAsia="宋体" w:cs="宋体"/>
                <w:sz w:val="21"/>
                <w:szCs w:val="21"/>
              </w:rPr>
              <w:t>带病毒；</w:t>
            </w:r>
          </w:p>
        </w:tc>
      </w:tr>
      <w:tr w14:paraId="144E461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14:paraId="6CF0903D">
            <w:pPr>
              <w:keepNext w:val="0"/>
              <w:keepLines w:val="0"/>
              <w:pageBreakBefore w:val="0"/>
              <w:kinsoku/>
              <w:wordWrap/>
              <w:overflowPunct/>
              <w:topLinePunct w:val="0"/>
              <w:autoSpaceDE/>
              <w:autoSpaceDN/>
              <w:bidi w:val="0"/>
              <w:adjustRightInd/>
              <w:snapToGrid/>
              <w:jc w:val="center"/>
              <w:rPr>
                <w:rFonts w:hint="eastAsia" w:ascii="宋体" w:hAnsi="宋体" w:eastAsia="宋体" w:cs="宋体"/>
                <w:sz w:val="21"/>
                <w:szCs w:val="21"/>
              </w:rPr>
            </w:pPr>
            <w:r>
              <w:rPr>
                <w:rFonts w:hint="eastAsia" w:ascii="宋体" w:hAnsi="宋体" w:eastAsia="宋体" w:cs="宋体"/>
                <w:sz w:val="21"/>
                <w:szCs w:val="21"/>
              </w:rPr>
              <w:t>9</w:t>
            </w:r>
          </w:p>
        </w:tc>
        <w:tc>
          <w:tcPr>
            <w:tcW w:w="8278" w:type="dxa"/>
            <w:tcBorders>
              <w:top w:val="single" w:color="000000" w:sz="8" w:space="0"/>
              <w:left w:val="single" w:color="000000" w:sz="8" w:space="0"/>
              <w:bottom w:val="single" w:color="000000" w:sz="8" w:space="0"/>
              <w:right w:val="single" w:color="000000" w:sz="8" w:space="0"/>
            </w:tcBorders>
          </w:tcPr>
          <w:p w14:paraId="5833C411">
            <w:pPr>
              <w:keepNext w:val="0"/>
              <w:keepLines w:val="0"/>
              <w:pageBreakBefore w:val="0"/>
              <w:kinsoku/>
              <w:wordWrap/>
              <w:overflowPunct/>
              <w:topLinePunct w:val="0"/>
              <w:autoSpaceDE/>
              <w:autoSpaceDN/>
              <w:bidi w:val="0"/>
              <w:adjustRightInd/>
              <w:snapToGrid/>
              <w:rPr>
                <w:rFonts w:hint="eastAsia" w:ascii="宋体" w:hAnsi="宋体" w:eastAsia="宋体" w:cs="宋体"/>
                <w:sz w:val="21"/>
                <w:szCs w:val="21"/>
              </w:rPr>
            </w:pPr>
            <w:r>
              <w:rPr>
                <w:rFonts w:hint="eastAsia" w:ascii="宋体" w:hAnsi="宋体" w:eastAsia="宋体" w:cs="宋体"/>
                <w:sz w:val="21"/>
                <w:szCs w:val="21"/>
              </w:rPr>
              <w:t>投标文件</w:t>
            </w:r>
            <w:r>
              <w:rPr>
                <w:rFonts w:hint="eastAsia" w:ascii="宋体" w:hAnsi="宋体" w:eastAsia="宋体" w:cs="宋体"/>
                <w:sz w:val="21"/>
                <w:szCs w:val="21"/>
                <w:lang w:val="en-US" w:eastAsia="zh-CN"/>
              </w:rPr>
              <w:t>不得</w:t>
            </w:r>
            <w:r>
              <w:rPr>
                <w:rFonts w:hint="eastAsia" w:ascii="宋体" w:hAnsi="宋体" w:eastAsia="宋体" w:cs="宋体"/>
                <w:sz w:val="21"/>
                <w:szCs w:val="21"/>
              </w:rPr>
              <w:t>用不属于本公司的电子密钥或电子营业执照进行加密；</w:t>
            </w:r>
          </w:p>
        </w:tc>
      </w:tr>
      <w:tr w14:paraId="5C23597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14:paraId="78FBB11E">
            <w:pPr>
              <w:keepNext w:val="0"/>
              <w:keepLines w:val="0"/>
              <w:pageBreakBefore w:val="0"/>
              <w:kinsoku/>
              <w:wordWrap/>
              <w:overflowPunct/>
              <w:topLinePunct w:val="0"/>
              <w:autoSpaceDE/>
              <w:autoSpaceDN/>
              <w:bidi w:val="0"/>
              <w:adjustRightInd/>
              <w:snapToGrid/>
              <w:jc w:val="center"/>
              <w:rPr>
                <w:rFonts w:hint="eastAsia" w:ascii="宋体" w:hAnsi="宋体" w:eastAsia="宋体" w:cs="宋体"/>
                <w:sz w:val="21"/>
                <w:szCs w:val="21"/>
              </w:rPr>
            </w:pPr>
            <w:r>
              <w:rPr>
                <w:rFonts w:hint="eastAsia" w:ascii="宋体" w:hAnsi="宋体" w:eastAsia="宋体" w:cs="宋体"/>
                <w:sz w:val="21"/>
                <w:szCs w:val="21"/>
              </w:rPr>
              <w:t>10</w:t>
            </w:r>
          </w:p>
        </w:tc>
        <w:tc>
          <w:tcPr>
            <w:tcW w:w="8278" w:type="dxa"/>
            <w:tcBorders>
              <w:top w:val="single" w:color="000000" w:sz="8" w:space="0"/>
              <w:left w:val="single" w:color="000000" w:sz="8" w:space="0"/>
              <w:bottom w:val="single" w:color="000000" w:sz="8" w:space="0"/>
              <w:right w:val="single" w:color="000000" w:sz="8" w:space="0"/>
            </w:tcBorders>
          </w:tcPr>
          <w:p w14:paraId="0511F7E8">
            <w:pPr>
              <w:keepNext w:val="0"/>
              <w:keepLines w:val="0"/>
              <w:pageBreakBefore w:val="0"/>
              <w:widowControl/>
              <w:kinsoku/>
              <w:wordWrap/>
              <w:overflowPunct/>
              <w:topLinePunct w:val="0"/>
              <w:autoSpaceDE/>
              <w:autoSpaceDN/>
              <w:bidi w:val="0"/>
              <w:adjustRightInd/>
              <w:snapToGrid/>
              <w:jc w:val="left"/>
              <w:textAlignment w:val="top"/>
              <w:rPr>
                <w:rFonts w:hint="eastAsia" w:ascii="宋体" w:hAnsi="宋体" w:eastAsia="宋体" w:cs="宋体"/>
                <w:sz w:val="21"/>
                <w:szCs w:val="21"/>
              </w:rPr>
            </w:pPr>
            <w:r>
              <w:rPr>
                <w:rFonts w:hint="eastAsia" w:ascii="宋体" w:hAnsi="宋体" w:eastAsia="宋体" w:cs="宋体"/>
                <w:sz w:val="21"/>
                <w:szCs w:val="21"/>
                <w:lang w:val="en-US" w:eastAsia="zh-CN"/>
              </w:rPr>
              <w:t>不得与其他</w:t>
            </w:r>
            <w:r>
              <w:rPr>
                <w:rFonts w:hint="eastAsia" w:ascii="宋体" w:hAnsi="宋体" w:eastAsia="宋体" w:cs="宋体"/>
                <w:sz w:val="21"/>
                <w:szCs w:val="21"/>
              </w:rPr>
              <w:t>投标供应商投标文件“文件制作机器码”一致</w:t>
            </w:r>
            <w:r>
              <w:rPr>
                <w:rFonts w:hint="eastAsia" w:ascii="宋体" w:hAnsi="宋体" w:eastAsia="宋体" w:cs="宋体"/>
                <w:sz w:val="21"/>
                <w:szCs w:val="21"/>
                <w:lang w:eastAsia="zh-CN"/>
              </w:rPr>
              <w:t>；</w:t>
            </w:r>
          </w:p>
        </w:tc>
      </w:tr>
      <w:tr w14:paraId="40B6C99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14:paraId="45F32B81">
            <w:pPr>
              <w:keepNext w:val="0"/>
              <w:keepLines w:val="0"/>
              <w:pageBreakBefore w:val="0"/>
              <w:widowControl/>
              <w:kinsoku/>
              <w:wordWrap/>
              <w:overflowPunct/>
              <w:topLinePunct w:val="0"/>
              <w:autoSpaceDE/>
              <w:autoSpaceDN/>
              <w:bidi w:val="0"/>
              <w:adjustRightInd/>
              <w:snapToGrid/>
              <w:jc w:val="center"/>
              <w:textAlignment w:val="top"/>
              <w:rPr>
                <w:rFonts w:hint="eastAsia" w:ascii="宋体" w:hAnsi="宋体" w:eastAsia="宋体" w:cs="宋体"/>
                <w:sz w:val="21"/>
                <w:szCs w:val="21"/>
              </w:rPr>
            </w:pPr>
            <w:r>
              <w:rPr>
                <w:rFonts w:hint="eastAsia" w:ascii="宋体" w:hAnsi="宋体" w:eastAsia="宋体" w:cs="宋体"/>
                <w:sz w:val="21"/>
                <w:szCs w:val="21"/>
                <w:lang w:val="en-US" w:eastAsia="zh-CN"/>
              </w:rPr>
              <w:t>11</w:t>
            </w:r>
          </w:p>
        </w:tc>
        <w:tc>
          <w:tcPr>
            <w:tcW w:w="8278" w:type="dxa"/>
            <w:tcBorders>
              <w:top w:val="single" w:color="000000" w:sz="8" w:space="0"/>
              <w:left w:val="single" w:color="000000" w:sz="8" w:space="0"/>
              <w:bottom w:val="single" w:color="000000" w:sz="8" w:space="0"/>
              <w:right w:val="single" w:color="000000" w:sz="8" w:space="0"/>
            </w:tcBorders>
          </w:tcPr>
          <w:p w14:paraId="1786E31D">
            <w:pPr>
              <w:keepNext w:val="0"/>
              <w:keepLines w:val="0"/>
              <w:pageBreakBefore w:val="0"/>
              <w:widowControl/>
              <w:kinsoku/>
              <w:wordWrap/>
              <w:overflowPunct/>
              <w:topLinePunct w:val="0"/>
              <w:autoSpaceDE/>
              <w:autoSpaceDN/>
              <w:bidi w:val="0"/>
              <w:adjustRightInd/>
              <w:snapToGrid/>
              <w:jc w:val="left"/>
              <w:textAlignment w:val="top"/>
              <w:rPr>
                <w:rFonts w:hint="eastAsia" w:ascii="宋体" w:hAnsi="宋体" w:eastAsia="宋体" w:cs="宋体"/>
                <w:sz w:val="21"/>
                <w:szCs w:val="21"/>
              </w:rPr>
            </w:pPr>
            <w:r>
              <w:rPr>
                <w:rFonts w:hint="eastAsia" w:ascii="宋体" w:hAnsi="宋体" w:eastAsia="宋体" w:cs="宋体"/>
                <w:sz w:val="21"/>
                <w:szCs w:val="21"/>
                <w:lang w:val="en-US" w:eastAsia="zh-CN"/>
              </w:rPr>
              <w:t>不得与其他</w:t>
            </w:r>
            <w:r>
              <w:rPr>
                <w:rFonts w:hint="eastAsia" w:ascii="宋体" w:hAnsi="宋体" w:eastAsia="宋体" w:cs="宋体"/>
                <w:sz w:val="21"/>
                <w:szCs w:val="21"/>
              </w:rPr>
              <w:t>投标供应商投标文件“文件创建标识码”一致</w:t>
            </w:r>
            <w:r>
              <w:rPr>
                <w:rFonts w:hint="eastAsia" w:ascii="宋体" w:hAnsi="宋体" w:eastAsia="宋体" w:cs="宋体"/>
                <w:sz w:val="21"/>
                <w:szCs w:val="21"/>
                <w:lang w:eastAsia="zh-CN"/>
              </w:rPr>
              <w:t>；</w:t>
            </w:r>
          </w:p>
        </w:tc>
      </w:tr>
      <w:tr w14:paraId="3F47EDD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vAlign w:val="center"/>
          </w:tcPr>
          <w:p w14:paraId="0051C4D7">
            <w:pPr>
              <w:keepNext w:val="0"/>
              <w:keepLines w:val="0"/>
              <w:pageBreakBefore w:val="0"/>
              <w:widowControl/>
              <w:kinsoku/>
              <w:wordWrap/>
              <w:overflowPunct/>
              <w:topLinePunct w:val="0"/>
              <w:autoSpaceDE/>
              <w:autoSpaceDN/>
              <w:bidi w:val="0"/>
              <w:adjustRightInd/>
              <w:snapToGrid/>
              <w:jc w:val="center"/>
              <w:textAlignment w:val="top"/>
              <w:rPr>
                <w:rFonts w:hint="eastAsia" w:ascii="宋体" w:hAnsi="宋体" w:eastAsia="宋体" w:cs="宋体"/>
                <w:sz w:val="21"/>
                <w:szCs w:val="21"/>
                <w:lang w:val="en-US" w:eastAsia="zh-CN"/>
              </w:rPr>
            </w:pPr>
            <w:r>
              <w:rPr>
                <w:rFonts w:hint="eastAsia" w:ascii="宋体" w:hAnsi="宋体" w:cs="宋体"/>
                <w:sz w:val="21"/>
                <w:szCs w:val="21"/>
                <w:lang w:val="en-US" w:eastAsia="zh-CN"/>
              </w:rPr>
              <w:t>12</w:t>
            </w:r>
          </w:p>
        </w:tc>
        <w:tc>
          <w:tcPr>
            <w:tcW w:w="8278" w:type="dxa"/>
            <w:tcBorders>
              <w:top w:val="single" w:color="000000" w:sz="8" w:space="0"/>
              <w:left w:val="single" w:color="000000" w:sz="8" w:space="0"/>
              <w:bottom w:val="single" w:color="000000" w:sz="8" w:space="0"/>
              <w:right w:val="single" w:color="000000" w:sz="8" w:space="0"/>
            </w:tcBorders>
          </w:tcPr>
          <w:p w14:paraId="100D99BF">
            <w:pPr>
              <w:keepNext w:val="0"/>
              <w:keepLines w:val="0"/>
              <w:pageBreakBefore w:val="0"/>
              <w:widowControl/>
              <w:kinsoku/>
              <w:wordWrap/>
              <w:overflowPunct/>
              <w:topLinePunct w:val="0"/>
              <w:autoSpaceDE/>
              <w:autoSpaceDN/>
              <w:bidi w:val="0"/>
              <w:adjustRightInd/>
              <w:snapToGrid/>
              <w:jc w:val="left"/>
              <w:textAlignment w:val="top"/>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投标</w:t>
            </w:r>
            <w:r>
              <w:rPr>
                <w:rFonts w:hint="eastAsia" w:ascii="宋体" w:hAnsi="宋体" w:cs="宋体"/>
                <w:sz w:val="21"/>
                <w:szCs w:val="21"/>
                <w:lang w:val="en-US" w:eastAsia="zh-CN"/>
              </w:rPr>
              <w:t>供应商不得</w:t>
            </w:r>
            <w:r>
              <w:rPr>
                <w:rFonts w:hint="eastAsia" w:ascii="宋体" w:hAnsi="宋体" w:eastAsia="宋体" w:cs="宋体"/>
                <w:sz w:val="21"/>
                <w:szCs w:val="21"/>
                <w:lang w:val="en-US" w:eastAsia="zh-CN"/>
              </w:rPr>
              <w:t>选用《关于在政府采购活动中对有关美国企业采取相关措施的通知》列明的46家美国企业（不包括在华美资企业）生产的产品参与投标。</w:t>
            </w:r>
          </w:p>
        </w:tc>
      </w:tr>
      <w:tr w14:paraId="6252FFB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14:paraId="4BC6915F">
            <w:pPr>
              <w:keepNext w:val="0"/>
              <w:keepLines w:val="0"/>
              <w:pageBreakBefore w:val="0"/>
              <w:widowControl/>
              <w:kinsoku/>
              <w:wordWrap/>
              <w:overflowPunct/>
              <w:topLinePunct w:val="0"/>
              <w:autoSpaceDE/>
              <w:autoSpaceDN/>
              <w:bidi w:val="0"/>
              <w:adjustRightInd/>
              <w:snapToGrid/>
              <w:jc w:val="center"/>
              <w:textAlignment w:val="top"/>
              <w:rPr>
                <w:rFonts w:hint="eastAsia" w:ascii="宋体" w:hAnsi="宋体" w:eastAsia="宋体" w:cs="宋体"/>
                <w:sz w:val="21"/>
                <w:szCs w:val="21"/>
                <w:lang w:eastAsia="zh-CN"/>
              </w:rPr>
            </w:pPr>
            <w:r>
              <w:rPr>
                <w:rFonts w:hint="eastAsia" w:ascii="宋体" w:hAnsi="宋体" w:eastAsia="宋体" w:cs="宋体"/>
                <w:sz w:val="21"/>
                <w:szCs w:val="21"/>
                <w:lang w:val="en-US" w:eastAsia="zh-CN"/>
              </w:rPr>
              <w:t>1</w:t>
            </w:r>
            <w:r>
              <w:rPr>
                <w:rFonts w:hint="eastAsia" w:ascii="宋体" w:hAnsi="宋体" w:cs="宋体"/>
                <w:sz w:val="21"/>
                <w:szCs w:val="21"/>
                <w:lang w:val="en-US" w:eastAsia="zh-CN"/>
              </w:rPr>
              <w:t>3</w:t>
            </w:r>
          </w:p>
        </w:tc>
        <w:tc>
          <w:tcPr>
            <w:tcW w:w="8278" w:type="dxa"/>
            <w:tcBorders>
              <w:top w:val="single" w:color="000000" w:sz="8" w:space="0"/>
              <w:left w:val="single" w:color="000000" w:sz="8" w:space="0"/>
              <w:bottom w:val="single" w:color="000000" w:sz="8" w:space="0"/>
              <w:right w:val="single" w:color="000000" w:sz="8" w:space="0"/>
            </w:tcBorders>
          </w:tcPr>
          <w:p w14:paraId="45597308">
            <w:pPr>
              <w:keepNext w:val="0"/>
              <w:keepLines w:val="0"/>
              <w:pageBreakBefore w:val="0"/>
              <w:kinsoku/>
              <w:wordWrap/>
              <w:overflowPunct/>
              <w:topLinePunct w:val="0"/>
              <w:autoSpaceDE/>
              <w:autoSpaceDN/>
              <w:bidi w:val="0"/>
              <w:adjustRightInd/>
              <w:snapToGrid/>
              <w:rPr>
                <w:rFonts w:hint="eastAsia" w:ascii="宋体" w:hAnsi="宋体" w:eastAsia="宋体" w:cs="宋体"/>
                <w:sz w:val="21"/>
                <w:szCs w:val="21"/>
              </w:rPr>
            </w:pPr>
            <w:r>
              <w:rPr>
                <w:rFonts w:hint="eastAsia" w:ascii="宋体" w:hAnsi="宋体" w:eastAsia="宋体" w:cs="宋体"/>
                <w:sz w:val="21"/>
                <w:szCs w:val="21"/>
              </w:rPr>
              <w:t>法律、法规、规章、规范性文件规定的其他情形。</w:t>
            </w:r>
          </w:p>
        </w:tc>
      </w:tr>
    </w:tbl>
    <w:p w14:paraId="766D9AFA">
      <w:pPr>
        <w:pStyle w:val="38"/>
        <w:jc w:val="center"/>
        <w:outlineLvl w:val="9"/>
        <w:rPr>
          <w:rFonts w:hint="eastAsia" w:ascii="黑体" w:hAnsi="黑体" w:eastAsia="黑体"/>
          <w:sz w:val="40"/>
          <w:szCs w:val="40"/>
        </w:rPr>
      </w:pPr>
    </w:p>
    <w:p w14:paraId="7E3C8EF3">
      <w:pPr>
        <w:widowControl/>
        <w:spacing w:beforeAutospacing="1" w:afterAutospacing="1"/>
        <w:jc w:val="center"/>
        <w:outlineLvl w:val="1"/>
        <w:rPr>
          <w:rFonts w:ascii="黑体" w:hAnsi="宋体" w:eastAsia="黑体" w:cs="黑体"/>
          <w:kern w:val="0"/>
          <w:sz w:val="40"/>
          <w:szCs w:val="40"/>
          <w:highlight w:val="cyan"/>
          <w:lang w:val="en-US" w:eastAsia="zh-CN" w:bidi="ar-SA"/>
        </w:rPr>
      </w:pPr>
      <w:r>
        <w:rPr>
          <w:rFonts w:hint="eastAsia" w:ascii="黑体" w:hAnsi="宋体" w:eastAsia="黑体" w:cs="黑体"/>
          <w:kern w:val="0"/>
          <w:sz w:val="40"/>
          <w:szCs w:val="40"/>
          <w:highlight w:val="cyan"/>
          <w:lang w:val="en-US" w:eastAsia="zh-CN" w:bidi="ar-SA"/>
        </w:rPr>
        <w:t>异常低价审查表</w:t>
      </w:r>
    </w:p>
    <w:tbl>
      <w:tblPr>
        <w:tblStyle w:val="42"/>
        <w:tblW w:w="9078"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0" w:type="dxa"/>
          <w:left w:w="108" w:type="dxa"/>
          <w:bottom w:w="20" w:type="dxa"/>
          <w:right w:w="108" w:type="dxa"/>
        </w:tblCellMar>
      </w:tblPr>
      <w:tblGrid>
        <w:gridCol w:w="794"/>
        <w:gridCol w:w="8284"/>
      </w:tblGrid>
      <w:tr w14:paraId="7A0534B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shd w:val="clear" w:color="auto" w:fill="E6EFFA"/>
            <w:vAlign w:val="center"/>
          </w:tcPr>
          <w:p w14:paraId="1E1AFD83">
            <w:pPr>
              <w:widowControl/>
              <w:jc w:val="center"/>
              <w:rPr>
                <w:sz w:val="21"/>
                <w:szCs w:val="21"/>
                <w:highlight w:val="none"/>
              </w:rPr>
            </w:pPr>
            <w:r>
              <w:rPr>
                <w:rFonts w:ascii="宋体" w:hAnsi="宋体" w:cs="宋体"/>
                <w:kern w:val="0"/>
                <w:sz w:val="21"/>
                <w:szCs w:val="21"/>
                <w:highlight w:val="none"/>
              </w:rPr>
              <w:t>序号</w:t>
            </w:r>
          </w:p>
        </w:tc>
        <w:tc>
          <w:tcPr>
            <w:tcW w:w="8284" w:type="dxa"/>
            <w:tcBorders>
              <w:top w:val="single" w:color="000000" w:sz="8" w:space="0"/>
              <w:left w:val="single" w:color="000000" w:sz="8" w:space="0"/>
              <w:bottom w:val="single" w:color="000000" w:sz="8" w:space="0"/>
              <w:right w:val="single" w:color="000000" w:sz="8" w:space="0"/>
            </w:tcBorders>
            <w:shd w:val="clear" w:color="auto" w:fill="E6EFFA"/>
            <w:vAlign w:val="center"/>
          </w:tcPr>
          <w:p w14:paraId="53DB5BD8">
            <w:pPr>
              <w:widowControl/>
              <w:jc w:val="center"/>
              <w:rPr>
                <w:sz w:val="21"/>
                <w:szCs w:val="21"/>
                <w:highlight w:val="none"/>
              </w:rPr>
            </w:pPr>
            <w:r>
              <w:rPr>
                <w:rFonts w:ascii="宋体" w:hAnsi="宋体" w:cs="宋体"/>
                <w:kern w:val="0"/>
                <w:sz w:val="21"/>
                <w:szCs w:val="21"/>
                <w:highlight w:val="none"/>
              </w:rPr>
              <w:t>内容</w:t>
            </w:r>
          </w:p>
        </w:tc>
      </w:tr>
      <w:tr w14:paraId="0D509EE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4F43F0A">
            <w:pPr>
              <w:keepNext w:val="0"/>
              <w:keepLines w:val="0"/>
              <w:pageBreakBefore w:val="0"/>
              <w:widowControl/>
              <w:kinsoku/>
              <w:wordWrap/>
              <w:overflowPunct/>
              <w:topLinePunct w:val="0"/>
              <w:autoSpaceDE/>
              <w:autoSpaceDN/>
              <w:bidi w:val="0"/>
              <w:adjustRightInd/>
              <w:snapToGrid/>
              <w:jc w:val="center"/>
              <w:textAlignment w:val="top"/>
              <w:rPr>
                <w:sz w:val="21"/>
                <w:szCs w:val="21"/>
                <w:highlight w:val="none"/>
              </w:rPr>
            </w:pPr>
            <w:r>
              <w:rPr>
                <w:rFonts w:hint="eastAsia" w:ascii="宋体" w:hAnsi="宋体" w:cs="宋体"/>
                <w:kern w:val="0"/>
                <w:sz w:val="21"/>
                <w:szCs w:val="21"/>
                <w:highlight w:val="none"/>
                <w:lang w:val="en-US" w:eastAsia="zh-CN"/>
              </w:rPr>
              <w:t>1</w:t>
            </w:r>
          </w:p>
        </w:tc>
        <w:tc>
          <w:tcPr>
            <w:tcW w:w="8284" w:type="dxa"/>
            <w:tcBorders>
              <w:top w:val="single" w:color="000000" w:sz="8" w:space="0"/>
              <w:left w:val="single" w:color="000000" w:sz="8" w:space="0"/>
              <w:bottom w:val="single" w:color="000000" w:sz="8" w:space="0"/>
              <w:right w:val="single" w:color="000000" w:sz="8" w:space="0"/>
            </w:tcBorders>
            <w:shd w:val="clear" w:color="auto" w:fill="auto"/>
          </w:tcPr>
          <w:p w14:paraId="79939F73">
            <w:pPr>
              <w:keepNext w:val="0"/>
              <w:keepLines w:val="0"/>
              <w:pageBreakBefore w:val="0"/>
              <w:widowControl/>
              <w:kinsoku/>
              <w:wordWrap/>
              <w:overflowPunct/>
              <w:topLinePunct w:val="0"/>
              <w:autoSpaceDE/>
              <w:autoSpaceDN/>
              <w:bidi w:val="0"/>
              <w:adjustRightInd/>
              <w:snapToGrid/>
              <w:jc w:val="left"/>
              <w:textAlignment w:val="top"/>
              <w:rPr>
                <w:rFonts w:hint="eastAsia" w:ascii="宋体" w:hAnsi="宋体" w:eastAsia="宋体" w:cs="宋体"/>
                <w:sz w:val="21"/>
                <w:szCs w:val="21"/>
                <w:highlight w:val="none"/>
              </w:rPr>
            </w:pPr>
            <w:r>
              <w:rPr>
                <w:rFonts w:hint="eastAsia" w:ascii="宋体" w:hAnsi="宋体" w:eastAsia="宋体" w:cs="宋体"/>
                <w:sz w:val="21"/>
                <w:szCs w:val="21"/>
                <w:highlight w:val="none"/>
              </w:rPr>
              <w:t>评审中出现下列情形之一的，评审委员会应当启动异常低价投标（响应）审查程序：</w:t>
            </w:r>
          </w:p>
          <w:p w14:paraId="09538E0A">
            <w:pPr>
              <w:keepNext w:val="0"/>
              <w:keepLines w:val="0"/>
              <w:pageBreakBefore w:val="0"/>
              <w:widowControl/>
              <w:kinsoku/>
              <w:wordWrap/>
              <w:overflowPunct/>
              <w:topLinePunct w:val="0"/>
              <w:autoSpaceDE/>
              <w:autoSpaceDN/>
              <w:bidi w:val="0"/>
              <w:adjustRightInd/>
              <w:snapToGrid/>
              <w:jc w:val="left"/>
              <w:textAlignment w:val="top"/>
              <w:rPr>
                <w:rFonts w:hint="eastAsia" w:ascii="宋体" w:hAnsi="宋体" w:eastAsia="宋体" w:cs="宋体"/>
                <w:sz w:val="21"/>
                <w:szCs w:val="21"/>
                <w:highlight w:val="none"/>
              </w:rPr>
            </w:pPr>
            <w:r>
              <w:rPr>
                <w:rFonts w:hint="eastAsia" w:ascii="宋体" w:hAnsi="宋体" w:eastAsia="宋体" w:cs="宋体"/>
                <w:sz w:val="21"/>
                <w:szCs w:val="21"/>
                <w:highlight w:val="none"/>
              </w:rPr>
              <w:t>1.投标（响应）报价低于全部通过符合性审查供应商投标（响应）报价平均值50%的，即投标（响应）报价&lt;全部通过符合性审查供应商投标（响应）报价平均值×50%；</w:t>
            </w:r>
          </w:p>
          <w:p w14:paraId="1B0CDA6C">
            <w:pPr>
              <w:keepNext w:val="0"/>
              <w:keepLines w:val="0"/>
              <w:pageBreakBefore w:val="0"/>
              <w:widowControl/>
              <w:kinsoku/>
              <w:wordWrap/>
              <w:overflowPunct/>
              <w:topLinePunct w:val="0"/>
              <w:autoSpaceDE/>
              <w:autoSpaceDN/>
              <w:bidi w:val="0"/>
              <w:adjustRightInd/>
              <w:snapToGrid/>
              <w:jc w:val="left"/>
              <w:textAlignment w:val="top"/>
              <w:rPr>
                <w:rFonts w:hint="eastAsia" w:ascii="宋体" w:hAnsi="宋体" w:eastAsia="宋体" w:cs="宋体"/>
                <w:sz w:val="21"/>
                <w:szCs w:val="21"/>
                <w:highlight w:val="none"/>
              </w:rPr>
            </w:pPr>
          </w:p>
          <w:p w14:paraId="03BB6584">
            <w:pPr>
              <w:keepNext w:val="0"/>
              <w:keepLines w:val="0"/>
              <w:pageBreakBefore w:val="0"/>
              <w:widowControl/>
              <w:kinsoku/>
              <w:wordWrap/>
              <w:overflowPunct/>
              <w:topLinePunct w:val="0"/>
              <w:autoSpaceDE/>
              <w:autoSpaceDN/>
              <w:bidi w:val="0"/>
              <w:adjustRightInd/>
              <w:snapToGrid/>
              <w:jc w:val="left"/>
              <w:textAlignment w:val="top"/>
              <w:rPr>
                <w:rFonts w:hint="eastAsia" w:ascii="宋体" w:hAnsi="宋体" w:eastAsia="宋体" w:cs="宋体"/>
                <w:sz w:val="21"/>
                <w:szCs w:val="21"/>
                <w:highlight w:val="none"/>
              </w:rPr>
            </w:pPr>
            <w:r>
              <w:rPr>
                <w:rFonts w:hint="eastAsia" w:ascii="宋体" w:hAnsi="宋体" w:eastAsia="宋体" w:cs="宋体"/>
                <w:sz w:val="21"/>
                <w:szCs w:val="21"/>
                <w:highlight w:val="none"/>
              </w:rPr>
              <w:t>2.投标（响应）报价低于通过符合性审查的次低报价供应商投标（响应）报价50%的，即投标（响应）报价&lt;通过符合性审查的次低报价供应商投标（响应）报价×50%；</w:t>
            </w:r>
          </w:p>
          <w:p w14:paraId="3A30DE85">
            <w:pPr>
              <w:keepNext w:val="0"/>
              <w:keepLines w:val="0"/>
              <w:pageBreakBefore w:val="0"/>
              <w:widowControl/>
              <w:kinsoku/>
              <w:wordWrap/>
              <w:overflowPunct/>
              <w:topLinePunct w:val="0"/>
              <w:autoSpaceDE/>
              <w:autoSpaceDN/>
              <w:bidi w:val="0"/>
              <w:adjustRightInd/>
              <w:snapToGrid/>
              <w:jc w:val="left"/>
              <w:textAlignment w:val="top"/>
              <w:rPr>
                <w:rFonts w:hint="eastAsia" w:ascii="宋体" w:hAnsi="宋体" w:eastAsia="宋体" w:cs="宋体"/>
                <w:sz w:val="21"/>
                <w:szCs w:val="21"/>
                <w:highlight w:val="none"/>
              </w:rPr>
            </w:pPr>
          </w:p>
          <w:p w14:paraId="33AC911F">
            <w:pPr>
              <w:keepNext w:val="0"/>
              <w:keepLines w:val="0"/>
              <w:pageBreakBefore w:val="0"/>
              <w:widowControl/>
              <w:kinsoku/>
              <w:wordWrap/>
              <w:overflowPunct/>
              <w:topLinePunct w:val="0"/>
              <w:autoSpaceDE/>
              <w:autoSpaceDN/>
              <w:bidi w:val="0"/>
              <w:adjustRightInd/>
              <w:snapToGrid/>
              <w:jc w:val="left"/>
              <w:textAlignment w:val="top"/>
              <w:rPr>
                <w:rFonts w:hint="eastAsia" w:ascii="宋体" w:hAnsi="宋体" w:eastAsia="宋体" w:cs="宋体"/>
                <w:sz w:val="21"/>
                <w:szCs w:val="21"/>
                <w:highlight w:val="none"/>
              </w:rPr>
            </w:pPr>
            <w:r>
              <w:rPr>
                <w:rFonts w:hint="eastAsia" w:ascii="宋体" w:hAnsi="宋体" w:eastAsia="宋体" w:cs="宋体"/>
                <w:sz w:val="21"/>
                <w:szCs w:val="21"/>
                <w:highlight w:val="none"/>
              </w:rPr>
              <w:t>3.投标（响应）报价低于采购项目最高限价</w:t>
            </w:r>
            <w:r>
              <w:rPr>
                <w:rFonts w:hint="eastAsia" w:ascii="宋体" w:hAnsi="宋体" w:cs="宋体"/>
                <w:sz w:val="21"/>
                <w:szCs w:val="21"/>
                <w:highlight w:val="none"/>
                <w:lang w:val="en-US" w:eastAsia="zh-CN"/>
              </w:rPr>
              <w:t>65</w:t>
            </w:r>
            <w:r>
              <w:rPr>
                <w:rFonts w:hint="eastAsia" w:ascii="宋体" w:hAnsi="宋体" w:eastAsia="宋体" w:cs="宋体"/>
                <w:sz w:val="21"/>
                <w:szCs w:val="21"/>
                <w:highlight w:val="none"/>
              </w:rPr>
              <w:t>%的，即投标（响应）报价&lt;采购项目最高限价×</w:t>
            </w:r>
            <w:r>
              <w:rPr>
                <w:rFonts w:hint="eastAsia" w:ascii="宋体" w:hAnsi="宋体" w:cs="宋体"/>
                <w:sz w:val="21"/>
                <w:szCs w:val="21"/>
                <w:highlight w:val="none"/>
                <w:lang w:val="en-US" w:eastAsia="zh-CN"/>
              </w:rPr>
              <w:t>65</w:t>
            </w:r>
            <w:r>
              <w:rPr>
                <w:rFonts w:hint="eastAsia" w:ascii="宋体" w:hAnsi="宋体" w:eastAsia="宋体" w:cs="宋体"/>
                <w:sz w:val="21"/>
                <w:szCs w:val="21"/>
                <w:highlight w:val="none"/>
              </w:rPr>
              <w:t>%；</w:t>
            </w:r>
          </w:p>
          <w:p w14:paraId="39CA50DF">
            <w:pPr>
              <w:keepNext w:val="0"/>
              <w:keepLines w:val="0"/>
              <w:pageBreakBefore w:val="0"/>
              <w:widowControl/>
              <w:kinsoku/>
              <w:wordWrap/>
              <w:overflowPunct/>
              <w:topLinePunct w:val="0"/>
              <w:autoSpaceDE/>
              <w:autoSpaceDN/>
              <w:bidi w:val="0"/>
              <w:adjustRightInd/>
              <w:snapToGrid/>
              <w:jc w:val="left"/>
              <w:textAlignment w:val="top"/>
              <w:rPr>
                <w:rFonts w:hint="eastAsia" w:ascii="宋体" w:hAnsi="宋体" w:eastAsia="宋体" w:cs="宋体"/>
                <w:sz w:val="21"/>
                <w:szCs w:val="21"/>
                <w:highlight w:val="none"/>
              </w:rPr>
            </w:pPr>
          </w:p>
          <w:p w14:paraId="131BCC33">
            <w:pPr>
              <w:keepNext w:val="0"/>
              <w:keepLines w:val="0"/>
              <w:pageBreakBefore w:val="0"/>
              <w:widowControl/>
              <w:kinsoku/>
              <w:wordWrap/>
              <w:overflowPunct/>
              <w:topLinePunct w:val="0"/>
              <w:autoSpaceDE/>
              <w:autoSpaceDN/>
              <w:bidi w:val="0"/>
              <w:adjustRightInd/>
              <w:snapToGrid/>
              <w:jc w:val="left"/>
              <w:textAlignment w:val="top"/>
              <w:rPr>
                <w:rFonts w:hint="eastAsia" w:ascii="宋体" w:hAnsi="宋体" w:eastAsia="宋体" w:cs="宋体"/>
                <w:sz w:val="21"/>
                <w:szCs w:val="21"/>
                <w:highlight w:val="none"/>
              </w:rPr>
            </w:pPr>
            <w:r>
              <w:rPr>
                <w:rFonts w:hint="eastAsia" w:ascii="宋体" w:hAnsi="宋体" w:eastAsia="宋体" w:cs="宋体"/>
                <w:sz w:val="21"/>
                <w:szCs w:val="21"/>
                <w:highlight w:val="none"/>
              </w:rPr>
              <w:t>4.评审委员会基于专业判断，认为供应商报价过低，有可能影响产品质量或者不能诚信履约的其他情形。</w:t>
            </w:r>
          </w:p>
          <w:p w14:paraId="1D807B88">
            <w:pPr>
              <w:keepNext w:val="0"/>
              <w:keepLines w:val="0"/>
              <w:pageBreakBefore w:val="0"/>
              <w:widowControl/>
              <w:kinsoku/>
              <w:wordWrap/>
              <w:overflowPunct/>
              <w:topLinePunct w:val="0"/>
              <w:autoSpaceDE/>
              <w:autoSpaceDN/>
              <w:bidi w:val="0"/>
              <w:adjustRightInd/>
              <w:snapToGrid/>
              <w:jc w:val="left"/>
              <w:textAlignment w:val="top"/>
              <w:rPr>
                <w:rFonts w:hint="eastAsia" w:ascii="宋体" w:hAnsi="宋体" w:eastAsia="宋体" w:cs="宋体"/>
                <w:sz w:val="21"/>
                <w:szCs w:val="21"/>
                <w:highlight w:val="none"/>
              </w:rPr>
            </w:pPr>
          </w:p>
          <w:p w14:paraId="72D682FB">
            <w:pPr>
              <w:keepNext w:val="0"/>
              <w:keepLines w:val="0"/>
              <w:pageBreakBefore w:val="0"/>
              <w:widowControl/>
              <w:kinsoku/>
              <w:wordWrap/>
              <w:overflowPunct/>
              <w:topLinePunct w:val="0"/>
              <w:autoSpaceDE/>
              <w:autoSpaceDN/>
              <w:bidi w:val="0"/>
              <w:adjustRightInd/>
              <w:snapToGrid/>
              <w:jc w:val="left"/>
              <w:textAlignment w:val="top"/>
              <w:rPr>
                <w:rFonts w:hint="eastAsia" w:ascii="宋体" w:hAnsi="宋体" w:eastAsia="宋体" w:cs="宋体"/>
                <w:sz w:val="21"/>
                <w:szCs w:val="21"/>
                <w:highlight w:val="none"/>
              </w:rPr>
            </w:pPr>
            <w:r>
              <w:rPr>
                <w:rFonts w:hint="eastAsia" w:ascii="宋体" w:hAnsi="宋体" w:eastAsia="宋体" w:cs="宋体"/>
                <w:sz w:val="21"/>
                <w:szCs w:val="21"/>
                <w:highlight w:val="none"/>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23AAF5DD">
            <w:pPr>
              <w:keepNext w:val="0"/>
              <w:keepLines w:val="0"/>
              <w:pageBreakBefore w:val="0"/>
              <w:widowControl/>
              <w:kinsoku/>
              <w:wordWrap/>
              <w:overflowPunct/>
              <w:topLinePunct w:val="0"/>
              <w:autoSpaceDE/>
              <w:autoSpaceDN/>
              <w:bidi w:val="0"/>
              <w:adjustRightInd/>
              <w:snapToGrid/>
              <w:jc w:val="left"/>
              <w:textAlignment w:val="top"/>
              <w:rPr>
                <w:rFonts w:hint="eastAsia" w:ascii="宋体" w:hAnsi="宋体" w:eastAsia="宋体" w:cs="宋体"/>
                <w:sz w:val="21"/>
                <w:szCs w:val="21"/>
                <w:highlight w:val="none"/>
              </w:rPr>
            </w:pPr>
          </w:p>
          <w:p w14:paraId="673BEC62">
            <w:pPr>
              <w:keepNext w:val="0"/>
              <w:keepLines w:val="0"/>
              <w:pageBreakBefore w:val="0"/>
              <w:widowControl/>
              <w:kinsoku/>
              <w:wordWrap/>
              <w:overflowPunct/>
              <w:topLinePunct w:val="0"/>
              <w:autoSpaceDE/>
              <w:autoSpaceDN/>
              <w:bidi w:val="0"/>
              <w:adjustRightInd/>
              <w:snapToGrid/>
              <w:jc w:val="left"/>
              <w:textAlignment w:val="top"/>
              <w:rPr>
                <w:sz w:val="21"/>
                <w:szCs w:val="21"/>
                <w:highlight w:val="none"/>
              </w:rPr>
            </w:pPr>
            <w:r>
              <w:rPr>
                <w:rFonts w:hint="eastAsia" w:ascii="宋体" w:hAnsi="宋体" w:eastAsia="宋体" w:cs="宋体"/>
                <w:sz w:val="21"/>
                <w:szCs w:val="21"/>
                <w:highlight w:val="none"/>
              </w:rPr>
              <w:t>评审委员会依据专业经验，参考同类项目中标（成交）价格、类似产品市场价格水平、行业人工费用标准、国家有关部门指导行业协会发布的行业平均成本等情况，对报价合理性进行判断。</w:t>
            </w:r>
            <w:r>
              <w:rPr>
                <w:rFonts w:hint="eastAsia" w:ascii="宋体" w:hAnsi="宋体" w:eastAsia="宋体" w:cs="宋体"/>
                <w:b/>
                <w:bCs/>
                <w:color w:val="auto"/>
                <w:sz w:val="21"/>
                <w:szCs w:val="21"/>
                <w:highlight w:val="none"/>
              </w:rPr>
              <w:t>投标（响应）供应商不能提供书面说明、证明材料，或者提供的书面说明、证明材料不能证明其报价合理性的，评审委员会应当将其作为无效投标（响应）处理。</w:t>
            </w:r>
          </w:p>
        </w:tc>
      </w:tr>
    </w:tbl>
    <w:p w14:paraId="48B487B2">
      <w:pPr>
        <w:pStyle w:val="38"/>
        <w:jc w:val="center"/>
        <w:outlineLvl w:val="9"/>
        <w:rPr>
          <w:rFonts w:hint="eastAsia" w:ascii="黑体" w:hAnsi="黑体" w:eastAsia="黑体"/>
          <w:sz w:val="40"/>
          <w:szCs w:val="40"/>
        </w:rPr>
      </w:pPr>
    </w:p>
    <w:p w14:paraId="46B8B8EA">
      <w:pPr>
        <w:pStyle w:val="38"/>
        <w:jc w:val="center"/>
        <w:outlineLvl w:val="1"/>
        <w:rPr>
          <w:rFonts w:hint="eastAsia" w:ascii="黑体" w:hAnsi="黑体" w:eastAsia="黑体"/>
          <w:sz w:val="40"/>
          <w:szCs w:val="40"/>
        </w:rPr>
        <w:sectPr>
          <w:pgSz w:w="11907" w:h="16840"/>
          <w:pgMar w:top="1440" w:right="1417" w:bottom="1440" w:left="1417" w:header="851" w:footer="992" w:gutter="0"/>
          <w:cols w:space="425" w:num="1"/>
          <w:titlePg/>
          <w:docGrid w:linePitch="462" w:charSpace="0"/>
        </w:sectPr>
      </w:pPr>
    </w:p>
    <w:p w14:paraId="64DC5989">
      <w:pPr>
        <w:pStyle w:val="38"/>
        <w:jc w:val="center"/>
        <w:outlineLvl w:val="1"/>
        <w:rPr>
          <w:rFonts w:ascii="黑体" w:hAnsi="黑体" w:eastAsia="黑体"/>
          <w:sz w:val="40"/>
          <w:szCs w:val="40"/>
        </w:rPr>
      </w:pPr>
      <w:r>
        <w:rPr>
          <w:rFonts w:hint="eastAsia" w:ascii="黑体" w:hAnsi="黑体" w:eastAsia="黑体"/>
          <w:sz w:val="40"/>
          <w:szCs w:val="40"/>
        </w:rPr>
        <w:t>评标信息</w:t>
      </w:r>
    </w:p>
    <w:tbl>
      <w:tblPr>
        <w:tblStyle w:val="42"/>
        <w:tblW w:w="9113" w:type="dxa"/>
        <w:jc w:val="center"/>
        <w:tblCellSpacing w:w="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45" w:type="dxa"/>
          <w:left w:w="45" w:type="dxa"/>
          <w:bottom w:w="45" w:type="dxa"/>
          <w:right w:w="45" w:type="dxa"/>
        </w:tblCellMar>
      </w:tblPr>
      <w:tblGrid>
        <w:gridCol w:w="8873"/>
        <w:gridCol w:w="240"/>
      </w:tblGrid>
      <w:tr w14:paraId="3C2112C2">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45" w:type="dxa"/>
            <w:left w:w="45" w:type="dxa"/>
            <w:bottom w:w="45" w:type="dxa"/>
            <w:right w:w="45" w:type="dxa"/>
          </w:tblCellMar>
        </w:tblPrEx>
        <w:trPr>
          <w:tblCellSpacing w:w="0" w:type="dxa"/>
          <w:jc w:val="center"/>
        </w:trPr>
        <w:tc>
          <w:tcPr>
            <w:tcW w:w="8873" w:type="dxa"/>
            <w:shd w:val="clear" w:color="auto" w:fill="auto"/>
            <w:vAlign w:val="center"/>
          </w:tcPr>
          <w:p w14:paraId="63A2C59C">
            <w:pPr>
              <w:widowControl/>
              <w:jc w:val="left"/>
              <w:rPr>
                <w:rFonts w:hint="eastAsia" w:ascii="宋体" w:hAnsi="宋体" w:eastAsia="宋体" w:cs="宋体"/>
                <w:b/>
                <w:bCs/>
                <w:sz w:val="21"/>
                <w:szCs w:val="21"/>
              </w:rPr>
            </w:pPr>
            <w:r>
              <w:rPr>
                <w:rFonts w:hint="eastAsia" w:ascii="宋体" w:hAnsi="宋体" w:eastAsia="宋体" w:cs="宋体"/>
                <w:b/>
                <w:bCs/>
                <w:sz w:val="21"/>
                <w:szCs w:val="21"/>
              </w:rPr>
              <w:t>评标方法：</w:t>
            </w:r>
            <w:r>
              <w:rPr>
                <w:rFonts w:hint="eastAsia" w:ascii="宋体" w:hAnsi="宋体" w:eastAsia="宋体" w:cs="宋体"/>
                <w:b/>
                <w:bCs/>
                <w:strike w:val="0"/>
                <w:dstrike w:val="0"/>
                <w:sz w:val="21"/>
                <w:szCs w:val="21"/>
              </w:rPr>
              <w:t>综合评分法</w:t>
            </w:r>
          </w:p>
        </w:tc>
        <w:tc>
          <w:tcPr>
            <w:tcW w:w="240" w:type="dxa"/>
            <w:shd w:val="clear" w:color="auto" w:fill="auto"/>
            <w:vAlign w:val="center"/>
          </w:tcPr>
          <w:p w14:paraId="4B421F71">
            <w:pPr>
              <w:jc w:val="right"/>
              <w:rPr>
                <w:rFonts w:hint="eastAsia" w:ascii="宋体" w:hAnsi="宋体" w:eastAsia="宋体" w:cs="宋体"/>
                <w:b/>
                <w:bCs/>
                <w:sz w:val="21"/>
                <w:szCs w:val="21"/>
              </w:rPr>
            </w:pPr>
          </w:p>
        </w:tc>
      </w:tr>
      <w:tr w14:paraId="3F77C598">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45" w:type="dxa"/>
            <w:left w:w="45" w:type="dxa"/>
            <w:bottom w:w="45" w:type="dxa"/>
            <w:right w:w="45" w:type="dxa"/>
          </w:tblCellMar>
        </w:tblPrEx>
        <w:trPr>
          <w:tblCellSpacing w:w="0" w:type="dxa"/>
          <w:jc w:val="center"/>
        </w:trPr>
        <w:tc>
          <w:tcPr>
            <w:tcW w:w="9113" w:type="dxa"/>
            <w:gridSpan w:val="2"/>
            <w:shd w:val="clear" w:color="auto" w:fill="auto"/>
            <w:vAlign w:val="center"/>
          </w:tcPr>
          <w:p w14:paraId="03A44123">
            <w:pPr>
              <w:keepNext w:val="0"/>
              <w:keepLines w:val="0"/>
              <w:pageBreakBefore w:val="0"/>
              <w:widowControl w:val="0"/>
              <w:kinsoku/>
              <w:wordWrap/>
              <w:overflowPunct/>
              <w:topLinePunct w:val="0"/>
              <w:autoSpaceDE/>
              <w:autoSpaceDN/>
              <w:bidi w:val="0"/>
              <w:adjustRightInd/>
              <w:snapToGrid/>
              <w:spacing w:before="464" w:beforeLines="100" w:beforeAutospacing="0" w:afterAutospacing="0" w:line="240" w:lineRule="auto"/>
              <w:ind w:firstLine="420"/>
              <w:textAlignment w:val="auto"/>
              <w:rPr>
                <w:rFonts w:hint="eastAsia" w:ascii="宋体" w:hAnsi="宋体" w:eastAsia="宋体" w:cs="宋体"/>
                <w:sz w:val="21"/>
                <w:szCs w:val="21"/>
                <w:lang w:eastAsia="zh-CN"/>
              </w:rPr>
            </w:pPr>
            <w:r>
              <w:rPr>
                <w:rFonts w:hint="eastAsia" w:ascii="Wingdings" w:hAnsi="Wingdings" w:eastAsia="Wingdings" w:cs="Wingdings"/>
                <w:sz w:val="21"/>
                <w:szCs w:val="21"/>
              </w:rPr>
              <w:sym w:font="Wingdings" w:char="00FE"/>
            </w:r>
            <w:r>
              <w:rPr>
                <w:rFonts w:hint="eastAsia" w:ascii="宋体" w:hAnsi="宋体" w:eastAsia="宋体" w:cs="宋体"/>
                <w:sz w:val="21"/>
                <w:szCs w:val="21"/>
              </w:rPr>
              <w:t>综合评分法，是指</w:t>
            </w:r>
            <w:r>
              <w:rPr>
                <w:rFonts w:hint="eastAsia" w:ascii="宋体" w:hAnsi="宋体" w:eastAsia="宋体" w:cs="宋体"/>
                <w:kern w:val="0"/>
                <w:sz w:val="21"/>
                <w:szCs w:val="21"/>
                <w:lang w:val="en-US" w:eastAsia="zh-CN" w:bidi="ar-SA"/>
              </w:rPr>
              <w:t>投标文件满足招标文件全部实质性要求</w:t>
            </w:r>
            <w:r>
              <w:rPr>
                <w:rFonts w:hint="eastAsia" w:ascii="宋体" w:hAnsi="宋体" w:eastAsia="宋体" w:cs="宋体"/>
                <w:sz w:val="21"/>
                <w:szCs w:val="21"/>
              </w:rPr>
              <w:t>，且按照评审因素的量化指标评审得分</w:t>
            </w:r>
            <w:r>
              <w:rPr>
                <w:rFonts w:hint="eastAsia" w:ascii="宋体" w:hAnsi="宋体" w:eastAsia="宋体" w:cs="宋体"/>
                <w:sz w:val="21"/>
                <w:szCs w:val="21"/>
                <w:lang w:val="en-US" w:eastAsia="zh-CN"/>
              </w:rPr>
              <w:t>排名前列</w:t>
            </w:r>
            <w:r>
              <w:rPr>
                <w:rFonts w:hint="eastAsia" w:ascii="宋体" w:hAnsi="宋体" w:eastAsia="宋体" w:cs="宋体"/>
                <w:sz w:val="21"/>
                <w:szCs w:val="21"/>
              </w:rPr>
              <w:t>的投标人为中标候选人的评标方法。</w:t>
            </w:r>
          </w:p>
          <w:p w14:paraId="6DF6219B">
            <w:pPr>
              <w:keepNext w:val="0"/>
              <w:keepLines w:val="0"/>
              <w:pageBreakBefore w:val="0"/>
              <w:widowControl w:val="0"/>
              <w:kinsoku/>
              <w:wordWrap/>
              <w:overflowPunct/>
              <w:topLinePunct w:val="0"/>
              <w:autoSpaceDE/>
              <w:autoSpaceDN/>
              <w:bidi w:val="0"/>
              <w:adjustRightInd/>
              <w:snapToGrid/>
              <w:spacing w:before="464" w:beforeLines="100" w:beforeAutospacing="0" w:afterAutospacing="0" w:line="240" w:lineRule="auto"/>
              <w:ind w:firstLine="420"/>
              <w:textAlignment w:val="auto"/>
              <w:rPr>
                <w:rFonts w:hint="eastAsia" w:ascii="宋体" w:hAnsi="宋体" w:eastAsia="宋体" w:cs="宋体"/>
                <w:sz w:val="21"/>
                <w:szCs w:val="21"/>
              </w:rPr>
            </w:pPr>
            <w:r>
              <w:rPr>
                <w:rFonts w:hint="eastAsia" w:ascii="宋体" w:hAnsi="宋体" w:eastAsia="宋体" w:cs="宋体"/>
                <w:sz w:val="21"/>
                <w:szCs w:val="21"/>
              </w:rPr>
              <w:t>价格分计算方法：</w:t>
            </w:r>
          </w:p>
          <w:p w14:paraId="361CEEDE">
            <w:pPr>
              <w:keepNext w:val="0"/>
              <w:keepLines w:val="0"/>
              <w:pageBreakBefore w:val="0"/>
              <w:widowControl/>
              <w:kinsoku/>
              <w:wordWrap/>
              <w:overflowPunct/>
              <w:topLinePunct w:val="0"/>
              <w:autoSpaceDE/>
              <w:autoSpaceDN/>
              <w:bidi w:val="0"/>
              <w:adjustRightInd/>
              <w:snapToGrid/>
              <w:spacing w:beforeAutospacing="0" w:afterAutospacing="0" w:line="240" w:lineRule="auto"/>
              <w:ind w:left="420"/>
              <w:jc w:val="left"/>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 xml:space="preserve">采用低价优先法计算，即满足招标文件要求且投标价格最低的投标报价为评标基准价，其价格分为满分。其他投标人的价格分统一按照下列公式计算： </w:t>
            </w:r>
            <w:r>
              <w:rPr>
                <w:rFonts w:hint="eastAsia" w:ascii="宋体" w:hAnsi="宋体" w:eastAsia="宋体" w:cs="宋体"/>
                <w:kern w:val="2"/>
                <w:sz w:val="21"/>
                <w:szCs w:val="21"/>
                <w:lang w:val="en-US" w:eastAsia="zh-CN" w:bidi="ar-SA"/>
              </w:rPr>
              <w:br w:type="textWrapping"/>
            </w:r>
            <w:r>
              <w:rPr>
                <w:rFonts w:hint="eastAsia" w:ascii="宋体" w:hAnsi="宋体" w:eastAsia="宋体" w:cs="宋体"/>
                <w:kern w:val="2"/>
                <w:sz w:val="21"/>
                <w:szCs w:val="21"/>
                <w:lang w:val="en-US" w:eastAsia="zh-CN" w:bidi="ar-SA"/>
              </w:rPr>
              <w:t xml:space="preserve">投标报价得分=(评标基准价／投标报价)×100 </w:t>
            </w:r>
            <w:r>
              <w:rPr>
                <w:rFonts w:hint="eastAsia" w:ascii="宋体" w:hAnsi="宋体" w:eastAsia="宋体" w:cs="宋体"/>
                <w:kern w:val="2"/>
                <w:sz w:val="21"/>
                <w:szCs w:val="21"/>
                <w:lang w:val="en-US" w:eastAsia="zh-CN" w:bidi="ar-SA"/>
              </w:rPr>
              <w:br w:type="textWrapping"/>
            </w:r>
            <w:r>
              <w:rPr>
                <w:rFonts w:hint="eastAsia" w:ascii="宋体" w:hAnsi="宋体" w:eastAsia="宋体" w:cs="宋体"/>
                <w:kern w:val="2"/>
                <w:sz w:val="21"/>
                <w:szCs w:val="21"/>
                <w:lang w:val="en-US" w:eastAsia="zh-CN" w:bidi="ar-SA"/>
              </w:rPr>
              <w:t xml:space="preserve">评标总得分＝F1×A1＋F2×A2＋……＋Fn×An </w:t>
            </w:r>
            <w:r>
              <w:rPr>
                <w:rFonts w:hint="eastAsia" w:ascii="宋体" w:hAnsi="宋体" w:eastAsia="宋体" w:cs="宋体"/>
                <w:kern w:val="2"/>
                <w:sz w:val="21"/>
                <w:szCs w:val="21"/>
                <w:lang w:val="en-US" w:eastAsia="zh-CN" w:bidi="ar-SA"/>
              </w:rPr>
              <w:br w:type="textWrapping"/>
            </w:r>
            <w:r>
              <w:rPr>
                <w:rFonts w:hint="eastAsia" w:ascii="宋体" w:hAnsi="宋体" w:eastAsia="宋体" w:cs="宋体"/>
                <w:kern w:val="2"/>
                <w:sz w:val="21"/>
                <w:szCs w:val="21"/>
                <w:lang w:val="en-US" w:eastAsia="zh-CN" w:bidi="ar-SA"/>
              </w:rPr>
              <w:t xml:space="preserve">F1、F2……Fn分别为各项评审因素的得分； </w:t>
            </w:r>
            <w:r>
              <w:rPr>
                <w:rFonts w:hint="eastAsia" w:ascii="宋体" w:hAnsi="宋体" w:eastAsia="宋体" w:cs="宋体"/>
                <w:kern w:val="2"/>
                <w:sz w:val="21"/>
                <w:szCs w:val="21"/>
                <w:lang w:val="en-US" w:eastAsia="zh-CN" w:bidi="ar-SA"/>
              </w:rPr>
              <w:br w:type="textWrapping"/>
            </w:r>
            <w:r>
              <w:rPr>
                <w:rFonts w:hint="eastAsia" w:ascii="宋体" w:hAnsi="宋体" w:eastAsia="宋体" w:cs="宋体"/>
                <w:kern w:val="2"/>
                <w:sz w:val="21"/>
                <w:szCs w:val="21"/>
                <w:lang w:val="en-US" w:eastAsia="zh-CN" w:bidi="ar-SA"/>
              </w:rPr>
              <w:t xml:space="preserve">A1、A2、……An 分别为各项评审因素所占的权重(A1＋A2＋……＋An＝1)。 </w:t>
            </w:r>
            <w:r>
              <w:rPr>
                <w:rFonts w:hint="eastAsia" w:ascii="宋体" w:hAnsi="宋体" w:eastAsia="宋体" w:cs="宋体"/>
                <w:kern w:val="2"/>
                <w:sz w:val="21"/>
                <w:szCs w:val="21"/>
                <w:lang w:val="en-US" w:eastAsia="zh-CN" w:bidi="ar-SA"/>
              </w:rPr>
              <w:br w:type="textWrapping"/>
            </w:r>
            <w:r>
              <w:rPr>
                <w:rFonts w:hint="eastAsia" w:ascii="宋体" w:hAnsi="宋体" w:eastAsia="宋体" w:cs="宋体"/>
                <w:kern w:val="2"/>
                <w:sz w:val="21"/>
                <w:szCs w:val="21"/>
                <w:lang w:val="en-US" w:eastAsia="zh-CN" w:bidi="ar-SA"/>
              </w:rPr>
              <w:t>评标过程中，不得去掉报价中的最高报价和最低报价。</w:t>
            </w:r>
          </w:p>
          <w:p w14:paraId="379807B4">
            <w:pPr>
              <w:keepNext w:val="0"/>
              <w:keepLines w:val="0"/>
              <w:pageBreakBefore w:val="0"/>
              <w:widowControl/>
              <w:kinsoku/>
              <w:wordWrap/>
              <w:overflowPunct/>
              <w:topLinePunct w:val="0"/>
              <w:autoSpaceDE/>
              <w:autoSpaceDN/>
              <w:bidi w:val="0"/>
              <w:adjustRightInd/>
              <w:snapToGrid/>
              <w:spacing w:beforeAutospacing="0" w:afterAutospacing="0" w:line="240" w:lineRule="auto"/>
              <w:ind w:left="420"/>
              <w:jc w:val="left"/>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因落实政府采购政策进行价格调整的，以调整后的价格计算评标基准价和投标报价。</w:t>
            </w:r>
          </w:p>
          <w:p w14:paraId="3783A106">
            <w:pPr>
              <w:keepNext w:val="0"/>
              <w:keepLines w:val="0"/>
              <w:pageBreakBefore w:val="0"/>
              <w:widowControl/>
              <w:kinsoku/>
              <w:wordWrap/>
              <w:overflowPunct/>
              <w:topLinePunct w:val="0"/>
              <w:autoSpaceDE/>
              <w:autoSpaceDN/>
              <w:bidi w:val="0"/>
              <w:adjustRightInd/>
              <w:snapToGrid/>
              <w:spacing w:beforeAutospacing="0" w:afterAutospacing="0" w:line="240" w:lineRule="auto"/>
              <w:ind w:left="420"/>
              <w:jc w:val="left"/>
              <w:textAlignment w:val="auto"/>
              <w:rPr>
                <w:rFonts w:hint="eastAsia" w:ascii="宋体" w:hAnsi="宋体" w:eastAsia="宋体" w:cs="宋体"/>
                <w:kern w:val="0"/>
                <w:sz w:val="21"/>
                <w:szCs w:val="21"/>
                <w:lang w:val="en-US" w:eastAsia="zh-CN" w:bidi="ar-SA"/>
              </w:rPr>
            </w:pPr>
            <w:r>
              <w:rPr>
                <w:rFonts w:hint="eastAsia"/>
                <w:b/>
                <w:bCs/>
                <w:color w:val="FF0000"/>
              </w:rPr>
              <w:t>注：投标人的“投标技术响应”“技术要求偏离表中偏离情况”等必须与客观实际保持一致，响应不实且情节严重的，经查实，将依法记入供应商诚信档案或受到行政处罚。</w:t>
            </w:r>
          </w:p>
        </w:tc>
      </w:tr>
    </w:tbl>
    <w:p w14:paraId="2E2A7076">
      <w:pPr>
        <w:rPr>
          <w:vanish/>
        </w:rPr>
      </w:pPr>
    </w:p>
    <w:tbl>
      <w:tblPr>
        <w:tblStyle w:val="42"/>
        <w:tblW w:w="9072"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0" w:type="dxa"/>
          <w:left w:w="108" w:type="dxa"/>
          <w:bottom w:w="20" w:type="dxa"/>
          <w:right w:w="108" w:type="dxa"/>
        </w:tblCellMar>
      </w:tblPr>
      <w:tblGrid>
        <w:gridCol w:w="680"/>
        <w:gridCol w:w="680"/>
        <w:gridCol w:w="2835"/>
        <w:gridCol w:w="681"/>
        <w:gridCol w:w="4196"/>
      </w:tblGrid>
      <w:tr w14:paraId="1BFB207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0" w:type="dxa"/>
            <w:tcBorders>
              <w:top w:val="single" w:color="000000" w:sz="8" w:space="0"/>
              <w:left w:val="single" w:color="000000" w:sz="8" w:space="0"/>
              <w:bottom w:val="single" w:color="000000" w:sz="8" w:space="0"/>
              <w:right w:val="single" w:color="000000" w:sz="8" w:space="0"/>
            </w:tcBorders>
            <w:shd w:val="clear" w:color="auto" w:fill="E6EFFA"/>
            <w:vAlign w:val="center"/>
          </w:tcPr>
          <w:p w14:paraId="44AE779E">
            <w:pPr>
              <w:wordWrap w:val="0"/>
              <w:jc w:val="center"/>
              <w:rPr>
                <w:rFonts w:ascii="宋体" w:hAnsi="宋体" w:cs="宋体"/>
                <w:b/>
                <w:bCs/>
                <w:sz w:val="24"/>
              </w:rPr>
            </w:pPr>
            <w:r>
              <w:rPr>
                <w:b/>
                <w:bCs/>
              </w:rPr>
              <w:t>序号</w:t>
            </w:r>
          </w:p>
        </w:tc>
        <w:tc>
          <w:tcPr>
            <w:tcW w:w="4196" w:type="dxa"/>
            <w:gridSpan w:val="3"/>
            <w:tcBorders>
              <w:top w:val="single" w:color="000000" w:sz="8" w:space="0"/>
              <w:left w:val="single" w:color="000000" w:sz="8" w:space="0"/>
              <w:bottom w:val="single" w:color="000000" w:sz="8" w:space="0"/>
              <w:right w:val="single" w:color="000000" w:sz="8" w:space="0"/>
            </w:tcBorders>
            <w:shd w:val="clear" w:color="auto" w:fill="E6EFFA"/>
            <w:vAlign w:val="center"/>
          </w:tcPr>
          <w:p w14:paraId="29BDCEDF">
            <w:pPr>
              <w:wordWrap w:val="0"/>
              <w:jc w:val="center"/>
              <w:rPr>
                <w:rFonts w:ascii="宋体" w:hAnsi="宋体" w:cs="宋体"/>
                <w:b/>
                <w:bCs/>
                <w:sz w:val="24"/>
              </w:rPr>
            </w:pPr>
            <w:r>
              <w:rPr>
                <w:b/>
                <w:bCs/>
              </w:rPr>
              <w:t>评分项</w:t>
            </w:r>
          </w:p>
        </w:tc>
        <w:tc>
          <w:tcPr>
            <w:tcW w:w="4196" w:type="dxa"/>
            <w:tcBorders>
              <w:top w:val="single" w:color="000000" w:sz="8" w:space="0"/>
              <w:left w:val="single" w:color="000000" w:sz="8" w:space="0"/>
              <w:bottom w:val="single" w:color="000000" w:sz="8" w:space="0"/>
              <w:right w:val="single" w:color="000000" w:sz="8" w:space="0"/>
            </w:tcBorders>
            <w:shd w:val="clear" w:color="auto" w:fill="E6EFFA"/>
            <w:vAlign w:val="center"/>
          </w:tcPr>
          <w:p w14:paraId="0B14328B">
            <w:pPr>
              <w:wordWrap w:val="0"/>
              <w:jc w:val="center"/>
              <w:rPr>
                <w:rFonts w:ascii="宋体" w:hAnsi="宋体" w:cs="宋体"/>
                <w:b/>
                <w:bCs/>
                <w:sz w:val="24"/>
              </w:rPr>
            </w:pPr>
            <w:r>
              <w:rPr>
                <w:b/>
                <w:bCs/>
              </w:rPr>
              <w:t>权重(</w:t>
            </w:r>
            <w:r>
              <w:rPr>
                <w:rFonts w:hint="eastAsia"/>
                <w:b/>
                <w:bCs/>
                <w:lang w:val="en-US" w:eastAsia="zh-CN"/>
              </w:rPr>
              <w:t>%</w:t>
            </w:r>
            <w:r>
              <w:rPr>
                <w:b/>
                <w:bCs/>
              </w:rPr>
              <w:t>)</w:t>
            </w:r>
          </w:p>
        </w:tc>
      </w:tr>
      <w:tr w14:paraId="1203A14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0" w:type="dxa"/>
            <w:vMerge w:val="restart"/>
            <w:tcBorders>
              <w:top w:val="single" w:color="000000" w:sz="8" w:space="0"/>
              <w:left w:val="single" w:color="000000" w:sz="8" w:space="0"/>
              <w:bottom w:val="single" w:color="000000" w:sz="8" w:space="0"/>
              <w:right w:val="single" w:color="000000" w:sz="8" w:space="0"/>
            </w:tcBorders>
          </w:tcPr>
          <w:p w14:paraId="19775836">
            <w:pPr>
              <w:wordWrap w:val="0"/>
              <w:jc w:val="center"/>
              <w:rPr>
                <w:rFonts w:ascii="宋体" w:hAnsi="宋体" w:cs="宋体"/>
                <w:b/>
                <w:bCs/>
                <w:color w:val="0000FF"/>
                <w:sz w:val="24"/>
              </w:rPr>
            </w:pPr>
            <w:r>
              <w:rPr>
                <w:b/>
                <w:bCs/>
                <w:color w:val="0000FF"/>
              </w:rPr>
              <w:t>1</w:t>
            </w:r>
          </w:p>
        </w:tc>
        <w:tc>
          <w:tcPr>
            <w:tcW w:w="4196" w:type="dxa"/>
            <w:gridSpan w:val="3"/>
            <w:tcBorders>
              <w:top w:val="single" w:color="000000" w:sz="8" w:space="0"/>
              <w:left w:val="single" w:color="000000" w:sz="8" w:space="0"/>
              <w:bottom w:val="single" w:color="000000" w:sz="8" w:space="0"/>
              <w:right w:val="single" w:color="000000" w:sz="8" w:space="0"/>
            </w:tcBorders>
          </w:tcPr>
          <w:p w14:paraId="69537321">
            <w:pPr>
              <w:wordWrap w:val="0"/>
              <w:jc w:val="center"/>
              <w:rPr>
                <w:rFonts w:ascii="宋体" w:hAnsi="宋体" w:cs="宋体"/>
                <w:b/>
                <w:bCs/>
                <w:color w:val="0000FF"/>
                <w:sz w:val="24"/>
              </w:rPr>
            </w:pPr>
            <w:r>
              <w:rPr>
                <w:b/>
                <w:bCs/>
                <w:color w:val="0000FF"/>
              </w:rPr>
              <w:t>价格</w:t>
            </w:r>
          </w:p>
        </w:tc>
        <w:tc>
          <w:tcPr>
            <w:tcW w:w="4196" w:type="dxa"/>
            <w:tcBorders>
              <w:top w:val="single" w:color="000000" w:sz="8" w:space="0"/>
              <w:left w:val="single" w:color="000000" w:sz="8" w:space="0"/>
              <w:bottom w:val="single" w:color="000000" w:sz="8" w:space="0"/>
              <w:right w:val="single" w:color="000000" w:sz="8" w:space="0"/>
            </w:tcBorders>
          </w:tcPr>
          <w:p w14:paraId="747CBB1B">
            <w:pPr>
              <w:wordWrap w:val="0"/>
              <w:jc w:val="center"/>
              <w:rPr>
                <w:rFonts w:hint="default" w:ascii="宋体" w:hAnsi="宋体" w:eastAsia="宋体" w:cs="宋体"/>
                <w:b/>
                <w:bCs/>
                <w:color w:val="0000FF"/>
                <w:sz w:val="24"/>
                <w:lang w:val="en-US" w:eastAsia="zh-CN"/>
              </w:rPr>
            </w:pPr>
            <w:r>
              <w:rPr>
                <w:rFonts w:hint="eastAsia"/>
                <w:b/>
                <w:bCs/>
                <w:color w:val="0000FF"/>
                <w:lang w:val="en-US" w:eastAsia="zh-CN"/>
              </w:rPr>
              <w:t>10</w:t>
            </w:r>
          </w:p>
        </w:tc>
      </w:tr>
      <w:tr w14:paraId="0A37232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0" w:type="dxa"/>
            <w:vMerge w:val="continue"/>
            <w:tcBorders>
              <w:top w:val="single" w:color="000000" w:sz="8" w:space="0"/>
              <w:left w:val="single" w:color="000000" w:sz="8" w:space="0"/>
              <w:bottom w:val="single" w:color="000000" w:sz="8" w:space="0"/>
              <w:right w:val="single" w:color="000000" w:sz="8" w:space="0"/>
            </w:tcBorders>
            <w:vAlign w:val="center"/>
          </w:tcPr>
          <w:p w14:paraId="0950A7BB">
            <w:pPr>
              <w:rPr>
                <w:rFonts w:ascii="宋体" w:hAnsi="宋体" w:cs="宋体"/>
                <w:b/>
                <w:bCs/>
                <w:color w:val="0000FF"/>
                <w:sz w:val="24"/>
              </w:rPr>
            </w:pPr>
          </w:p>
        </w:tc>
        <w:tc>
          <w:tcPr>
            <w:tcW w:w="8392" w:type="dxa"/>
            <w:gridSpan w:val="4"/>
            <w:tcBorders>
              <w:top w:val="single" w:color="000000" w:sz="8" w:space="0"/>
              <w:left w:val="single" w:color="000000" w:sz="8" w:space="0"/>
              <w:bottom w:val="single" w:color="000000" w:sz="8" w:space="0"/>
              <w:right w:val="single" w:color="000000" w:sz="8" w:space="0"/>
            </w:tcBorders>
          </w:tcPr>
          <w:p w14:paraId="1CCCA91A">
            <w:pPr>
              <w:wordWrap w:val="0"/>
              <w:rPr>
                <w:rFonts w:ascii="宋体" w:hAnsi="宋体" w:cs="宋体"/>
                <w:szCs w:val="21"/>
              </w:rPr>
            </w:pPr>
          </w:p>
        </w:tc>
      </w:tr>
      <w:tr w14:paraId="5C29BC5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0" w:type="dxa"/>
            <w:vMerge w:val="restart"/>
            <w:tcBorders>
              <w:top w:val="single" w:color="000000" w:sz="8" w:space="0"/>
              <w:left w:val="single" w:color="000000" w:sz="8" w:space="0"/>
              <w:right w:val="single" w:color="000000" w:sz="8" w:space="0"/>
            </w:tcBorders>
          </w:tcPr>
          <w:p w14:paraId="346E20D7">
            <w:pPr>
              <w:wordWrap w:val="0"/>
              <w:jc w:val="center"/>
              <w:rPr>
                <w:rFonts w:ascii="宋体" w:hAnsi="宋体" w:cs="宋体"/>
                <w:b/>
                <w:bCs/>
                <w:color w:val="0000FF"/>
                <w:sz w:val="24"/>
              </w:rPr>
            </w:pPr>
            <w:r>
              <w:rPr>
                <w:b/>
                <w:bCs/>
                <w:color w:val="0000FF"/>
              </w:rPr>
              <w:t>2</w:t>
            </w:r>
          </w:p>
        </w:tc>
        <w:tc>
          <w:tcPr>
            <w:tcW w:w="4196" w:type="dxa"/>
            <w:gridSpan w:val="3"/>
            <w:tcBorders>
              <w:top w:val="single" w:color="000000" w:sz="8" w:space="0"/>
              <w:left w:val="single" w:color="000000" w:sz="8" w:space="0"/>
              <w:bottom w:val="single" w:color="000000" w:sz="8" w:space="0"/>
              <w:right w:val="single" w:color="000000" w:sz="8" w:space="0"/>
            </w:tcBorders>
          </w:tcPr>
          <w:p w14:paraId="1053D5A7">
            <w:pPr>
              <w:wordWrap w:val="0"/>
              <w:jc w:val="center"/>
              <w:rPr>
                <w:rFonts w:ascii="宋体" w:hAnsi="宋体" w:cs="宋体"/>
                <w:b/>
                <w:bCs/>
                <w:color w:val="0000FF"/>
                <w:sz w:val="24"/>
              </w:rPr>
            </w:pPr>
            <w:r>
              <w:rPr>
                <w:b/>
                <w:bCs/>
                <w:color w:val="0000FF"/>
              </w:rPr>
              <w:t>技术</w:t>
            </w:r>
            <w:r>
              <w:rPr>
                <w:rFonts w:hint="eastAsia"/>
                <w:b/>
                <w:bCs/>
                <w:color w:val="0000FF"/>
              </w:rPr>
              <w:t>部分</w:t>
            </w:r>
          </w:p>
        </w:tc>
        <w:tc>
          <w:tcPr>
            <w:tcW w:w="4196" w:type="dxa"/>
            <w:tcBorders>
              <w:top w:val="single" w:color="000000" w:sz="8" w:space="0"/>
              <w:left w:val="single" w:color="000000" w:sz="8" w:space="0"/>
              <w:bottom w:val="single" w:color="000000" w:sz="8" w:space="0"/>
              <w:right w:val="single" w:color="000000" w:sz="8" w:space="0"/>
            </w:tcBorders>
          </w:tcPr>
          <w:p w14:paraId="60F7F32F">
            <w:pPr>
              <w:wordWrap w:val="0"/>
              <w:jc w:val="center"/>
              <w:rPr>
                <w:rFonts w:hint="default" w:ascii="宋体" w:hAnsi="宋体" w:eastAsia="宋体" w:cs="宋体"/>
                <w:b/>
                <w:bCs/>
                <w:color w:val="0000FF"/>
                <w:sz w:val="24"/>
                <w:lang w:val="en-US" w:eastAsia="zh-CN"/>
              </w:rPr>
            </w:pPr>
            <w:r>
              <w:rPr>
                <w:rFonts w:hint="eastAsia" w:ascii="宋体" w:hAnsi="宋体" w:cs="宋体"/>
                <w:b/>
                <w:bCs/>
                <w:color w:val="0000FF"/>
                <w:sz w:val="24"/>
                <w:lang w:val="en-US" w:eastAsia="zh-CN"/>
              </w:rPr>
              <w:t>60</w:t>
            </w:r>
          </w:p>
        </w:tc>
      </w:tr>
      <w:tr w14:paraId="325FA3A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0" w:type="dxa"/>
            <w:vMerge w:val="continue"/>
            <w:tcBorders>
              <w:left w:val="single" w:color="000000" w:sz="8" w:space="0"/>
              <w:right w:val="single" w:color="000000" w:sz="8" w:space="0"/>
            </w:tcBorders>
            <w:vAlign w:val="center"/>
          </w:tcPr>
          <w:p w14:paraId="1084F130">
            <w:pPr>
              <w:rPr>
                <w:rFonts w:ascii="宋体" w:hAnsi="宋体" w:cs="宋体"/>
                <w:b/>
                <w:bCs/>
                <w:color w:val="0000FF"/>
                <w:sz w:val="24"/>
              </w:rPr>
            </w:pPr>
          </w:p>
        </w:tc>
        <w:tc>
          <w:tcPr>
            <w:tcW w:w="8392" w:type="dxa"/>
            <w:gridSpan w:val="4"/>
            <w:tcBorders>
              <w:top w:val="single" w:color="000000" w:sz="8" w:space="0"/>
              <w:left w:val="single" w:color="000000" w:sz="8" w:space="0"/>
              <w:bottom w:val="single" w:color="000000" w:sz="8" w:space="0"/>
              <w:right w:val="single" w:color="000000" w:sz="8" w:space="0"/>
            </w:tcBorders>
          </w:tcPr>
          <w:p w14:paraId="7DC4436D">
            <w:pPr>
              <w:wordWrap w:val="0"/>
              <w:rPr>
                <w:rFonts w:ascii="宋体" w:hAnsi="宋体" w:cs="宋体"/>
                <w:szCs w:val="21"/>
              </w:rPr>
            </w:pPr>
          </w:p>
        </w:tc>
      </w:tr>
      <w:tr w14:paraId="74B6A3E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0" w:type="dxa"/>
            <w:vMerge w:val="continue"/>
            <w:tcBorders>
              <w:left w:val="single" w:color="000000" w:sz="8" w:space="0"/>
              <w:right w:val="single" w:color="000000" w:sz="8" w:space="0"/>
            </w:tcBorders>
            <w:shd w:val="clear" w:color="auto" w:fill="E6EFFA"/>
            <w:vAlign w:val="center"/>
          </w:tcPr>
          <w:p w14:paraId="00FF2990">
            <w:pPr>
              <w:rPr>
                <w:rFonts w:ascii="宋体" w:hAnsi="宋体" w:cs="宋体"/>
                <w:b/>
                <w:bCs/>
                <w:color w:val="0000FF"/>
                <w:sz w:val="24"/>
              </w:rPr>
            </w:pPr>
          </w:p>
        </w:tc>
        <w:tc>
          <w:tcPr>
            <w:tcW w:w="680" w:type="dxa"/>
            <w:tcBorders>
              <w:top w:val="outset" w:color="000000" w:sz="6" w:space="0"/>
              <w:left w:val="outset" w:color="000000" w:sz="6" w:space="0"/>
              <w:bottom w:val="outset" w:color="000000" w:sz="6" w:space="0"/>
              <w:right w:val="outset" w:color="000000" w:sz="6" w:space="0"/>
            </w:tcBorders>
            <w:shd w:val="clear" w:color="auto" w:fill="E6EFFA"/>
            <w:vAlign w:val="center"/>
          </w:tcPr>
          <w:p w14:paraId="01277346">
            <w:pPr>
              <w:wordWrap w:val="0"/>
              <w:jc w:val="center"/>
              <w:rPr>
                <w:rFonts w:ascii="宋体" w:hAnsi="宋体" w:cs="宋体"/>
                <w:szCs w:val="21"/>
              </w:rPr>
            </w:pPr>
            <w:r>
              <w:rPr>
                <w:szCs w:val="21"/>
              </w:rPr>
              <w:t>序号</w:t>
            </w:r>
          </w:p>
        </w:tc>
        <w:tc>
          <w:tcPr>
            <w:tcW w:w="2835" w:type="dxa"/>
            <w:tcBorders>
              <w:top w:val="outset" w:color="000000" w:sz="6" w:space="0"/>
              <w:left w:val="outset" w:color="000000" w:sz="6" w:space="0"/>
              <w:bottom w:val="outset" w:color="000000" w:sz="6" w:space="0"/>
              <w:right w:val="outset" w:color="000000" w:sz="6" w:space="0"/>
            </w:tcBorders>
            <w:shd w:val="clear" w:color="auto" w:fill="E6EFFA"/>
            <w:vAlign w:val="center"/>
          </w:tcPr>
          <w:p w14:paraId="12A5578D">
            <w:pPr>
              <w:wordWrap w:val="0"/>
              <w:jc w:val="center"/>
              <w:rPr>
                <w:rFonts w:ascii="宋体" w:hAnsi="宋体" w:cs="宋体"/>
                <w:szCs w:val="21"/>
              </w:rPr>
            </w:pPr>
            <w:r>
              <w:rPr>
                <w:szCs w:val="21"/>
              </w:rPr>
              <w:t>评分因素</w:t>
            </w:r>
          </w:p>
        </w:tc>
        <w:tc>
          <w:tcPr>
            <w:tcW w:w="681" w:type="dxa"/>
            <w:tcBorders>
              <w:top w:val="outset" w:color="000000" w:sz="6" w:space="0"/>
              <w:left w:val="outset" w:color="000000" w:sz="6" w:space="0"/>
              <w:bottom w:val="outset" w:color="000000" w:sz="6" w:space="0"/>
              <w:right w:val="outset" w:color="000000" w:sz="6" w:space="0"/>
            </w:tcBorders>
            <w:shd w:val="clear" w:color="auto" w:fill="E6EFFA"/>
            <w:vAlign w:val="center"/>
          </w:tcPr>
          <w:p w14:paraId="01C0A87F">
            <w:pPr>
              <w:wordWrap w:val="0"/>
              <w:jc w:val="center"/>
              <w:rPr>
                <w:rFonts w:ascii="宋体" w:hAnsi="宋体" w:cs="宋体"/>
                <w:szCs w:val="21"/>
              </w:rPr>
            </w:pPr>
            <w:r>
              <w:rPr>
                <w:szCs w:val="21"/>
              </w:rPr>
              <w:t>权重(</w:t>
            </w:r>
            <w:r>
              <w:rPr>
                <w:rFonts w:hint="eastAsia"/>
                <w:szCs w:val="21"/>
                <w:lang w:val="en-US" w:eastAsia="zh-CN"/>
              </w:rPr>
              <w:t>%</w:t>
            </w:r>
            <w:r>
              <w:rPr>
                <w:szCs w:val="21"/>
              </w:rPr>
              <w:t>)</w:t>
            </w:r>
          </w:p>
        </w:tc>
        <w:tc>
          <w:tcPr>
            <w:tcW w:w="4196" w:type="dxa"/>
            <w:tcBorders>
              <w:top w:val="outset" w:color="000000" w:sz="6" w:space="0"/>
              <w:left w:val="outset" w:color="000000" w:sz="6" w:space="0"/>
              <w:bottom w:val="outset" w:color="000000" w:sz="6" w:space="0"/>
              <w:right w:val="outset" w:color="000000" w:sz="6" w:space="0"/>
            </w:tcBorders>
            <w:shd w:val="clear" w:color="auto" w:fill="E6EFFA"/>
            <w:vAlign w:val="center"/>
          </w:tcPr>
          <w:p w14:paraId="07A52254">
            <w:pPr>
              <w:wordWrap w:val="0"/>
              <w:jc w:val="center"/>
              <w:rPr>
                <w:rFonts w:ascii="宋体" w:hAnsi="宋体" w:cs="宋体"/>
                <w:szCs w:val="21"/>
              </w:rPr>
            </w:pPr>
            <w:r>
              <w:rPr>
                <w:szCs w:val="21"/>
              </w:rPr>
              <w:t>评分准则</w:t>
            </w:r>
          </w:p>
        </w:tc>
      </w:tr>
      <w:tr w14:paraId="7C4D0DE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0" w:type="dxa"/>
            <w:vMerge w:val="continue"/>
            <w:tcBorders>
              <w:left w:val="single" w:color="000000" w:sz="8" w:space="0"/>
              <w:right w:val="single" w:color="000000" w:sz="8" w:space="0"/>
            </w:tcBorders>
            <w:vAlign w:val="center"/>
          </w:tcPr>
          <w:p w14:paraId="54339579">
            <w:pPr>
              <w:rPr>
                <w:rFonts w:ascii="宋体" w:hAnsi="宋体" w:cs="宋体"/>
                <w:b/>
                <w:bCs/>
                <w:color w:val="0000FF"/>
                <w:sz w:val="24"/>
              </w:rPr>
            </w:pPr>
          </w:p>
        </w:tc>
        <w:tc>
          <w:tcPr>
            <w:tcW w:w="680" w:type="dxa"/>
            <w:tcBorders>
              <w:top w:val="single" w:color="000000" w:sz="8" w:space="0"/>
              <w:left w:val="single" w:color="000000" w:sz="8" w:space="0"/>
              <w:bottom w:val="single" w:color="000000" w:sz="8" w:space="0"/>
              <w:right w:val="single" w:color="000000" w:sz="8" w:space="0"/>
            </w:tcBorders>
            <w:vAlign w:val="center"/>
          </w:tcPr>
          <w:p w14:paraId="6D862756">
            <w:pPr>
              <w:wordWrap w:val="0"/>
              <w:jc w:val="center"/>
              <w:rPr>
                <w:rFonts w:hint="eastAsia" w:ascii="宋体" w:hAnsi="宋体" w:eastAsia="宋体" w:cs="宋体"/>
                <w:szCs w:val="21"/>
                <w:lang w:val="en-US" w:eastAsia="zh-CN"/>
              </w:rPr>
            </w:pPr>
            <w:r>
              <w:rPr>
                <w:rFonts w:hint="eastAsia" w:ascii="宋体" w:hAnsi="宋体" w:cs="宋体"/>
                <w:szCs w:val="21"/>
                <w:lang w:val="en-US" w:eastAsia="zh-CN"/>
              </w:rPr>
              <w:t>1</w:t>
            </w:r>
          </w:p>
        </w:tc>
        <w:tc>
          <w:tcPr>
            <w:tcW w:w="283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9CCAB65">
            <w:pPr>
              <w:keepNext w:val="0"/>
              <w:keepLines w:val="0"/>
              <w:pageBreakBefore w:val="0"/>
              <w:suppressLineNumbers w:val="0"/>
              <w:kinsoku/>
              <w:overflowPunct/>
              <w:topLinePunct w:val="0"/>
              <w:bidi w:val="0"/>
              <w:adjustRightInd/>
              <w:snapToGrid/>
              <w:spacing w:before="0" w:beforeAutospacing="0" w:after="0" w:afterAutospacing="0" w:line="400" w:lineRule="exact"/>
              <w:ind w:left="0" w:leftChars="0" w:right="0" w:rightChars="0" w:firstLine="0" w:firstLineChars="0"/>
              <w:jc w:val="center"/>
              <w:outlineLvl w:val="9"/>
              <w:rPr>
                <w:rFonts w:hint="eastAsia" w:asciiTheme="minorEastAsia" w:hAnsiTheme="minorEastAsia" w:eastAsiaTheme="minorEastAsia" w:cstheme="minorEastAsia"/>
                <w:color w:val="auto"/>
                <w:kern w:val="2"/>
                <w:sz w:val="24"/>
                <w:szCs w:val="24"/>
                <w:highlight w:val="none"/>
                <w:u w:val="none"/>
                <w:lang w:val="en-US" w:eastAsia="zh-CN" w:bidi="ar-SA"/>
              </w:rPr>
            </w:pPr>
            <w:r>
              <w:rPr>
                <w:rFonts w:hint="eastAsia" w:asciiTheme="minorEastAsia" w:hAnsiTheme="minorEastAsia" w:eastAsiaTheme="minorEastAsia" w:cstheme="minorEastAsia"/>
                <w:b w:val="0"/>
                <w:bCs/>
                <w:color w:val="auto"/>
                <w:sz w:val="24"/>
                <w:szCs w:val="24"/>
                <w:highlight w:val="none"/>
                <w:u w:val="none"/>
              </w:rPr>
              <w:t>实施方案评价</w:t>
            </w:r>
          </w:p>
        </w:tc>
        <w:tc>
          <w:tcPr>
            <w:tcW w:w="68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895A8BA">
            <w:pPr>
              <w:keepNext w:val="0"/>
              <w:keepLines w:val="0"/>
              <w:pageBreakBefore w:val="0"/>
              <w:suppressLineNumbers w:val="0"/>
              <w:kinsoku/>
              <w:overflowPunct/>
              <w:topLinePunct w:val="0"/>
              <w:bidi w:val="0"/>
              <w:adjustRightInd/>
              <w:snapToGrid/>
              <w:spacing w:before="0" w:beforeAutospacing="0" w:after="0" w:afterAutospacing="0" w:line="400" w:lineRule="exact"/>
              <w:ind w:left="0" w:leftChars="0" w:right="0" w:rightChars="0" w:firstLine="0" w:firstLineChars="0"/>
              <w:jc w:val="center"/>
              <w:outlineLvl w:val="9"/>
              <w:rPr>
                <w:rFonts w:hint="eastAsia" w:asciiTheme="minorEastAsia" w:hAnsiTheme="minorEastAsia" w:eastAsiaTheme="minorEastAsia" w:cstheme="minorEastAsia"/>
                <w:color w:val="auto"/>
                <w:kern w:val="2"/>
                <w:sz w:val="24"/>
                <w:szCs w:val="24"/>
                <w:highlight w:val="none"/>
                <w:u w:val="none"/>
                <w:lang w:val="en-US" w:eastAsia="zh-CN" w:bidi="ar-SA"/>
              </w:rPr>
            </w:pPr>
            <w:r>
              <w:rPr>
                <w:rFonts w:hint="eastAsia" w:asciiTheme="minorEastAsia" w:hAnsiTheme="minorEastAsia" w:eastAsiaTheme="minorEastAsia" w:cstheme="minorEastAsia"/>
                <w:color w:val="auto"/>
                <w:sz w:val="24"/>
                <w:szCs w:val="24"/>
                <w:highlight w:val="none"/>
                <w:u w:val="none"/>
                <w:lang w:val="en-US" w:eastAsia="zh-CN"/>
              </w:rPr>
              <w:t>5</w:t>
            </w:r>
          </w:p>
        </w:tc>
        <w:tc>
          <w:tcPr>
            <w:tcW w:w="419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C3D607C">
            <w:pPr>
              <w:keepNext w:val="0"/>
              <w:keepLines w:val="0"/>
              <w:pageBreakBefore w:val="0"/>
              <w:suppressLineNumbers w:val="0"/>
              <w:kinsoku/>
              <w:overflowPunct/>
              <w:topLinePunct w:val="0"/>
              <w:bidi w:val="0"/>
              <w:adjustRightInd/>
              <w:snapToGrid/>
              <w:spacing w:before="0" w:beforeAutospacing="0" w:after="0" w:afterAutospacing="0" w:line="400" w:lineRule="exact"/>
              <w:ind w:left="0" w:leftChars="0" w:right="0" w:rightChars="0" w:firstLine="0" w:firstLineChars="0"/>
              <w:jc w:val="both"/>
              <w:outlineLvl w:val="9"/>
              <w:rPr>
                <w:rFonts w:hint="eastAsia" w:asciiTheme="minorEastAsia" w:hAnsiTheme="minorEastAsia" w:eastAsiaTheme="minorEastAsia" w:cstheme="minorEastAsia"/>
                <w:color w:val="auto"/>
                <w:sz w:val="24"/>
                <w:szCs w:val="24"/>
                <w:highlight w:val="none"/>
                <w:u w:val="none"/>
                <w:lang w:eastAsia="zh-CN"/>
              </w:rPr>
            </w:pPr>
            <w:r>
              <w:rPr>
                <w:rFonts w:hint="eastAsia" w:asciiTheme="minorEastAsia" w:hAnsiTheme="minorEastAsia" w:eastAsiaTheme="minorEastAsia" w:cstheme="minorEastAsia"/>
                <w:color w:val="auto"/>
                <w:sz w:val="24"/>
                <w:szCs w:val="24"/>
                <w:highlight w:val="none"/>
                <w:u w:val="none"/>
                <w:lang w:eastAsia="zh-CN"/>
              </w:rPr>
              <w:t>（一）评分内容：</w:t>
            </w:r>
          </w:p>
          <w:p w14:paraId="2A73F6FF">
            <w:pPr>
              <w:keepNext w:val="0"/>
              <w:keepLines w:val="0"/>
              <w:pageBreakBefore w:val="0"/>
              <w:suppressLineNumbers w:val="0"/>
              <w:kinsoku/>
              <w:overflowPunct/>
              <w:topLinePunct w:val="0"/>
              <w:bidi w:val="0"/>
              <w:adjustRightInd/>
              <w:snapToGrid/>
              <w:spacing w:before="0" w:beforeAutospacing="0" w:after="0" w:afterAutospacing="0" w:line="400" w:lineRule="exact"/>
              <w:ind w:left="0" w:leftChars="0" w:right="0" w:rightChars="0" w:firstLine="0" w:firstLineChars="0"/>
              <w:jc w:val="both"/>
              <w:outlineLvl w:val="9"/>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rPr>
              <w:t>投标单位根据项目实际情况提供项目实施方案，方案内容包括但不限于：</w:t>
            </w:r>
          </w:p>
          <w:p w14:paraId="6BE288D7">
            <w:pPr>
              <w:keepNext w:val="0"/>
              <w:keepLines w:val="0"/>
              <w:pageBreakBefore w:val="0"/>
              <w:suppressLineNumbers w:val="0"/>
              <w:kinsoku/>
              <w:overflowPunct/>
              <w:topLinePunct w:val="0"/>
              <w:bidi w:val="0"/>
              <w:adjustRightInd/>
              <w:snapToGrid/>
              <w:spacing w:before="0" w:beforeAutospacing="0" w:after="0" w:afterAutospacing="0" w:line="400" w:lineRule="exact"/>
              <w:ind w:left="0" w:leftChars="0" w:right="0" w:rightChars="0" w:firstLine="0" w:firstLineChars="0"/>
              <w:jc w:val="both"/>
              <w:outlineLvl w:val="9"/>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rPr>
              <w:t>1、项目的整体管理设想；</w:t>
            </w:r>
          </w:p>
          <w:p w14:paraId="03E99321">
            <w:pPr>
              <w:keepNext w:val="0"/>
              <w:keepLines w:val="0"/>
              <w:pageBreakBefore w:val="0"/>
              <w:suppressLineNumbers w:val="0"/>
              <w:kinsoku/>
              <w:overflowPunct/>
              <w:topLinePunct w:val="0"/>
              <w:bidi w:val="0"/>
              <w:adjustRightInd/>
              <w:snapToGrid/>
              <w:spacing w:before="0" w:beforeAutospacing="0" w:after="0" w:afterAutospacing="0" w:line="400" w:lineRule="exact"/>
              <w:ind w:left="0" w:leftChars="0" w:right="0" w:rightChars="0" w:firstLine="0" w:firstLineChars="0"/>
              <w:jc w:val="both"/>
              <w:outlineLvl w:val="9"/>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rPr>
              <w:t>2、项目的整体运作规划；</w:t>
            </w:r>
          </w:p>
          <w:p w14:paraId="70076357">
            <w:pPr>
              <w:keepNext w:val="0"/>
              <w:keepLines w:val="0"/>
              <w:pageBreakBefore w:val="0"/>
              <w:suppressLineNumbers w:val="0"/>
              <w:kinsoku/>
              <w:overflowPunct/>
              <w:topLinePunct w:val="0"/>
              <w:bidi w:val="0"/>
              <w:adjustRightInd/>
              <w:snapToGrid/>
              <w:spacing w:before="0" w:beforeAutospacing="0" w:after="0" w:afterAutospacing="0" w:line="400" w:lineRule="exact"/>
              <w:ind w:left="0" w:leftChars="0" w:right="0" w:rightChars="0" w:firstLine="0" w:firstLineChars="0"/>
              <w:jc w:val="both"/>
              <w:outlineLvl w:val="9"/>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rPr>
              <w:t>3、项目的组织机构；</w:t>
            </w:r>
          </w:p>
          <w:p w14:paraId="5FF3A9D6">
            <w:pPr>
              <w:keepNext w:val="0"/>
              <w:keepLines w:val="0"/>
              <w:pageBreakBefore w:val="0"/>
              <w:suppressLineNumbers w:val="0"/>
              <w:kinsoku/>
              <w:overflowPunct/>
              <w:topLinePunct w:val="0"/>
              <w:bidi w:val="0"/>
              <w:adjustRightInd/>
              <w:snapToGrid/>
              <w:spacing w:before="0" w:beforeAutospacing="0" w:after="0" w:afterAutospacing="0" w:line="400" w:lineRule="exact"/>
              <w:ind w:left="0" w:leftChars="0" w:right="0" w:rightChars="0" w:firstLine="0" w:firstLineChars="0"/>
              <w:jc w:val="both"/>
              <w:outlineLvl w:val="9"/>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rPr>
              <w:t>4、项目的服务团队配置；</w:t>
            </w:r>
          </w:p>
          <w:p w14:paraId="07A3D298">
            <w:pPr>
              <w:keepNext w:val="0"/>
              <w:keepLines w:val="0"/>
              <w:pageBreakBefore w:val="0"/>
              <w:suppressLineNumbers w:val="0"/>
              <w:kinsoku/>
              <w:overflowPunct/>
              <w:topLinePunct w:val="0"/>
              <w:bidi w:val="0"/>
              <w:adjustRightInd/>
              <w:snapToGrid/>
              <w:spacing w:before="0" w:beforeAutospacing="0" w:after="0" w:afterAutospacing="0" w:line="400" w:lineRule="exact"/>
              <w:ind w:left="0" w:leftChars="0" w:right="0" w:rightChars="0" w:firstLine="0" w:firstLineChars="0"/>
              <w:jc w:val="both"/>
              <w:outlineLvl w:val="9"/>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rPr>
              <w:t>5、项目的人员培训计划；</w:t>
            </w:r>
          </w:p>
          <w:p w14:paraId="4CB745A5">
            <w:pPr>
              <w:keepNext w:val="0"/>
              <w:keepLines w:val="0"/>
              <w:pageBreakBefore w:val="0"/>
              <w:suppressLineNumbers w:val="0"/>
              <w:kinsoku/>
              <w:overflowPunct/>
              <w:topLinePunct w:val="0"/>
              <w:bidi w:val="0"/>
              <w:adjustRightInd/>
              <w:snapToGrid/>
              <w:spacing w:before="0" w:beforeAutospacing="0" w:after="0" w:afterAutospacing="0" w:line="400" w:lineRule="exact"/>
              <w:ind w:left="0" w:leftChars="0" w:right="0" w:rightChars="0" w:firstLine="0" w:firstLineChars="0"/>
              <w:jc w:val="both"/>
              <w:outlineLvl w:val="9"/>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rPr>
              <w:t>6、项目的管理措施（含森林防火措施）。</w:t>
            </w:r>
          </w:p>
          <w:p w14:paraId="4C668683">
            <w:pPr>
              <w:keepNext w:val="0"/>
              <w:keepLines w:val="0"/>
              <w:pageBreakBefore w:val="0"/>
              <w:suppressLineNumbers w:val="0"/>
              <w:kinsoku/>
              <w:overflowPunct/>
              <w:topLinePunct w:val="0"/>
              <w:bidi w:val="0"/>
              <w:adjustRightInd/>
              <w:snapToGrid/>
              <w:spacing w:before="0" w:beforeAutospacing="0" w:after="0" w:afterAutospacing="0" w:line="400" w:lineRule="exact"/>
              <w:ind w:left="0" w:leftChars="0" w:right="0" w:rightChars="0" w:firstLine="0" w:firstLineChars="0"/>
              <w:jc w:val="both"/>
              <w:outlineLvl w:val="9"/>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lang w:eastAsia="zh-CN"/>
              </w:rPr>
              <w:t>（二）评分依据：</w:t>
            </w:r>
            <w:r>
              <w:rPr>
                <w:rFonts w:hint="eastAsia" w:asciiTheme="minorEastAsia" w:hAnsiTheme="minorEastAsia" w:eastAsiaTheme="minorEastAsia" w:cstheme="minorEastAsia"/>
                <w:color w:val="auto"/>
                <w:sz w:val="24"/>
                <w:szCs w:val="24"/>
                <w:highlight w:val="none"/>
                <w:u w:val="none"/>
              </w:rPr>
              <w:t xml:space="preserve"> </w:t>
            </w:r>
          </w:p>
          <w:p w14:paraId="300D924A">
            <w:pPr>
              <w:keepNext w:val="0"/>
              <w:keepLines w:val="0"/>
              <w:pageBreakBefore w:val="0"/>
              <w:suppressLineNumbers w:val="0"/>
              <w:kinsoku/>
              <w:overflowPunct/>
              <w:topLinePunct w:val="0"/>
              <w:bidi w:val="0"/>
              <w:adjustRightInd/>
              <w:snapToGrid/>
              <w:spacing w:before="0" w:beforeAutospacing="0" w:after="0" w:afterAutospacing="0" w:line="400" w:lineRule="exact"/>
              <w:ind w:left="0" w:leftChars="0" w:right="0" w:rightChars="0" w:firstLine="0" w:firstLineChars="0"/>
              <w:jc w:val="both"/>
              <w:outlineLvl w:val="9"/>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rPr>
              <w:t>1、方案内容包含上述1项的得1</w:t>
            </w:r>
            <w:r>
              <w:rPr>
                <w:rFonts w:hint="default" w:asciiTheme="minorEastAsia" w:hAnsiTheme="minorEastAsia" w:eastAsiaTheme="minorEastAsia" w:cstheme="minorEastAsia"/>
                <w:color w:val="auto"/>
                <w:sz w:val="24"/>
                <w:szCs w:val="24"/>
                <w:highlight w:val="none"/>
                <w:u w:val="none"/>
                <w:lang w:val="en-US"/>
              </w:rPr>
              <w:t>3.5</w:t>
            </w:r>
            <w:r>
              <w:rPr>
                <w:rFonts w:hint="eastAsia" w:asciiTheme="minorEastAsia" w:hAnsiTheme="minorEastAsia" w:eastAsiaTheme="minorEastAsia" w:cstheme="minorEastAsia"/>
                <w:color w:val="auto"/>
                <w:sz w:val="24"/>
                <w:szCs w:val="24"/>
                <w:highlight w:val="none"/>
                <w:u w:val="none"/>
                <w:lang w:val="en-US" w:eastAsia="zh-CN"/>
              </w:rPr>
              <w:t>分</w:t>
            </w:r>
            <w:r>
              <w:rPr>
                <w:rFonts w:hint="eastAsia" w:asciiTheme="minorEastAsia" w:hAnsiTheme="minorEastAsia" w:eastAsiaTheme="minorEastAsia" w:cstheme="minorEastAsia"/>
                <w:color w:val="auto"/>
                <w:sz w:val="24"/>
                <w:szCs w:val="24"/>
                <w:highlight w:val="none"/>
                <w:u w:val="none"/>
              </w:rPr>
              <w:t>，</w:t>
            </w:r>
            <w:r>
              <w:rPr>
                <w:rFonts w:hint="eastAsia" w:asciiTheme="minorEastAsia" w:hAnsiTheme="minorEastAsia" w:eastAsiaTheme="minorEastAsia" w:cstheme="minorEastAsia"/>
                <w:color w:val="auto"/>
                <w:sz w:val="24"/>
                <w:szCs w:val="24"/>
                <w:highlight w:val="none"/>
                <w:u w:val="none"/>
                <w:lang w:val="en-US" w:eastAsia="zh-CN"/>
              </w:rPr>
              <w:t>本项</w:t>
            </w:r>
            <w:r>
              <w:rPr>
                <w:rFonts w:hint="eastAsia" w:asciiTheme="minorEastAsia" w:hAnsiTheme="minorEastAsia" w:eastAsiaTheme="minorEastAsia" w:cstheme="minorEastAsia"/>
                <w:color w:val="auto"/>
                <w:sz w:val="24"/>
                <w:szCs w:val="24"/>
                <w:highlight w:val="none"/>
                <w:u w:val="none"/>
              </w:rPr>
              <w:t>最高得</w:t>
            </w:r>
            <w:r>
              <w:rPr>
                <w:rFonts w:hint="default" w:asciiTheme="minorEastAsia" w:hAnsiTheme="minorEastAsia" w:eastAsiaTheme="minorEastAsia" w:cstheme="minorEastAsia"/>
                <w:color w:val="auto"/>
                <w:sz w:val="24"/>
                <w:szCs w:val="24"/>
                <w:highlight w:val="none"/>
                <w:u w:val="none"/>
                <w:lang w:val="en-US"/>
              </w:rPr>
              <w:t>8</w:t>
            </w:r>
            <w:r>
              <w:rPr>
                <w:rFonts w:hint="eastAsia" w:asciiTheme="minorEastAsia" w:hAnsiTheme="minorEastAsia" w:eastAsiaTheme="minorEastAsia" w:cstheme="minorEastAsia"/>
                <w:color w:val="auto"/>
                <w:sz w:val="24"/>
                <w:szCs w:val="24"/>
                <w:highlight w:val="none"/>
                <w:u w:val="none"/>
              </w:rPr>
              <w:t>0</w:t>
            </w:r>
            <w:r>
              <w:rPr>
                <w:rFonts w:hint="eastAsia" w:asciiTheme="minorEastAsia" w:hAnsiTheme="minorEastAsia" w:eastAsiaTheme="minorEastAsia" w:cstheme="minorEastAsia"/>
                <w:color w:val="auto"/>
                <w:sz w:val="24"/>
                <w:szCs w:val="24"/>
                <w:highlight w:val="none"/>
                <w:u w:val="none"/>
                <w:lang w:val="en-US" w:eastAsia="zh-CN"/>
              </w:rPr>
              <w:t>分</w:t>
            </w:r>
            <w:r>
              <w:rPr>
                <w:rFonts w:hint="eastAsia" w:asciiTheme="minorEastAsia" w:hAnsiTheme="minorEastAsia" w:eastAsiaTheme="minorEastAsia" w:cstheme="minorEastAsia"/>
                <w:color w:val="auto"/>
                <w:sz w:val="24"/>
                <w:szCs w:val="24"/>
                <w:highlight w:val="none"/>
                <w:u w:val="none"/>
              </w:rPr>
              <w:t xml:space="preserve">； </w:t>
            </w:r>
          </w:p>
          <w:p w14:paraId="6AF81076">
            <w:pPr>
              <w:keepNext w:val="0"/>
              <w:keepLines w:val="0"/>
              <w:pageBreakBefore w:val="0"/>
              <w:suppressLineNumbers w:val="0"/>
              <w:kinsoku/>
              <w:overflowPunct/>
              <w:topLinePunct w:val="0"/>
              <w:bidi w:val="0"/>
              <w:adjustRightInd/>
              <w:snapToGrid/>
              <w:spacing w:before="0" w:beforeAutospacing="0" w:after="0" w:afterAutospacing="0" w:line="400" w:lineRule="exact"/>
              <w:ind w:left="0" w:leftChars="0" w:right="0" w:rightChars="0" w:firstLine="0" w:firstLineChars="0"/>
              <w:jc w:val="both"/>
              <w:outlineLvl w:val="9"/>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rPr>
              <w:t>2、在第1点基础上，专家根据各供应商的具体响应内容按照</w:t>
            </w:r>
            <w:r>
              <w:rPr>
                <w:rFonts w:hint="eastAsia" w:asciiTheme="minorEastAsia" w:hAnsiTheme="minorEastAsia" w:eastAsiaTheme="minorEastAsia" w:cstheme="minorEastAsia"/>
                <w:color w:val="auto"/>
                <w:sz w:val="24"/>
                <w:szCs w:val="24"/>
                <w:highlight w:val="none"/>
                <w:u w:val="none"/>
                <w:lang w:eastAsia="zh-CN"/>
              </w:rPr>
              <w:t>以下</w:t>
            </w:r>
            <w:r>
              <w:rPr>
                <w:rFonts w:hint="eastAsia" w:asciiTheme="minorEastAsia" w:hAnsiTheme="minorEastAsia" w:eastAsiaTheme="minorEastAsia" w:cstheme="minorEastAsia"/>
                <w:color w:val="auto"/>
                <w:sz w:val="24"/>
                <w:szCs w:val="24"/>
                <w:highlight w:val="none"/>
                <w:u w:val="none"/>
              </w:rPr>
              <w:t>的评审因素指标进一步评审</w:t>
            </w:r>
            <w:r>
              <w:rPr>
                <w:rFonts w:hint="eastAsia" w:asciiTheme="minorEastAsia" w:hAnsiTheme="minorEastAsia" w:eastAsiaTheme="minorEastAsia" w:cstheme="minorEastAsia"/>
                <w:color w:val="auto"/>
                <w:sz w:val="24"/>
                <w:szCs w:val="24"/>
                <w:highlight w:val="none"/>
                <w:u w:val="none"/>
                <w:lang w:eastAsia="zh-CN"/>
              </w:rPr>
              <w:t>，</w:t>
            </w:r>
            <w:r>
              <w:rPr>
                <w:rFonts w:hint="eastAsia" w:asciiTheme="minorEastAsia" w:hAnsiTheme="minorEastAsia" w:eastAsiaTheme="minorEastAsia" w:cstheme="minorEastAsia"/>
                <w:color w:val="auto"/>
                <w:sz w:val="24"/>
                <w:szCs w:val="24"/>
                <w:highlight w:val="none"/>
                <w:u w:val="none"/>
              </w:rPr>
              <w:t>每体现</w:t>
            </w:r>
            <w:r>
              <w:rPr>
                <w:rFonts w:hint="eastAsia" w:asciiTheme="minorEastAsia" w:hAnsiTheme="minorEastAsia" w:eastAsiaTheme="minorEastAsia" w:cstheme="minorEastAsia"/>
                <w:color w:val="auto"/>
                <w:sz w:val="24"/>
                <w:szCs w:val="24"/>
                <w:highlight w:val="none"/>
                <w:u w:val="none"/>
                <w:lang w:val="en-US" w:eastAsia="zh-CN"/>
              </w:rPr>
              <w:t>下</w:t>
            </w:r>
            <w:r>
              <w:rPr>
                <w:rFonts w:hint="eastAsia" w:asciiTheme="minorEastAsia" w:hAnsiTheme="minorEastAsia" w:eastAsiaTheme="minorEastAsia" w:cstheme="minorEastAsia"/>
                <w:color w:val="auto"/>
                <w:sz w:val="24"/>
                <w:szCs w:val="24"/>
                <w:highlight w:val="none"/>
                <w:u w:val="none"/>
              </w:rPr>
              <w:t>述一点内容的加</w:t>
            </w:r>
            <w:r>
              <w:rPr>
                <w:rFonts w:hint="default" w:asciiTheme="minorEastAsia" w:hAnsiTheme="minorEastAsia" w:eastAsiaTheme="minorEastAsia" w:cstheme="minorEastAsia"/>
                <w:color w:val="auto"/>
                <w:sz w:val="24"/>
                <w:szCs w:val="24"/>
                <w:highlight w:val="none"/>
                <w:u w:val="none"/>
                <w:lang w:val="en-US"/>
              </w:rPr>
              <w:t>5</w:t>
            </w:r>
            <w:r>
              <w:rPr>
                <w:rFonts w:hint="eastAsia" w:asciiTheme="minorEastAsia" w:hAnsiTheme="minorEastAsia" w:eastAsiaTheme="minorEastAsia" w:cstheme="minorEastAsia"/>
                <w:color w:val="auto"/>
                <w:sz w:val="24"/>
                <w:szCs w:val="24"/>
                <w:highlight w:val="none"/>
                <w:u w:val="none"/>
                <w:lang w:val="en-US" w:eastAsia="zh-CN"/>
              </w:rPr>
              <w:t>分</w:t>
            </w:r>
            <w:r>
              <w:rPr>
                <w:rFonts w:hint="eastAsia" w:asciiTheme="minorEastAsia" w:hAnsiTheme="minorEastAsia" w:eastAsiaTheme="minorEastAsia" w:cstheme="minorEastAsia"/>
                <w:color w:val="auto"/>
                <w:sz w:val="24"/>
                <w:szCs w:val="24"/>
                <w:highlight w:val="none"/>
                <w:u w:val="none"/>
              </w:rPr>
              <w:t>，</w:t>
            </w:r>
            <w:r>
              <w:rPr>
                <w:rFonts w:hint="eastAsia" w:asciiTheme="minorEastAsia" w:hAnsiTheme="minorEastAsia" w:eastAsiaTheme="minorEastAsia" w:cstheme="minorEastAsia"/>
                <w:color w:val="auto"/>
                <w:sz w:val="24"/>
                <w:szCs w:val="24"/>
                <w:highlight w:val="none"/>
                <w:u w:val="none"/>
                <w:lang w:val="en-US" w:eastAsia="zh-CN"/>
              </w:rPr>
              <w:t>最高</w:t>
            </w:r>
            <w:r>
              <w:rPr>
                <w:rFonts w:hint="eastAsia" w:asciiTheme="minorEastAsia" w:hAnsiTheme="minorEastAsia" w:eastAsiaTheme="minorEastAsia" w:cstheme="minorEastAsia"/>
                <w:color w:val="auto"/>
                <w:sz w:val="24"/>
                <w:szCs w:val="24"/>
                <w:highlight w:val="none"/>
                <w:u w:val="none"/>
              </w:rPr>
              <w:t>加</w:t>
            </w:r>
            <w:r>
              <w:rPr>
                <w:rFonts w:hint="default" w:asciiTheme="minorEastAsia" w:hAnsiTheme="minorEastAsia" w:eastAsiaTheme="minorEastAsia" w:cstheme="minorEastAsia"/>
                <w:color w:val="auto"/>
                <w:sz w:val="24"/>
                <w:szCs w:val="24"/>
                <w:highlight w:val="none"/>
                <w:u w:val="none"/>
                <w:lang w:val="en-US"/>
              </w:rPr>
              <w:t>2</w:t>
            </w:r>
            <w:r>
              <w:rPr>
                <w:rFonts w:hint="eastAsia" w:asciiTheme="minorEastAsia" w:hAnsiTheme="minorEastAsia" w:eastAsiaTheme="minorEastAsia" w:cstheme="minorEastAsia"/>
                <w:color w:val="auto"/>
                <w:sz w:val="24"/>
                <w:szCs w:val="24"/>
                <w:highlight w:val="none"/>
                <w:u w:val="none"/>
              </w:rPr>
              <w:t>0</w:t>
            </w:r>
            <w:r>
              <w:rPr>
                <w:rFonts w:hint="eastAsia" w:asciiTheme="minorEastAsia" w:hAnsiTheme="minorEastAsia" w:eastAsiaTheme="minorEastAsia" w:cstheme="minorEastAsia"/>
                <w:color w:val="auto"/>
                <w:sz w:val="24"/>
                <w:szCs w:val="24"/>
                <w:highlight w:val="none"/>
                <w:u w:val="none"/>
                <w:lang w:val="en-US" w:eastAsia="zh-CN"/>
              </w:rPr>
              <w:t>分</w:t>
            </w:r>
            <w:r>
              <w:rPr>
                <w:rFonts w:hint="eastAsia" w:asciiTheme="minorEastAsia" w:hAnsiTheme="minorEastAsia" w:eastAsiaTheme="minorEastAsia" w:cstheme="minorEastAsia"/>
                <w:color w:val="auto"/>
                <w:sz w:val="24"/>
                <w:szCs w:val="24"/>
                <w:highlight w:val="none"/>
                <w:u w:val="none"/>
              </w:rPr>
              <w:t>：</w:t>
            </w:r>
          </w:p>
          <w:p w14:paraId="5DA478FD">
            <w:pPr>
              <w:keepNext w:val="0"/>
              <w:keepLines w:val="0"/>
              <w:pageBreakBefore w:val="0"/>
              <w:suppressLineNumbers w:val="0"/>
              <w:kinsoku/>
              <w:overflowPunct/>
              <w:topLinePunct w:val="0"/>
              <w:bidi w:val="0"/>
              <w:adjustRightInd/>
              <w:snapToGrid/>
              <w:spacing w:before="0" w:beforeAutospacing="0" w:after="0" w:afterAutospacing="0" w:line="400" w:lineRule="exact"/>
              <w:ind w:left="0" w:leftChars="0" w:right="0" w:rightChars="0" w:firstLine="0" w:firstLineChars="0"/>
              <w:jc w:val="both"/>
              <w:outlineLvl w:val="9"/>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lang w:eastAsia="zh-CN"/>
              </w:rPr>
              <w:t>（</w:t>
            </w:r>
            <w:r>
              <w:rPr>
                <w:rFonts w:hint="eastAsia" w:asciiTheme="minorEastAsia" w:hAnsiTheme="minorEastAsia" w:eastAsiaTheme="minorEastAsia" w:cstheme="minorEastAsia"/>
                <w:color w:val="auto"/>
                <w:sz w:val="24"/>
                <w:szCs w:val="24"/>
                <w:highlight w:val="none"/>
                <w:u w:val="none"/>
                <w:lang w:val="en-US" w:eastAsia="zh-CN"/>
              </w:rPr>
              <w:t>1</w:t>
            </w:r>
            <w:r>
              <w:rPr>
                <w:rFonts w:hint="eastAsia" w:asciiTheme="minorEastAsia" w:hAnsiTheme="minorEastAsia" w:eastAsiaTheme="minorEastAsia" w:cstheme="minorEastAsia"/>
                <w:color w:val="auto"/>
                <w:sz w:val="24"/>
                <w:szCs w:val="24"/>
                <w:highlight w:val="none"/>
                <w:u w:val="none"/>
                <w:lang w:eastAsia="zh-CN"/>
              </w:rPr>
              <w:t>）</w:t>
            </w:r>
            <w:r>
              <w:rPr>
                <w:rFonts w:hint="eastAsia" w:asciiTheme="minorEastAsia" w:hAnsiTheme="minorEastAsia" w:eastAsiaTheme="minorEastAsia" w:cstheme="minorEastAsia"/>
                <w:color w:val="auto"/>
                <w:sz w:val="24"/>
                <w:szCs w:val="24"/>
                <w:highlight w:val="none"/>
                <w:u w:val="none"/>
              </w:rPr>
              <w:t>项目的整体管理设想和运作规划要有具体的时间节点和步骤；</w:t>
            </w:r>
          </w:p>
          <w:p w14:paraId="2C262B79">
            <w:pPr>
              <w:keepNext w:val="0"/>
              <w:keepLines w:val="0"/>
              <w:pageBreakBefore w:val="0"/>
              <w:suppressLineNumbers w:val="0"/>
              <w:kinsoku/>
              <w:overflowPunct/>
              <w:topLinePunct w:val="0"/>
              <w:bidi w:val="0"/>
              <w:adjustRightInd/>
              <w:snapToGrid/>
              <w:spacing w:before="0" w:beforeAutospacing="0" w:after="0" w:afterAutospacing="0" w:line="400" w:lineRule="exact"/>
              <w:ind w:left="0" w:leftChars="0" w:right="0" w:rightChars="0" w:firstLine="0" w:firstLineChars="0"/>
              <w:jc w:val="both"/>
              <w:outlineLvl w:val="9"/>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lang w:eastAsia="zh-CN"/>
              </w:rPr>
              <w:t>（</w:t>
            </w:r>
            <w:r>
              <w:rPr>
                <w:rFonts w:hint="eastAsia" w:asciiTheme="minorEastAsia" w:hAnsiTheme="minorEastAsia" w:eastAsiaTheme="minorEastAsia" w:cstheme="minorEastAsia"/>
                <w:color w:val="auto"/>
                <w:sz w:val="24"/>
                <w:szCs w:val="24"/>
                <w:highlight w:val="none"/>
                <w:u w:val="none"/>
                <w:lang w:val="en-US" w:eastAsia="zh-CN"/>
              </w:rPr>
              <w:t>2</w:t>
            </w:r>
            <w:r>
              <w:rPr>
                <w:rFonts w:hint="eastAsia" w:asciiTheme="minorEastAsia" w:hAnsiTheme="minorEastAsia" w:eastAsiaTheme="minorEastAsia" w:cstheme="minorEastAsia"/>
                <w:color w:val="auto"/>
                <w:sz w:val="24"/>
                <w:szCs w:val="24"/>
                <w:highlight w:val="none"/>
                <w:u w:val="none"/>
                <w:lang w:eastAsia="zh-CN"/>
              </w:rPr>
              <w:t>）</w:t>
            </w:r>
            <w:r>
              <w:rPr>
                <w:rFonts w:hint="eastAsia" w:asciiTheme="minorEastAsia" w:hAnsiTheme="minorEastAsia" w:eastAsiaTheme="minorEastAsia" w:cstheme="minorEastAsia"/>
                <w:color w:val="auto"/>
                <w:sz w:val="24"/>
                <w:szCs w:val="24"/>
                <w:highlight w:val="none"/>
                <w:u w:val="none"/>
              </w:rPr>
              <w:t>项目的组织机构和服务团队配置要有具体的人员安排和明确的工作分工；</w:t>
            </w:r>
          </w:p>
          <w:p w14:paraId="5AE1A774">
            <w:pPr>
              <w:keepNext w:val="0"/>
              <w:keepLines w:val="0"/>
              <w:pageBreakBefore w:val="0"/>
              <w:suppressLineNumbers w:val="0"/>
              <w:kinsoku/>
              <w:overflowPunct/>
              <w:topLinePunct w:val="0"/>
              <w:bidi w:val="0"/>
              <w:adjustRightInd/>
              <w:snapToGrid/>
              <w:spacing w:before="0" w:beforeAutospacing="0" w:after="0" w:afterAutospacing="0" w:line="400" w:lineRule="exact"/>
              <w:ind w:left="0" w:leftChars="0" w:right="0" w:rightChars="0" w:firstLine="0" w:firstLineChars="0"/>
              <w:jc w:val="both"/>
              <w:outlineLvl w:val="9"/>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lang w:eastAsia="zh-CN"/>
              </w:rPr>
              <w:t>（</w:t>
            </w:r>
            <w:r>
              <w:rPr>
                <w:rFonts w:hint="eastAsia" w:asciiTheme="minorEastAsia" w:hAnsiTheme="minorEastAsia" w:eastAsiaTheme="minorEastAsia" w:cstheme="minorEastAsia"/>
                <w:color w:val="auto"/>
                <w:sz w:val="24"/>
                <w:szCs w:val="24"/>
                <w:highlight w:val="none"/>
                <w:u w:val="none"/>
                <w:lang w:val="en-US" w:eastAsia="zh-CN"/>
              </w:rPr>
              <w:t>3</w:t>
            </w:r>
            <w:r>
              <w:rPr>
                <w:rFonts w:hint="eastAsia" w:asciiTheme="minorEastAsia" w:hAnsiTheme="minorEastAsia" w:eastAsiaTheme="minorEastAsia" w:cstheme="minorEastAsia"/>
                <w:color w:val="auto"/>
                <w:sz w:val="24"/>
                <w:szCs w:val="24"/>
                <w:highlight w:val="none"/>
                <w:u w:val="none"/>
                <w:lang w:eastAsia="zh-CN"/>
              </w:rPr>
              <w:t>）</w:t>
            </w:r>
            <w:r>
              <w:rPr>
                <w:rFonts w:hint="eastAsia" w:asciiTheme="minorEastAsia" w:hAnsiTheme="minorEastAsia" w:eastAsiaTheme="minorEastAsia" w:cstheme="minorEastAsia"/>
                <w:color w:val="auto"/>
                <w:sz w:val="24"/>
                <w:szCs w:val="24"/>
                <w:highlight w:val="none"/>
                <w:u w:val="none"/>
              </w:rPr>
              <w:t>项目的人员培训计划要有具体的人员培训内容（包括但不限于反恐、处突、维稳、救助、溺水、森林防火器械使用等）；</w:t>
            </w:r>
          </w:p>
          <w:p w14:paraId="0A15F8D9">
            <w:pPr>
              <w:keepNext w:val="0"/>
              <w:keepLines w:val="0"/>
              <w:pageBreakBefore w:val="0"/>
              <w:suppressLineNumbers w:val="0"/>
              <w:kinsoku/>
              <w:overflowPunct/>
              <w:topLinePunct w:val="0"/>
              <w:bidi w:val="0"/>
              <w:adjustRightInd/>
              <w:snapToGrid/>
              <w:spacing w:before="0" w:beforeAutospacing="0" w:after="0" w:afterAutospacing="0" w:line="400" w:lineRule="exact"/>
              <w:ind w:left="0" w:leftChars="0" w:right="0" w:rightChars="0" w:firstLine="0" w:firstLineChars="0"/>
              <w:jc w:val="both"/>
              <w:outlineLvl w:val="9"/>
              <w:rPr>
                <w:rFonts w:hint="eastAsia" w:asciiTheme="minorEastAsia" w:hAnsiTheme="minorEastAsia" w:eastAsiaTheme="minorEastAsia" w:cstheme="minorEastAsia"/>
                <w:color w:val="auto"/>
                <w:kern w:val="2"/>
                <w:sz w:val="24"/>
                <w:szCs w:val="24"/>
                <w:highlight w:val="none"/>
                <w:u w:val="none"/>
                <w:lang w:val="en-US" w:eastAsia="zh-CN" w:bidi="ar-SA"/>
              </w:rPr>
            </w:pPr>
            <w:r>
              <w:rPr>
                <w:rFonts w:hint="eastAsia" w:asciiTheme="minorEastAsia" w:hAnsiTheme="minorEastAsia" w:eastAsiaTheme="minorEastAsia" w:cstheme="minorEastAsia"/>
                <w:color w:val="auto"/>
                <w:sz w:val="24"/>
                <w:szCs w:val="24"/>
                <w:highlight w:val="none"/>
                <w:u w:val="none"/>
                <w:lang w:eastAsia="zh-CN"/>
              </w:rPr>
              <w:t>（</w:t>
            </w:r>
            <w:r>
              <w:rPr>
                <w:rFonts w:hint="eastAsia" w:asciiTheme="minorEastAsia" w:hAnsiTheme="minorEastAsia" w:eastAsiaTheme="minorEastAsia" w:cstheme="minorEastAsia"/>
                <w:color w:val="auto"/>
                <w:sz w:val="24"/>
                <w:szCs w:val="24"/>
                <w:highlight w:val="none"/>
                <w:u w:val="none"/>
                <w:lang w:val="en-US" w:eastAsia="zh-CN"/>
              </w:rPr>
              <w:t>4</w:t>
            </w:r>
            <w:r>
              <w:rPr>
                <w:rFonts w:hint="eastAsia" w:asciiTheme="minorEastAsia" w:hAnsiTheme="minorEastAsia" w:eastAsiaTheme="minorEastAsia" w:cstheme="minorEastAsia"/>
                <w:color w:val="auto"/>
                <w:sz w:val="24"/>
                <w:szCs w:val="24"/>
                <w:highlight w:val="none"/>
                <w:u w:val="none"/>
                <w:lang w:eastAsia="zh-CN"/>
              </w:rPr>
              <w:t>）</w:t>
            </w:r>
            <w:r>
              <w:rPr>
                <w:rFonts w:hint="eastAsia" w:asciiTheme="minorEastAsia" w:hAnsiTheme="minorEastAsia" w:eastAsiaTheme="minorEastAsia" w:cstheme="minorEastAsia"/>
                <w:color w:val="auto"/>
                <w:sz w:val="24"/>
                <w:szCs w:val="24"/>
                <w:highlight w:val="none"/>
                <w:u w:val="none"/>
              </w:rPr>
              <w:t>项目的管理措施（含森林防火措施）要有具体的应对措施。</w:t>
            </w:r>
          </w:p>
        </w:tc>
      </w:tr>
      <w:tr w14:paraId="0021EA4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0" w:type="dxa"/>
            <w:vMerge w:val="continue"/>
            <w:tcBorders>
              <w:left w:val="single" w:color="000000" w:sz="8" w:space="0"/>
              <w:right w:val="single" w:color="000000" w:sz="8" w:space="0"/>
            </w:tcBorders>
            <w:vAlign w:val="center"/>
          </w:tcPr>
          <w:p w14:paraId="7E43D990">
            <w:pPr>
              <w:rPr>
                <w:rFonts w:ascii="宋体" w:hAnsi="宋体" w:cs="宋体"/>
                <w:b/>
                <w:bCs/>
                <w:color w:val="0000FF"/>
                <w:sz w:val="24"/>
              </w:rPr>
            </w:pPr>
          </w:p>
        </w:tc>
        <w:tc>
          <w:tcPr>
            <w:tcW w:w="680" w:type="dxa"/>
            <w:tcBorders>
              <w:top w:val="single" w:color="000000" w:sz="8" w:space="0"/>
              <w:left w:val="single" w:color="000000" w:sz="8" w:space="0"/>
              <w:bottom w:val="single" w:color="000000" w:sz="8" w:space="0"/>
              <w:right w:val="single" w:color="000000" w:sz="8" w:space="0"/>
            </w:tcBorders>
            <w:vAlign w:val="center"/>
          </w:tcPr>
          <w:p w14:paraId="37D87DF5">
            <w:pPr>
              <w:wordWrap w:val="0"/>
              <w:jc w:val="center"/>
              <w:rPr>
                <w:rFonts w:hint="eastAsia" w:ascii="宋体" w:hAnsi="宋体" w:eastAsia="宋体" w:cs="宋体"/>
                <w:szCs w:val="21"/>
                <w:lang w:val="en-US" w:eastAsia="zh-CN"/>
              </w:rPr>
            </w:pPr>
            <w:r>
              <w:rPr>
                <w:rFonts w:hint="eastAsia" w:ascii="宋体" w:hAnsi="宋体" w:cs="宋体"/>
                <w:szCs w:val="21"/>
                <w:lang w:val="en-US" w:eastAsia="zh-CN"/>
              </w:rPr>
              <w:t>2</w:t>
            </w:r>
          </w:p>
        </w:tc>
        <w:tc>
          <w:tcPr>
            <w:tcW w:w="283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53A8D38">
            <w:pPr>
              <w:keepNext w:val="0"/>
              <w:keepLines w:val="0"/>
              <w:pageBreakBefore w:val="0"/>
              <w:suppressLineNumbers w:val="0"/>
              <w:kinsoku/>
              <w:overflowPunct/>
              <w:topLinePunct w:val="0"/>
              <w:bidi w:val="0"/>
              <w:adjustRightInd/>
              <w:snapToGrid/>
              <w:spacing w:before="0" w:beforeAutospacing="0" w:after="0" w:afterAutospacing="0" w:line="400" w:lineRule="exact"/>
              <w:ind w:left="0" w:leftChars="0" w:right="0" w:rightChars="0" w:firstLine="0" w:firstLineChars="0"/>
              <w:jc w:val="center"/>
              <w:outlineLvl w:val="9"/>
              <w:rPr>
                <w:rFonts w:hint="eastAsia" w:asciiTheme="minorEastAsia" w:hAnsiTheme="minorEastAsia" w:eastAsiaTheme="minorEastAsia" w:cstheme="minorEastAsia"/>
                <w:color w:val="auto"/>
                <w:kern w:val="2"/>
                <w:sz w:val="24"/>
                <w:szCs w:val="24"/>
                <w:highlight w:val="none"/>
                <w:u w:val="none"/>
                <w:lang w:val="en-US" w:eastAsia="zh-CN" w:bidi="ar-SA"/>
              </w:rPr>
            </w:pPr>
            <w:r>
              <w:rPr>
                <w:rFonts w:hint="eastAsia" w:asciiTheme="minorEastAsia" w:hAnsiTheme="minorEastAsia" w:eastAsiaTheme="minorEastAsia" w:cstheme="minorEastAsia"/>
                <w:b w:val="0"/>
                <w:bCs/>
                <w:color w:val="auto"/>
                <w:kern w:val="0"/>
                <w:sz w:val="24"/>
                <w:szCs w:val="24"/>
                <w:highlight w:val="none"/>
                <w:u w:val="none"/>
              </w:rPr>
              <w:t>质量保障措施</w:t>
            </w:r>
            <w:r>
              <w:rPr>
                <w:rFonts w:hint="eastAsia" w:asciiTheme="minorEastAsia" w:hAnsiTheme="minorEastAsia" w:eastAsiaTheme="minorEastAsia" w:cstheme="minorEastAsia"/>
                <w:b w:val="0"/>
                <w:bCs/>
                <w:color w:val="auto"/>
                <w:kern w:val="0"/>
                <w:sz w:val="24"/>
                <w:szCs w:val="24"/>
                <w:highlight w:val="none"/>
                <w:u w:val="none"/>
                <w:lang w:eastAsia="zh-CN"/>
              </w:rPr>
              <w:t>、季度</w:t>
            </w:r>
            <w:r>
              <w:rPr>
                <w:rFonts w:hint="eastAsia" w:asciiTheme="minorEastAsia" w:hAnsiTheme="minorEastAsia" w:eastAsiaTheme="minorEastAsia" w:cstheme="minorEastAsia"/>
                <w:b w:val="0"/>
                <w:bCs/>
                <w:color w:val="auto"/>
                <w:sz w:val="24"/>
                <w:szCs w:val="24"/>
                <w:highlight w:val="none"/>
                <w:u w:val="none"/>
              </w:rPr>
              <w:t>质量安全管理巡查方案</w:t>
            </w:r>
            <w:r>
              <w:rPr>
                <w:rFonts w:hint="eastAsia" w:asciiTheme="minorEastAsia" w:hAnsiTheme="minorEastAsia" w:eastAsiaTheme="minorEastAsia" w:cstheme="minorEastAsia"/>
                <w:b w:val="0"/>
                <w:bCs/>
                <w:color w:val="auto"/>
                <w:kern w:val="0"/>
                <w:sz w:val="24"/>
                <w:szCs w:val="24"/>
                <w:highlight w:val="none"/>
                <w:u w:val="none"/>
              </w:rPr>
              <w:t>及应急方案评价</w:t>
            </w:r>
          </w:p>
        </w:tc>
        <w:tc>
          <w:tcPr>
            <w:tcW w:w="68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A40085F">
            <w:pPr>
              <w:keepNext w:val="0"/>
              <w:keepLines w:val="0"/>
              <w:pageBreakBefore w:val="0"/>
              <w:suppressLineNumbers w:val="0"/>
              <w:kinsoku/>
              <w:overflowPunct/>
              <w:topLinePunct w:val="0"/>
              <w:bidi w:val="0"/>
              <w:adjustRightInd/>
              <w:snapToGrid/>
              <w:spacing w:before="0" w:beforeAutospacing="0" w:after="0" w:afterAutospacing="0" w:line="400" w:lineRule="exact"/>
              <w:ind w:left="0" w:leftChars="0" w:right="0" w:rightChars="0" w:firstLine="0" w:firstLineChars="0"/>
              <w:jc w:val="center"/>
              <w:outlineLvl w:val="9"/>
              <w:rPr>
                <w:rFonts w:hint="eastAsia" w:asciiTheme="minorEastAsia" w:hAnsiTheme="minorEastAsia" w:eastAsiaTheme="minorEastAsia" w:cstheme="minorEastAsia"/>
                <w:color w:val="auto"/>
                <w:kern w:val="2"/>
                <w:sz w:val="24"/>
                <w:szCs w:val="24"/>
                <w:highlight w:val="none"/>
                <w:u w:val="none"/>
                <w:lang w:val="en-US" w:eastAsia="zh-CN" w:bidi="ar-SA"/>
              </w:rPr>
            </w:pPr>
            <w:r>
              <w:rPr>
                <w:rFonts w:hint="eastAsia" w:asciiTheme="minorEastAsia" w:hAnsiTheme="minorEastAsia" w:eastAsiaTheme="minorEastAsia" w:cstheme="minorEastAsia"/>
                <w:color w:val="auto"/>
                <w:sz w:val="24"/>
                <w:szCs w:val="24"/>
                <w:highlight w:val="none"/>
                <w:u w:val="none"/>
                <w:lang w:val="en-US" w:eastAsia="zh-CN"/>
              </w:rPr>
              <w:t>5</w:t>
            </w:r>
          </w:p>
        </w:tc>
        <w:tc>
          <w:tcPr>
            <w:tcW w:w="419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C647CB0">
            <w:pPr>
              <w:keepNext w:val="0"/>
              <w:keepLines w:val="0"/>
              <w:pageBreakBefore w:val="0"/>
              <w:suppressLineNumbers w:val="0"/>
              <w:kinsoku/>
              <w:overflowPunct/>
              <w:topLinePunct w:val="0"/>
              <w:bidi w:val="0"/>
              <w:adjustRightInd/>
              <w:snapToGrid/>
              <w:spacing w:before="0" w:beforeAutospacing="0" w:after="0" w:afterAutospacing="0" w:line="400" w:lineRule="exact"/>
              <w:ind w:left="0" w:leftChars="0" w:right="0" w:rightChars="0" w:firstLine="0" w:firstLineChars="0"/>
              <w:jc w:val="both"/>
              <w:outlineLvl w:val="9"/>
              <w:rPr>
                <w:rFonts w:hint="eastAsia" w:asciiTheme="minorEastAsia" w:hAnsiTheme="minorEastAsia" w:eastAsiaTheme="minorEastAsia" w:cstheme="minorEastAsia"/>
                <w:color w:val="auto"/>
                <w:sz w:val="24"/>
                <w:szCs w:val="24"/>
                <w:highlight w:val="none"/>
                <w:u w:val="none"/>
                <w:lang w:eastAsia="zh-CN"/>
              </w:rPr>
            </w:pPr>
            <w:r>
              <w:rPr>
                <w:rFonts w:hint="eastAsia" w:asciiTheme="minorEastAsia" w:hAnsiTheme="minorEastAsia" w:eastAsiaTheme="minorEastAsia" w:cstheme="minorEastAsia"/>
                <w:color w:val="auto"/>
                <w:sz w:val="24"/>
                <w:szCs w:val="24"/>
                <w:highlight w:val="none"/>
                <w:u w:val="none"/>
                <w:lang w:eastAsia="zh-CN"/>
              </w:rPr>
              <w:t>（一）评分内容：</w:t>
            </w:r>
          </w:p>
          <w:p w14:paraId="65A8BCE3">
            <w:pPr>
              <w:keepNext w:val="0"/>
              <w:keepLines w:val="0"/>
              <w:pageBreakBefore w:val="0"/>
              <w:suppressLineNumbers w:val="0"/>
              <w:kinsoku/>
              <w:overflowPunct/>
              <w:topLinePunct w:val="0"/>
              <w:bidi w:val="0"/>
              <w:adjustRightInd/>
              <w:snapToGrid/>
              <w:spacing w:before="0" w:beforeAutospacing="0" w:after="0" w:afterAutospacing="0" w:line="400" w:lineRule="exact"/>
              <w:ind w:left="0" w:leftChars="0" w:right="0" w:rightChars="0" w:firstLine="0" w:firstLineChars="0"/>
              <w:jc w:val="both"/>
              <w:outlineLvl w:val="9"/>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rPr>
              <w:t>投标单位根据本项目实际特点及需求，制定相应</w:t>
            </w:r>
            <w:r>
              <w:rPr>
                <w:rFonts w:hint="eastAsia" w:asciiTheme="minorEastAsia" w:hAnsiTheme="minorEastAsia" w:eastAsiaTheme="minorEastAsia" w:cstheme="minorEastAsia"/>
                <w:color w:val="auto"/>
                <w:sz w:val="24"/>
                <w:szCs w:val="24"/>
                <w:highlight w:val="none"/>
                <w:u w:val="none"/>
                <w:lang w:val="en-US" w:eastAsia="zh-CN"/>
              </w:rPr>
              <w:t>的管理</w:t>
            </w:r>
            <w:r>
              <w:rPr>
                <w:rFonts w:hint="eastAsia" w:asciiTheme="minorEastAsia" w:hAnsiTheme="minorEastAsia" w:eastAsiaTheme="minorEastAsia" w:cstheme="minorEastAsia"/>
                <w:color w:val="auto"/>
                <w:sz w:val="24"/>
                <w:szCs w:val="24"/>
                <w:highlight w:val="none"/>
                <w:u w:val="none"/>
              </w:rPr>
              <w:t>制度、各项保障措施</w:t>
            </w:r>
            <w:r>
              <w:rPr>
                <w:rFonts w:hint="eastAsia" w:asciiTheme="minorEastAsia" w:hAnsiTheme="minorEastAsia" w:eastAsiaTheme="minorEastAsia" w:cstheme="minorEastAsia"/>
                <w:color w:val="auto"/>
                <w:sz w:val="24"/>
                <w:szCs w:val="24"/>
                <w:highlight w:val="none"/>
                <w:u w:val="none"/>
                <w:lang w:val="en-US" w:eastAsia="zh-CN"/>
              </w:rPr>
              <w:t>和</w:t>
            </w:r>
            <w:r>
              <w:rPr>
                <w:rFonts w:hint="eastAsia" w:asciiTheme="minorEastAsia" w:hAnsiTheme="minorEastAsia" w:eastAsiaTheme="minorEastAsia" w:cstheme="minorEastAsia"/>
                <w:color w:val="auto"/>
                <w:sz w:val="24"/>
                <w:szCs w:val="24"/>
                <w:highlight w:val="none"/>
                <w:u w:val="none"/>
              </w:rPr>
              <w:t>工作报告机制，并提供</w:t>
            </w:r>
            <w:r>
              <w:rPr>
                <w:rFonts w:hint="eastAsia" w:asciiTheme="minorEastAsia" w:hAnsiTheme="minorEastAsia" w:eastAsiaTheme="minorEastAsia" w:cstheme="minorEastAsia"/>
                <w:color w:val="auto"/>
                <w:sz w:val="24"/>
                <w:szCs w:val="24"/>
                <w:highlight w:val="none"/>
                <w:u w:val="none"/>
                <w:lang w:eastAsia="zh-CN"/>
              </w:rPr>
              <w:t>季度</w:t>
            </w:r>
            <w:r>
              <w:rPr>
                <w:rFonts w:hint="eastAsia" w:asciiTheme="minorEastAsia" w:hAnsiTheme="minorEastAsia" w:eastAsiaTheme="minorEastAsia" w:cstheme="minorEastAsia"/>
                <w:color w:val="auto"/>
                <w:sz w:val="24"/>
                <w:szCs w:val="24"/>
                <w:highlight w:val="none"/>
                <w:u w:val="none"/>
              </w:rPr>
              <w:t>质量安全管理巡查方案</w:t>
            </w:r>
            <w:r>
              <w:rPr>
                <w:rFonts w:hint="eastAsia" w:asciiTheme="minorEastAsia" w:hAnsiTheme="minorEastAsia" w:eastAsiaTheme="minorEastAsia" w:cstheme="minorEastAsia"/>
                <w:color w:val="auto"/>
                <w:sz w:val="24"/>
                <w:szCs w:val="24"/>
                <w:highlight w:val="none"/>
                <w:u w:val="none"/>
                <w:lang w:eastAsia="zh-CN"/>
              </w:rPr>
              <w:t>和</w:t>
            </w:r>
            <w:r>
              <w:rPr>
                <w:rFonts w:hint="eastAsia" w:asciiTheme="minorEastAsia" w:hAnsiTheme="minorEastAsia" w:eastAsiaTheme="minorEastAsia" w:cstheme="minorEastAsia"/>
                <w:color w:val="auto"/>
                <w:sz w:val="24"/>
                <w:szCs w:val="24"/>
                <w:highlight w:val="none"/>
                <w:u w:val="none"/>
              </w:rPr>
              <w:t>突发事件应急预案。包括但不限于：</w:t>
            </w:r>
          </w:p>
          <w:p w14:paraId="5B728F64">
            <w:pPr>
              <w:keepNext w:val="0"/>
              <w:keepLines w:val="0"/>
              <w:pageBreakBefore w:val="0"/>
              <w:suppressLineNumbers w:val="0"/>
              <w:kinsoku/>
              <w:overflowPunct/>
              <w:topLinePunct w:val="0"/>
              <w:bidi w:val="0"/>
              <w:adjustRightInd/>
              <w:snapToGrid/>
              <w:spacing w:before="0" w:beforeAutospacing="0" w:after="0" w:afterAutospacing="0" w:line="400" w:lineRule="exact"/>
              <w:ind w:left="0" w:leftChars="0" w:right="0" w:rightChars="0" w:firstLine="0" w:firstLineChars="0"/>
              <w:jc w:val="both"/>
              <w:outlineLvl w:val="9"/>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rPr>
              <w:t xml:space="preserve">1、制定相应的规章制度、档案管理制度及各项服务内容的保障措施； </w:t>
            </w:r>
          </w:p>
          <w:p w14:paraId="10E19802">
            <w:pPr>
              <w:keepNext w:val="0"/>
              <w:keepLines w:val="0"/>
              <w:pageBreakBefore w:val="0"/>
              <w:suppressLineNumbers w:val="0"/>
              <w:kinsoku/>
              <w:overflowPunct/>
              <w:topLinePunct w:val="0"/>
              <w:bidi w:val="0"/>
              <w:adjustRightInd/>
              <w:snapToGrid/>
              <w:spacing w:before="0" w:beforeAutospacing="0" w:after="0" w:afterAutospacing="0" w:line="400" w:lineRule="exact"/>
              <w:ind w:left="0" w:leftChars="0" w:right="0" w:rightChars="0" w:firstLine="0" w:firstLineChars="0"/>
              <w:jc w:val="both"/>
              <w:outlineLvl w:val="9"/>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rPr>
              <w:t>2、建立工作报告机制，让采购单位了解项目日常工作情况（包括但不限于</w:t>
            </w:r>
            <w:r>
              <w:rPr>
                <w:rFonts w:hint="eastAsia" w:asciiTheme="minorEastAsia" w:hAnsiTheme="minorEastAsia" w:eastAsiaTheme="minorEastAsia" w:cstheme="minorEastAsia"/>
                <w:color w:val="auto"/>
                <w:sz w:val="24"/>
                <w:szCs w:val="24"/>
                <w:highlight w:val="none"/>
                <w:u w:val="none"/>
                <w:lang w:val="en-US" w:eastAsia="zh-CN"/>
              </w:rPr>
              <w:t>人员求助、应急处突、开展</w:t>
            </w:r>
            <w:r>
              <w:rPr>
                <w:rFonts w:hint="eastAsia" w:asciiTheme="minorEastAsia" w:hAnsiTheme="minorEastAsia" w:eastAsiaTheme="minorEastAsia" w:cstheme="minorEastAsia"/>
                <w:color w:val="auto"/>
                <w:sz w:val="24"/>
                <w:szCs w:val="24"/>
                <w:highlight w:val="none"/>
                <w:u w:val="none"/>
              </w:rPr>
              <w:t>控烟工作</w:t>
            </w:r>
            <w:r>
              <w:rPr>
                <w:rFonts w:hint="eastAsia" w:asciiTheme="minorEastAsia" w:hAnsiTheme="minorEastAsia" w:eastAsiaTheme="minorEastAsia" w:cstheme="minorEastAsia"/>
                <w:color w:val="auto"/>
                <w:sz w:val="24"/>
                <w:szCs w:val="24"/>
                <w:highlight w:val="none"/>
                <w:u w:val="none"/>
                <w:lang w:eastAsia="zh-CN"/>
              </w:rPr>
              <w:t>、</w:t>
            </w:r>
            <w:r>
              <w:rPr>
                <w:rFonts w:hint="eastAsia" w:asciiTheme="minorEastAsia" w:hAnsiTheme="minorEastAsia" w:eastAsiaTheme="minorEastAsia" w:cstheme="minorEastAsia"/>
                <w:color w:val="auto"/>
                <w:sz w:val="24"/>
                <w:szCs w:val="24"/>
                <w:highlight w:val="none"/>
                <w:u w:val="none"/>
                <w:lang w:val="en-US" w:eastAsia="zh-CN"/>
              </w:rPr>
              <w:t>疫情防控、乞讨人员劝导和乱摆卖现象清理</w:t>
            </w:r>
            <w:r>
              <w:rPr>
                <w:rFonts w:hint="eastAsia" w:asciiTheme="minorEastAsia" w:hAnsiTheme="minorEastAsia" w:eastAsiaTheme="minorEastAsia" w:cstheme="minorEastAsia"/>
                <w:color w:val="auto"/>
                <w:sz w:val="24"/>
                <w:szCs w:val="24"/>
                <w:highlight w:val="none"/>
                <w:u w:val="none"/>
              </w:rPr>
              <w:t>等）；</w:t>
            </w:r>
          </w:p>
          <w:p w14:paraId="3C5810CF">
            <w:pPr>
              <w:keepNext w:val="0"/>
              <w:keepLines w:val="0"/>
              <w:pageBreakBefore w:val="0"/>
              <w:suppressLineNumbers w:val="0"/>
              <w:kinsoku/>
              <w:overflowPunct/>
              <w:topLinePunct w:val="0"/>
              <w:bidi w:val="0"/>
              <w:adjustRightInd/>
              <w:snapToGrid/>
              <w:spacing w:before="0" w:beforeAutospacing="0" w:after="0" w:afterAutospacing="0" w:line="400" w:lineRule="exact"/>
              <w:ind w:left="0" w:leftChars="0" w:right="0" w:rightChars="0" w:firstLine="0" w:firstLineChars="0"/>
              <w:jc w:val="both"/>
              <w:outlineLvl w:val="9"/>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rPr>
              <w:t>3、根据项目实际情况制定</w:t>
            </w:r>
            <w:r>
              <w:rPr>
                <w:rFonts w:hint="eastAsia" w:asciiTheme="minorEastAsia" w:hAnsiTheme="minorEastAsia" w:eastAsiaTheme="minorEastAsia" w:cstheme="minorEastAsia"/>
                <w:color w:val="auto"/>
                <w:sz w:val="24"/>
                <w:szCs w:val="24"/>
                <w:highlight w:val="none"/>
                <w:u w:val="none"/>
                <w:lang w:eastAsia="zh-CN"/>
              </w:rPr>
              <w:t>项目</w:t>
            </w:r>
            <w:r>
              <w:rPr>
                <w:rFonts w:hint="eastAsia" w:asciiTheme="minorEastAsia" w:hAnsiTheme="minorEastAsia" w:eastAsiaTheme="minorEastAsia" w:cstheme="minorEastAsia"/>
                <w:color w:val="auto"/>
                <w:sz w:val="24"/>
                <w:szCs w:val="24"/>
                <w:highlight w:val="none"/>
                <w:u w:val="none"/>
              </w:rPr>
              <w:t>季度质量安全管理巡查方案，包括但不限于：安全管理巡查的工作内容</w:t>
            </w:r>
            <w:r>
              <w:rPr>
                <w:rFonts w:hint="eastAsia" w:asciiTheme="minorEastAsia" w:hAnsiTheme="minorEastAsia" w:eastAsiaTheme="minorEastAsia" w:cstheme="minorEastAsia"/>
                <w:color w:val="auto"/>
                <w:sz w:val="24"/>
                <w:szCs w:val="24"/>
                <w:highlight w:val="none"/>
                <w:u w:val="none"/>
                <w:lang w:eastAsia="zh-CN"/>
              </w:rPr>
              <w:t>、</w:t>
            </w:r>
            <w:r>
              <w:rPr>
                <w:rFonts w:hint="eastAsia" w:asciiTheme="minorEastAsia" w:hAnsiTheme="minorEastAsia" w:eastAsiaTheme="minorEastAsia" w:cstheme="minorEastAsia"/>
                <w:color w:val="auto"/>
                <w:sz w:val="24"/>
                <w:szCs w:val="24"/>
                <w:highlight w:val="none"/>
                <w:u w:val="none"/>
              </w:rPr>
              <w:t>投入安全管理巡查工作的人员</w:t>
            </w:r>
            <w:r>
              <w:rPr>
                <w:rFonts w:hint="eastAsia" w:asciiTheme="minorEastAsia" w:hAnsiTheme="minorEastAsia" w:eastAsiaTheme="minorEastAsia" w:cstheme="minorEastAsia"/>
                <w:color w:val="auto"/>
                <w:sz w:val="24"/>
                <w:szCs w:val="24"/>
                <w:highlight w:val="none"/>
                <w:u w:val="none"/>
                <w:lang w:eastAsia="zh-CN"/>
              </w:rPr>
              <w:t>（</w:t>
            </w:r>
            <w:r>
              <w:rPr>
                <w:rFonts w:hint="eastAsia" w:asciiTheme="minorEastAsia" w:hAnsiTheme="minorEastAsia" w:eastAsiaTheme="minorEastAsia" w:cstheme="minorEastAsia"/>
                <w:color w:val="auto"/>
                <w:sz w:val="24"/>
                <w:szCs w:val="24"/>
                <w:highlight w:val="none"/>
                <w:u w:val="none"/>
              </w:rPr>
              <w:t>车辆</w:t>
            </w:r>
            <w:r>
              <w:rPr>
                <w:rFonts w:hint="eastAsia" w:asciiTheme="minorEastAsia" w:hAnsiTheme="minorEastAsia" w:eastAsiaTheme="minorEastAsia" w:cstheme="minorEastAsia"/>
                <w:color w:val="auto"/>
                <w:sz w:val="24"/>
                <w:szCs w:val="24"/>
                <w:highlight w:val="none"/>
                <w:u w:val="none"/>
                <w:lang w:eastAsia="zh-CN"/>
              </w:rPr>
              <w:t>）、</w:t>
            </w:r>
            <w:r>
              <w:rPr>
                <w:rFonts w:hint="eastAsia" w:asciiTheme="minorEastAsia" w:hAnsiTheme="minorEastAsia" w:eastAsiaTheme="minorEastAsia" w:cstheme="minorEastAsia"/>
                <w:color w:val="auto"/>
                <w:sz w:val="24"/>
                <w:szCs w:val="24"/>
                <w:highlight w:val="none"/>
                <w:u w:val="none"/>
              </w:rPr>
              <w:t>对安全管理巡查提出合理性建议。</w:t>
            </w:r>
          </w:p>
          <w:p w14:paraId="3748E0F5">
            <w:pPr>
              <w:keepNext w:val="0"/>
              <w:keepLines w:val="0"/>
              <w:pageBreakBefore w:val="0"/>
              <w:suppressLineNumbers w:val="0"/>
              <w:kinsoku/>
              <w:overflowPunct/>
              <w:topLinePunct w:val="0"/>
              <w:bidi w:val="0"/>
              <w:adjustRightInd/>
              <w:snapToGrid/>
              <w:spacing w:before="0" w:beforeAutospacing="0" w:after="0" w:afterAutospacing="0" w:line="400" w:lineRule="exact"/>
              <w:ind w:left="0" w:leftChars="0" w:right="0" w:rightChars="0" w:firstLine="0" w:firstLineChars="0"/>
              <w:jc w:val="both"/>
              <w:outlineLvl w:val="9"/>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lang w:val="en-US"/>
              </w:rPr>
              <w:t>4</w:t>
            </w:r>
            <w:r>
              <w:rPr>
                <w:rFonts w:hint="eastAsia" w:asciiTheme="minorEastAsia" w:hAnsiTheme="minorEastAsia" w:eastAsiaTheme="minorEastAsia" w:cstheme="minorEastAsia"/>
                <w:color w:val="auto"/>
                <w:sz w:val="24"/>
                <w:szCs w:val="24"/>
                <w:highlight w:val="none"/>
                <w:u w:val="none"/>
                <w:lang w:val="en-US" w:eastAsia="zh-CN"/>
              </w:rPr>
              <w:t>、</w:t>
            </w:r>
            <w:r>
              <w:rPr>
                <w:rFonts w:hint="eastAsia" w:asciiTheme="minorEastAsia" w:hAnsiTheme="minorEastAsia" w:eastAsiaTheme="minorEastAsia" w:cstheme="minorEastAsia"/>
                <w:color w:val="auto"/>
                <w:sz w:val="24"/>
                <w:szCs w:val="24"/>
                <w:highlight w:val="none"/>
                <w:u w:val="none"/>
              </w:rPr>
              <w:t>针对自然灾害（台风、暴雨）、</w:t>
            </w:r>
            <w:r>
              <w:rPr>
                <w:rFonts w:hint="eastAsia" w:asciiTheme="minorEastAsia" w:hAnsiTheme="minorEastAsia" w:eastAsiaTheme="minorEastAsia" w:cstheme="minorEastAsia"/>
                <w:color w:val="auto"/>
                <w:sz w:val="24"/>
                <w:szCs w:val="24"/>
                <w:highlight w:val="none"/>
                <w:u w:val="none"/>
                <w:lang w:val="en-US" w:eastAsia="zh-CN"/>
              </w:rPr>
              <w:t>森林</w:t>
            </w:r>
            <w:r>
              <w:rPr>
                <w:rFonts w:hint="eastAsia" w:asciiTheme="minorEastAsia" w:hAnsiTheme="minorEastAsia" w:eastAsiaTheme="minorEastAsia" w:cstheme="minorEastAsia"/>
                <w:color w:val="auto"/>
                <w:sz w:val="24"/>
                <w:szCs w:val="24"/>
                <w:highlight w:val="none"/>
                <w:u w:val="none"/>
              </w:rPr>
              <w:t>火灾</w:t>
            </w:r>
            <w:r>
              <w:rPr>
                <w:rFonts w:hint="eastAsia" w:asciiTheme="minorEastAsia" w:hAnsiTheme="minorEastAsia" w:eastAsiaTheme="minorEastAsia" w:cstheme="minorEastAsia"/>
                <w:color w:val="auto"/>
                <w:sz w:val="24"/>
                <w:szCs w:val="24"/>
                <w:highlight w:val="none"/>
                <w:u w:val="none"/>
                <w:lang w:eastAsia="zh-CN"/>
              </w:rPr>
              <w:t>、</w:t>
            </w:r>
            <w:r>
              <w:rPr>
                <w:rFonts w:hint="eastAsia" w:asciiTheme="minorEastAsia" w:hAnsiTheme="minorEastAsia" w:eastAsiaTheme="minorEastAsia" w:cstheme="minorEastAsia"/>
                <w:color w:val="auto"/>
                <w:sz w:val="24"/>
                <w:szCs w:val="24"/>
                <w:highlight w:val="none"/>
                <w:u w:val="none"/>
                <w:lang w:val="en-US" w:eastAsia="zh-CN"/>
              </w:rPr>
              <w:t>维稳、处突</w:t>
            </w:r>
            <w:r>
              <w:rPr>
                <w:rFonts w:hint="eastAsia" w:asciiTheme="minorEastAsia" w:hAnsiTheme="minorEastAsia" w:eastAsiaTheme="minorEastAsia" w:cstheme="minorEastAsia"/>
                <w:color w:val="auto"/>
                <w:sz w:val="24"/>
                <w:szCs w:val="24"/>
                <w:highlight w:val="none"/>
                <w:u w:val="none"/>
              </w:rPr>
              <w:t>以及大型活动、重大节日等特殊情况，制定应急预案，包括但不限于传达机制、人员设备配备和责任分工。</w:t>
            </w:r>
          </w:p>
          <w:p w14:paraId="5096FD94">
            <w:pPr>
              <w:keepNext w:val="0"/>
              <w:keepLines w:val="0"/>
              <w:pageBreakBefore w:val="0"/>
              <w:suppressLineNumbers w:val="0"/>
              <w:kinsoku/>
              <w:overflowPunct/>
              <w:topLinePunct w:val="0"/>
              <w:bidi w:val="0"/>
              <w:adjustRightInd/>
              <w:snapToGrid/>
              <w:spacing w:before="0" w:beforeAutospacing="0" w:after="0" w:afterAutospacing="0" w:line="400" w:lineRule="exact"/>
              <w:ind w:left="0" w:leftChars="0" w:right="0" w:rightChars="0" w:firstLine="0" w:firstLineChars="0"/>
              <w:jc w:val="both"/>
              <w:outlineLvl w:val="9"/>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lang w:eastAsia="zh-CN"/>
              </w:rPr>
              <w:t>（二）评分依据：</w:t>
            </w:r>
            <w:r>
              <w:rPr>
                <w:rFonts w:hint="eastAsia" w:asciiTheme="minorEastAsia" w:hAnsiTheme="minorEastAsia" w:eastAsiaTheme="minorEastAsia" w:cstheme="minorEastAsia"/>
                <w:color w:val="auto"/>
                <w:sz w:val="24"/>
                <w:szCs w:val="24"/>
                <w:highlight w:val="none"/>
                <w:u w:val="none"/>
              </w:rPr>
              <w:t xml:space="preserve"> </w:t>
            </w:r>
          </w:p>
          <w:p w14:paraId="571FFDEE">
            <w:pPr>
              <w:keepNext w:val="0"/>
              <w:keepLines w:val="0"/>
              <w:pageBreakBefore w:val="0"/>
              <w:suppressLineNumbers w:val="0"/>
              <w:kinsoku/>
              <w:overflowPunct/>
              <w:topLinePunct w:val="0"/>
              <w:bidi w:val="0"/>
              <w:adjustRightInd/>
              <w:snapToGrid/>
              <w:spacing w:before="0" w:beforeAutospacing="0" w:after="0" w:afterAutospacing="0" w:line="400" w:lineRule="exact"/>
              <w:ind w:left="0" w:leftChars="0" w:right="0" w:rightChars="0" w:firstLine="0" w:firstLineChars="0"/>
              <w:jc w:val="both"/>
              <w:outlineLvl w:val="9"/>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rPr>
              <w:t>1、方案内容包含上述1项的得</w:t>
            </w:r>
            <w:r>
              <w:rPr>
                <w:rFonts w:hint="default" w:asciiTheme="minorEastAsia" w:hAnsiTheme="minorEastAsia" w:eastAsiaTheme="minorEastAsia" w:cstheme="minorEastAsia"/>
                <w:color w:val="auto"/>
                <w:sz w:val="24"/>
                <w:szCs w:val="24"/>
                <w:highlight w:val="none"/>
                <w:u w:val="none"/>
                <w:lang w:val="en-US"/>
              </w:rPr>
              <w:t>20</w:t>
            </w:r>
            <w:r>
              <w:rPr>
                <w:rFonts w:hint="eastAsia" w:asciiTheme="minorEastAsia" w:hAnsiTheme="minorEastAsia" w:eastAsiaTheme="minorEastAsia" w:cstheme="minorEastAsia"/>
                <w:color w:val="auto"/>
                <w:sz w:val="24"/>
                <w:szCs w:val="24"/>
                <w:highlight w:val="none"/>
                <w:u w:val="none"/>
                <w:lang w:val="en-US" w:eastAsia="zh-CN"/>
              </w:rPr>
              <w:t>分</w:t>
            </w:r>
            <w:r>
              <w:rPr>
                <w:rFonts w:hint="eastAsia" w:asciiTheme="minorEastAsia" w:hAnsiTheme="minorEastAsia" w:eastAsiaTheme="minorEastAsia" w:cstheme="minorEastAsia"/>
                <w:color w:val="auto"/>
                <w:sz w:val="24"/>
                <w:szCs w:val="24"/>
                <w:highlight w:val="none"/>
                <w:u w:val="none"/>
              </w:rPr>
              <w:t>，最高得</w:t>
            </w:r>
            <w:r>
              <w:rPr>
                <w:rFonts w:hint="default" w:asciiTheme="minorEastAsia" w:hAnsiTheme="minorEastAsia" w:eastAsiaTheme="minorEastAsia" w:cstheme="minorEastAsia"/>
                <w:color w:val="auto"/>
                <w:sz w:val="24"/>
                <w:szCs w:val="24"/>
                <w:highlight w:val="none"/>
                <w:u w:val="none"/>
                <w:lang w:val="en-US"/>
              </w:rPr>
              <w:t>8</w:t>
            </w:r>
            <w:r>
              <w:rPr>
                <w:rFonts w:hint="eastAsia" w:asciiTheme="minorEastAsia" w:hAnsiTheme="minorEastAsia" w:eastAsiaTheme="minorEastAsia" w:cstheme="minorEastAsia"/>
                <w:color w:val="auto"/>
                <w:sz w:val="24"/>
                <w:szCs w:val="24"/>
                <w:highlight w:val="none"/>
                <w:u w:val="none"/>
              </w:rPr>
              <w:t>0</w:t>
            </w:r>
            <w:r>
              <w:rPr>
                <w:rFonts w:hint="eastAsia" w:asciiTheme="minorEastAsia" w:hAnsiTheme="minorEastAsia" w:eastAsiaTheme="minorEastAsia" w:cstheme="minorEastAsia"/>
                <w:color w:val="auto"/>
                <w:sz w:val="24"/>
                <w:szCs w:val="24"/>
                <w:highlight w:val="none"/>
                <w:u w:val="none"/>
                <w:lang w:val="en-US" w:eastAsia="zh-CN"/>
              </w:rPr>
              <w:t>分</w:t>
            </w:r>
            <w:r>
              <w:rPr>
                <w:rFonts w:hint="eastAsia" w:asciiTheme="minorEastAsia" w:hAnsiTheme="minorEastAsia" w:eastAsiaTheme="minorEastAsia" w:cstheme="minorEastAsia"/>
                <w:color w:val="auto"/>
                <w:sz w:val="24"/>
                <w:szCs w:val="24"/>
                <w:highlight w:val="none"/>
                <w:u w:val="none"/>
              </w:rPr>
              <w:t xml:space="preserve">； </w:t>
            </w:r>
          </w:p>
          <w:p w14:paraId="2B4059BF">
            <w:pPr>
              <w:keepNext w:val="0"/>
              <w:keepLines w:val="0"/>
              <w:pageBreakBefore w:val="0"/>
              <w:suppressLineNumbers w:val="0"/>
              <w:kinsoku/>
              <w:overflowPunct/>
              <w:topLinePunct w:val="0"/>
              <w:bidi w:val="0"/>
              <w:adjustRightInd/>
              <w:snapToGrid/>
              <w:spacing w:before="0" w:beforeAutospacing="0" w:after="0" w:afterAutospacing="0" w:line="400" w:lineRule="exact"/>
              <w:ind w:left="0" w:leftChars="0" w:right="0" w:rightChars="0" w:firstLine="0" w:firstLineChars="0"/>
              <w:jc w:val="both"/>
              <w:outlineLvl w:val="9"/>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rPr>
              <w:t>2、在第1点基础上，专家根据各供应商的具体响应内容按照</w:t>
            </w:r>
            <w:r>
              <w:rPr>
                <w:rFonts w:hint="eastAsia" w:asciiTheme="minorEastAsia" w:hAnsiTheme="minorEastAsia" w:eastAsiaTheme="minorEastAsia" w:cstheme="minorEastAsia"/>
                <w:color w:val="auto"/>
                <w:sz w:val="24"/>
                <w:szCs w:val="24"/>
                <w:highlight w:val="none"/>
                <w:u w:val="none"/>
                <w:lang w:eastAsia="zh-CN"/>
              </w:rPr>
              <w:t>以下</w:t>
            </w:r>
            <w:r>
              <w:rPr>
                <w:rFonts w:hint="eastAsia" w:asciiTheme="minorEastAsia" w:hAnsiTheme="minorEastAsia" w:eastAsiaTheme="minorEastAsia" w:cstheme="minorEastAsia"/>
                <w:color w:val="auto"/>
                <w:sz w:val="24"/>
                <w:szCs w:val="24"/>
                <w:highlight w:val="none"/>
                <w:u w:val="none"/>
              </w:rPr>
              <w:t>的评审因素指标进一步评审</w:t>
            </w:r>
            <w:r>
              <w:rPr>
                <w:rFonts w:hint="eastAsia" w:asciiTheme="minorEastAsia" w:hAnsiTheme="minorEastAsia" w:eastAsiaTheme="minorEastAsia" w:cstheme="minorEastAsia"/>
                <w:color w:val="auto"/>
                <w:sz w:val="24"/>
                <w:szCs w:val="24"/>
                <w:highlight w:val="none"/>
                <w:u w:val="none"/>
                <w:lang w:eastAsia="zh-CN"/>
              </w:rPr>
              <w:t>，</w:t>
            </w:r>
            <w:r>
              <w:rPr>
                <w:rFonts w:hint="eastAsia" w:asciiTheme="minorEastAsia" w:hAnsiTheme="minorEastAsia" w:eastAsiaTheme="minorEastAsia" w:cstheme="minorEastAsia"/>
                <w:color w:val="auto"/>
                <w:sz w:val="24"/>
                <w:szCs w:val="24"/>
                <w:highlight w:val="none"/>
                <w:u w:val="none"/>
              </w:rPr>
              <w:t>每体现</w:t>
            </w:r>
            <w:r>
              <w:rPr>
                <w:rFonts w:hint="eastAsia" w:asciiTheme="minorEastAsia" w:hAnsiTheme="minorEastAsia" w:eastAsiaTheme="minorEastAsia" w:cstheme="minorEastAsia"/>
                <w:color w:val="auto"/>
                <w:sz w:val="24"/>
                <w:szCs w:val="24"/>
                <w:highlight w:val="none"/>
                <w:u w:val="none"/>
                <w:lang w:val="en-US" w:eastAsia="zh-CN"/>
              </w:rPr>
              <w:t>下</w:t>
            </w:r>
            <w:r>
              <w:rPr>
                <w:rFonts w:hint="eastAsia" w:asciiTheme="minorEastAsia" w:hAnsiTheme="minorEastAsia" w:eastAsiaTheme="minorEastAsia" w:cstheme="minorEastAsia"/>
                <w:color w:val="auto"/>
                <w:sz w:val="24"/>
                <w:szCs w:val="24"/>
                <w:highlight w:val="none"/>
                <w:u w:val="none"/>
              </w:rPr>
              <w:t>述一点内容的加</w:t>
            </w:r>
            <w:r>
              <w:rPr>
                <w:rFonts w:hint="default" w:asciiTheme="minorEastAsia" w:hAnsiTheme="minorEastAsia" w:eastAsiaTheme="minorEastAsia" w:cstheme="minorEastAsia"/>
                <w:color w:val="auto"/>
                <w:sz w:val="24"/>
                <w:szCs w:val="24"/>
                <w:highlight w:val="none"/>
                <w:u w:val="none"/>
                <w:lang w:val="en-US"/>
              </w:rPr>
              <w:t>5</w:t>
            </w:r>
            <w:r>
              <w:rPr>
                <w:rFonts w:hint="eastAsia" w:asciiTheme="minorEastAsia" w:hAnsiTheme="minorEastAsia" w:eastAsiaTheme="minorEastAsia" w:cstheme="minorEastAsia"/>
                <w:color w:val="auto"/>
                <w:sz w:val="24"/>
                <w:szCs w:val="24"/>
                <w:highlight w:val="none"/>
                <w:u w:val="none"/>
                <w:lang w:val="en-US" w:eastAsia="zh-CN"/>
              </w:rPr>
              <w:t>分</w:t>
            </w:r>
            <w:r>
              <w:rPr>
                <w:rFonts w:hint="eastAsia" w:asciiTheme="minorEastAsia" w:hAnsiTheme="minorEastAsia" w:eastAsiaTheme="minorEastAsia" w:cstheme="minorEastAsia"/>
                <w:color w:val="auto"/>
                <w:sz w:val="24"/>
                <w:szCs w:val="24"/>
                <w:highlight w:val="none"/>
                <w:u w:val="none"/>
              </w:rPr>
              <w:t>，</w:t>
            </w:r>
            <w:r>
              <w:rPr>
                <w:rFonts w:hint="eastAsia" w:asciiTheme="minorEastAsia" w:hAnsiTheme="minorEastAsia" w:eastAsiaTheme="minorEastAsia" w:cstheme="minorEastAsia"/>
                <w:color w:val="auto"/>
                <w:sz w:val="24"/>
                <w:szCs w:val="24"/>
                <w:highlight w:val="none"/>
                <w:u w:val="none"/>
                <w:lang w:val="en-US" w:eastAsia="zh-CN"/>
              </w:rPr>
              <w:t>最高</w:t>
            </w:r>
            <w:r>
              <w:rPr>
                <w:rFonts w:hint="eastAsia" w:asciiTheme="minorEastAsia" w:hAnsiTheme="minorEastAsia" w:eastAsiaTheme="minorEastAsia" w:cstheme="minorEastAsia"/>
                <w:color w:val="auto"/>
                <w:sz w:val="24"/>
                <w:szCs w:val="24"/>
                <w:highlight w:val="none"/>
                <w:u w:val="none"/>
              </w:rPr>
              <w:t>加</w:t>
            </w:r>
            <w:r>
              <w:rPr>
                <w:rFonts w:hint="default" w:asciiTheme="minorEastAsia" w:hAnsiTheme="minorEastAsia" w:eastAsiaTheme="minorEastAsia" w:cstheme="minorEastAsia"/>
                <w:color w:val="auto"/>
                <w:sz w:val="24"/>
                <w:szCs w:val="24"/>
                <w:highlight w:val="none"/>
                <w:u w:val="none"/>
                <w:lang w:val="en-US"/>
              </w:rPr>
              <w:t>2</w:t>
            </w:r>
            <w:r>
              <w:rPr>
                <w:rFonts w:hint="eastAsia" w:asciiTheme="minorEastAsia" w:hAnsiTheme="minorEastAsia" w:eastAsiaTheme="minorEastAsia" w:cstheme="minorEastAsia"/>
                <w:color w:val="auto"/>
                <w:sz w:val="24"/>
                <w:szCs w:val="24"/>
                <w:highlight w:val="none"/>
                <w:u w:val="none"/>
              </w:rPr>
              <w:t>0</w:t>
            </w:r>
            <w:r>
              <w:rPr>
                <w:rFonts w:hint="eastAsia" w:asciiTheme="minorEastAsia" w:hAnsiTheme="minorEastAsia" w:eastAsiaTheme="minorEastAsia" w:cstheme="minorEastAsia"/>
                <w:color w:val="auto"/>
                <w:sz w:val="24"/>
                <w:szCs w:val="24"/>
                <w:highlight w:val="none"/>
                <w:u w:val="none"/>
                <w:lang w:val="en-US" w:eastAsia="zh-CN"/>
              </w:rPr>
              <w:t>分</w:t>
            </w:r>
            <w:r>
              <w:rPr>
                <w:rFonts w:hint="eastAsia" w:asciiTheme="minorEastAsia" w:hAnsiTheme="minorEastAsia" w:eastAsiaTheme="minorEastAsia" w:cstheme="minorEastAsia"/>
                <w:color w:val="auto"/>
                <w:sz w:val="24"/>
                <w:szCs w:val="24"/>
                <w:highlight w:val="none"/>
                <w:u w:val="none"/>
              </w:rPr>
              <w:t>：</w:t>
            </w:r>
          </w:p>
          <w:p w14:paraId="4F7D98A5">
            <w:pPr>
              <w:keepNext w:val="0"/>
              <w:keepLines w:val="0"/>
              <w:pageBreakBefore w:val="0"/>
              <w:suppressLineNumbers w:val="0"/>
              <w:kinsoku/>
              <w:overflowPunct/>
              <w:topLinePunct w:val="0"/>
              <w:bidi w:val="0"/>
              <w:adjustRightInd/>
              <w:snapToGrid/>
              <w:spacing w:before="0" w:beforeAutospacing="0" w:after="0" w:afterAutospacing="0" w:line="400" w:lineRule="exact"/>
              <w:ind w:left="0" w:leftChars="0" w:right="0" w:rightChars="0" w:firstLine="0" w:firstLineChars="0"/>
              <w:jc w:val="both"/>
              <w:outlineLvl w:val="9"/>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lang w:eastAsia="zh-CN"/>
              </w:rPr>
              <w:t>（</w:t>
            </w:r>
            <w:r>
              <w:rPr>
                <w:rFonts w:hint="eastAsia" w:asciiTheme="minorEastAsia" w:hAnsiTheme="minorEastAsia" w:eastAsiaTheme="minorEastAsia" w:cstheme="minorEastAsia"/>
                <w:color w:val="auto"/>
                <w:sz w:val="24"/>
                <w:szCs w:val="24"/>
                <w:highlight w:val="none"/>
                <w:u w:val="none"/>
                <w:lang w:val="en-US" w:eastAsia="zh-CN"/>
              </w:rPr>
              <w:t>1</w:t>
            </w:r>
            <w:r>
              <w:rPr>
                <w:rFonts w:hint="eastAsia" w:asciiTheme="minorEastAsia" w:hAnsiTheme="minorEastAsia" w:eastAsiaTheme="minorEastAsia" w:cstheme="minorEastAsia"/>
                <w:color w:val="auto"/>
                <w:sz w:val="24"/>
                <w:szCs w:val="24"/>
                <w:highlight w:val="none"/>
                <w:u w:val="none"/>
                <w:lang w:eastAsia="zh-CN"/>
              </w:rPr>
              <w:t>）</w:t>
            </w:r>
            <w:r>
              <w:rPr>
                <w:rFonts w:hint="eastAsia" w:asciiTheme="minorEastAsia" w:hAnsiTheme="minorEastAsia" w:eastAsiaTheme="minorEastAsia" w:cstheme="minorEastAsia"/>
                <w:color w:val="auto"/>
                <w:sz w:val="24"/>
                <w:szCs w:val="24"/>
                <w:highlight w:val="none"/>
                <w:u w:val="none"/>
              </w:rPr>
              <w:t>规章制度、档案管理制度及各项服务内容的保障措施要有具体的人员安排和明确的工作分工；</w:t>
            </w:r>
          </w:p>
          <w:p w14:paraId="06ABBE15">
            <w:pPr>
              <w:keepNext w:val="0"/>
              <w:keepLines w:val="0"/>
              <w:pageBreakBefore w:val="0"/>
              <w:suppressLineNumbers w:val="0"/>
              <w:kinsoku/>
              <w:overflowPunct/>
              <w:topLinePunct w:val="0"/>
              <w:bidi w:val="0"/>
              <w:adjustRightInd/>
              <w:snapToGrid/>
              <w:spacing w:before="0" w:beforeAutospacing="0" w:after="0" w:afterAutospacing="0" w:line="400" w:lineRule="exact"/>
              <w:ind w:left="0" w:leftChars="0" w:right="0" w:rightChars="0" w:firstLine="0" w:firstLineChars="0"/>
              <w:jc w:val="both"/>
              <w:outlineLvl w:val="9"/>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lang w:eastAsia="zh-CN"/>
              </w:rPr>
              <w:t>（</w:t>
            </w:r>
            <w:r>
              <w:rPr>
                <w:rFonts w:hint="eastAsia" w:asciiTheme="minorEastAsia" w:hAnsiTheme="minorEastAsia" w:eastAsiaTheme="minorEastAsia" w:cstheme="minorEastAsia"/>
                <w:color w:val="auto"/>
                <w:sz w:val="24"/>
                <w:szCs w:val="24"/>
                <w:highlight w:val="none"/>
                <w:u w:val="none"/>
                <w:lang w:val="en-US" w:eastAsia="zh-CN"/>
              </w:rPr>
              <w:t>2</w:t>
            </w:r>
            <w:r>
              <w:rPr>
                <w:rFonts w:hint="eastAsia" w:asciiTheme="minorEastAsia" w:hAnsiTheme="minorEastAsia" w:eastAsiaTheme="minorEastAsia" w:cstheme="minorEastAsia"/>
                <w:color w:val="auto"/>
                <w:sz w:val="24"/>
                <w:szCs w:val="24"/>
                <w:highlight w:val="none"/>
                <w:u w:val="none"/>
                <w:lang w:eastAsia="zh-CN"/>
              </w:rPr>
              <w:t>）</w:t>
            </w:r>
            <w:r>
              <w:rPr>
                <w:rFonts w:hint="eastAsia" w:asciiTheme="minorEastAsia" w:hAnsiTheme="minorEastAsia" w:eastAsiaTheme="minorEastAsia" w:cstheme="minorEastAsia"/>
                <w:color w:val="auto"/>
                <w:sz w:val="24"/>
                <w:szCs w:val="24"/>
                <w:highlight w:val="none"/>
                <w:u w:val="none"/>
              </w:rPr>
              <w:t>工作报告机制要有固定的对接人员和报告响应时间等内容；</w:t>
            </w:r>
          </w:p>
          <w:p w14:paraId="6964B8BE">
            <w:pPr>
              <w:keepNext w:val="0"/>
              <w:keepLines w:val="0"/>
              <w:pageBreakBefore w:val="0"/>
              <w:suppressLineNumbers w:val="0"/>
              <w:kinsoku/>
              <w:overflowPunct/>
              <w:topLinePunct w:val="0"/>
              <w:bidi w:val="0"/>
              <w:adjustRightInd/>
              <w:snapToGrid/>
              <w:spacing w:before="0" w:beforeAutospacing="0" w:after="0" w:afterAutospacing="0" w:line="400" w:lineRule="exact"/>
              <w:ind w:left="0" w:leftChars="0" w:right="0" w:rightChars="0" w:firstLine="0" w:firstLineChars="0"/>
              <w:jc w:val="both"/>
              <w:outlineLvl w:val="9"/>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lang w:eastAsia="zh-CN"/>
              </w:rPr>
              <w:t>（</w:t>
            </w:r>
            <w:r>
              <w:rPr>
                <w:rFonts w:hint="eastAsia" w:asciiTheme="minorEastAsia" w:hAnsiTheme="minorEastAsia" w:eastAsiaTheme="minorEastAsia" w:cstheme="minorEastAsia"/>
                <w:color w:val="auto"/>
                <w:sz w:val="24"/>
                <w:szCs w:val="24"/>
                <w:highlight w:val="none"/>
                <w:u w:val="none"/>
                <w:lang w:val="en-US" w:eastAsia="zh-CN"/>
              </w:rPr>
              <w:t>3</w:t>
            </w:r>
            <w:r>
              <w:rPr>
                <w:rFonts w:hint="eastAsia" w:asciiTheme="minorEastAsia" w:hAnsiTheme="minorEastAsia" w:eastAsiaTheme="minorEastAsia" w:cstheme="minorEastAsia"/>
                <w:color w:val="auto"/>
                <w:sz w:val="24"/>
                <w:szCs w:val="24"/>
                <w:highlight w:val="none"/>
                <w:u w:val="none"/>
                <w:lang w:eastAsia="zh-CN"/>
              </w:rPr>
              <w:t>）</w:t>
            </w:r>
            <w:r>
              <w:rPr>
                <w:rFonts w:hint="eastAsia" w:asciiTheme="minorEastAsia" w:hAnsiTheme="minorEastAsia" w:eastAsiaTheme="minorEastAsia" w:cstheme="minorEastAsia"/>
                <w:color w:val="auto"/>
                <w:sz w:val="24"/>
                <w:szCs w:val="24"/>
                <w:highlight w:val="none"/>
                <w:u w:val="none"/>
              </w:rPr>
              <w:t>质量安全管理巡查方案要有具体的人员安排、设备配置和相关建议</w:t>
            </w:r>
          </w:p>
          <w:p w14:paraId="359BFF3D">
            <w:pPr>
              <w:keepNext w:val="0"/>
              <w:keepLines w:val="0"/>
              <w:pageBreakBefore w:val="0"/>
              <w:suppressLineNumbers w:val="0"/>
              <w:kinsoku/>
              <w:overflowPunct/>
              <w:topLinePunct w:val="0"/>
              <w:bidi w:val="0"/>
              <w:adjustRightInd/>
              <w:snapToGrid/>
              <w:spacing w:before="0" w:beforeAutospacing="0" w:after="0" w:afterAutospacing="0" w:line="400" w:lineRule="exact"/>
              <w:ind w:left="0" w:leftChars="0" w:right="0" w:rightChars="0" w:firstLine="0" w:firstLineChars="0"/>
              <w:jc w:val="both"/>
              <w:outlineLvl w:val="9"/>
              <w:rPr>
                <w:rFonts w:hint="eastAsia" w:asciiTheme="minorEastAsia" w:hAnsiTheme="minorEastAsia" w:eastAsiaTheme="minorEastAsia" w:cstheme="minorEastAsia"/>
                <w:color w:val="auto"/>
                <w:kern w:val="2"/>
                <w:sz w:val="24"/>
                <w:szCs w:val="24"/>
                <w:highlight w:val="none"/>
                <w:u w:val="none"/>
                <w:lang w:val="en-US" w:eastAsia="zh-CN" w:bidi="ar-SA"/>
              </w:rPr>
            </w:pPr>
            <w:r>
              <w:rPr>
                <w:rFonts w:hint="eastAsia" w:asciiTheme="minorEastAsia" w:hAnsiTheme="minorEastAsia" w:eastAsiaTheme="minorEastAsia" w:cstheme="minorEastAsia"/>
                <w:color w:val="auto"/>
                <w:sz w:val="24"/>
                <w:szCs w:val="24"/>
                <w:highlight w:val="none"/>
                <w:u w:val="none"/>
                <w:lang w:eastAsia="zh-CN"/>
              </w:rPr>
              <w:t>（</w:t>
            </w:r>
            <w:r>
              <w:rPr>
                <w:rFonts w:hint="eastAsia" w:asciiTheme="minorEastAsia" w:hAnsiTheme="minorEastAsia" w:eastAsiaTheme="minorEastAsia" w:cstheme="minorEastAsia"/>
                <w:color w:val="auto"/>
                <w:sz w:val="24"/>
                <w:szCs w:val="24"/>
                <w:highlight w:val="none"/>
                <w:u w:val="none"/>
                <w:lang w:val="en-US" w:eastAsia="zh-CN"/>
              </w:rPr>
              <w:t>4</w:t>
            </w:r>
            <w:r>
              <w:rPr>
                <w:rFonts w:hint="eastAsia" w:asciiTheme="minorEastAsia" w:hAnsiTheme="minorEastAsia" w:eastAsiaTheme="minorEastAsia" w:cstheme="minorEastAsia"/>
                <w:color w:val="auto"/>
                <w:sz w:val="24"/>
                <w:szCs w:val="24"/>
                <w:highlight w:val="none"/>
                <w:u w:val="none"/>
                <w:lang w:eastAsia="zh-CN"/>
              </w:rPr>
              <w:t>）</w:t>
            </w:r>
            <w:r>
              <w:rPr>
                <w:rFonts w:hint="eastAsia" w:asciiTheme="minorEastAsia" w:hAnsiTheme="minorEastAsia" w:eastAsiaTheme="minorEastAsia" w:cstheme="minorEastAsia"/>
                <w:color w:val="auto"/>
                <w:sz w:val="24"/>
                <w:szCs w:val="24"/>
                <w:highlight w:val="none"/>
                <w:u w:val="none"/>
              </w:rPr>
              <w:t>应急预案要有量化的处理响应时间、应急人员安排分工、设备配置和具体的应对措施等内容；</w:t>
            </w:r>
          </w:p>
        </w:tc>
      </w:tr>
      <w:tr w14:paraId="3BA7B66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0" w:type="dxa"/>
            <w:vMerge w:val="continue"/>
            <w:tcBorders>
              <w:left w:val="single" w:color="000000" w:sz="8" w:space="0"/>
              <w:right w:val="single" w:color="000000" w:sz="8" w:space="0"/>
            </w:tcBorders>
            <w:vAlign w:val="center"/>
          </w:tcPr>
          <w:p w14:paraId="069D3B02">
            <w:pPr>
              <w:rPr>
                <w:rFonts w:ascii="宋体" w:hAnsi="宋体" w:cs="宋体"/>
                <w:b/>
                <w:bCs/>
                <w:color w:val="0000FF"/>
                <w:sz w:val="24"/>
              </w:rPr>
            </w:pPr>
          </w:p>
        </w:tc>
        <w:tc>
          <w:tcPr>
            <w:tcW w:w="680" w:type="dxa"/>
            <w:tcBorders>
              <w:top w:val="single" w:color="000000" w:sz="8" w:space="0"/>
              <w:left w:val="single" w:color="000000" w:sz="8" w:space="0"/>
              <w:bottom w:val="single" w:color="000000" w:sz="8" w:space="0"/>
              <w:right w:val="single" w:color="000000" w:sz="8" w:space="0"/>
            </w:tcBorders>
            <w:vAlign w:val="center"/>
          </w:tcPr>
          <w:p w14:paraId="4EB00A1D">
            <w:pPr>
              <w:wordWrap w:val="0"/>
              <w:jc w:val="center"/>
              <w:rPr>
                <w:rFonts w:hint="eastAsia" w:ascii="宋体" w:hAnsi="宋体" w:eastAsia="宋体" w:cs="宋体"/>
                <w:szCs w:val="21"/>
                <w:lang w:val="en-US" w:eastAsia="zh-CN"/>
              </w:rPr>
            </w:pPr>
            <w:r>
              <w:rPr>
                <w:rFonts w:hint="eastAsia" w:ascii="宋体" w:hAnsi="宋体" w:cs="宋体"/>
                <w:szCs w:val="21"/>
                <w:lang w:val="en-US" w:eastAsia="zh-CN"/>
              </w:rPr>
              <w:t>3</w:t>
            </w:r>
          </w:p>
        </w:tc>
        <w:tc>
          <w:tcPr>
            <w:tcW w:w="283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6E24AB7">
            <w:pPr>
              <w:keepNext w:val="0"/>
              <w:keepLines w:val="0"/>
              <w:pageBreakBefore w:val="0"/>
              <w:suppressLineNumbers w:val="0"/>
              <w:kinsoku/>
              <w:overflowPunct/>
              <w:topLinePunct w:val="0"/>
              <w:bidi w:val="0"/>
              <w:adjustRightInd/>
              <w:snapToGrid/>
              <w:spacing w:before="0" w:beforeAutospacing="0" w:after="0" w:afterAutospacing="0" w:line="400" w:lineRule="exact"/>
              <w:ind w:left="0" w:leftChars="0" w:right="0" w:rightChars="0" w:firstLine="0" w:firstLineChars="0"/>
              <w:jc w:val="center"/>
              <w:outlineLvl w:val="9"/>
              <w:rPr>
                <w:rFonts w:hint="eastAsia" w:asciiTheme="minorEastAsia" w:hAnsiTheme="minorEastAsia" w:eastAsiaTheme="minorEastAsia" w:cstheme="minorEastAsia"/>
                <w:color w:val="auto"/>
                <w:kern w:val="2"/>
                <w:sz w:val="24"/>
                <w:szCs w:val="24"/>
                <w:highlight w:val="none"/>
                <w:u w:val="none"/>
                <w:lang w:val="en-US" w:eastAsia="zh-CN" w:bidi="ar-SA"/>
              </w:rPr>
            </w:pPr>
            <w:r>
              <w:rPr>
                <w:rFonts w:hint="eastAsia" w:asciiTheme="minorEastAsia" w:hAnsiTheme="minorEastAsia" w:eastAsiaTheme="minorEastAsia" w:cstheme="minorEastAsia"/>
                <w:b w:val="0"/>
                <w:bCs/>
                <w:color w:val="auto"/>
                <w:kern w:val="44"/>
                <w:sz w:val="24"/>
                <w:szCs w:val="24"/>
                <w:highlight w:val="none"/>
                <w:u w:val="none"/>
              </w:rPr>
              <w:t>项目重点难点分析、应对措施及相关的合理化建议</w:t>
            </w:r>
          </w:p>
        </w:tc>
        <w:tc>
          <w:tcPr>
            <w:tcW w:w="68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B867D89">
            <w:pPr>
              <w:keepNext w:val="0"/>
              <w:keepLines w:val="0"/>
              <w:pageBreakBefore w:val="0"/>
              <w:suppressLineNumbers w:val="0"/>
              <w:kinsoku/>
              <w:overflowPunct/>
              <w:topLinePunct w:val="0"/>
              <w:bidi w:val="0"/>
              <w:adjustRightInd/>
              <w:snapToGrid/>
              <w:spacing w:before="0" w:beforeAutospacing="0" w:after="0" w:afterAutospacing="0" w:line="400" w:lineRule="exact"/>
              <w:ind w:left="0" w:leftChars="0" w:right="0" w:rightChars="0" w:firstLine="0" w:firstLineChars="0"/>
              <w:jc w:val="center"/>
              <w:outlineLvl w:val="9"/>
              <w:rPr>
                <w:rFonts w:hint="eastAsia" w:asciiTheme="minorEastAsia" w:hAnsiTheme="minorEastAsia" w:eastAsiaTheme="minorEastAsia" w:cstheme="minorEastAsia"/>
                <w:color w:val="auto"/>
                <w:kern w:val="2"/>
                <w:sz w:val="24"/>
                <w:szCs w:val="24"/>
                <w:highlight w:val="none"/>
                <w:u w:val="none"/>
                <w:lang w:val="en-US" w:eastAsia="zh-CN" w:bidi="ar-SA"/>
              </w:rPr>
            </w:pPr>
            <w:r>
              <w:rPr>
                <w:rFonts w:hint="eastAsia" w:asciiTheme="minorEastAsia" w:hAnsiTheme="minorEastAsia" w:eastAsiaTheme="minorEastAsia" w:cstheme="minorEastAsia"/>
                <w:color w:val="auto"/>
                <w:sz w:val="24"/>
                <w:szCs w:val="24"/>
                <w:highlight w:val="none"/>
                <w:u w:val="none"/>
                <w:lang w:val="en-US" w:eastAsia="zh-CN"/>
              </w:rPr>
              <w:t>5</w:t>
            </w:r>
          </w:p>
        </w:tc>
        <w:tc>
          <w:tcPr>
            <w:tcW w:w="419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32A0807">
            <w:pPr>
              <w:keepNext w:val="0"/>
              <w:keepLines w:val="0"/>
              <w:pageBreakBefore w:val="0"/>
              <w:suppressLineNumbers w:val="0"/>
              <w:tabs>
                <w:tab w:val="left" w:pos="1774"/>
              </w:tabs>
              <w:kinsoku/>
              <w:overflowPunct/>
              <w:topLinePunct w:val="0"/>
              <w:bidi w:val="0"/>
              <w:adjustRightInd/>
              <w:snapToGrid/>
              <w:spacing w:before="0" w:beforeAutospacing="0" w:after="0" w:afterAutospacing="0" w:line="400" w:lineRule="exact"/>
              <w:ind w:left="0" w:leftChars="0" w:right="0" w:rightChars="0" w:firstLine="0" w:firstLineChars="0"/>
              <w:jc w:val="both"/>
              <w:outlineLvl w:val="9"/>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lang w:eastAsia="zh-CN"/>
              </w:rPr>
              <w:t>（一）评分内容：</w:t>
            </w:r>
            <w:r>
              <w:rPr>
                <w:rFonts w:hint="eastAsia" w:asciiTheme="minorEastAsia" w:hAnsiTheme="minorEastAsia" w:eastAsiaTheme="minorEastAsia" w:cstheme="minorEastAsia"/>
                <w:color w:val="auto"/>
                <w:sz w:val="24"/>
                <w:szCs w:val="24"/>
                <w:highlight w:val="none"/>
                <w:u w:val="none"/>
              </w:rPr>
              <w:t xml:space="preserve"> </w:t>
            </w:r>
          </w:p>
          <w:p w14:paraId="5CA96BAB">
            <w:pPr>
              <w:keepNext w:val="0"/>
              <w:keepLines w:val="0"/>
              <w:pageBreakBefore w:val="0"/>
              <w:suppressLineNumbers w:val="0"/>
              <w:tabs>
                <w:tab w:val="left" w:pos="1774"/>
              </w:tabs>
              <w:kinsoku/>
              <w:overflowPunct/>
              <w:topLinePunct w:val="0"/>
              <w:bidi w:val="0"/>
              <w:adjustRightInd/>
              <w:snapToGrid/>
              <w:spacing w:before="0" w:beforeAutospacing="0" w:after="0" w:afterAutospacing="0" w:line="400" w:lineRule="exact"/>
              <w:ind w:left="0" w:leftChars="0" w:right="0" w:rightChars="0" w:firstLine="0" w:firstLineChars="0"/>
              <w:jc w:val="both"/>
              <w:outlineLvl w:val="9"/>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rPr>
              <w:t>投标单位根据对本项目服务内容的现状和存在的重点、难点的理解，提供项目现状分析方案、重点与难点的分析和合理化建议，包括但不限于：</w:t>
            </w:r>
          </w:p>
          <w:p w14:paraId="60642017">
            <w:pPr>
              <w:keepNext w:val="0"/>
              <w:keepLines w:val="0"/>
              <w:pageBreakBefore w:val="0"/>
              <w:suppressLineNumbers w:val="0"/>
              <w:tabs>
                <w:tab w:val="left" w:pos="1774"/>
              </w:tabs>
              <w:kinsoku/>
              <w:overflowPunct/>
              <w:topLinePunct w:val="0"/>
              <w:bidi w:val="0"/>
              <w:adjustRightInd/>
              <w:snapToGrid/>
              <w:spacing w:before="0" w:beforeAutospacing="0" w:after="0" w:afterAutospacing="0" w:line="400" w:lineRule="exact"/>
              <w:ind w:left="0" w:leftChars="0" w:right="0" w:rightChars="0" w:firstLine="0" w:firstLineChars="0"/>
              <w:jc w:val="both"/>
              <w:outlineLvl w:val="9"/>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rPr>
              <w:t xml:space="preserve">1、对项目现状分析方案； </w:t>
            </w:r>
          </w:p>
          <w:p w14:paraId="6CBC5351">
            <w:pPr>
              <w:keepNext w:val="0"/>
              <w:keepLines w:val="0"/>
              <w:pageBreakBefore w:val="0"/>
              <w:suppressLineNumbers w:val="0"/>
              <w:tabs>
                <w:tab w:val="left" w:pos="1774"/>
              </w:tabs>
              <w:kinsoku/>
              <w:overflowPunct/>
              <w:topLinePunct w:val="0"/>
              <w:bidi w:val="0"/>
              <w:adjustRightInd/>
              <w:snapToGrid/>
              <w:spacing w:before="0" w:beforeAutospacing="0" w:after="0" w:afterAutospacing="0" w:line="400" w:lineRule="exact"/>
              <w:ind w:left="0" w:leftChars="0" w:right="0" w:rightChars="0" w:firstLine="0" w:firstLineChars="0"/>
              <w:jc w:val="both"/>
              <w:outlineLvl w:val="9"/>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rPr>
              <w:t>2、对项目重点与难点的分析；</w:t>
            </w:r>
          </w:p>
          <w:p w14:paraId="3C3B1785">
            <w:pPr>
              <w:keepNext w:val="0"/>
              <w:keepLines w:val="0"/>
              <w:pageBreakBefore w:val="0"/>
              <w:suppressLineNumbers w:val="0"/>
              <w:tabs>
                <w:tab w:val="left" w:pos="1774"/>
              </w:tabs>
              <w:kinsoku/>
              <w:overflowPunct/>
              <w:topLinePunct w:val="0"/>
              <w:bidi w:val="0"/>
              <w:adjustRightInd/>
              <w:snapToGrid/>
              <w:spacing w:before="0" w:beforeAutospacing="0" w:after="0" w:afterAutospacing="0" w:line="400" w:lineRule="exact"/>
              <w:ind w:left="0" w:leftChars="0" w:right="0" w:rightChars="0" w:firstLine="0" w:firstLineChars="0"/>
              <w:jc w:val="both"/>
              <w:outlineLvl w:val="9"/>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rPr>
              <w:t>3、提出合理化建议。</w:t>
            </w:r>
          </w:p>
          <w:p w14:paraId="5DAFFBAC">
            <w:pPr>
              <w:keepNext w:val="0"/>
              <w:keepLines w:val="0"/>
              <w:pageBreakBefore w:val="0"/>
              <w:suppressLineNumbers w:val="0"/>
              <w:tabs>
                <w:tab w:val="left" w:pos="1774"/>
              </w:tabs>
              <w:kinsoku/>
              <w:overflowPunct/>
              <w:topLinePunct w:val="0"/>
              <w:bidi w:val="0"/>
              <w:adjustRightInd/>
              <w:snapToGrid/>
              <w:spacing w:before="0" w:beforeAutospacing="0" w:after="0" w:afterAutospacing="0" w:line="400" w:lineRule="exact"/>
              <w:ind w:left="0" w:leftChars="0" w:right="0" w:rightChars="0" w:firstLine="0" w:firstLineChars="0"/>
              <w:jc w:val="both"/>
              <w:outlineLvl w:val="9"/>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lang w:eastAsia="zh-CN"/>
              </w:rPr>
              <w:t>（二）评分依据：</w:t>
            </w:r>
            <w:r>
              <w:rPr>
                <w:rFonts w:hint="eastAsia" w:asciiTheme="minorEastAsia" w:hAnsiTheme="minorEastAsia" w:eastAsiaTheme="minorEastAsia" w:cstheme="minorEastAsia"/>
                <w:color w:val="auto"/>
                <w:sz w:val="24"/>
                <w:szCs w:val="24"/>
                <w:highlight w:val="none"/>
                <w:u w:val="none"/>
              </w:rPr>
              <w:t xml:space="preserve"> </w:t>
            </w:r>
          </w:p>
          <w:p w14:paraId="4D2D8ACC">
            <w:pPr>
              <w:keepNext w:val="0"/>
              <w:keepLines w:val="0"/>
              <w:pageBreakBefore w:val="0"/>
              <w:suppressLineNumbers w:val="0"/>
              <w:tabs>
                <w:tab w:val="left" w:pos="1774"/>
              </w:tabs>
              <w:kinsoku/>
              <w:overflowPunct/>
              <w:topLinePunct w:val="0"/>
              <w:bidi w:val="0"/>
              <w:adjustRightInd/>
              <w:snapToGrid/>
              <w:spacing w:before="0" w:beforeAutospacing="0" w:after="0" w:afterAutospacing="0" w:line="400" w:lineRule="exact"/>
              <w:ind w:left="0" w:leftChars="0" w:right="0" w:rightChars="0" w:firstLine="0" w:firstLineChars="0"/>
              <w:jc w:val="both"/>
              <w:outlineLvl w:val="9"/>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rPr>
              <w:t>1、方案内容包含上述1项的得2</w:t>
            </w:r>
            <w:r>
              <w:rPr>
                <w:rFonts w:hint="default" w:asciiTheme="minorEastAsia" w:hAnsiTheme="minorEastAsia" w:eastAsiaTheme="minorEastAsia" w:cstheme="minorEastAsia"/>
                <w:color w:val="auto"/>
                <w:sz w:val="24"/>
                <w:szCs w:val="24"/>
                <w:highlight w:val="none"/>
                <w:u w:val="none"/>
                <w:lang w:val="en-US"/>
              </w:rPr>
              <w:t>7.5</w:t>
            </w:r>
            <w:r>
              <w:rPr>
                <w:rFonts w:hint="eastAsia" w:asciiTheme="minorEastAsia" w:hAnsiTheme="minorEastAsia" w:eastAsiaTheme="minorEastAsia" w:cstheme="minorEastAsia"/>
                <w:color w:val="auto"/>
                <w:sz w:val="24"/>
                <w:szCs w:val="24"/>
                <w:highlight w:val="none"/>
                <w:u w:val="none"/>
                <w:lang w:val="en-US" w:eastAsia="zh-CN"/>
              </w:rPr>
              <w:t>分</w:t>
            </w:r>
            <w:r>
              <w:rPr>
                <w:rFonts w:hint="eastAsia" w:asciiTheme="minorEastAsia" w:hAnsiTheme="minorEastAsia" w:eastAsiaTheme="minorEastAsia" w:cstheme="minorEastAsia"/>
                <w:color w:val="auto"/>
                <w:sz w:val="24"/>
                <w:szCs w:val="24"/>
                <w:highlight w:val="none"/>
                <w:u w:val="none"/>
              </w:rPr>
              <w:t>，最高得</w:t>
            </w:r>
            <w:r>
              <w:rPr>
                <w:rFonts w:hint="default" w:asciiTheme="minorEastAsia" w:hAnsiTheme="minorEastAsia" w:eastAsiaTheme="minorEastAsia" w:cstheme="minorEastAsia"/>
                <w:color w:val="auto"/>
                <w:sz w:val="24"/>
                <w:szCs w:val="24"/>
                <w:highlight w:val="none"/>
                <w:u w:val="none"/>
                <w:lang w:val="en-US"/>
              </w:rPr>
              <w:t>8</w:t>
            </w:r>
            <w:r>
              <w:rPr>
                <w:rFonts w:hint="eastAsia" w:asciiTheme="minorEastAsia" w:hAnsiTheme="minorEastAsia" w:eastAsiaTheme="minorEastAsia" w:cstheme="minorEastAsia"/>
                <w:color w:val="auto"/>
                <w:sz w:val="24"/>
                <w:szCs w:val="24"/>
                <w:highlight w:val="none"/>
                <w:u w:val="none"/>
              </w:rPr>
              <w:t>0</w:t>
            </w:r>
            <w:r>
              <w:rPr>
                <w:rFonts w:hint="eastAsia" w:asciiTheme="minorEastAsia" w:hAnsiTheme="minorEastAsia" w:eastAsiaTheme="minorEastAsia" w:cstheme="minorEastAsia"/>
                <w:color w:val="auto"/>
                <w:sz w:val="24"/>
                <w:szCs w:val="24"/>
                <w:highlight w:val="none"/>
                <w:u w:val="none"/>
                <w:lang w:val="en-US" w:eastAsia="zh-CN"/>
              </w:rPr>
              <w:t>分</w:t>
            </w:r>
            <w:r>
              <w:rPr>
                <w:rFonts w:hint="eastAsia" w:asciiTheme="minorEastAsia" w:hAnsiTheme="minorEastAsia" w:eastAsiaTheme="minorEastAsia" w:cstheme="minorEastAsia"/>
                <w:color w:val="auto"/>
                <w:sz w:val="24"/>
                <w:szCs w:val="24"/>
                <w:highlight w:val="none"/>
                <w:u w:val="none"/>
              </w:rPr>
              <w:t xml:space="preserve">； </w:t>
            </w:r>
          </w:p>
          <w:p w14:paraId="7197B327">
            <w:pPr>
              <w:keepNext w:val="0"/>
              <w:keepLines w:val="0"/>
              <w:pageBreakBefore w:val="0"/>
              <w:suppressLineNumbers w:val="0"/>
              <w:tabs>
                <w:tab w:val="left" w:pos="1774"/>
              </w:tabs>
              <w:kinsoku/>
              <w:overflowPunct/>
              <w:topLinePunct w:val="0"/>
              <w:bidi w:val="0"/>
              <w:adjustRightInd/>
              <w:snapToGrid/>
              <w:spacing w:before="0" w:beforeAutospacing="0" w:after="0" w:afterAutospacing="0" w:line="400" w:lineRule="exact"/>
              <w:ind w:left="0" w:leftChars="0" w:right="0" w:rightChars="0" w:firstLine="0" w:firstLineChars="0"/>
              <w:jc w:val="both"/>
              <w:outlineLvl w:val="9"/>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rPr>
              <w:t>2、在第1点基础上，专家根据各供应商的具体响应内容按照</w:t>
            </w:r>
            <w:r>
              <w:rPr>
                <w:rFonts w:hint="eastAsia" w:asciiTheme="minorEastAsia" w:hAnsiTheme="minorEastAsia" w:eastAsiaTheme="minorEastAsia" w:cstheme="minorEastAsia"/>
                <w:color w:val="auto"/>
                <w:sz w:val="24"/>
                <w:szCs w:val="24"/>
                <w:highlight w:val="none"/>
                <w:u w:val="none"/>
                <w:lang w:eastAsia="zh-CN"/>
              </w:rPr>
              <w:t>以下</w:t>
            </w:r>
            <w:r>
              <w:rPr>
                <w:rFonts w:hint="eastAsia" w:asciiTheme="minorEastAsia" w:hAnsiTheme="minorEastAsia" w:eastAsiaTheme="minorEastAsia" w:cstheme="minorEastAsia"/>
                <w:color w:val="auto"/>
                <w:sz w:val="24"/>
                <w:szCs w:val="24"/>
                <w:highlight w:val="none"/>
                <w:u w:val="none"/>
              </w:rPr>
              <w:t>的评审因素指标进一步评审</w:t>
            </w:r>
            <w:r>
              <w:rPr>
                <w:rFonts w:hint="eastAsia" w:asciiTheme="minorEastAsia" w:hAnsiTheme="minorEastAsia" w:eastAsiaTheme="minorEastAsia" w:cstheme="minorEastAsia"/>
                <w:color w:val="auto"/>
                <w:sz w:val="24"/>
                <w:szCs w:val="24"/>
                <w:highlight w:val="none"/>
                <w:u w:val="none"/>
                <w:lang w:eastAsia="zh-CN"/>
              </w:rPr>
              <w:t>，</w:t>
            </w:r>
            <w:r>
              <w:rPr>
                <w:rFonts w:hint="eastAsia" w:asciiTheme="minorEastAsia" w:hAnsiTheme="minorEastAsia" w:eastAsiaTheme="minorEastAsia" w:cstheme="minorEastAsia"/>
                <w:color w:val="auto"/>
                <w:sz w:val="24"/>
                <w:szCs w:val="24"/>
                <w:highlight w:val="none"/>
                <w:u w:val="none"/>
              </w:rPr>
              <w:t>每体现</w:t>
            </w:r>
            <w:r>
              <w:rPr>
                <w:rFonts w:hint="eastAsia" w:asciiTheme="minorEastAsia" w:hAnsiTheme="minorEastAsia" w:eastAsiaTheme="minorEastAsia" w:cstheme="minorEastAsia"/>
                <w:color w:val="auto"/>
                <w:sz w:val="24"/>
                <w:szCs w:val="24"/>
                <w:highlight w:val="none"/>
                <w:u w:val="none"/>
                <w:lang w:val="en-US" w:eastAsia="zh-CN"/>
              </w:rPr>
              <w:t>下</w:t>
            </w:r>
            <w:r>
              <w:rPr>
                <w:rFonts w:hint="eastAsia" w:asciiTheme="minorEastAsia" w:hAnsiTheme="minorEastAsia" w:eastAsiaTheme="minorEastAsia" w:cstheme="minorEastAsia"/>
                <w:color w:val="auto"/>
                <w:sz w:val="24"/>
                <w:szCs w:val="24"/>
                <w:highlight w:val="none"/>
                <w:u w:val="none"/>
              </w:rPr>
              <w:t>述一点内容的加</w:t>
            </w:r>
            <w:r>
              <w:rPr>
                <w:rFonts w:hint="eastAsia" w:asciiTheme="minorEastAsia" w:hAnsiTheme="minorEastAsia" w:eastAsiaTheme="minorEastAsia" w:cstheme="minorEastAsia"/>
                <w:color w:val="auto"/>
                <w:sz w:val="24"/>
                <w:szCs w:val="24"/>
                <w:highlight w:val="none"/>
                <w:u w:val="none"/>
                <w:lang w:val="en-US" w:eastAsia="zh-CN"/>
              </w:rPr>
              <w:t>10分</w:t>
            </w:r>
            <w:r>
              <w:rPr>
                <w:rFonts w:hint="eastAsia" w:asciiTheme="minorEastAsia" w:hAnsiTheme="minorEastAsia" w:eastAsiaTheme="minorEastAsia" w:cstheme="minorEastAsia"/>
                <w:color w:val="auto"/>
                <w:sz w:val="24"/>
                <w:szCs w:val="24"/>
                <w:highlight w:val="none"/>
                <w:u w:val="none"/>
              </w:rPr>
              <w:t>，</w:t>
            </w:r>
            <w:r>
              <w:rPr>
                <w:rFonts w:hint="eastAsia" w:asciiTheme="minorEastAsia" w:hAnsiTheme="minorEastAsia" w:eastAsiaTheme="minorEastAsia" w:cstheme="minorEastAsia"/>
                <w:color w:val="auto"/>
                <w:sz w:val="24"/>
                <w:szCs w:val="24"/>
                <w:highlight w:val="none"/>
                <w:u w:val="none"/>
                <w:lang w:val="en-US" w:eastAsia="zh-CN"/>
              </w:rPr>
              <w:t>最高</w:t>
            </w:r>
            <w:r>
              <w:rPr>
                <w:rFonts w:hint="eastAsia" w:asciiTheme="minorEastAsia" w:hAnsiTheme="minorEastAsia" w:eastAsiaTheme="minorEastAsia" w:cstheme="minorEastAsia"/>
                <w:color w:val="auto"/>
                <w:sz w:val="24"/>
                <w:szCs w:val="24"/>
                <w:highlight w:val="none"/>
                <w:u w:val="none"/>
              </w:rPr>
              <w:t>加</w:t>
            </w:r>
            <w:r>
              <w:rPr>
                <w:rFonts w:hint="default" w:asciiTheme="minorEastAsia" w:hAnsiTheme="minorEastAsia" w:eastAsiaTheme="minorEastAsia" w:cstheme="minorEastAsia"/>
                <w:color w:val="auto"/>
                <w:sz w:val="24"/>
                <w:szCs w:val="24"/>
                <w:highlight w:val="none"/>
                <w:u w:val="none"/>
                <w:lang w:val="en-US"/>
              </w:rPr>
              <w:t>2</w:t>
            </w:r>
            <w:r>
              <w:rPr>
                <w:rFonts w:hint="eastAsia" w:asciiTheme="minorEastAsia" w:hAnsiTheme="minorEastAsia" w:eastAsiaTheme="minorEastAsia" w:cstheme="minorEastAsia"/>
                <w:color w:val="auto"/>
                <w:sz w:val="24"/>
                <w:szCs w:val="24"/>
                <w:highlight w:val="none"/>
                <w:u w:val="none"/>
              </w:rPr>
              <w:t>0</w:t>
            </w:r>
            <w:r>
              <w:rPr>
                <w:rFonts w:hint="eastAsia" w:asciiTheme="minorEastAsia" w:hAnsiTheme="minorEastAsia" w:eastAsiaTheme="minorEastAsia" w:cstheme="minorEastAsia"/>
                <w:color w:val="auto"/>
                <w:sz w:val="24"/>
                <w:szCs w:val="24"/>
                <w:highlight w:val="none"/>
                <w:u w:val="none"/>
                <w:lang w:val="en-US" w:eastAsia="zh-CN"/>
              </w:rPr>
              <w:t>分</w:t>
            </w:r>
            <w:r>
              <w:rPr>
                <w:rFonts w:hint="eastAsia" w:asciiTheme="minorEastAsia" w:hAnsiTheme="minorEastAsia" w:eastAsiaTheme="minorEastAsia" w:cstheme="minorEastAsia"/>
                <w:color w:val="auto"/>
                <w:sz w:val="24"/>
                <w:szCs w:val="24"/>
                <w:highlight w:val="none"/>
                <w:u w:val="none"/>
              </w:rPr>
              <w:t xml:space="preserve">： </w:t>
            </w:r>
          </w:p>
          <w:p w14:paraId="1C33E6F0">
            <w:pPr>
              <w:keepNext w:val="0"/>
              <w:keepLines w:val="0"/>
              <w:pageBreakBefore w:val="0"/>
              <w:suppressLineNumbers w:val="0"/>
              <w:tabs>
                <w:tab w:val="left" w:pos="1774"/>
              </w:tabs>
              <w:kinsoku/>
              <w:overflowPunct/>
              <w:topLinePunct w:val="0"/>
              <w:bidi w:val="0"/>
              <w:adjustRightInd/>
              <w:snapToGrid/>
              <w:spacing w:before="0" w:beforeAutospacing="0" w:after="0" w:afterAutospacing="0" w:line="400" w:lineRule="exact"/>
              <w:ind w:left="0" w:leftChars="0" w:right="0" w:rightChars="0" w:firstLine="0" w:firstLineChars="0"/>
              <w:jc w:val="both"/>
              <w:outlineLvl w:val="9"/>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lang w:eastAsia="zh-CN"/>
              </w:rPr>
              <w:t>（</w:t>
            </w:r>
            <w:r>
              <w:rPr>
                <w:rFonts w:hint="eastAsia" w:asciiTheme="minorEastAsia" w:hAnsiTheme="minorEastAsia" w:eastAsiaTheme="minorEastAsia" w:cstheme="minorEastAsia"/>
                <w:color w:val="auto"/>
                <w:sz w:val="24"/>
                <w:szCs w:val="24"/>
                <w:highlight w:val="none"/>
                <w:u w:val="none"/>
                <w:lang w:val="en-US" w:eastAsia="zh-CN"/>
              </w:rPr>
              <w:t>1</w:t>
            </w:r>
            <w:r>
              <w:rPr>
                <w:rFonts w:hint="eastAsia" w:asciiTheme="minorEastAsia" w:hAnsiTheme="minorEastAsia" w:eastAsiaTheme="minorEastAsia" w:cstheme="minorEastAsia"/>
                <w:color w:val="auto"/>
                <w:sz w:val="24"/>
                <w:szCs w:val="24"/>
                <w:highlight w:val="none"/>
                <w:u w:val="none"/>
                <w:lang w:eastAsia="zh-CN"/>
              </w:rPr>
              <w:t>）</w:t>
            </w:r>
            <w:r>
              <w:rPr>
                <w:rFonts w:hint="eastAsia" w:asciiTheme="minorEastAsia" w:hAnsiTheme="minorEastAsia" w:eastAsiaTheme="minorEastAsia" w:cstheme="minorEastAsia"/>
                <w:color w:val="auto"/>
                <w:sz w:val="24"/>
                <w:szCs w:val="24"/>
                <w:highlight w:val="none"/>
                <w:u w:val="none"/>
              </w:rPr>
              <w:t>要从前瞻性、系统性等角度分析现状并研判重难点；</w:t>
            </w:r>
          </w:p>
          <w:p w14:paraId="5A35A82F">
            <w:pPr>
              <w:keepNext w:val="0"/>
              <w:keepLines w:val="0"/>
              <w:pageBreakBefore w:val="0"/>
              <w:suppressLineNumbers w:val="0"/>
              <w:tabs>
                <w:tab w:val="left" w:pos="1774"/>
              </w:tabs>
              <w:kinsoku/>
              <w:overflowPunct/>
              <w:topLinePunct w:val="0"/>
              <w:bidi w:val="0"/>
              <w:adjustRightInd/>
              <w:snapToGrid/>
              <w:spacing w:before="0" w:beforeAutospacing="0" w:after="0" w:afterAutospacing="0" w:line="400" w:lineRule="exact"/>
              <w:ind w:left="0" w:leftChars="0" w:right="0" w:rightChars="0" w:firstLine="0" w:firstLineChars="0"/>
              <w:jc w:val="both"/>
              <w:outlineLvl w:val="9"/>
              <w:rPr>
                <w:rFonts w:hint="eastAsia" w:asciiTheme="minorEastAsia" w:hAnsiTheme="minorEastAsia" w:eastAsiaTheme="minorEastAsia" w:cstheme="minorEastAsia"/>
                <w:color w:val="auto"/>
                <w:kern w:val="2"/>
                <w:sz w:val="24"/>
                <w:szCs w:val="24"/>
                <w:highlight w:val="none"/>
                <w:u w:val="none"/>
                <w:lang w:val="en-US" w:eastAsia="zh-CN" w:bidi="ar-SA"/>
              </w:rPr>
            </w:pPr>
            <w:r>
              <w:rPr>
                <w:rFonts w:hint="eastAsia" w:asciiTheme="minorEastAsia" w:hAnsiTheme="minorEastAsia" w:eastAsiaTheme="minorEastAsia" w:cstheme="minorEastAsia"/>
                <w:color w:val="auto"/>
                <w:sz w:val="24"/>
                <w:szCs w:val="24"/>
                <w:highlight w:val="none"/>
                <w:u w:val="none"/>
                <w:lang w:eastAsia="zh-CN"/>
              </w:rPr>
              <w:t>（</w:t>
            </w:r>
            <w:r>
              <w:rPr>
                <w:rFonts w:hint="eastAsia" w:asciiTheme="minorEastAsia" w:hAnsiTheme="minorEastAsia" w:eastAsiaTheme="minorEastAsia" w:cstheme="minorEastAsia"/>
                <w:color w:val="auto"/>
                <w:sz w:val="24"/>
                <w:szCs w:val="24"/>
                <w:highlight w:val="none"/>
                <w:u w:val="none"/>
                <w:lang w:val="en-US" w:eastAsia="zh-CN"/>
              </w:rPr>
              <w:t>2</w:t>
            </w:r>
            <w:r>
              <w:rPr>
                <w:rFonts w:hint="eastAsia" w:asciiTheme="minorEastAsia" w:hAnsiTheme="minorEastAsia" w:eastAsiaTheme="minorEastAsia" w:cstheme="minorEastAsia"/>
                <w:color w:val="auto"/>
                <w:sz w:val="24"/>
                <w:szCs w:val="24"/>
                <w:highlight w:val="none"/>
                <w:u w:val="none"/>
                <w:lang w:eastAsia="zh-CN"/>
              </w:rPr>
              <w:t>）</w:t>
            </w:r>
            <w:r>
              <w:rPr>
                <w:rFonts w:hint="eastAsia" w:asciiTheme="minorEastAsia" w:hAnsiTheme="minorEastAsia" w:eastAsiaTheme="minorEastAsia" w:cstheme="minorEastAsia"/>
                <w:color w:val="auto"/>
                <w:sz w:val="24"/>
                <w:szCs w:val="24"/>
                <w:highlight w:val="none"/>
                <w:u w:val="none"/>
              </w:rPr>
              <w:t>从可实施、可操作的角度提出建议和应对措施；</w:t>
            </w:r>
          </w:p>
        </w:tc>
      </w:tr>
      <w:tr w14:paraId="247E99C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0" w:type="dxa"/>
            <w:vMerge w:val="continue"/>
            <w:tcBorders>
              <w:left w:val="single" w:color="000000" w:sz="8" w:space="0"/>
              <w:right w:val="single" w:color="000000" w:sz="8" w:space="0"/>
            </w:tcBorders>
            <w:vAlign w:val="center"/>
          </w:tcPr>
          <w:p w14:paraId="6D2D383A">
            <w:pPr>
              <w:rPr>
                <w:rFonts w:ascii="宋体" w:hAnsi="宋体" w:cs="宋体"/>
                <w:b/>
                <w:bCs/>
                <w:color w:val="0000FF"/>
                <w:sz w:val="24"/>
              </w:rPr>
            </w:pPr>
          </w:p>
        </w:tc>
        <w:tc>
          <w:tcPr>
            <w:tcW w:w="680" w:type="dxa"/>
            <w:tcBorders>
              <w:top w:val="single" w:color="000000" w:sz="8" w:space="0"/>
              <w:left w:val="single" w:color="000000" w:sz="8" w:space="0"/>
              <w:bottom w:val="single" w:color="000000" w:sz="8" w:space="0"/>
              <w:right w:val="single" w:color="000000" w:sz="8" w:space="0"/>
            </w:tcBorders>
            <w:vAlign w:val="center"/>
          </w:tcPr>
          <w:p w14:paraId="73DFC5AD">
            <w:pPr>
              <w:wordWrap w:val="0"/>
              <w:jc w:val="center"/>
              <w:rPr>
                <w:rFonts w:hint="eastAsia" w:ascii="宋体" w:hAnsi="宋体" w:eastAsia="宋体" w:cs="宋体"/>
                <w:szCs w:val="21"/>
                <w:lang w:val="en-US" w:eastAsia="zh-CN"/>
              </w:rPr>
            </w:pPr>
            <w:r>
              <w:rPr>
                <w:rFonts w:hint="eastAsia" w:ascii="宋体" w:hAnsi="宋体" w:cs="宋体"/>
                <w:szCs w:val="21"/>
                <w:lang w:val="en-US" w:eastAsia="zh-CN"/>
              </w:rPr>
              <w:t>4</w:t>
            </w:r>
          </w:p>
        </w:tc>
        <w:tc>
          <w:tcPr>
            <w:tcW w:w="283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5AE6EBD">
            <w:pPr>
              <w:keepNext w:val="0"/>
              <w:keepLines w:val="0"/>
              <w:pageBreakBefore w:val="0"/>
              <w:suppressLineNumbers w:val="0"/>
              <w:kinsoku/>
              <w:overflowPunct/>
              <w:topLinePunct w:val="0"/>
              <w:bidi w:val="0"/>
              <w:adjustRightInd/>
              <w:snapToGrid/>
              <w:spacing w:before="0" w:beforeAutospacing="0" w:after="0" w:afterAutospacing="0" w:line="400" w:lineRule="exact"/>
              <w:ind w:left="0" w:leftChars="0" w:right="0" w:rightChars="0" w:firstLine="0" w:firstLineChars="0"/>
              <w:jc w:val="center"/>
              <w:outlineLvl w:val="9"/>
              <w:rPr>
                <w:rFonts w:hint="eastAsia" w:asciiTheme="minorEastAsia" w:hAnsiTheme="minorEastAsia" w:eastAsiaTheme="minorEastAsia" w:cstheme="minorEastAsia"/>
                <w:color w:val="auto"/>
                <w:kern w:val="2"/>
                <w:sz w:val="24"/>
                <w:szCs w:val="24"/>
                <w:highlight w:val="none"/>
                <w:u w:val="none"/>
                <w:lang w:val="en-US" w:eastAsia="zh-CN" w:bidi="ar-SA"/>
              </w:rPr>
            </w:pPr>
            <w:r>
              <w:rPr>
                <w:rFonts w:hint="eastAsia" w:asciiTheme="minorEastAsia" w:hAnsiTheme="minorEastAsia" w:eastAsiaTheme="minorEastAsia" w:cstheme="minorEastAsia"/>
                <w:b w:val="0"/>
                <w:bCs/>
                <w:color w:val="auto"/>
                <w:sz w:val="24"/>
                <w:szCs w:val="24"/>
                <w:highlight w:val="none"/>
                <w:u w:val="none"/>
              </w:rPr>
              <w:t>项目服务期满后的服务承诺</w:t>
            </w:r>
          </w:p>
        </w:tc>
        <w:tc>
          <w:tcPr>
            <w:tcW w:w="68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BD61B04">
            <w:pPr>
              <w:keepNext w:val="0"/>
              <w:keepLines w:val="0"/>
              <w:pageBreakBefore w:val="0"/>
              <w:suppressLineNumbers w:val="0"/>
              <w:kinsoku/>
              <w:overflowPunct/>
              <w:topLinePunct w:val="0"/>
              <w:bidi w:val="0"/>
              <w:adjustRightInd/>
              <w:snapToGrid/>
              <w:spacing w:before="0" w:beforeAutospacing="0" w:after="0" w:afterAutospacing="0" w:line="400" w:lineRule="exact"/>
              <w:ind w:left="0" w:leftChars="0" w:right="0" w:rightChars="0" w:firstLine="0" w:firstLineChars="0"/>
              <w:jc w:val="center"/>
              <w:outlineLvl w:val="9"/>
              <w:rPr>
                <w:rFonts w:hint="eastAsia" w:asciiTheme="minorEastAsia" w:hAnsiTheme="minorEastAsia" w:eastAsiaTheme="minorEastAsia" w:cstheme="minorEastAsia"/>
                <w:color w:val="auto"/>
                <w:kern w:val="2"/>
                <w:sz w:val="24"/>
                <w:szCs w:val="24"/>
                <w:highlight w:val="none"/>
                <w:u w:val="none"/>
                <w:lang w:val="en-US" w:eastAsia="zh-CN" w:bidi="ar-SA"/>
              </w:rPr>
            </w:pPr>
            <w:r>
              <w:rPr>
                <w:rFonts w:hint="eastAsia" w:asciiTheme="minorEastAsia" w:hAnsiTheme="minorEastAsia" w:eastAsiaTheme="minorEastAsia" w:cstheme="minorEastAsia"/>
                <w:color w:val="auto"/>
                <w:sz w:val="24"/>
                <w:szCs w:val="24"/>
                <w:highlight w:val="none"/>
                <w:u w:val="none"/>
                <w:lang w:val="en-US" w:eastAsia="zh-CN"/>
              </w:rPr>
              <w:t>3</w:t>
            </w:r>
          </w:p>
        </w:tc>
        <w:tc>
          <w:tcPr>
            <w:tcW w:w="419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0C450CC">
            <w:pPr>
              <w:keepNext w:val="0"/>
              <w:keepLines w:val="0"/>
              <w:pageBreakBefore w:val="0"/>
              <w:suppressLineNumbers w:val="0"/>
              <w:tabs>
                <w:tab w:val="left" w:pos="1774"/>
              </w:tabs>
              <w:kinsoku/>
              <w:overflowPunct/>
              <w:topLinePunct w:val="0"/>
              <w:bidi w:val="0"/>
              <w:adjustRightInd/>
              <w:snapToGrid/>
              <w:spacing w:before="0" w:beforeAutospacing="0" w:after="0" w:afterAutospacing="0" w:line="400" w:lineRule="exact"/>
              <w:ind w:left="0" w:leftChars="0" w:right="0" w:rightChars="0" w:firstLine="0" w:firstLineChars="0"/>
              <w:jc w:val="both"/>
              <w:outlineLvl w:val="9"/>
              <w:rPr>
                <w:rFonts w:hint="eastAsia" w:asciiTheme="minorEastAsia" w:hAnsiTheme="minorEastAsia" w:eastAsiaTheme="minorEastAsia" w:cstheme="minorEastAsia"/>
                <w:color w:val="auto"/>
                <w:sz w:val="24"/>
                <w:szCs w:val="24"/>
                <w:highlight w:val="none"/>
                <w:u w:val="none"/>
                <w:lang w:eastAsia="zh-CN"/>
              </w:rPr>
            </w:pPr>
            <w:r>
              <w:rPr>
                <w:rFonts w:hint="eastAsia" w:asciiTheme="minorEastAsia" w:hAnsiTheme="minorEastAsia" w:eastAsiaTheme="minorEastAsia" w:cstheme="minorEastAsia"/>
                <w:color w:val="auto"/>
                <w:sz w:val="24"/>
                <w:szCs w:val="24"/>
                <w:highlight w:val="none"/>
                <w:u w:val="none"/>
                <w:lang w:eastAsia="zh-CN"/>
              </w:rPr>
              <w:t>（一）评分内容：</w:t>
            </w:r>
          </w:p>
          <w:p w14:paraId="54DFFAD0">
            <w:pPr>
              <w:keepNext w:val="0"/>
              <w:keepLines w:val="0"/>
              <w:pageBreakBefore w:val="0"/>
              <w:suppressLineNumbers w:val="0"/>
              <w:tabs>
                <w:tab w:val="left" w:pos="1774"/>
              </w:tabs>
              <w:kinsoku/>
              <w:overflowPunct/>
              <w:topLinePunct w:val="0"/>
              <w:bidi w:val="0"/>
              <w:adjustRightInd/>
              <w:snapToGrid/>
              <w:spacing w:before="0" w:beforeAutospacing="0" w:after="0" w:afterAutospacing="0" w:line="400" w:lineRule="exact"/>
              <w:ind w:left="0" w:leftChars="0" w:right="0" w:rightChars="0" w:firstLine="0" w:firstLineChars="0"/>
              <w:jc w:val="both"/>
              <w:outlineLvl w:val="9"/>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lang w:eastAsia="zh-CN"/>
              </w:rPr>
              <w:t>投标单位</w:t>
            </w:r>
            <w:r>
              <w:rPr>
                <w:rFonts w:hint="eastAsia" w:asciiTheme="minorEastAsia" w:hAnsiTheme="minorEastAsia" w:eastAsiaTheme="minorEastAsia" w:cstheme="minorEastAsia"/>
                <w:color w:val="auto"/>
                <w:sz w:val="24"/>
                <w:szCs w:val="24"/>
                <w:highlight w:val="none"/>
                <w:u w:val="none"/>
              </w:rPr>
              <w:t>承诺以下内容得100</w:t>
            </w:r>
            <w:r>
              <w:rPr>
                <w:rFonts w:hint="eastAsia" w:asciiTheme="minorEastAsia" w:hAnsiTheme="minorEastAsia" w:eastAsiaTheme="minorEastAsia" w:cstheme="minorEastAsia"/>
                <w:color w:val="auto"/>
                <w:sz w:val="24"/>
                <w:szCs w:val="24"/>
                <w:highlight w:val="none"/>
                <w:u w:val="none"/>
                <w:lang w:val="en-US" w:eastAsia="zh-CN"/>
              </w:rPr>
              <w:t>分</w:t>
            </w:r>
            <w:r>
              <w:rPr>
                <w:rFonts w:hint="eastAsia" w:asciiTheme="minorEastAsia" w:hAnsiTheme="minorEastAsia" w:eastAsiaTheme="minorEastAsia" w:cstheme="minorEastAsia"/>
                <w:color w:val="auto"/>
                <w:sz w:val="24"/>
                <w:szCs w:val="24"/>
                <w:highlight w:val="none"/>
                <w:u w:val="none"/>
              </w:rPr>
              <w:t>：</w:t>
            </w:r>
          </w:p>
          <w:p w14:paraId="46336133">
            <w:pPr>
              <w:keepNext w:val="0"/>
              <w:keepLines w:val="0"/>
              <w:pageBreakBefore w:val="0"/>
              <w:suppressLineNumbers w:val="0"/>
              <w:tabs>
                <w:tab w:val="left" w:pos="1774"/>
              </w:tabs>
              <w:kinsoku/>
              <w:overflowPunct/>
              <w:topLinePunct w:val="0"/>
              <w:bidi w:val="0"/>
              <w:adjustRightInd/>
              <w:snapToGrid/>
              <w:spacing w:before="0" w:beforeAutospacing="0" w:after="0" w:afterAutospacing="0" w:line="400" w:lineRule="exact"/>
              <w:ind w:left="0" w:leftChars="0" w:right="0" w:rightChars="0" w:firstLine="0" w:firstLineChars="0"/>
              <w:jc w:val="both"/>
              <w:outlineLvl w:val="9"/>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rPr>
              <w:t>1</w:t>
            </w:r>
            <w:r>
              <w:rPr>
                <w:rFonts w:hint="eastAsia" w:asciiTheme="minorEastAsia" w:hAnsiTheme="minorEastAsia" w:eastAsiaTheme="minorEastAsia" w:cstheme="minorEastAsia"/>
                <w:color w:val="auto"/>
                <w:sz w:val="24"/>
                <w:szCs w:val="24"/>
                <w:highlight w:val="none"/>
                <w:u w:val="none"/>
                <w:lang w:eastAsia="zh-CN"/>
              </w:rPr>
              <w:t>、</w:t>
            </w:r>
            <w:r>
              <w:rPr>
                <w:rFonts w:hint="eastAsia" w:asciiTheme="minorEastAsia" w:hAnsiTheme="minorEastAsia" w:eastAsiaTheme="minorEastAsia" w:cstheme="minorEastAsia"/>
                <w:color w:val="auto"/>
                <w:sz w:val="24"/>
                <w:szCs w:val="24"/>
                <w:highlight w:val="none"/>
                <w:u w:val="none"/>
              </w:rPr>
              <w:t>本项目服务期满后，主动安排作业人员撤离场地</w:t>
            </w:r>
            <w:r>
              <w:rPr>
                <w:rFonts w:hint="eastAsia" w:asciiTheme="minorEastAsia" w:hAnsiTheme="minorEastAsia" w:eastAsiaTheme="minorEastAsia" w:cstheme="minorEastAsia"/>
                <w:color w:val="auto"/>
                <w:sz w:val="24"/>
                <w:szCs w:val="24"/>
                <w:highlight w:val="none"/>
                <w:u w:val="none"/>
                <w:lang w:eastAsia="zh-CN"/>
              </w:rPr>
              <w:t>，</w:t>
            </w:r>
            <w:r>
              <w:rPr>
                <w:rFonts w:hint="eastAsia" w:asciiTheme="minorEastAsia" w:hAnsiTheme="minorEastAsia" w:eastAsiaTheme="minorEastAsia" w:cstheme="minorEastAsia"/>
                <w:color w:val="auto"/>
                <w:sz w:val="24"/>
                <w:szCs w:val="24"/>
                <w:highlight w:val="none"/>
                <w:u w:val="none"/>
                <w:lang w:val="en-US" w:eastAsia="zh-CN"/>
              </w:rPr>
              <w:t>并妥当处理服务期内尚未解决的人工工伤劳资纠纷等</w:t>
            </w:r>
            <w:r>
              <w:rPr>
                <w:rFonts w:hint="eastAsia" w:asciiTheme="minorEastAsia" w:hAnsiTheme="minorEastAsia" w:eastAsiaTheme="minorEastAsia" w:cstheme="minorEastAsia"/>
                <w:color w:val="auto"/>
                <w:sz w:val="24"/>
                <w:szCs w:val="24"/>
                <w:highlight w:val="none"/>
                <w:u w:val="none"/>
              </w:rPr>
              <w:t>；</w:t>
            </w:r>
          </w:p>
          <w:p w14:paraId="1A417373">
            <w:pPr>
              <w:keepNext w:val="0"/>
              <w:keepLines w:val="0"/>
              <w:pageBreakBefore w:val="0"/>
              <w:suppressLineNumbers w:val="0"/>
              <w:tabs>
                <w:tab w:val="left" w:pos="1774"/>
              </w:tabs>
              <w:kinsoku/>
              <w:overflowPunct/>
              <w:topLinePunct w:val="0"/>
              <w:bidi w:val="0"/>
              <w:adjustRightInd/>
              <w:snapToGrid/>
              <w:spacing w:before="0" w:beforeAutospacing="0" w:after="0" w:afterAutospacing="0" w:line="400" w:lineRule="exact"/>
              <w:ind w:left="0" w:leftChars="0" w:right="0" w:rightChars="0" w:firstLine="0" w:firstLineChars="0"/>
              <w:jc w:val="both"/>
              <w:outlineLvl w:val="9"/>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rPr>
              <w:t>2</w:t>
            </w:r>
            <w:r>
              <w:rPr>
                <w:rFonts w:hint="eastAsia" w:asciiTheme="minorEastAsia" w:hAnsiTheme="minorEastAsia" w:eastAsiaTheme="minorEastAsia" w:cstheme="minorEastAsia"/>
                <w:color w:val="auto"/>
                <w:sz w:val="24"/>
                <w:szCs w:val="24"/>
                <w:highlight w:val="none"/>
                <w:u w:val="none"/>
                <w:lang w:eastAsia="zh-CN"/>
              </w:rPr>
              <w:t>、</w:t>
            </w:r>
            <w:r>
              <w:rPr>
                <w:rFonts w:hint="eastAsia" w:asciiTheme="minorEastAsia" w:hAnsiTheme="minorEastAsia" w:eastAsiaTheme="minorEastAsia" w:cstheme="minorEastAsia"/>
                <w:color w:val="auto"/>
                <w:sz w:val="24"/>
                <w:szCs w:val="24"/>
                <w:highlight w:val="none"/>
                <w:u w:val="none"/>
              </w:rPr>
              <w:t>本项目服务期满后，与后续服务公司的有序交接；</w:t>
            </w:r>
          </w:p>
          <w:p w14:paraId="643A77E3">
            <w:pPr>
              <w:keepNext w:val="0"/>
              <w:keepLines w:val="0"/>
              <w:pageBreakBefore w:val="0"/>
              <w:suppressLineNumbers w:val="0"/>
              <w:tabs>
                <w:tab w:val="left" w:pos="1774"/>
              </w:tabs>
              <w:kinsoku/>
              <w:overflowPunct/>
              <w:topLinePunct w:val="0"/>
              <w:bidi w:val="0"/>
              <w:adjustRightInd/>
              <w:snapToGrid/>
              <w:spacing w:before="0" w:beforeAutospacing="0" w:after="0" w:afterAutospacing="0" w:line="400" w:lineRule="exact"/>
              <w:ind w:left="0" w:leftChars="0" w:right="0" w:rightChars="0" w:firstLine="0" w:firstLineChars="0"/>
              <w:jc w:val="both"/>
              <w:outlineLvl w:val="9"/>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rPr>
              <w:t>3</w:t>
            </w:r>
            <w:r>
              <w:rPr>
                <w:rFonts w:hint="eastAsia" w:asciiTheme="minorEastAsia" w:hAnsiTheme="minorEastAsia" w:eastAsiaTheme="minorEastAsia" w:cstheme="minorEastAsia"/>
                <w:color w:val="auto"/>
                <w:sz w:val="24"/>
                <w:szCs w:val="24"/>
                <w:highlight w:val="none"/>
                <w:u w:val="none"/>
                <w:lang w:eastAsia="zh-CN"/>
              </w:rPr>
              <w:t>、</w:t>
            </w:r>
            <w:r>
              <w:rPr>
                <w:rFonts w:hint="eastAsia" w:asciiTheme="minorEastAsia" w:hAnsiTheme="minorEastAsia" w:eastAsiaTheme="minorEastAsia" w:cstheme="minorEastAsia"/>
                <w:color w:val="auto"/>
                <w:sz w:val="24"/>
                <w:szCs w:val="24"/>
                <w:highlight w:val="none"/>
                <w:u w:val="none"/>
              </w:rPr>
              <w:t>本项目服务期满后，后续服务公司未到位前仍按原合同提供服务。</w:t>
            </w:r>
          </w:p>
          <w:p w14:paraId="0577DFEF">
            <w:pPr>
              <w:keepNext w:val="0"/>
              <w:keepLines w:val="0"/>
              <w:pageBreakBefore w:val="0"/>
              <w:suppressLineNumbers w:val="0"/>
              <w:tabs>
                <w:tab w:val="left" w:pos="1774"/>
              </w:tabs>
              <w:kinsoku/>
              <w:overflowPunct/>
              <w:topLinePunct w:val="0"/>
              <w:bidi w:val="0"/>
              <w:adjustRightInd/>
              <w:snapToGrid/>
              <w:spacing w:before="0" w:beforeAutospacing="0" w:after="0" w:afterAutospacing="0" w:line="400" w:lineRule="exact"/>
              <w:ind w:left="0" w:leftChars="0" w:right="0" w:rightChars="0" w:firstLine="0" w:firstLineChars="0"/>
              <w:jc w:val="both"/>
              <w:outlineLvl w:val="9"/>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lang w:eastAsia="zh-CN"/>
              </w:rPr>
              <w:t>（二）评分依据：</w:t>
            </w:r>
            <w:r>
              <w:rPr>
                <w:rFonts w:hint="eastAsia" w:asciiTheme="minorEastAsia" w:hAnsiTheme="minorEastAsia" w:eastAsiaTheme="minorEastAsia" w:cstheme="minorEastAsia"/>
                <w:color w:val="auto"/>
                <w:sz w:val="24"/>
                <w:szCs w:val="24"/>
                <w:highlight w:val="none"/>
                <w:u w:val="none"/>
              </w:rPr>
              <w:t xml:space="preserve"> </w:t>
            </w:r>
          </w:p>
          <w:p w14:paraId="23895769">
            <w:pPr>
              <w:keepNext w:val="0"/>
              <w:keepLines w:val="0"/>
              <w:pageBreakBefore w:val="0"/>
              <w:suppressLineNumbers w:val="0"/>
              <w:tabs>
                <w:tab w:val="left" w:pos="1774"/>
              </w:tabs>
              <w:kinsoku/>
              <w:overflowPunct/>
              <w:topLinePunct w:val="0"/>
              <w:bidi w:val="0"/>
              <w:adjustRightInd/>
              <w:snapToGrid/>
              <w:spacing w:before="0" w:beforeAutospacing="0" w:after="0" w:afterAutospacing="0" w:line="400" w:lineRule="exact"/>
              <w:ind w:left="0" w:leftChars="0" w:right="0" w:rightChars="0" w:firstLine="0" w:firstLineChars="0"/>
              <w:jc w:val="both"/>
              <w:outlineLvl w:val="9"/>
              <w:rPr>
                <w:rFonts w:hint="eastAsia" w:asciiTheme="minorEastAsia" w:hAnsiTheme="minorEastAsia" w:eastAsiaTheme="minorEastAsia" w:cstheme="minorEastAsia"/>
                <w:color w:val="auto"/>
                <w:kern w:val="2"/>
                <w:sz w:val="24"/>
                <w:szCs w:val="24"/>
                <w:highlight w:val="none"/>
                <w:u w:val="none"/>
                <w:lang w:val="en-US" w:eastAsia="zh-CN" w:bidi="ar-SA"/>
              </w:rPr>
            </w:pPr>
            <w:r>
              <w:rPr>
                <w:rFonts w:hint="eastAsia" w:ascii="宋体" w:hAnsi="宋体" w:eastAsia="宋体" w:cs="宋体"/>
                <w:color w:val="0000FF"/>
                <w:sz w:val="21"/>
                <w:szCs w:val="21"/>
                <w:highlight w:val="none"/>
              </w:rPr>
              <w:t>提供承诺函（格式自拟），未按要求承诺或无法判断的不得分。</w:t>
            </w:r>
          </w:p>
        </w:tc>
      </w:tr>
      <w:tr w14:paraId="1A6FCE5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0" w:type="dxa"/>
            <w:vMerge w:val="continue"/>
            <w:tcBorders>
              <w:left w:val="single" w:color="000000" w:sz="8" w:space="0"/>
              <w:right w:val="single" w:color="000000" w:sz="8" w:space="0"/>
            </w:tcBorders>
            <w:vAlign w:val="center"/>
          </w:tcPr>
          <w:p w14:paraId="2B279473">
            <w:pPr>
              <w:rPr>
                <w:rFonts w:ascii="宋体" w:hAnsi="宋体" w:cs="宋体"/>
                <w:b/>
                <w:bCs/>
                <w:color w:val="0000FF"/>
                <w:sz w:val="24"/>
              </w:rPr>
            </w:pPr>
          </w:p>
        </w:tc>
        <w:tc>
          <w:tcPr>
            <w:tcW w:w="680" w:type="dxa"/>
            <w:tcBorders>
              <w:top w:val="single" w:color="000000" w:sz="8" w:space="0"/>
              <w:left w:val="single" w:color="000000" w:sz="8" w:space="0"/>
              <w:bottom w:val="single" w:color="000000" w:sz="8" w:space="0"/>
              <w:right w:val="single" w:color="000000" w:sz="8" w:space="0"/>
            </w:tcBorders>
            <w:vAlign w:val="center"/>
          </w:tcPr>
          <w:p w14:paraId="71D0C0B5">
            <w:pPr>
              <w:wordWrap w:val="0"/>
              <w:jc w:val="center"/>
              <w:rPr>
                <w:rFonts w:hint="eastAsia" w:ascii="宋体" w:hAnsi="宋体" w:eastAsia="宋体" w:cs="宋体"/>
                <w:szCs w:val="21"/>
                <w:lang w:val="en-US" w:eastAsia="zh-CN"/>
              </w:rPr>
            </w:pPr>
            <w:r>
              <w:rPr>
                <w:rFonts w:hint="eastAsia" w:ascii="宋体" w:hAnsi="宋体" w:cs="宋体"/>
                <w:szCs w:val="21"/>
                <w:lang w:val="en-US" w:eastAsia="zh-CN"/>
              </w:rPr>
              <w:t>5</w:t>
            </w:r>
          </w:p>
        </w:tc>
        <w:tc>
          <w:tcPr>
            <w:tcW w:w="283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CF1DCEA">
            <w:pPr>
              <w:keepNext w:val="0"/>
              <w:keepLines w:val="0"/>
              <w:pageBreakBefore w:val="0"/>
              <w:suppressLineNumbers w:val="0"/>
              <w:kinsoku/>
              <w:overflowPunct/>
              <w:topLinePunct w:val="0"/>
              <w:bidi w:val="0"/>
              <w:adjustRightInd/>
              <w:snapToGrid/>
              <w:spacing w:before="0" w:beforeAutospacing="0" w:after="0" w:afterAutospacing="0" w:line="400" w:lineRule="exact"/>
              <w:ind w:left="0" w:leftChars="0" w:right="0" w:rightChars="0" w:firstLine="0" w:firstLineChars="0"/>
              <w:jc w:val="center"/>
              <w:outlineLvl w:val="9"/>
              <w:rPr>
                <w:rFonts w:hint="eastAsia" w:asciiTheme="minorEastAsia" w:hAnsiTheme="minorEastAsia" w:eastAsiaTheme="minorEastAsia" w:cstheme="minorEastAsia"/>
                <w:bCs/>
                <w:color w:val="auto"/>
                <w:kern w:val="2"/>
                <w:sz w:val="24"/>
                <w:szCs w:val="24"/>
                <w:highlight w:val="none"/>
                <w:u w:val="none"/>
                <w:lang w:val="en-US" w:eastAsia="zh-CN" w:bidi="ar-SA"/>
              </w:rPr>
            </w:pPr>
            <w:r>
              <w:rPr>
                <w:rFonts w:hint="eastAsia" w:asciiTheme="minorEastAsia" w:hAnsiTheme="minorEastAsia" w:eastAsiaTheme="minorEastAsia" w:cstheme="minorEastAsia"/>
                <w:b w:val="0"/>
                <w:bCs/>
                <w:color w:val="auto"/>
                <w:sz w:val="24"/>
                <w:szCs w:val="24"/>
                <w:highlight w:val="none"/>
                <w:u w:val="none"/>
              </w:rPr>
              <w:t>违约承诺</w:t>
            </w:r>
          </w:p>
        </w:tc>
        <w:tc>
          <w:tcPr>
            <w:tcW w:w="68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864C4C6">
            <w:pPr>
              <w:keepNext w:val="0"/>
              <w:keepLines w:val="0"/>
              <w:pageBreakBefore w:val="0"/>
              <w:suppressLineNumbers w:val="0"/>
              <w:kinsoku/>
              <w:overflowPunct/>
              <w:topLinePunct w:val="0"/>
              <w:bidi w:val="0"/>
              <w:adjustRightInd/>
              <w:snapToGrid/>
              <w:spacing w:before="0" w:beforeAutospacing="0" w:after="0" w:afterAutospacing="0" w:line="400" w:lineRule="exact"/>
              <w:ind w:left="0" w:leftChars="0" w:right="0" w:rightChars="0" w:firstLine="0" w:firstLineChars="0"/>
              <w:jc w:val="center"/>
              <w:outlineLvl w:val="9"/>
              <w:rPr>
                <w:rFonts w:hint="eastAsia" w:asciiTheme="minorEastAsia" w:hAnsiTheme="minorEastAsia" w:eastAsiaTheme="minorEastAsia" w:cstheme="minorEastAsia"/>
                <w:color w:val="auto"/>
                <w:kern w:val="2"/>
                <w:sz w:val="24"/>
                <w:szCs w:val="24"/>
                <w:highlight w:val="none"/>
                <w:u w:val="none"/>
                <w:lang w:val="en-US" w:eastAsia="zh-CN" w:bidi="ar-SA"/>
              </w:rPr>
            </w:pPr>
            <w:r>
              <w:rPr>
                <w:rFonts w:hint="eastAsia" w:asciiTheme="minorEastAsia" w:hAnsiTheme="minorEastAsia" w:eastAsiaTheme="minorEastAsia" w:cstheme="minorEastAsia"/>
                <w:color w:val="auto"/>
                <w:sz w:val="24"/>
                <w:szCs w:val="24"/>
                <w:highlight w:val="none"/>
                <w:u w:val="none"/>
                <w:lang w:val="en-US" w:eastAsia="zh-CN"/>
              </w:rPr>
              <w:t>2</w:t>
            </w:r>
          </w:p>
        </w:tc>
        <w:tc>
          <w:tcPr>
            <w:tcW w:w="419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CF5FA90">
            <w:pPr>
              <w:keepNext w:val="0"/>
              <w:keepLines w:val="0"/>
              <w:pageBreakBefore w:val="0"/>
              <w:suppressLineNumbers w:val="0"/>
              <w:kinsoku/>
              <w:overflowPunct/>
              <w:topLinePunct w:val="0"/>
              <w:bidi w:val="0"/>
              <w:adjustRightInd/>
              <w:snapToGrid/>
              <w:spacing w:before="0" w:beforeAutospacing="0" w:after="0" w:afterAutospacing="0" w:line="400" w:lineRule="exact"/>
              <w:ind w:left="0" w:leftChars="0" w:right="0" w:rightChars="0" w:firstLine="0" w:firstLineChars="0"/>
              <w:jc w:val="both"/>
              <w:outlineLvl w:val="9"/>
              <w:rPr>
                <w:rFonts w:hint="eastAsia" w:asciiTheme="minorEastAsia" w:hAnsiTheme="minorEastAsia" w:eastAsiaTheme="minorEastAsia" w:cstheme="minorEastAsia"/>
                <w:color w:val="auto"/>
                <w:sz w:val="24"/>
                <w:szCs w:val="24"/>
                <w:highlight w:val="none"/>
                <w:u w:val="none"/>
                <w:lang w:eastAsia="zh-CN"/>
              </w:rPr>
            </w:pPr>
            <w:r>
              <w:rPr>
                <w:rFonts w:hint="eastAsia" w:asciiTheme="minorEastAsia" w:hAnsiTheme="minorEastAsia" w:eastAsiaTheme="minorEastAsia" w:cstheme="minorEastAsia"/>
                <w:color w:val="auto"/>
                <w:sz w:val="24"/>
                <w:szCs w:val="24"/>
                <w:highlight w:val="none"/>
                <w:u w:val="none"/>
                <w:lang w:eastAsia="zh-CN"/>
              </w:rPr>
              <w:t>（一）评分内容：</w:t>
            </w:r>
          </w:p>
          <w:p w14:paraId="2E42DB08">
            <w:pPr>
              <w:keepNext w:val="0"/>
              <w:keepLines w:val="0"/>
              <w:pageBreakBefore w:val="0"/>
              <w:suppressLineNumbers w:val="0"/>
              <w:kinsoku/>
              <w:overflowPunct/>
              <w:topLinePunct w:val="0"/>
              <w:bidi w:val="0"/>
              <w:adjustRightInd/>
              <w:snapToGrid/>
              <w:spacing w:before="0" w:beforeAutospacing="0" w:after="0" w:afterAutospacing="0" w:line="400" w:lineRule="exact"/>
              <w:ind w:left="0" w:leftChars="0" w:right="0" w:rightChars="0" w:firstLine="0" w:firstLineChars="0"/>
              <w:jc w:val="both"/>
              <w:outlineLvl w:val="9"/>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lang w:eastAsia="zh-CN"/>
              </w:rPr>
              <w:t>投标单位</w:t>
            </w:r>
            <w:r>
              <w:rPr>
                <w:rFonts w:hint="eastAsia" w:asciiTheme="minorEastAsia" w:hAnsiTheme="minorEastAsia" w:eastAsiaTheme="minorEastAsia" w:cstheme="minorEastAsia"/>
                <w:color w:val="auto"/>
                <w:sz w:val="24"/>
                <w:szCs w:val="24"/>
                <w:highlight w:val="none"/>
                <w:u w:val="none"/>
              </w:rPr>
              <w:t>承诺以下内容得100</w:t>
            </w:r>
            <w:r>
              <w:rPr>
                <w:rFonts w:hint="eastAsia" w:asciiTheme="minorEastAsia" w:hAnsiTheme="minorEastAsia" w:eastAsiaTheme="minorEastAsia" w:cstheme="minorEastAsia"/>
                <w:color w:val="auto"/>
                <w:sz w:val="24"/>
                <w:szCs w:val="24"/>
                <w:highlight w:val="none"/>
                <w:u w:val="none"/>
                <w:lang w:val="en-US" w:eastAsia="zh-CN"/>
              </w:rPr>
              <w:t>分</w:t>
            </w:r>
            <w:r>
              <w:rPr>
                <w:rFonts w:hint="eastAsia" w:asciiTheme="minorEastAsia" w:hAnsiTheme="minorEastAsia" w:eastAsiaTheme="minorEastAsia" w:cstheme="minorEastAsia"/>
                <w:color w:val="auto"/>
                <w:sz w:val="24"/>
                <w:szCs w:val="24"/>
                <w:highlight w:val="none"/>
                <w:u w:val="none"/>
              </w:rPr>
              <w:t>：</w:t>
            </w:r>
          </w:p>
          <w:p w14:paraId="35638D4B">
            <w:pPr>
              <w:keepNext w:val="0"/>
              <w:keepLines w:val="0"/>
              <w:pageBreakBefore w:val="0"/>
              <w:suppressLineNumbers w:val="0"/>
              <w:kinsoku/>
              <w:overflowPunct/>
              <w:topLinePunct w:val="0"/>
              <w:bidi w:val="0"/>
              <w:adjustRightInd/>
              <w:snapToGrid/>
              <w:spacing w:before="0" w:beforeAutospacing="0" w:after="0" w:afterAutospacing="0" w:line="400" w:lineRule="exact"/>
              <w:ind w:left="0" w:leftChars="0" w:right="0" w:rightChars="0" w:firstLine="0" w:firstLineChars="0"/>
              <w:jc w:val="both"/>
              <w:outlineLvl w:val="9"/>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rPr>
              <w:t>1、服务人员和车辆设备严格按照招标文件及投标承诺要求配置；</w:t>
            </w:r>
          </w:p>
          <w:p w14:paraId="18E4F7FD">
            <w:pPr>
              <w:keepNext w:val="0"/>
              <w:keepLines w:val="0"/>
              <w:pageBreakBefore w:val="0"/>
              <w:suppressLineNumbers w:val="0"/>
              <w:kinsoku/>
              <w:overflowPunct/>
              <w:topLinePunct w:val="0"/>
              <w:bidi w:val="0"/>
              <w:adjustRightInd/>
              <w:snapToGrid/>
              <w:spacing w:before="0" w:beforeAutospacing="0" w:after="0" w:afterAutospacing="0" w:line="400" w:lineRule="exact"/>
              <w:ind w:left="0" w:leftChars="0" w:right="0" w:rightChars="0" w:firstLine="0" w:firstLineChars="0"/>
              <w:jc w:val="both"/>
              <w:outlineLvl w:val="9"/>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rPr>
              <w:t>2、服务质量达到招标文件要求；</w:t>
            </w:r>
          </w:p>
          <w:p w14:paraId="063AF554">
            <w:pPr>
              <w:keepNext w:val="0"/>
              <w:keepLines w:val="0"/>
              <w:pageBreakBefore w:val="0"/>
              <w:suppressLineNumbers w:val="0"/>
              <w:kinsoku/>
              <w:overflowPunct/>
              <w:topLinePunct w:val="0"/>
              <w:bidi w:val="0"/>
              <w:adjustRightInd/>
              <w:snapToGrid/>
              <w:spacing w:before="0" w:beforeAutospacing="0" w:after="0" w:afterAutospacing="0" w:line="400" w:lineRule="exact"/>
              <w:ind w:left="0" w:leftChars="0" w:right="0" w:rightChars="0" w:firstLine="0" w:firstLineChars="0"/>
              <w:jc w:val="both"/>
              <w:outlineLvl w:val="9"/>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rPr>
              <w:t>3、按月及时全额发放作业人员工资和相关福利；</w:t>
            </w:r>
          </w:p>
          <w:p w14:paraId="1B01626B">
            <w:pPr>
              <w:keepNext w:val="0"/>
              <w:keepLines w:val="0"/>
              <w:pageBreakBefore w:val="0"/>
              <w:suppressLineNumbers w:val="0"/>
              <w:kinsoku/>
              <w:overflowPunct/>
              <w:topLinePunct w:val="0"/>
              <w:bidi w:val="0"/>
              <w:adjustRightInd/>
              <w:snapToGrid/>
              <w:spacing w:before="0" w:beforeAutospacing="0" w:after="0" w:afterAutospacing="0" w:line="400" w:lineRule="exact"/>
              <w:ind w:left="0" w:leftChars="0" w:right="0" w:rightChars="0" w:firstLine="0" w:firstLineChars="0"/>
              <w:jc w:val="both"/>
              <w:outlineLvl w:val="9"/>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rPr>
              <w:t>4、对未能达到管理要求的，需承担相应管理责任。</w:t>
            </w:r>
          </w:p>
          <w:p w14:paraId="49116A81">
            <w:pPr>
              <w:keepNext w:val="0"/>
              <w:keepLines w:val="0"/>
              <w:pageBreakBefore w:val="0"/>
              <w:suppressLineNumbers w:val="0"/>
              <w:kinsoku/>
              <w:overflowPunct/>
              <w:topLinePunct w:val="0"/>
              <w:bidi w:val="0"/>
              <w:adjustRightInd/>
              <w:snapToGrid/>
              <w:spacing w:before="0" w:beforeAutospacing="0" w:after="0" w:afterAutospacing="0" w:line="400" w:lineRule="exact"/>
              <w:ind w:left="0" w:leftChars="0" w:right="0" w:rightChars="0" w:firstLine="0" w:firstLineChars="0"/>
              <w:jc w:val="both"/>
              <w:outlineLvl w:val="9"/>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lang w:eastAsia="zh-CN"/>
              </w:rPr>
              <w:t>（二）评分依据：</w:t>
            </w:r>
            <w:r>
              <w:rPr>
                <w:rFonts w:hint="eastAsia" w:asciiTheme="minorEastAsia" w:hAnsiTheme="minorEastAsia" w:eastAsiaTheme="minorEastAsia" w:cstheme="minorEastAsia"/>
                <w:color w:val="auto"/>
                <w:sz w:val="24"/>
                <w:szCs w:val="24"/>
                <w:highlight w:val="none"/>
                <w:u w:val="none"/>
              </w:rPr>
              <w:t xml:space="preserve"> </w:t>
            </w:r>
          </w:p>
          <w:p w14:paraId="5239F02D">
            <w:pPr>
              <w:keepNext w:val="0"/>
              <w:keepLines w:val="0"/>
              <w:pageBreakBefore w:val="0"/>
              <w:suppressLineNumbers w:val="0"/>
              <w:kinsoku/>
              <w:overflowPunct/>
              <w:topLinePunct w:val="0"/>
              <w:bidi w:val="0"/>
              <w:adjustRightInd/>
              <w:snapToGrid/>
              <w:spacing w:before="0" w:beforeAutospacing="0" w:after="0" w:afterAutospacing="0" w:line="400" w:lineRule="exact"/>
              <w:ind w:left="0" w:leftChars="0" w:right="0" w:rightChars="0" w:firstLine="0" w:firstLineChars="0"/>
              <w:jc w:val="both"/>
              <w:outlineLvl w:val="9"/>
              <w:rPr>
                <w:rFonts w:hint="eastAsia" w:asciiTheme="minorEastAsia" w:hAnsiTheme="minorEastAsia" w:eastAsiaTheme="minorEastAsia" w:cstheme="minorEastAsia"/>
                <w:color w:val="auto"/>
                <w:kern w:val="2"/>
                <w:sz w:val="24"/>
                <w:szCs w:val="24"/>
                <w:highlight w:val="none"/>
                <w:u w:val="none"/>
                <w:lang w:val="en-US" w:eastAsia="zh-CN" w:bidi="ar-SA"/>
              </w:rPr>
            </w:pPr>
            <w:r>
              <w:rPr>
                <w:rFonts w:hint="eastAsia" w:ascii="宋体" w:hAnsi="宋体" w:eastAsia="宋体" w:cs="宋体"/>
                <w:color w:val="0000FF"/>
                <w:sz w:val="21"/>
                <w:szCs w:val="21"/>
                <w:highlight w:val="none"/>
              </w:rPr>
              <w:t>提供承诺函（格式自拟），未按要求承诺或无法判断的不得分。</w:t>
            </w:r>
          </w:p>
        </w:tc>
      </w:tr>
      <w:tr w14:paraId="0B593B0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0" w:type="dxa"/>
            <w:vMerge w:val="continue"/>
            <w:tcBorders>
              <w:left w:val="single" w:color="000000" w:sz="8" w:space="0"/>
              <w:right w:val="single" w:color="000000" w:sz="8" w:space="0"/>
            </w:tcBorders>
            <w:vAlign w:val="center"/>
          </w:tcPr>
          <w:p w14:paraId="3D387F04">
            <w:pPr>
              <w:rPr>
                <w:rFonts w:ascii="宋体" w:hAnsi="宋体" w:cs="宋体"/>
                <w:b/>
                <w:bCs/>
                <w:color w:val="0000FF"/>
                <w:sz w:val="24"/>
              </w:rPr>
            </w:pPr>
          </w:p>
        </w:tc>
        <w:tc>
          <w:tcPr>
            <w:tcW w:w="680" w:type="dxa"/>
            <w:tcBorders>
              <w:top w:val="single" w:color="000000" w:sz="8" w:space="0"/>
              <w:left w:val="single" w:color="000000" w:sz="8" w:space="0"/>
              <w:bottom w:val="single" w:color="000000" w:sz="8" w:space="0"/>
              <w:right w:val="single" w:color="000000" w:sz="8" w:space="0"/>
            </w:tcBorders>
            <w:vAlign w:val="center"/>
          </w:tcPr>
          <w:p w14:paraId="71BBBDB0">
            <w:pPr>
              <w:wordWrap w:val="0"/>
              <w:jc w:val="center"/>
              <w:rPr>
                <w:rFonts w:hint="eastAsia" w:ascii="宋体" w:hAnsi="宋体" w:eastAsia="宋体" w:cs="宋体"/>
                <w:szCs w:val="21"/>
                <w:lang w:val="en-US" w:eastAsia="zh-CN"/>
              </w:rPr>
            </w:pPr>
            <w:r>
              <w:rPr>
                <w:rFonts w:hint="eastAsia" w:ascii="宋体" w:hAnsi="宋体" w:cs="宋体"/>
                <w:szCs w:val="21"/>
                <w:lang w:val="en-US" w:eastAsia="zh-CN"/>
              </w:rPr>
              <w:t>6</w:t>
            </w:r>
          </w:p>
        </w:tc>
        <w:tc>
          <w:tcPr>
            <w:tcW w:w="283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ECAB44E">
            <w:pPr>
              <w:keepNext w:val="0"/>
              <w:keepLines w:val="0"/>
              <w:pageBreakBefore w:val="0"/>
              <w:suppressLineNumbers w:val="0"/>
              <w:kinsoku/>
              <w:overflowPunct/>
              <w:topLinePunct w:val="0"/>
              <w:bidi w:val="0"/>
              <w:adjustRightInd/>
              <w:snapToGrid/>
              <w:spacing w:before="0" w:beforeAutospacing="0" w:after="0" w:afterAutospacing="0" w:line="400" w:lineRule="exact"/>
              <w:ind w:left="0" w:leftChars="0" w:right="0" w:rightChars="0" w:firstLine="0" w:firstLineChars="0"/>
              <w:jc w:val="center"/>
              <w:outlineLvl w:val="9"/>
              <w:rPr>
                <w:rFonts w:hint="eastAsia" w:asciiTheme="minorEastAsia" w:hAnsiTheme="minorEastAsia" w:eastAsiaTheme="minorEastAsia" w:cstheme="minorEastAsia"/>
                <w:color w:val="auto"/>
                <w:kern w:val="2"/>
                <w:sz w:val="24"/>
                <w:szCs w:val="24"/>
                <w:highlight w:val="none"/>
                <w:u w:val="none"/>
                <w:lang w:val="en-US" w:eastAsia="zh-CN" w:bidi="ar-SA"/>
              </w:rPr>
            </w:pPr>
            <w:r>
              <w:rPr>
                <w:rFonts w:hint="eastAsia" w:asciiTheme="minorEastAsia" w:hAnsiTheme="minorEastAsia" w:eastAsiaTheme="minorEastAsia" w:cstheme="minorEastAsia"/>
                <w:b w:val="0"/>
                <w:bCs/>
                <w:color w:val="auto"/>
                <w:sz w:val="24"/>
                <w:szCs w:val="24"/>
                <w:highlight w:val="none"/>
                <w:u w:val="none"/>
              </w:rPr>
              <w:t>拟安排项目负责人（仅限1人）情况评价</w:t>
            </w:r>
          </w:p>
        </w:tc>
        <w:tc>
          <w:tcPr>
            <w:tcW w:w="68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1B0B12A">
            <w:pPr>
              <w:keepNext w:val="0"/>
              <w:keepLines w:val="0"/>
              <w:pageBreakBefore w:val="0"/>
              <w:suppressLineNumbers w:val="0"/>
              <w:kinsoku/>
              <w:overflowPunct/>
              <w:topLinePunct w:val="0"/>
              <w:bidi w:val="0"/>
              <w:adjustRightInd/>
              <w:snapToGrid/>
              <w:spacing w:before="0" w:beforeAutospacing="0" w:after="0" w:afterAutospacing="0" w:line="400" w:lineRule="exact"/>
              <w:ind w:left="0" w:leftChars="0" w:right="0" w:rightChars="0" w:firstLine="0" w:firstLineChars="0"/>
              <w:jc w:val="center"/>
              <w:outlineLvl w:val="9"/>
              <w:rPr>
                <w:rFonts w:hint="default" w:asciiTheme="minorEastAsia" w:hAnsiTheme="minorEastAsia" w:eastAsiaTheme="minorEastAsia" w:cstheme="minorEastAsia"/>
                <w:b w:val="0"/>
                <w:bCs w:val="0"/>
                <w:color w:val="auto"/>
                <w:kern w:val="2"/>
                <w:sz w:val="24"/>
                <w:szCs w:val="24"/>
                <w:highlight w:val="none"/>
                <w:u w:val="none"/>
                <w:lang w:val="en-US" w:eastAsia="zh-CN" w:bidi="ar-SA"/>
              </w:rPr>
            </w:pPr>
            <w:r>
              <w:rPr>
                <w:rFonts w:hint="eastAsia" w:asciiTheme="minorEastAsia" w:hAnsiTheme="minorEastAsia" w:eastAsiaTheme="minorEastAsia" w:cstheme="minorEastAsia"/>
                <w:b w:val="0"/>
                <w:bCs w:val="0"/>
                <w:color w:val="auto"/>
                <w:sz w:val="24"/>
                <w:szCs w:val="24"/>
                <w:highlight w:val="none"/>
                <w:u w:val="none"/>
                <w:lang w:val="en-US" w:eastAsia="zh-CN"/>
              </w:rPr>
              <w:t>1</w:t>
            </w:r>
            <w:r>
              <w:rPr>
                <w:rFonts w:hint="default" w:asciiTheme="minorEastAsia" w:hAnsiTheme="minorEastAsia" w:eastAsiaTheme="minorEastAsia" w:cstheme="minorEastAsia"/>
                <w:b w:val="0"/>
                <w:bCs w:val="0"/>
                <w:color w:val="auto"/>
                <w:sz w:val="24"/>
                <w:szCs w:val="24"/>
                <w:highlight w:val="none"/>
                <w:u w:val="none"/>
                <w:lang w:val="en-US" w:eastAsia="zh-CN"/>
              </w:rPr>
              <w:t>0</w:t>
            </w:r>
          </w:p>
        </w:tc>
        <w:tc>
          <w:tcPr>
            <w:tcW w:w="419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E3C7F15">
            <w:pPr>
              <w:keepNext w:val="0"/>
              <w:keepLines w:val="0"/>
              <w:pageBreakBefore w:val="0"/>
              <w:suppressLineNumbers w:val="0"/>
              <w:kinsoku/>
              <w:overflowPunct/>
              <w:topLinePunct w:val="0"/>
              <w:bidi w:val="0"/>
              <w:adjustRightInd/>
              <w:snapToGrid/>
              <w:spacing w:before="0" w:beforeAutospacing="0" w:after="0" w:afterAutospacing="0" w:line="400" w:lineRule="exact"/>
              <w:ind w:left="0" w:leftChars="0" w:right="0" w:rightChars="0" w:firstLine="0" w:firstLineChars="0"/>
              <w:jc w:val="both"/>
              <w:outlineLvl w:val="9"/>
              <w:rPr>
                <w:rFonts w:hint="eastAsia" w:asciiTheme="minorEastAsia" w:hAnsiTheme="minorEastAsia" w:eastAsiaTheme="minorEastAsia" w:cstheme="minorEastAsia"/>
                <w:color w:val="auto"/>
                <w:sz w:val="24"/>
                <w:szCs w:val="24"/>
                <w:highlight w:val="none"/>
                <w:u w:val="none"/>
                <w:lang w:eastAsia="zh-CN"/>
              </w:rPr>
            </w:pPr>
            <w:r>
              <w:rPr>
                <w:rFonts w:hint="eastAsia" w:asciiTheme="minorEastAsia" w:hAnsiTheme="minorEastAsia" w:eastAsiaTheme="minorEastAsia" w:cstheme="minorEastAsia"/>
                <w:color w:val="auto"/>
                <w:sz w:val="24"/>
                <w:szCs w:val="24"/>
                <w:highlight w:val="none"/>
                <w:u w:val="none"/>
                <w:lang w:eastAsia="zh-CN"/>
              </w:rPr>
              <w:t>（一）评分内容：</w:t>
            </w:r>
          </w:p>
          <w:p w14:paraId="3E5E55FC">
            <w:pPr>
              <w:keepNext w:val="0"/>
              <w:keepLines w:val="0"/>
              <w:pageBreakBefore w:val="0"/>
              <w:suppressLineNumbers w:val="0"/>
              <w:kinsoku/>
              <w:overflowPunct/>
              <w:topLinePunct w:val="0"/>
              <w:bidi w:val="0"/>
              <w:adjustRightInd/>
              <w:snapToGrid/>
              <w:spacing w:before="0" w:beforeAutospacing="0" w:after="0" w:afterAutospacing="0" w:line="400" w:lineRule="exact"/>
              <w:ind w:left="0" w:leftChars="0" w:right="0" w:rightChars="0" w:firstLine="0" w:firstLineChars="0"/>
              <w:jc w:val="both"/>
              <w:outlineLvl w:val="9"/>
              <w:rPr>
                <w:rFonts w:hint="eastAsia" w:asciiTheme="minorEastAsia" w:hAnsiTheme="minorEastAsia" w:eastAsiaTheme="minorEastAsia" w:cstheme="minorEastAsia"/>
                <w:color w:val="auto"/>
                <w:sz w:val="24"/>
                <w:szCs w:val="24"/>
                <w:highlight w:val="none"/>
                <w:u w:val="none"/>
                <w:lang w:val="en-US"/>
              </w:rPr>
            </w:pPr>
            <w:r>
              <w:rPr>
                <w:rFonts w:hint="eastAsia" w:asciiTheme="minorEastAsia" w:hAnsiTheme="minorEastAsia" w:eastAsiaTheme="minorEastAsia" w:cstheme="minorEastAsia"/>
                <w:color w:val="auto"/>
                <w:sz w:val="24"/>
                <w:szCs w:val="24"/>
                <w:highlight w:val="none"/>
                <w:u w:val="none"/>
              </w:rPr>
              <w:t>投标单位为本项目配备的项目负责人（仅限1人）须为投标单位现有员工：</w:t>
            </w:r>
          </w:p>
          <w:p w14:paraId="38DDD953">
            <w:pPr>
              <w:keepNext w:val="0"/>
              <w:keepLines w:val="0"/>
              <w:pageBreakBefore w:val="0"/>
              <w:suppressLineNumbers w:val="0"/>
              <w:kinsoku/>
              <w:overflowPunct/>
              <w:topLinePunct w:val="0"/>
              <w:bidi w:val="0"/>
              <w:adjustRightInd/>
              <w:snapToGrid/>
              <w:spacing w:before="0" w:beforeAutospacing="0" w:after="0" w:afterAutospacing="0" w:line="400" w:lineRule="exact"/>
              <w:ind w:left="0" w:leftChars="0" w:right="0" w:rightChars="0" w:firstLine="0" w:firstLineChars="0"/>
              <w:jc w:val="both"/>
              <w:outlineLvl w:val="9"/>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rPr>
              <w:t>1、</w:t>
            </w:r>
            <w:r>
              <w:rPr>
                <w:rFonts w:hint="eastAsia" w:asciiTheme="minorEastAsia" w:hAnsiTheme="minorEastAsia" w:eastAsiaTheme="minorEastAsia" w:cstheme="minorEastAsia"/>
                <w:color w:val="auto"/>
                <w:sz w:val="24"/>
                <w:szCs w:val="24"/>
                <w:highlight w:val="none"/>
                <w:u w:val="none"/>
                <w:lang w:val="en-US" w:eastAsia="zh-CN"/>
              </w:rPr>
              <w:t>具有管理类或工程类本科（或以上）学历的</w:t>
            </w:r>
            <w:r>
              <w:rPr>
                <w:rFonts w:hint="eastAsia" w:asciiTheme="minorEastAsia" w:hAnsiTheme="minorEastAsia" w:eastAsiaTheme="minorEastAsia" w:cstheme="minorEastAsia"/>
                <w:color w:val="auto"/>
                <w:sz w:val="24"/>
                <w:szCs w:val="24"/>
                <w:highlight w:val="none"/>
                <w:u w:val="none"/>
              </w:rPr>
              <w:t>得</w:t>
            </w:r>
            <w:r>
              <w:rPr>
                <w:rFonts w:hint="default" w:asciiTheme="minorEastAsia" w:hAnsiTheme="minorEastAsia" w:eastAsiaTheme="minorEastAsia" w:cstheme="minorEastAsia"/>
                <w:color w:val="auto"/>
                <w:sz w:val="24"/>
                <w:szCs w:val="24"/>
                <w:highlight w:val="none"/>
                <w:u w:val="none"/>
                <w:lang w:val="en-US"/>
              </w:rPr>
              <w:t>1</w:t>
            </w:r>
            <w:r>
              <w:rPr>
                <w:rFonts w:hint="eastAsia" w:asciiTheme="minorEastAsia" w:hAnsiTheme="minorEastAsia" w:eastAsiaTheme="minorEastAsia" w:cstheme="minorEastAsia"/>
                <w:color w:val="auto"/>
                <w:sz w:val="24"/>
                <w:szCs w:val="24"/>
                <w:highlight w:val="none"/>
                <w:u w:val="none"/>
              </w:rPr>
              <w:t>0</w:t>
            </w:r>
            <w:r>
              <w:rPr>
                <w:rFonts w:hint="eastAsia" w:asciiTheme="minorEastAsia" w:hAnsiTheme="minorEastAsia" w:eastAsiaTheme="minorEastAsia" w:cstheme="minorEastAsia"/>
                <w:color w:val="auto"/>
                <w:sz w:val="24"/>
                <w:szCs w:val="24"/>
                <w:highlight w:val="none"/>
                <w:u w:val="none"/>
                <w:lang w:val="en-US" w:eastAsia="zh-CN"/>
              </w:rPr>
              <w:t>分</w:t>
            </w:r>
            <w:r>
              <w:rPr>
                <w:rFonts w:hint="eastAsia" w:asciiTheme="minorEastAsia" w:hAnsiTheme="minorEastAsia" w:eastAsiaTheme="minorEastAsia" w:cstheme="minorEastAsia"/>
                <w:color w:val="auto"/>
                <w:sz w:val="24"/>
                <w:szCs w:val="24"/>
                <w:highlight w:val="none"/>
                <w:u w:val="none"/>
              </w:rPr>
              <w:t>；</w:t>
            </w:r>
          </w:p>
          <w:p w14:paraId="6B18B4D0">
            <w:pPr>
              <w:keepNext w:val="0"/>
              <w:keepLines w:val="0"/>
              <w:pageBreakBefore w:val="0"/>
              <w:suppressLineNumbers w:val="0"/>
              <w:kinsoku/>
              <w:overflowPunct/>
              <w:topLinePunct w:val="0"/>
              <w:bidi w:val="0"/>
              <w:adjustRightInd/>
              <w:snapToGrid/>
              <w:spacing w:before="0" w:beforeAutospacing="0" w:after="0" w:afterAutospacing="0" w:line="400" w:lineRule="exact"/>
              <w:ind w:left="0" w:leftChars="0" w:right="0" w:rightChars="0" w:firstLine="0" w:firstLineChars="0"/>
              <w:jc w:val="both"/>
              <w:outlineLvl w:val="9"/>
              <w:rPr>
                <w:rFonts w:hint="eastAsia" w:asciiTheme="minorEastAsia" w:hAnsiTheme="minorEastAsia" w:eastAsiaTheme="minorEastAsia" w:cstheme="minorEastAsia"/>
                <w:color w:val="auto"/>
                <w:sz w:val="24"/>
                <w:szCs w:val="24"/>
                <w:highlight w:val="none"/>
                <w:u w:val="none"/>
              </w:rPr>
            </w:pPr>
            <w:r>
              <w:rPr>
                <w:rFonts w:hint="default" w:asciiTheme="minorEastAsia" w:hAnsiTheme="minorEastAsia" w:eastAsiaTheme="minorEastAsia" w:cstheme="minorEastAsia"/>
                <w:color w:val="auto"/>
                <w:sz w:val="24"/>
                <w:szCs w:val="24"/>
                <w:highlight w:val="none"/>
                <w:u w:val="none"/>
                <w:lang w:val="en-US"/>
              </w:rPr>
              <w:t>2</w:t>
            </w:r>
            <w:r>
              <w:rPr>
                <w:rFonts w:hint="eastAsia" w:asciiTheme="minorEastAsia" w:hAnsiTheme="minorEastAsia" w:eastAsiaTheme="minorEastAsia" w:cstheme="minorEastAsia"/>
                <w:color w:val="auto"/>
                <w:sz w:val="24"/>
                <w:szCs w:val="24"/>
                <w:highlight w:val="none"/>
                <w:u w:val="none"/>
                <w:lang w:val="en-US" w:eastAsia="zh-CN"/>
              </w:rPr>
              <w:t>、</w:t>
            </w:r>
            <w:r>
              <w:rPr>
                <w:rFonts w:hint="eastAsia" w:asciiTheme="minorEastAsia" w:hAnsiTheme="minorEastAsia" w:eastAsiaTheme="minorEastAsia" w:cstheme="minorEastAsia"/>
                <w:color w:val="auto"/>
                <w:sz w:val="24"/>
                <w:szCs w:val="24"/>
                <w:highlight w:val="none"/>
                <w:u w:val="none"/>
              </w:rPr>
              <w:t>具有相关机构颁发的一级企业人力资源管理师职业资格证书的</w:t>
            </w:r>
            <w:r>
              <w:rPr>
                <w:rFonts w:hint="eastAsia" w:asciiTheme="minorEastAsia" w:hAnsiTheme="minorEastAsia" w:eastAsiaTheme="minorEastAsia" w:cstheme="minorEastAsia"/>
                <w:color w:val="auto"/>
                <w:sz w:val="24"/>
                <w:szCs w:val="24"/>
                <w:highlight w:val="none"/>
                <w:u w:val="none"/>
                <w:lang w:val="en-US" w:eastAsia="zh-CN"/>
              </w:rPr>
              <w:t>的</w:t>
            </w:r>
            <w:r>
              <w:rPr>
                <w:rFonts w:hint="eastAsia" w:asciiTheme="minorEastAsia" w:hAnsiTheme="minorEastAsia" w:eastAsiaTheme="minorEastAsia" w:cstheme="minorEastAsia"/>
                <w:color w:val="auto"/>
                <w:sz w:val="24"/>
                <w:szCs w:val="24"/>
                <w:highlight w:val="none"/>
                <w:u w:val="none"/>
              </w:rPr>
              <w:t>得</w:t>
            </w:r>
            <w:r>
              <w:rPr>
                <w:rFonts w:hint="default" w:asciiTheme="minorEastAsia" w:hAnsiTheme="minorEastAsia" w:eastAsiaTheme="minorEastAsia" w:cstheme="minorEastAsia"/>
                <w:color w:val="auto"/>
                <w:sz w:val="24"/>
                <w:szCs w:val="24"/>
                <w:highlight w:val="none"/>
                <w:u w:val="none"/>
                <w:lang w:val="en-US"/>
              </w:rPr>
              <w:t>1</w:t>
            </w:r>
            <w:r>
              <w:rPr>
                <w:rFonts w:hint="eastAsia" w:asciiTheme="minorEastAsia" w:hAnsiTheme="minorEastAsia" w:eastAsiaTheme="minorEastAsia" w:cstheme="minorEastAsia"/>
                <w:color w:val="auto"/>
                <w:sz w:val="24"/>
                <w:szCs w:val="24"/>
                <w:highlight w:val="none"/>
                <w:u w:val="none"/>
              </w:rPr>
              <w:t>0</w:t>
            </w:r>
            <w:r>
              <w:rPr>
                <w:rFonts w:hint="eastAsia" w:asciiTheme="minorEastAsia" w:hAnsiTheme="minorEastAsia" w:eastAsiaTheme="minorEastAsia" w:cstheme="minorEastAsia"/>
                <w:color w:val="auto"/>
                <w:sz w:val="24"/>
                <w:szCs w:val="24"/>
                <w:highlight w:val="none"/>
                <w:u w:val="none"/>
                <w:lang w:val="en-US" w:eastAsia="zh-CN"/>
              </w:rPr>
              <w:t>分</w:t>
            </w:r>
            <w:r>
              <w:rPr>
                <w:rFonts w:hint="eastAsia" w:asciiTheme="minorEastAsia" w:hAnsiTheme="minorEastAsia" w:eastAsiaTheme="minorEastAsia" w:cstheme="minorEastAsia"/>
                <w:color w:val="auto"/>
                <w:sz w:val="24"/>
                <w:szCs w:val="24"/>
                <w:highlight w:val="none"/>
                <w:u w:val="none"/>
              </w:rPr>
              <w:t>；</w:t>
            </w:r>
          </w:p>
          <w:p w14:paraId="728E5312">
            <w:pPr>
              <w:keepNext w:val="0"/>
              <w:keepLines w:val="0"/>
              <w:pageBreakBefore w:val="0"/>
              <w:suppressLineNumbers w:val="0"/>
              <w:kinsoku/>
              <w:overflowPunct/>
              <w:topLinePunct w:val="0"/>
              <w:bidi w:val="0"/>
              <w:adjustRightInd/>
              <w:snapToGrid/>
              <w:spacing w:before="0" w:beforeAutospacing="0" w:after="0" w:afterAutospacing="0" w:line="400" w:lineRule="exact"/>
              <w:ind w:left="0" w:leftChars="0" w:right="0" w:rightChars="0" w:firstLine="0" w:firstLineChars="0"/>
              <w:jc w:val="both"/>
              <w:outlineLvl w:val="9"/>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lang w:val="en-US" w:eastAsia="zh-CN"/>
              </w:rPr>
              <w:t>3、</w:t>
            </w:r>
            <w:r>
              <w:rPr>
                <w:rFonts w:hint="eastAsia" w:asciiTheme="minorEastAsia" w:hAnsiTheme="minorEastAsia" w:eastAsiaTheme="minorEastAsia" w:cstheme="minorEastAsia"/>
                <w:color w:val="auto"/>
                <w:sz w:val="24"/>
                <w:szCs w:val="24"/>
                <w:highlight w:val="none"/>
                <w:u w:val="none"/>
              </w:rPr>
              <w:t>具有相关机构颁发的劳动人事争议调解员证的得</w:t>
            </w:r>
            <w:r>
              <w:rPr>
                <w:rFonts w:hint="default" w:asciiTheme="minorEastAsia" w:hAnsiTheme="minorEastAsia" w:eastAsiaTheme="minorEastAsia" w:cstheme="minorEastAsia"/>
                <w:color w:val="auto"/>
                <w:sz w:val="24"/>
                <w:szCs w:val="24"/>
                <w:highlight w:val="none"/>
                <w:u w:val="none"/>
                <w:lang w:val="en-US"/>
              </w:rPr>
              <w:t>2</w:t>
            </w:r>
            <w:r>
              <w:rPr>
                <w:rFonts w:hint="eastAsia" w:asciiTheme="minorEastAsia" w:hAnsiTheme="minorEastAsia" w:eastAsiaTheme="minorEastAsia" w:cstheme="minorEastAsia"/>
                <w:color w:val="auto"/>
                <w:sz w:val="24"/>
                <w:szCs w:val="24"/>
                <w:highlight w:val="none"/>
                <w:u w:val="none"/>
              </w:rPr>
              <w:t>0</w:t>
            </w:r>
            <w:r>
              <w:rPr>
                <w:rFonts w:hint="eastAsia" w:asciiTheme="minorEastAsia" w:hAnsiTheme="minorEastAsia" w:eastAsiaTheme="minorEastAsia" w:cstheme="minorEastAsia"/>
                <w:color w:val="auto"/>
                <w:sz w:val="24"/>
                <w:szCs w:val="24"/>
                <w:highlight w:val="none"/>
                <w:u w:val="none"/>
                <w:lang w:val="en-US" w:eastAsia="zh-CN"/>
              </w:rPr>
              <w:t>分</w:t>
            </w:r>
            <w:r>
              <w:rPr>
                <w:rFonts w:hint="eastAsia" w:asciiTheme="minorEastAsia" w:hAnsiTheme="minorEastAsia" w:eastAsiaTheme="minorEastAsia" w:cstheme="minorEastAsia"/>
                <w:color w:val="auto"/>
                <w:sz w:val="24"/>
                <w:szCs w:val="24"/>
                <w:highlight w:val="none"/>
                <w:u w:val="none"/>
              </w:rPr>
              <w:t>；</w:t>
            </w:r>
          </w:p>
          <w:p w14:paraId="7AA834A4">
            <w:pPr>
              <w:keepNext w:val="0"/>
              <w:keepLines w:val="0"/>
              <w:pageBreakBefore w:val="0"/>
              <w:suppressLineNumbers w:val="0"/>
              <w:kinsoku/>
              <w:overflowPunct/>
              <w:topLinePunct w:val="0"/>
              <w:bidi w:val="0"/>
              <w:adjustRightInd/>
              <w:snapToGrid/>
              <w:spacing w:before="0" w:beforeAutospacing="0" w:after="0" w:afterAutospacing="0" w:line="400" w:lineRule="exact"/>
              <w:ind w:left="0" w:leftChars="0" w:right="0" w:rightChars="0" w:firstLine="0" w:firstLineChars="0"/>
              <w:jc w:val="both"/>
              <w:outlineLvl w:val="9"/>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lang w:val="en-US" w:eastAsia="zh-CN"/>
              </w:rPr>
              <w:t>4、</w:t>
            </w:r>
            <w:r>
              <w:rPr>
                <w:rFonts w:hint="eastAsia" w:asciiTheme="minorEastAsia" w:hAnsiTheme="minorEastAsia" w:eastAsiaTheme="minorEastAsia" w:cstheme="minorEastAsia"/>
                <w:color w:val="auto"/>
                <w:sz w:val="24"/>
                <w:szCs w:val="24"/>
                <w:highlight w:val="none"/>
                <w:u w:val="none"/>
              </w:rPr>
              <w:t>具有相关机构颁发的应急第一响应人初级（或以上）证书得</w:t>
            </w:r>
            <w:r>
              <w:rPr>
                <w:rFonts w:hint="eastAsia" w:asciiTheme="minorEastAsia" w:hAnsiTheme="minorEastAsia" w:eastAsiaTheme="minorEastAsia" w:cstheme="minorEastAsia"/>
                <w:color w:val="auto"/>
                <w:sz w:val="24"/>
                <w:szCs w:val="24"/>
                <w:highlight w:val="none"/>
                <w:u w:val="none"/>
                <w:lang w:val="en-US" w:eastAsia="zh-CN"/>
              </w:rPr>
              <w:t>10分</w:t>
            </w:r>
            <w:r>
              <w:rPr>
                <w:rFonts w:hint="eastAsia" w:asciiTheme="minorEastAsia" w:hAnsiTheme="minorEastAsia" w:eastAsiaTheme="minorEastAsia" w:cstheme="minorEastAsia"/>
                <w:color w:val="auto"/>
                <w:sz w:val="24"/>
                <w:szCs w:val="24"/>
                <w:highlight w:val="none"/>
                <w:u w:val="none"/>
              </w:rPr>
              <w:t>；</w:t>
            </w:r>
          </w:p>
          <w:p w14:paraId="7F3B573D">
            <w:pPr>
              <w:keepNext w:val="0"/>
              <w:keepLines w:val="0"/>
              <w:pageBreakBefore w:val="0"/>
              <w:suppressLineNumbers w:val="0"/>
              <w:kinsoku/>
              <w:overflowPunct/>
              <w:topLinePunct w:val="0"/>
              <w:bidi w:val="0"/>
              <w:adjustRightInd/>
              <w:snapToGrid/>
              <w:spacing w:before="0" w:beforeAutospacing="0" w:after="0" w:afterAutospacing="0" w:line="400" w:lineRule="exact"/>
              <w:ind w:left="0" w:leftChars="0" w:right="0" w:rightChars="0" w:firstLine="0" w:firstLineChars="0"/>
              <w:jc w:val="both"/>
              <w:outlineLvl w:val="9"/>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lang w:val="en-US" w:eastAsia="zh-CN"/>
              </w:rPr>
              <w:t>5、</w:t>
            </w:r>
            <w:r>
              <w:rPr>
                <w:rFonts w:hint="eastAsia" w:asciiTheme="minorEastAsia" w:hAnsiTheme="minorEastAsia" w:eastAsiaTheme="minorEastAsia" w:cstheme="minorEastAsia"/>
                <w:color w:val="auto"/>
                <w:sz w:val="24"/>
                <w:szCs w:val="24"/>
                <w:highlight w:val="none"/>
                <w:u w:val="none"/>
              </w:rPr>
              <w:t>具有</w:t>
            </w:r>
            <w:r>
              <w:rPr>
                <w:rFonts w:hint="eastAsia" w:asciiTheme="minorEastAsia" w:hAnsiTheme="minorEastAsia" w:eastAsiaTheme="minorEastAsia" w:cstheme="minorEastAsia"/>
                <w:b w:val="0"/>
                <w:bCs/>
                <w:color w:val="auto"/>
                <w:kern w:val="44"/>
                <w:sz w:val="24"/>
                <w:szCs w:val="24"/>
                <w:highlight w:val="none"/>
                <w:u w:val="none"/>
                <w:lang w:val="en-US" w:eastAsia="zh-CN"/>
              </w:rPr>
              <w:t>红十字会或急救中心</w:t>
            </w:r>
            <w:r>
              <w:rPr>
                <w:rFonts w:hint="eastAsia" w:asciiTheme="minorEastAsia" w:hAnsiTheme="minorEastAsia" w:eastAsiaTheme="minorEastAsia" w:cstheme="minorEastAsia"/>
                <w:color w:val="auto"/>
                <w:sz w:val="24"/>
                <w:szCs w:val="24"/>
                <w:highlight w:val="none"/>
                <w:u w:val="none"/>
              </w:rPr>
              <w:t>颁发的初级</w:t>
            </w:r>
            <w:r>
              <w:rPr>
                <w:rFonts w:hint="eastAsia" w:asciiTheme="minorEastAsia" w:hAnsiTheme="minorEastAsia" w:eastAsiaTheme="minorEastAsia" w:cstheme="minorEastAsia"/>
                <w:b w:val="0"/>
                <w:bCs/>
                <w:color w:val="auto"/>
                <w:kern w:val="44"/>
                <w:sz w:val="24"/>
                <w:szCs w:val="24"/>
                <w:highlight w:val="none"/>
                <w:u w:val="none"/>
                <w:lang w:val="en-US" w:eastAsia="zh-CN"/>
              </w:rPr>
              <w:t>（或以上）</w:t>
            </w:r>
            <w:r>
              <w:rPr>
                <w:rFonts w:hint="eastAsia" w:asciiTheme="minorEastAsia" w:hAnsiTheme="minorEastAsia" w:eastAsiaTheme="minorEastAsia" w:cstheme="minorEastAsia"/>
                <w:color w:val="auto"/>
                <w:sz w:val="24"/>
                <w:szCs w:val="24"/>
                <w:highlight w:val="none"/>
                <w:u w:val="none"/>
              </w:rPr>
              <w:t>救护员证的得</w:t>
            </w:r>
            <w:r>
              <w:rPr>
                <w:rFonts w:hint="eastAsia" w:asciiTheme="minorEastAsia" w:hAnsiTheme="minorEastAsia" w:eastAsiaTheme="minorEastAsia" w:cstheme="minorEastAsia"/>
                <w:color w:val="auto"/>
                <w:sz w:val="24"/>
                <w:szCs w:val="24"/>
                <w:highlight w:val="none"/>
                <w:u w:val="none"/>
                <w:lang w:val="en-US" w:eastAsia="zh-CN"/>
              </w:rPr>
              <w:t>10分</w:t>
            </w:r>
            <w:r>
              <w:rPr>
                <w:rFonts w:hint="eastAsia" w:asciiTheme="minorEastAsia" w:hAnsiTheme="minorEastAsia" w:eastAsiaTheme="minorEastAsia" w:cstheme="minorEastAsia"/>
                <w:color w:val="auto"/>
                <w:sz w:val="24"/>
                <w:szCs w:val="24"/>
                <w:highlight w:val="none"/>
                <w:u w:val="none"/>
              </w:rPr>
              <w:t>；</w:t>
            </w:r>
          </w:p>
          <w:p w14:paraId="59999590">
            <w:pPr>
              <w:keepNext w:val="0"/>
              <w:keepLines w:val="0"/>
              <w:pageBreakBefore w:val="0"/>
              <w:suppressLineNumbers w:val="0"/>
              <w:kinsoku/>
              <w:overflowPunct/>
              <w:topLinePunct w:val="0"/>
              <w:bidi w:val="0"/>
              <w:adjustRightInd/>
              <w:snapToGrid/>
              <w:spacing w:before="0" w:beforeAutospacing="0" w:after="0" w:afterAutospacing="0" w:line="400" w:lineRule="exact"/>
              <w:ind w:left="0" w:leftChars="0" w:right="0" w:rightChars="0" w:firstLine="0" w:firstLineChars="0"/>
              <w:jc w:val="both"/>
              <w:outlineLvl w:val="9"/>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lang w:val="en-US" w:eastAsia="zh-CN"/>
              </w:rPr>
              <w:t>6、</w:t>
            </w:r>
            <w:r>
              <w:rPr>
                <w:rFonts w:hint="eastAsia" w:asciiTheme="minorEastAsia" w:hAnsiTheme="minorEastAsia" w:eastAsiaTheme="minorEastAsia" w:cstheme="minorEastAsia"/>
                <w:color w:val="auto"/>
                <w:sz w:val="24"/>
                <w:szCs w:val="24"/>
                <w:highlight w:val="none"/>
                <w:u w:val="none"/>
              </w:rPr>
              <w:t>具有</w:t>
            </w:r>
            <w:r>
              <w:rPr>
                <w:rFonts w:hint="eastAsia" w:asciiTheme="minorEastAsia" w:hAnsiTheme="minorEastAsia" w:eastAsiaTheme="minorEastAsia" w:cstheme="minorEastAsia"/>
                <w:color w:val="auto"/>
                <w:sz w:val="24"/>
                <w:szCs w:val="24"/>
                <w:highlight w:val="none"/>
                <w:u w:val="none"/>
                <w:lang w:val="en-US" w:eastAsia="zh-CN"/>
              </w:rPr>
              <w:t>相关机构</w:t>
            </w:r>
            <w:r>
              <w:rPr>
                <w:rFonts w:hint="eastAsia" w:asciiTheme="minorEastAsia" w:hAnsiTheme="minorEastAsia" w:eastAsiaTheme="minorEastAsia" w:cstheme="minorEastAsia"/>
                <w:color w:val="auto"/>
                <w:sz w:val="24"/>
                <w:szCs w:val="24"/>
                <w:highlight w:val="none"/>
                <w:u w:val="none"/>
              </w:rPr>
              <w:t>颁发的《民用无人驾驶航空器操作员执照》或《民用无人驾驶航空器操控员执照》的得</w:t>
            </w:r>
            <w:r>
              <w:rPr>
                <w:rFonts w:hint="default" w:asciiTheme="minorEastAsia" w:hAnsiTheme="minorEastAsia" w:eastAsiaTheme="minorEastAsia" w:cstheme="minorEastAsia"/>
                <w:color w:val="auto"/>
                <w:sz w:val="24"/>
                <w:szCs w:val="24"/>
                <w:highlight w:val="none"/>
                <w:u w:val="none"/>
                <w:lang w:val="en-US"/>
              </w:rPr>
              <w:t>2</w:t>
            </w:r>
            <w:r>
              <w:rPr>
                <w:rFonts w:hint="eastAsia" w:asciiTheme="minorEastAsia" w:hAnsiTheme="minorEastAsia" w:eastAsiaTheme="minorEastAsia" w:cstheme="minorEastAsia"/>
                <w:color w:val="auto"/>
                <w:sz w:val="24"/>
                <w:szCs w:val="24"/>
                <w:highlight w:val="none"/>
                <w:u w:val="none"/>
              </w:rPr>
              <w:t>0</w:t>
            </w:r>
            <w:r>
              <w:rPr>
                <w:rFonts w:hint="eastAsia" w:asciiTheme="minorEastAsia" w:hAnsiTheme="minorEastAsia" w:eastAsiaTheme="minorEastAsia" w:cstheme="minorEastAsia"/>
                <w:color w:val="auto"/>
                <w:sz w:val="24"/>
                <w:szCs w:val="24"/>
                <w:highlight w:val="none"/>
                <w:u w:val="none"/>
                <w:lang w:val="en-US" w:eastAsia="zh-CN"/>
              </w:rPr>
              <w:t>分</w:t>
            </w:r>
            <w:r>
              <w:rPr>
                <w:rFonts w:hint="eastAsia" w:asciiTheme="minorEastAsia" w:hAnsiTheme="minorEastAsia" w:eastAsiaTheme="minorEastAsia" w:cstheme="minorEastAsia"/>
                <w:color w:val="auto"/>
                <w:sz w:val="24"/>
                <w:szCs w:val="24"/>
                <w:highlight w:val="none"/>
                <w:u w:val="none"/>
              </w:rPr>
              <w:t>；</w:t>
            </w:r>
          </w:p>
          <w:p w14:paraId="7144676A">
            <w:pPr>
              <w:keepNext w:val="0"/>
              <w:keepLines w:val="0"/>
              <w:pageBreakBefore w:val="0"/>
              <w:suppressLineNumbers w:val="0"/>
              <w:kinsoku/>
              <w:overflowPunct/>
              <w:topLinePunct w:val="0"/>
              <w:bidi w:val="0"/>
              <w:adjustRightInd/>
              <w:snapToGrid/>
              <w:spacing w:before="0" w:beforeAutospacing="0" w:after="0" w:afterAutospacing="0" w:line="400" w:lineRule="exact"/>
              <w:ind w:left="0" w:leftChars="0" w:right="0" w:rightChars="0" w:firstLine="0" w:firstLineChars="0"/>
              <w:jc w:val="both"/>
              <w:outlineLvl w:val="9"/>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lang w:val="en-US" w:eastAsia="zh-CN"/>
              </w:rPr>
              <w:t>7</w:t>
            </w:r>
            <w:r>
              <w:rPr>
                <w:rFonts w:hint="eastAsia" w:asciiTheme="minorEastAsia" w:hAnsiTheme="minorEastAsia" w:eastAsiaTheme="minorEastAsia" w:cstheme="minorEastAsia"/>
                <w:color w:val="auto"/>
                <w:sz w:val="24"/>
                <w:szCs w:val="24"/>
                <w:highlight w:val="none"/>
                <w:u w:val="none"/>
              </w:rPr>
              <w:t>、</w:t>
            </w:r>
            <w:r>
              <w:rPr>
                <w:rFonts w:hint="eastAsia" w:asciiTheme="minorEastAsia" w:hAnsiTheme="minorEastAsia" w:eastAsiaTheme="minorEastAsia" w:cstheme="minorEastAsia"/>
                <w:color w:val="auto"/>
                <w:sz w:val="24"/>
                <w:szCs w:val="24"/>
                <w:highlight w:val="none"/>
                <w:u w:val="none"/>
                <w:lang w:val="en-US" w:eastAsia="zh-CN"/>
              </w:rPr>
              <w:t>具有</w:t>
            </w:r>
            <w:r>
              <w:rPr>
                <w:rFonts w:hint="eastAsia" w:asciiTheme="minorEastAsia" w:hAnsiTheme="minorEastAsia" w:eastAsiaTheme="minorEastAsia" w:cstheme="minorEastAsia"/>
                <w:color w:val="auto"/>
                <w:sz w:val="24"/>
                <w:szCs w:val="24"/>
                <w:highlight w:val="none"/>
                <w:u w:val="none"/>
              </w:rPr>
              <w:t>5年</w:t>
            </w:r>
            <w:r>
              <w:rPr>
                <w:rFonts w:hint="eastAsia" w:asciiTheme="minorEastAsia" w:hAnsiTheme="minorEastAsia" w:eastAsiaTheme="minorEastAsia" w:cstheme="minorEastAsia"/>
                <w:color w:val="auto"/>
                <w:sz w:val="24"/>
                <w:szCs w:val="24"/>
                <w:highlight w:val="none"/>
                <w:u w:val="none"/>
                <w:lang w:eastAsia="zh-CN"/>
              </w:rPr>
              <w:t>（</w:t>
            </w:r>
            <w:r>
              <w:rPr>
                <w:rFonts w:hint="eastAsia" w:asciiTheme="minorEastAsia" w:hAnsiTheme="minorEastAsia" w:eastAsiaTheme="minorEastAsia" w:cstheme="minorEastAsia"/>
                <w:color w:val="auto"/>
                <w:sz w:val="24"/>
                <w:szCs w:val="24"/>
                <w:highlight w:val="none"/>
                <w:u w:val="none"/>
              </w:rPr>
              <w:t>或以上</w:t>
            </w:r>
            <w:r>
              <w:rPr>
                <w:rFonts w:hint="eastAsia" w:asciiTheme="minorEastAsia" w:hAnsiTheme="minorEastAsia" w:eastAsiaTheme="minorEastAsia" w:cstheme="minorEastAsia"/>
                <w:color w:val="auto"/>
                <w:sz w:val="24"/>
                <w:szCs w:val="24"/>
                <w:highlight w:val="none"/>
                <w:u w:val="none"/>
                <w:lang w:eastAsia="zh-CN"/>
              </w:rPr>
              <w:t>）</w:t>
            </w:r>
            <w:r>
              <w:rPr>
                <w:rFonts w:hint="eastAsia" w:asciiTheme="minorEastAsia" w:hAnsiTheme="minorEastAsia" w:eastAsiaTheme="minorEastAsia" w:cstheme="minorEastAsia"/>
                <w:color w:val="auto"/>
                <w:sz w:val="24"/>
                <w:szCs w:val="24"/>
                <w:highlight w:val="none"/>
                <w:u w:val="none"/>
              </w:rPr>
              <w:t>国家机关或事业单位委托的公园安保(或保安)类服务项目负责人经验且项目约定管理人数≥</w:t>
            </w:r>
            <w:r>
              <w:rPr>
                <w:rFonts w:hint="eastAsia" w:asciiTheme="minorEastAsia" w:hAnsiTheme="minorEastAsia" w:eastAsiaTheme="minorEastAsia" w:cstheme="minorEastAsia"/>
                <w:color w:val="auto"/>
                <w:sz w:val="24"/>
                <w:szCs w:val="24"/>
                <w:highlight w:val="none"/>
                <w:u w:val="none"/>
                <w:lang w:val="en-US" w:eastAsia="zh-CN"/>
              </w:rPr>
              <w:t>100</w:t>
            </w:r>
            <w:r>
              <w:rPr>
                <w:rFonts w:hint="eastAsia" w:asciiTheme="minorEastAsia" w:hAnsiTheme="minorEastAsia" w:eastAsiaTheme="minorEastAsia" w:cstheme="minorEastAsia"/>
                <w:color w:val="auto"/>
                <w:sz w:val="24"/>
                <w:szCs w:val="24"/>
                <w:highlight w:val="none"/>
                <w:u w:val="none"/>
              </w:rPr>
              <w:t>人的得20</w:t>
            </w:r>
            <w:r>
              <w:rPr>
                <w:rFonts w:hint="eastAsia" w:asciiTheme="minorEastAsia" w:hAnsiTheme="minorEastAsia" w:eastAsiaTheme="minorEastAsia" w:cstheme="minorEastAsia"/>
                <w:color w:val="auto"/>
                <w:sz w:val="24"/>
                <w:szCs w:val="24"/>
                <w:highlight w:val="none"/>
                <w:u w:val="none"/>
                <w:lang w:val="en-US" w:eastAsia="zh-CN"/>
              </w:rPr>
              <w:t>分；</w:t>
            </w:r>
          </w:p>
          <w:p w14:paraId="52201780">
            <w:pPr>
              <w:keepNext w:val="0"/>
              <w:keepLines w:val="0"/>
              <w:pageBreakBefore w:val="0"/>
              <w:suppressLineNumbers w:val="0"/>
              <w:kinsoku/>
              <w:overflowPunct/>
              <w:topLinePunct w:val="0"/>
              <w:bidi w:val="0"/>
              <w:adjustRightInd/>
              <w:snapToGrid/>
              <w:spacing w:before="0" w:beforeAutospacing="0" w:after="0" w:afterAutospacing="0" w:line="400" w:lineRule="exact"/>
              <w:ind w:left="0" w:leftChars="0" w:right="0" w:rightChars="0" w:firstLine="0" w:firstLineChars="0"/>
              <w:jc w:val="both"/>
              <w:outlineLvl w:val="9"/>
              <w:rPr>
                <w:rFonts w:hint="eastAsia" w:asciiTheme="minorEastAsia" w:hAnsiTheme="minorEastAsia" w:eastAsiaTheme="minorEastAsia" w:cstheme="minorEastAsia"/>
                <w:color w:val="auto"/>
                <w:sz w:val="24"/>
                <w:szCs w:val="24"/>
                <w:highlight w:val="none"/>
                <w:u w:val="none"/>
                <w:lang w:val="en-US" w:eastAsia="zh-CN"/>
              </w:rPr>
            </w:pPr>
            <w:r>
              <w:rPr>
                <w:rFonts w:hint="eastAsia" w:asciiTheme="minorEastAsia" w:hAnsiTheme="minorEastAsia" w:eastAsiaTheme="minorEastAsia" w:cstheme="minorEastAsia"/>
                <w:color w:val="auto"/>
                <w:sz w:val="24"/>
                <w:szCs w:val="24"/>
                <w:highlight w:val="none"/>
                <w:u w:val="none"/>
                <w:lang w:val="en-US" w:eastAsia="zh-CN"/>
              </w:rPr>
              <w:t>以上1-7项合计最高得100分。</w:t>
            </w:r>
          </w:p>
          <w:p w14:paraId="014421FF">
            <w:pPr>
              <w:keepNext w:val="0"/>
              <w:keepLines w:val="0"/>
              <w:pageBreakBefore w:val="0"/>
              <w:suppressLineNumbers w:val="0"/>
              <w:kinsoku/>
              <w:overflowPunct/>
              <w:topLinePunct w:val="0"/>
              <w:bidi w:val="0"/>
              <w:adjustRightInd/>
              <w:snapToGrid/>
              <w:spacing w:before="0" w:beforeAutospacing="0" w:after="0" w:afterAutospacing="0" w:line="400" w:lineRule="exact"/>
              <w:ind w:left="0" w:leftChars="0" w:right="0" w:rightChars="0" w:firstLine="0" w:firstLineChars="0"/>
              <w:jc w:val="both"/>
              <w:outlineLvl w:val="9"/>
              <w:rPr>
                <w:rFonts w:hint="eastAsia" w:asciiTheme="minorEastAsia" w:hAnsiTheme="minorEastAsia" w:eastAsiaTheme="minorEastAsia" w:cstheme="minorEastAsia"/>
                <w:color w:val="auto"/>
                <w:sz w:val="24"/>
                <w:szCs w:val="24"/>
                <w:highlight w:val="none"/>
                <w:u w:val="none"/>
                <w:lang w:eastAsia="zh-CN"/>
              </w:rPr>
            </w:pPr>
            <w:r>
              <w:rPr>
                <w:rFonts w:hint="eastAsia" w:asciiTheme="minorEastAsia" w:hAnsiTheme="minorEastAsia" w:eastAsiaTheme="minorEastAsia" w:cstheme="minorEastAsia"/>
                <w:color w:val="auto"/>
                <w:sz w:val="24"/>
                <w:szCs w:val="24"/>
                <w:highlight w:val="none"/>
                <w:u w:val="none"/>
                <w:lang w:eastAsia="zh-CN"/>
              </w:rPr>
              <w:t>（二）评分依据：</w:t>
            </w:r>
          </w:p>
          <w:p w14:paraId="49E6F724">
            <w:pPr>
              <w:keepNext w:val="0"/>
              <w:keepLines w:val="0"/>
              <w:pageBreakBefore w:val="0"/>
              <w:suppressLineNumbers w:val="0"/>
              <w:kinsoku/>
              <w:overflowPunct/>
              <w:topLinePunct w:val="0"/>
              <w:bidi w:val="0"/>
              <w:adjustRightInd/>
              <w:snapToGrid/>
              <w:spacing w:before="0" w:beforeAutospacing="0" w:after="0" w:afterAutospacing="0" w:line="400" w:lineRule="exact"/>
              <w:ind w:left="0" w:leftChars="0" w:right="0" w:rightChars="0" w:firstLine="0" w:firstLineChars="0"/>
              <w:jc w:val="both"/>
              <w:outlineLvl w:val="9"/>
              <w:rPr>
                <w:rFonts w:hint="eastAsia" w:asciiTheme="minorEastAsia" w:hAnsiTheme="minorEastAsia" w:eastAsiaTheme="minorEastAsia" w:cstheme="minorEastAsia"/>
                <w:color w:val="0000FF"/>
                <w:sz w:val="24"/>
                <w:szCs w:val="24"/>
                <w:highlight w:val="none"/>
                <w:u w:val="none"/>
                <w:lang w:val="en-US"/>
              </w:rPr>
            </w:pPr>
            <w:r>
              <w:rPr>
                <w:rFonts w:hint="eastAsia" w:asciiTheme="minorEastAsia" w:hAnsiTheme="minorEastAsia" w:eastAsiaTheme="minorEastAsia" w:cstheme="minorEastAsia"/>
                <w:color w:val="0000FF"/>
                <w:sz w:val="24"/>
                <w:szCs w:val="24"/>
                <w:highlight w:val="none"/>
                <w:u w:val="none"/>
                <w:lang w:val="en-US"/>
              </w:rPr>
              <w:t>1.涉及证书的，提供有效相关证书扫描件</w:t>
            </w:r>
            <w:r>
              <w:rPr>
                <w:rFonts w:hint="eastAsia" w:asciiTheme="minorEastAsia" w:hAnsiTheme="minorEastAsia" w:eastAsiaTheme="minorEastAsia" w:cstheme="minorEastAsia"/>
                <w:color w:val="0000FF"/>
                <w:sz w:val="24"/>
                <w:szCs w:val="24"/>
                <w:highlight w:val="none"/>
                <w:u w:val="none"/>
                <w:lang w:val="en-US" w:eastAsia="zh-CN"/>
              </w:rPr>
              <w:t>：（1）</w:t>
            </w:r>
            <w:r>
              <w:rPr>
                <w:rFonts w:hint="eastAsia" w:asciiTheme="minorEastAsia" w:hAnsiTheme="minorEastAsia" w:eastAsiaTheme="minorEastAsia" w:cstheme="minorEastAsia"/>
                <w:color w:val="0000FF"/>
                <w:sz w:val="24"/>
                <w:szCs w:val="24"/>
                <w:highlight w:val="none"/>
                <w:u w:val="none"/>
                <w:lang w:val="en-US"/>
              </w:rPr>
              <w:t>涉及学历的，</w:t>
            </w:r>
            <w:r>
              <w:rPr>
                <w:rFonts w:hint="eastAsia" w:asciiTheme="minorEastAsia" w:hAnsiTheme="minorEastAsia" w:eastAsiaTheme="minorEastAsia" w:cstheme="minorEastAsia"/>
                <w:color w:val="0000FF"/>
                <w:sz w:val="24"/>
                <w:szCs w:val="24"/>
                <w:highlight w:val="none"/>
                <w:u w:val="none"/>
                <w:lang w:val="en-US" w:eastAsia="zh-CN"/>
              </w:rPr>
              <w:t>还需提供</w:t>
            </w:r>
            <w:r>
              <w:rPr>
                <w:rFonts w:hint="eastAsia" w:asciiTheme="minorEastAsia" w:hAnsiTheme="minorEastAsia" w:eastAsiaTheme="minorEastAsia" w:cstheme="minorEastAsia"/>
                <w:color w:val="0000FF"/>
                <w:sz w:val="24"/>
                <w:szCs w:val="24"/>
                <w:highlight w:val="none"/>
                <w:u w:val="none"/>
                <w:lang w:val="en-US"/>
              </w:rPr>
              <w:t>学信网查询记录截图（如较早颁发的学历证书，学信网无法查询的，可提供毕业院校或教育或人社部门等颁发机构或监管机构等出具的证明，如海外留学（含港澳台人）学历无法通过学信网站查询的，应当提供教育部留学服务中心出具的国外学历认证证书以及教育部留学服务中心官网查询截图。若证明文件为其它语言，必须附中文译文，以中文译文为准）</w:t>
            </w:r>
            <w:r>
              <w:rPr>
                <w:rFonts w:hint="eastAsia" w:asciiTheme="minorEastAsia" w:hAnsiTheme="minorEastAsia" w:eastAsiaTheme="minorEastAsia" w:cstheme="minorEastAsia"/>
                <w:color w:val="0000FF"/>
                <w:sz w:val="24"/>
                <w:szCs w:val="24"/>
                <w:highlight w:val="none"/>
                <w:u w:val="none"/>
                <w:lang w:val="en-US" w:eastAsia="zh-CN"/>
              </w:rPr>
              <w:t>；（2）其中第6项</w:t>
            </w:r>
            <w:r>
              <w:rPr>
                <w:rFonts w:hint="eastAsia" w:asciiTheme="minorEastAsia" w:hAnsiTheme="minorEastAsia" w:eastAsiaTheme="minorEastAsia" w:cstheme="minorEastAsia"/>
                <w:color w:val="0000FF"/>
                <w:sz w:val="24"/>
                <w:szCs w:val="24"/>
                <w:highlight w:val="none"/>
                <w:u w:val="none"/>
                <w:lang w:val="en-US"/>
              </w:rPr>
              <w:t>需同时提供相关执照（或合格证）以及执照（或合格证）在官网https://uom.caac.gov.cn查询截图；</w:t>
            </w:r>
          </w:p>
          <w:p w14:paraId="5326DF9D">
            <w:pPr>
              <w:keepNext w:val="0"/>
              <w:keepLines w:val="0"/>
              <w:pageBreakBefore w:val="0"/>
              <w:suppressLineNumbers w:val="0"/>
              <w:kinsoku/>
              <w:overflowPunct/>
              <w:topLinePunct w:val="0"/>
              <w:bidi w:val="0"/>
              <w:adjustRightInd/>
              <w:snapToGrid/>
              <w:spacing w:before="0" w:beforeAutospacing="0" w:after="0" w:afterAutospacing="0" w:line="400" w:lineRule="exact"/>
              <w:ind w:left="0" w:leftChars="0" w:right="0" w:rightChars="0" w:firstLine="0" w:firstLineChars="0"/>
              <w:jc w:val="both"/>
              <w:outlineLvl w:val="9"/>
              <w:rPr>
                <w:rFonts w:hint="eastAsia" w:asciiTheme="minorEastAsia" w:hAnsiTheme="minorEastAsia" w:eastAsiaTheme="minorEastAsia" w:cstheme="minorEastAsia"/>
                <w:color w:val="0000FF"/>
                <w:sz w:val="24"/>
                <w:szCs w:val="24"/>
                <w:highlight w:val="none"/>
                <w:u w:val="none"/>
                <w:lang w:val="en-US"/>
              </w:rPr>
            </w:pPr>
            <w:r>
              <w:rPr>
                <w:rFonts w:hint="eastAsia" w:asciiTheme="minorEastAsia" w:hAnsiTheme="minorEastAsia" w:eastAsiaTheme="minorEastAsia" w:cstheme="minorEastAsia"/>
                <w:color w:val="0000FF"/>
                <w:sz w:val="24"/>
                <w:szCs w:val="24"/>
                <w:highlight w:val="none"/>
                <w:u w:val="none"/>
                <w:lang w:val="en-US"/>
              </w:rPr>
              <w:t>2.如评分项中涉及的证书颁发单位为相关行业协会（或学会）的，则需同时提供证书颁发单位在全国社会组织信用信息公示平台（https://xxgs.chinanpo.mca.gov.cn/gsxt/newList）的信息查询截图（截图需显示发证单位状态为“正常”）；</w:t>
            </w:r>
          </w:p>
          <w:p w14:paraId="556F51BB">
            <w:pPr>
              <w:keepNext w:val="0"/>
              <w:keepLines w:val="0"/>
              <w:pageBreakBefore w:val="0"/>
              <w:suppressLineNumbers w:val="0"/>
              <w:kinsoku/>
              <w:overflowPunct/>
              <w:topLinePunct w:val="0"/>
              <w:bidi w:val="0"/>
              <w:adjustRightInd/>
              <w:snapToGrid/>
              <w:spacing w:before="0" w:beforeAutospacing="0" w:after="0" w:afterAutospacing="0" w:line="400" w:lineRule="exact"/>
              <w:ind w:left="0" w:leftChars="0" w:right="0" w:rightChars="0" w:firstLine="0" w:firstLineChars="0"/>
              <w:jc w:val="both"/>
              <w:outlineLvl w:val="9"/>
              <w:rPr>
                <w:rFonts w:hint="eastAsia" w:asciiTheme="minorEastAsia" w:hAnsiTheme="minorEastAsia" w:eastAsiaTheme="minorEastAsia" w:cstheme="minorEastAsia"/>
                <w:color w:val="0000FF"/>
                <w:sz w:val="24"/>
                <w:szCs w:val="24"/>
                <w:highlight w:val="none"/>
                <w:u w:val="none"/>
                <w:lang w:val="en-US"/>
              </w:rPr>
            </w:pPr>
            <w:r>
              <w:rPr>
                <w:rFonts w:hint="eastAsia" w:asciiTheme="minorEastAsia" w:hAnsiTheme="minorEastAsia" w:eastAsiaTheme="minorEastAsia" w:cstheme="minorEastAsia"/>
                <w:color w:val="0000FF"/>
                <w:sz w:val="24"/>
                <w:szCs w:val="24"/>
                <w:highlight w:val="none"/>
                <w:u w:val="none"/>
                <w:lang w:val="en-US"/>
              </w:rPr>
              <w:t>3.涉及项目经验的，提供国家机关或事业单位出具并加盖公章的经验证明（经验计算至投标截止日），证明需体现项目负责人姓名和项目经验满足相关年限要求。</w:t>
            </w:r>
          </w:p>
          <w:p w14:paraId="53199B7C">
            <w:pPr>
              <w:keepNext w:val="0"/>
              <w:keepLines w:val="0"/>
              <w:pageBreakBefore w:val="0"/>
              <w:suppressLineNumbers w:val="0"/>
              <w:kinsoku/>
              <w:overflowPunct/>
              <w:topLinePunct w:val="0"/>
              <w:bidi w:val="0"/>
              <w:adjustRightInd/>
              <w:snapToGrid/>
              <w:spacing w:before="0" w:beforeAutospacing="0" w:after="0" w:afterAutospacing="0" w:line="400" w:lineRule="exact"/>
              <w:ind w:left="0" w:leftChars="0" w:right="0" w:rightChars="0" w:firstLine="0" w:firstLineChars="0"/>
              <w:jc w:val="both"/>
              <w:outlineLvl w:val="9"/>
              <w:rPr>
                <w:rFonts w:hint="eastAsia" w:asciiTheme="minorEastAsia" w:hAnsiTheme="minorEastAsia" w:eastAsiaTheme="minorEastAsia" w:cstheme="minorEastAsia"/>
                <w:color w:val="0000FF"/>
                <w:sz w:val="24"/>
                <w:szCs w:val="24"/>
                <w:highlight w:val="none"/>
                <w:u w:val="none"/>
                <w:lang w:val="en-US"/>
              </w:rPr>
            </w:pPr>
            <w:r>
              <w:rPr>
                <w:rFonts w:hint="eastAsia" w:asciiTheme="minorEastAsia" w:hAnsiTheme="minorEastAsia" w:eastAsiaTheme="minorEastAsia" w:cstheme="minorEastAsia"/>
                <w:color w:val="0000FF"/>
                <w:sz w:val="24"/>
                <w:szCs w:val="24"/>
                <w:highlight w:val="none"/>
                <w:u w:val="none"/>
                <w:lang w:val="en-US"/>
              </w:rPr>
              <w:t>4.提供项目负责人开标日当月（或前一个月）在本单位缴纳且载有社保部门（或税务部门）公章（或税务部门公章）的社保缴交证明材料（如开标日当月（或前一个月）的社保材料因社保部门（或税务部门）原因暂时无法取得，则可以往前顺延一个月）；成立时间不满1个月的投标人需提供成立时间相关说明材料，并提供承诺函（格式自拟）承诺人员为投标人现有员工。</w:t>
            </w:r>
          </w:p>
          <w:p w14:paraId="4A3E732A">
            <w:pPr>
              <w:keepNext w:val="0"/>
              <w:keepLines w:val="0"/>
              <w:pageBreakBefore w:val="0"/>
              <w:suppressLineNumbers w:val="0"/>
              <w:kinsoku/>
              <w:overflowPunct/>
              <w:topLinePunct w:val="0"/>
              <w:bidi w:val="0"/>
              <w:adjustRightInd/>
              <w:snapToGrid/>
              <w:spacing w:before="0" w:beforeAutospacing="0" w:after="0" w:afterAutospacing="0" w:line="400" w:lineRule="exact"/>
              <w:ind w:left="0" w:leftChars="0" w:right="0" w:rightChars="0" w:firstLine="0" w:firstLineChars="0"/>
              <w:jc w:val="both"/>
              <w:outlineLvl w:val="9"/>
              <w:rPr>
                <w:rFonts w:hint="eastAsia" w:asciiTheme="minorEastAsia" w:hAnsiTheme="minorEastAsia" w:eastAsiaTheme="minorEastAsia" w:cstheme="minorEastAsia"/>
                <w:color w:val="auto"/>
                <w:kern w:val="2"/>
                <w:sz w:val="24"/>
                <w:szCs w:val="24"/>
                <w:highlight w:val="none"/>
                <w:u w:val="none"/>
                <w:lang w:val="en-US" w:eastAsia="zh-CN" w:bidi="ar-SA"/>
              </w:rPr>
            </w:pPr>
            <w:r>
              <w:rPr>
                <w:rFonts w:hint="eastAsia" w:asciiTheme="minorEastAsia" w:hAnsiTheme="minorEastAsia" w:eastAsiaTheme="minorEastAsia" w:cstheme="minorEastAsia"/>
                <w:color w:val="0000FF"/>
                <w:sz w:val="24"/>
                <w:szCs w:val="24"/>
                <w:highlight w:val="none"/>
                <w:u w:val="none"/>
                <w:lang w:val="en-US"/>
              </w:rPr>
              <w:t>5.未按要求提供相关证明材料（或相关证明材料无法判断是否符合评分要求）的不计得分</w:t>
            </w:r>
            <w:r>
              <w:rPr>
                <w:rFonts w:hint="eastAsia" w:asciiTheme="minorEastAsia" w:hAnsiTheme="minorEastAsia" w:eastAsiaTheme="minorEastAsia" w:cstheme="minorEastAsia"/>
                <w:color w:val="0000FF"/>
                <w:sz w:val="24"/>
                <w:szCs w:val="24"/>
                <w:highlight w:val="none"/>
                <w:u w:val="none"/>
                <w:lang w:val="en-US" w:eastAsia="zh-CN"/>
              </w:rPr>
              <w:t>。</w:t>
            </w:r>
          </w:p>
        </w:tc>
      </w:tr>
      <w:tr w14:paraId="1DB1A98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0" w:type="dxa"/>
            <w:vMerge w:val="continue"/>
            <w:tcBorders>
              <w:left w:val="single" w:color="000000" w:sz="8" w:space="0"/>
              <w:right w:val="single" w:color="000000" w:sz="8" w:space="0"/>
            </w:tcBorders>
            <w:vAlign w:val="center"/>
          </w:tcPr>
          <w:p w14:paraId="05C1B89C">
            <w:pPr>
              <w:rPr>
                <w:rFonts w:ascii="宋体" w:hAnsi="宋体" w:cs="宋体"/>
                <w:b/>
                <w:bCs/>
                <w:color w:val="0000FF"/>
                <w:sz w:val="24"/>
              </w:rPr>
            </w:pPr>
          </w:p>
        </w:tc>
        <w:tc>
          <w:tcPr>
            <w:tcW w:w="680" w:type="dxa"/>
            <w:tcBorders>
              <w:top w:val="single" w:color="000000" w:sz="8" w:space="0"/>
              <w:left w:val="single" w:color="000000" w:sz="8" w:space="0"/>
              <w:bottom w:val="single" w:color="000000" w:sz="8" w:space="0"/>
              <w:right w:val="single" w:color="000000" w:sz="8" w:space="0"/>
            </w:tcBorders>
            <w:vAlign w:val="center"/>
          </w:tcPr>
          <w:p w14:paraId="51BDA4F2">
            <w:pPr>
              <w:wordWrap w:val="0"/>
              <w:jc w:val="center"/>
              <w:rPr>
                <w:rFonts w:hint="default" w:ascii="宋体" w:hAnsi="宋体" w:cs="宋体"/>
                <w:szCs w:val="21"/>
                <w:lang w:val="en-US" w:eastAsia="zh-CN"/>
              </w:rPr>
            </w:pPr>
            <w:r>
              <w:rPr>
                <w:rFonts w:hint="eastAsia" w:ascii="宋体" w:hAnsi="宋体" w:cs="宋体"/>
                <w:szCs w:val="21"/>
                <w:lang w:val="en-US" w:eastAsia="zh-CN"/>
              </w:rPr>
              <w:t>7</w:t>
            </w:r>
          </w:p>
        </w:tc>
        <w:tc>
          <w:tcPr>
            <w:tcW w:w="283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CDB7DC7">
            <w:pPr>
              <w:keepNext w:val="0"/>
              <w:keepLines w:val="0"/>
              <w:pageBreakBefore w:val="0"/>
              <w:suppressLineNumbers w:val="0"/>
              <w:kinsoku/>
              <w:overflowPunct/>
              <w:topLinePunct w:val="0"/>
              <w:bidi w:val="0"/>
              <w:adjustRightInd/>
              <w:snapToGrid/>
              <w:spacing w:before="0" w:beforeAutospacing="0" w:after="0" w:afterAutospacing="0" w:line="400" w:lineRule="exact"/>
              <w:ind w:left="0" w:leftChars="0" w:right="0" w:rightChars="0" w:firstLine="0" w:firstLineChars="0"/>
              <w:jc w:val="center"/>
              <w:outlineLvl w:val="9"/>
              <w:rPr>
                <w:rFonts w:hint="eastAsia" w:asciiTheme="minorEastAsia" w:hAnsiTheme="minorEastAsia" w:eastAsiaTheme="minorEastAsia" w:cstheme="minorEastAsia"/>
                <w:b w:val="0"/>
                <w:bCs/>
                <w:color w:val="auto"/>
                <w:kern w:val="2"/>
                <w:sz w:val="24"/>
                <w:szCs w:val="24"/>
                <w:highlight w:val="none"/>
                <w:u w:val="none"/>
                <w:lang w:val="en-US" w:eastAsia="zh-CN" w:bidi="ar-SA"/>
              </w:rPr>
            </w:pPr>
            <w:r>
              <w:rPr>
                <w:rFonts w:hint="eastAsia" w:asciiTheme="minorEastAsia" w:hAnsiTheme="minorEastAsia" w:eastAsiaTheme="minorEastAsia" w:cstheme="minorEastAsia"/>
                <w:b w:val="0"/>
                <w:bCs/>
                <w:color w:val="auto"/>
                <w:sz w:val="24"/>
                <w:szCs w:val="24"/>
                <w:highlight w:val="none"/>
                <w:u w:val="none"/>
              </w:rPr>
              <w:t>拟安排的安保视频监控(临时)指挥平台组</w:t>
            </w:r>
          </w:p>
        </w:tc>
        <w:tc>
          <w:tcPr>
            <w:tcW w:w="68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1267560">
            <w:pPr>
              <w:keepNext w:val="0"/>
              <w:keepLines w:val="0"/>
              <w:pageBreakBefore w:val="0"/>
              <w:suppressLineNumbers w:val="0"/>
              <w:kinsoku/>
              <w:overflowPunct/>
              <w:topLinePunct w:val="0"/>
              <w:bidi w:val="0"/>
              <w:adjustRightInd/>
              <w:snapToGrid/>
              <w:spacing w:before="0" w:beforeAutospacing="0" w:after="0" w:afterAutospacing="0" w:line="400" w:lineRule="exact"/>
              <w:ind w:left="0" w:leftChars="0" w:right="0" w:rightChars="0" w:firstLine="0" w:firstLineChars="0"/>
              <w:jc w:val="center"/>
              <w:outlineLvl w:val="9"/>
              <w:rPr>
                <w:rFonts w:hint="default" w:asciiTheme="minorEastAsia" w:hAnsiTheme="minorEastAsia" w:eastAsiaTheme="minorEastAsia" w:cstheme="minorEastAsia"/>
                <w:b w:val="0"/>
                <w:bCs w:val="0"/>
                <w:color w:val="auto"/>
                <w:kern w:val="2"/>
                <w:sz w:val="24"/>
                <w:szCs w:val="24"/>
                <w:highlight w:val="none"/>
                <w:u w:val="none"/>
                <w:lang w:val="en-US" w:eastAsia="zh-CN" w:bidi="ar-SA"/>
              </w:rPr>
            </w:pPr>
            <w:r>
              <w:rPr>
                <w:rFonts w:hint="eastAsia" w:asciiTheme="minorEastAsia" w:hAnsiTheme="minorEastAsia" w:eastAsiaTheme="minorEastAsia" w:cstheme="minorEastAsia"/>
                <w:b w:val="0"/>
                <w:bCs w:val="0"/>
                <w:color w:val="auto"/>
                <w:sz w:val="24"/>
                <w:szCs w:val="24"/>
                <w:highlight w:val="none"/>
                <w:u w:val="none"/>
                <w:lang w:val="en-US" w:eastAsia="zh-CN"/>
              </w:rPr>
              <w:t>10</w:t>
            </w:r>
          </w:p>
        </w:tc>
        <w:tc>
          <w:tcPr>
            <w:tcW w:w="419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43E00CC">
            <w:pPr>
              <w:keepNext w:val="0"/>
              <w:keepLines w:val="0"/>
              <w:pageBreakBefore w:val="0"/>
              <w:suppressLineNumbers w:val="0"/>
              <w:kinsoku/>
              <w:overflowPunct/>
              <w:topLinePunct w:val="0"/>
              <w:bidi w:val="0"/>
              <w:adjustRightInd/>
              <w:snapToGrid/>
              <w:spacing w:before="0" w:beforeAutospacing="0" w:after="0" w:afterAutospacing="0" w:line="400" w:lineRule="exact"/>
              <w:ind w:left="0" w:leftChars="0" w:right="0" w:rightChars="0" w:firstLine="0" w:firstLineChars="0"/>
              <w:jc w:val="both"/>
              <w:outlineLvl w:val="9"/>
              <w:rPr>
                <w:rFonts w:hint="eastAsia" w:asciiTheme="minorEastAsia" w:hAnsiTheme="minorEastAsia" w:eastAsiaTheme="minorEastAsia" w:cstheme="minorEastAsia"/>
                <w:color w:val="auto"/>
                <w:sz w:val="24"/>
                <w:szCs w:val="24"/>
                <w:highlight w:val="none"/>
                <w:u w:val="none"/>
                <w:lang w:val="en-US" w:eastAsia="zh-CN"/>
              </w:rPr>
            </w:pPr>
            <w:r>
              <w:rPr>
                <w:rFonts w:hint="eastAsia" w:asciiTheme="minorEastAsia" w:hAnsiTheme="minorEastAsia" w:eastAsiaTheme="minorEastAsia" w:cstheme="minorEastAsia"/>
                <w:color w:val="auto"/>
                <w:sz w:val="24"/>
                <w:szCs w:val="24"/>
                <w:highlight w:val="none"/>
                <w:u w:val="none"/>
                <w:lang w:val="en-US" w:eastAsia="zh-CN"/>
              </w:rPr>
              <w:t>（一）评分内容：</w:t>
            </w:r>
          </w:p>
          <w:p w14:paraId="3850AE3F">
            <w:pPr>
              <w:keepNext w:val="0"/>
              <w:keepLines w:val="0"/>
              <w:pageBreakBefore w:val="0"/>
              <w:suppressLineNumbers w:val="0"/>
              <w:kinsoku/>
              <w:overflowPunct/>
              <w:topLinePunct w:val="0"/>
              <w:bidi w:val="0"/>
              <w:adjustRightInd/>
              <w:snapToGrid/>
              <w:spacing w:before="0" w:beforeAutospacing="0" w:after="0" w:afterAutospacing="0" w:line="400" w:lineRule="exact"/>
              <w:ind w:left="0" w:leftChars="0" w:right="0" w:rightChars="0" w:firstLine="0" w:firstLineChars="0"/>
              <w:jc w:val="both"/>
              <w:outlineLvl w:val="9"/>
              <w:rPr>
                <w:rFonts w:hint="eastAsia" w:asciiTheme="minorEastAsia" w:hAnsiTheme="minorEastAsia" w:eastAsiaTheme="minorEastAsia" w:cstheme="minorEastAsia"/>
                <w:color w:val="auto"/>
                <w:sz w:val="24"/>
                <w:szCs w:val="24"/>
                <w:highlight w:val="none"/>
                <w:u w:val="none"/>
                <w:lang w:val="en-US"/>
              </w:rPr>
            </w:pPr>
            <w:r>
              <w:rPr>
                <w:rFonts w:hint="eastAsia" w:asciiTheme="minorEastAsia" w:hAnsiTheme="minorEastAsia" w:eastAsiaTheme="minorEastAsia" w:cstheme="minorEastAsia"/>
                <w:color w:val="auto"/>
                <w:sz w:val="24"/>
                <w:szCs w:val="24"/>
                <w:highlight w:val="none"/>
                <w:u w:val="none"/>
                <w:lang w:val="en-US"/>
              </w:rPr>
              <w:t>投标人为本项目拟安排的安保视频监控（临时）指挥平台组成员须为投标人自有员工（拟安排的项目负责人、拟安排的项目团队成员及拟安排的培训负责人及培训团队成员除外），否则本项不得分。在此基础上，按以下标准评分：</w:t>
            </w:r>
          </w:p>
          <w:p w14:paraId="0AB8CDAD">
            <w:pPr>
              <w:keepNext w:val="0"/>
              <w:keepLines w:val="0"/>
              <w:pageBreakBefore w:val="0"/>
              <w:suppressLineNumbers w:val="0"/>
              <w:kinsoku/>
              <w:overflowPunct/>
              <w:topLinePunct w:val="0"/>
              <w:bidi w:val="0"/>
              <w:adjustRightInd/>
              <w:snapToGrid/>
              <w:spacing w:before="0" w:beforeAutospacing="0" w:after="0" w:afterAutospacing="0" w:line="400" w:lineRule="exact"/>
              <w:ind w:left="0" w:leftChars="0" w:right="0" w:rightChars="0" w:firstLine="0" w:firstLineChars="0"/>
              <w:jc w:val="both"/>
              <w:outlineLvl w:val="9"/>
              <w:rPr>
                <w:rFonts w:hint="eastAsia" w:asciiTheme="minorEastAsia" w:hAnsiTheme="minorEastAsia" w:eastAsiaTheme="minorEastAsia" w:cstheme="minorEastAsia"/>
                <w:b/>
                <w:bCs/>
                <w:color w:val="auto"/>
                <w:sz w:val="24"/>
                <w:szCs w:val="24"/>
                <w:highlight w:val="none"/>
                <w:u w:val="none"/>
                <w:lang w:val="en-US"/>
              </w:rPr>
            </w:pPr>
            <w:r>
              <w:rPr>
                <w:rFonts w:hint="eastAsia" w:asciiTheme="minorEastAsia" w:hAnsiTheme="minorEastAsia" w:eastAsiaTheme="minorEastAsia" w:cstheme="minorEastAsia"/>
                <w:b/>
                <w:bCs/>
                <w:color w:val="auto"/>
                <w:sz w:val="24"/>
                <w:szCs w:val="24"/>
                <w:highlight w:val="none"/>
                <w:u w:val="none"/>
                <w:lang w:val="en-US"/>
              </w:rPr>
              <w:t>1.组长（仅限1人，本项最高得50</w:t>
            </w:r>
            <w:r>
              <w:rPr>
                <w:rFonts w:hint="eastAsia" w:asciiTheme="minorEastAsia" w:hAnsiTheme="minorEastAsia" w:eastAsiaTheme="minorEastAsia" w:cstheme="minorEastAsia"/>
                <w:b/>
                <w:bCs/>
                <w:color w:val="auto"/>
                <w:sz w:val="24"/>
                <w:szCs w:val="24"/>
                <w:highlight w:val="none"/>
                <w:u w:val="none"/>
                <w:lang w:val="en-US" w:eastAsia="zh-CN"/>
              </w:rPr>
              <w:t>分</w:t>
            </w:r>
            <w:r>
              <w:rPr>
                <w:rFonts w:hint="eastAsia" w:asciiTheme="minorEastAsia" w:hAnsiTheme="minorEastAsia" w:eastAsiaTheme="minorEastAsia" w:cstheme="minorEastAsia"/>
                <w:b/>
                <w:bCs/>
                <w:color w:val="auto"/>
                <w:sz w:val="24"/>
                <w:szCs w:val="24"/>
                <w:highlight w:val="none"/>
                <w:u w:val="none"/>
                <w:lang w:val="en-US"/>
              </w:rPr>
              <w:t>）：</w:t>
            </w:r>
          </w:p>
          <w:p w14:paraId="76413539">
            <w:pPr>
              <w:keepNext w:val="0"/>
              <w:keepLines w:val="0"/>
              <w:pageBreakBefore w:val="0"/>
              <w:suppressLineNumbers w:val="0"/>
              <w:kinsoku/>
              <w:overflowPunct/>
              <w:topLinePunct w:val="0"/>
              <w:bidi w:val="0"/>
              <w:adjustRightInd/>
              <w:snapToGrid/>
              <w:spacing w:before="0" w:beforeAutospacing="0" w:after="0" w:afterAutospacing="0" w:line="400" w:lineRule="exact"/>
              <w:ind w:left="0" w:leftChars="0" w:right="0" w:rightChars="0" w:firstLine="0" w:firstLineChars="0"/>
              <w:jc w:val="both"/>
              <w:outlineLvl w:val="9"/>
              <w:rPr>
                <w:rFonts w:hint="eastAsia" w:asciiTheme="minorEastAsia" w:hAnsiTheme="minorEastAsia" w:eastAsiaTheme="minorEastAsia" w:cstheme="minorEastAsia"/>
                <w:color w:val="auto"/>
                <w:sz w:val="24"/>
                <w:szCs w:val="24"/>
                <w:highlight w:val="none"/>
                <w:u w:val="none"/>
                <w:lang w:val="en-US"/>
              </w:rPr>
            </w:pPr>
            <w:r>
              <w:rPr>
                <w:rFonts w:hint="eastAsia" w:asciiTheme="minorEastAsia" w:hAnsiTheme="minorEastAsia" w:eastAsiaTheme="minorEastAsia" w:cstheme="minorEastAsia"/>
                <w:color w:val="auto"/>
                <w:sz w:val="24"/>
                <w:szCs w:val="24"/>
                <w:highlight w:val="none"/>
                <w:u w:val="none"/>
                <w:lang w:val="en-US"/>
              </w:rPr>
              <w:t>（1）具有计算机类本科</w:t>
            </w:r>
            <w:r>
              <w:rPr>
                <w:rFonts w:hint="eastAsia" w:asciiTheme="minorEastAsia" w:hAnsiTheme="minorEastAsia" w:eastAsiaTheme="minorEastAsia" w:cstheme="minorEastAsia"/>
                <w:color w:val="auto"/>
                <w:sz w:val="24"/>
                <w:szCs w:val="24"/>
                <w:highlight w:val="none"/>
                <w:u w:val="none"/>
                <w:lang w:val="en-US" w:eastAsia="zh-CN"/>
              </w:rPr>
              <w:t>（或以上）</w:t>
            </w:r>
            <w:r>
              <w:rPr>
                <w:rFonts w:hint="eastAsia" w:asciiTheme="minorEastAsia" w:hAnsiTheme="minorEastAsia" w:eastAsiaTheme="minorEastAsia" w:cstheme="minorEastAsia"/>
                <w:color w:val="auto"/>
                <w:sz w:val="24"/>
                <w:szCs w:val="24"/>
                <w:highlight w:val="none"/>
                <w:u w:val="none"/>
                <w:lang w:val="en-US"/>
              </w:rPr>
              <w:t>学历证书的得5</w:t>
            </w:r>
            <w:r>
              <w:rPr>
                <w:rFonts w:hint="eastAsia" w:asciiTheme="minorEastAsia" w:hAnsiTheme="minorEastAsia" w:eastAsiaTheme="minorEastAsia" w:cstheme="minorEastAsia"/>
                <w:color w:val="auto"/>
                <w:sz w:val="24"/>
                <w:szCs w:val="24"/>
                <w:highlight w:val="none"/>
                <w:u w:val="none"/>
                <w:lang w:val="en-US" w:eastAsia="zh-CN"/>
              </w:rPr>
              <w:t>分</w:t>
            </w:r>
            <w:r>
              <w:rPr>
                <w:rFonts w:hint="eastAsia" w:asciiTheme="minorEastAsia" w:hAnsiTheme="minorEastAsia" w:eastAsiaTheme="minorEastAsia" w:cstheme="minorEastAsia"/>
                <w:color w:val="auto"/>
                <w:sz w:val="24"/>
                <w:szCs w:val="24"/>
                <w:highlight w:val="none"/>
                <w:u w:val="none"/>
                <w:lang w:val="en-US"/>
              </w:rPr>
              <w:t>，本项最高得5</w:t>
            </w:r>
            <w:r>
              <w:rPr>
                <w:rFonts w:hint="eastAsia" w:asciiTheme="minorEastAsia" w:hAnsiTheme="minorEastAsia" w:eastAsiaTheme="minorEastAsia" w:cstheme="minorEastAsia"/>
                <w:color w:val="auto"/>
                <w:sz w:val="24"/>
                <w:szCs w:val="24"/>
                <w:highlight w:val="none"/>
                <w:u w:val="none"/>
                <w:lang w:val="en-US" w:eastAsia="zh-CN"/>
              </w:rPr>
              <w:t>分</w:t>
            </w:r>
            <w:r>
              <w:rPr>
                <w:rFonts w:hint="eastAsia" w:asciiTheme="minorEastAsia" w:hAnsiTheme="minorEastAsia" w:eastAsiaTheme="minorEastAsia" w:cstheme="minorEastAsia"/>
                <w:color w:val="auto"/>
                <w:sz w:val="24"/>
                <w:szCs w:val="24"/>
                <w:highlight w:val="none"/>
                <w:u w:val="none"/>
                <w:lang w:val="en-US"/>
              </w:rPr>
              <w:t>；</w:t>
            </w:r>
          </w:p>
          <w:p w14:paraId="60DC22AC">
            <w:pPr>
              <w:keepNext w:val="0"/>
              <w:keepLines w:val="0"/>
              <w:pageBreakBefore w:val="0"/>
              <w:suppressLineNumbers w:val="0"/>
              <w:kinsoku/>
              <w:overflowPunct/>
              <w:topLinePunct w:val="0"/>
              <w:bidi w:val="0"/>
              <w:adjustRightInd/>
              <w:snapToGrid/>
              <w:spacing w:before="0" w:beforeAutospacing="0" w:after="0" w:afterAutospacing="0" w:line="400" w:lineRule="exact"/>
              <w:ind w:left="0" w:leftChars="0" w:right="0" w:rightChars="0" w:firstLine="0" w:firstLineChars="0"/>
              <w:jc w:val="both"/>
              <w:outlineLvl w:val="9"/>
              <w:rPr>
                <w:rFonts w:hint="eastAsia" w:asciiTheme="minorEastAsia" w:hAnsiTheme="minorEastAsia" w:eastAsiaTheme="minorEastAsia" w:cstheme="minorEastAsia"/>
                <w:color w:val="auto"/>
                <w:sz w:val="24"/>
                <w:szCs w:val="24"/>
                <w:highlight w:val="none"/>
                <w:u w:val="none"/>
                <w:lang w:val="en-US"/>
              </w:rPr>
            </w:pPr>
            <w:r>
              <w:rPr>
                <w:rFonts w:hint="eastAsia" w:asciiTheme="minorEastAsia" w:hAnsiTheme="minorEastAsia" w:eastAsiaTheme="minorEastAsia" w:cstheme="minorEastAsia"/>
                <w:color w:val="auto"/>
                <w:sz w:val="24"/>
                <w:szCs w:val="24"/>
                <w:highlight w:val="none"/>
                <w:u w:val="none"/>
                <w:lang w:val="en-US"/>
              </w:rPr>
              <w:t>（2）具有人社部门或工信部门颁发的信息系统项目管理师</w:t>
            </w:r>
            <w:r>
              <w:rPr>
                <w:rFonts w:hint="eastAsia" w:asciiTheme="minorEastAsia" w:hAnsiTheme="minorEastAsia" w:eastAsiaTheme="minorEastAsia" w:cstheme="minorEastAsia"/>
                <w:color w:val="auto"/>
                <w:sz w:val="24"/>
                <w:szCs w:val="24"/>
                <w:highlight w:val="none"/>
                <w:u w:val="none"/>
                <w:lang w:val="en-US" w:eastAsia="zh-CN"/>
              </w:rPr>
              <w:t>证书</w:t>
            </w:r>
            <w:r>
              <w:rPr>
                <w:rFonts w:hint="eastAsia" w:asciiTheme="minorEastAsia" w:hAnsiTheme="minorEastAsia" w:eastAsiaTheme="minorEastAsia" w:cstheme="minorEastAsia"/>
                <w:color w:val="auto"/>
                <w:sz w:val="24"/>
                <w:szCs w:val="24"/>
                <w:highlight w:val="none"/>
                <w:u w:val="none"/>
                <w:lang w:val="en-US"/>
              </w:rPr>
              <w:t>的得15</w:t>
            </w:r>
            <w:r>
              <w:rPr>
                <w:rFonts w:hint="eastAsia" w:asciiTheme="minorEastAsia" w:hAnsiTheme="minorEastAsia" w:eastAsiaTheme="minorEastAsia" w:cstheme="minorEastAsia"/>
                <w:color w:val="auto"/>
                <w:sz w:val="24"/>
                <w:szCs w:val="24"/>
                <w:highlight w:val="none"/>
                <w:u w:val="none"/>
                <w:lang w:val="en-US" w:eastAsia="zh-CN"/>
              </w:rPr>
              <w:t>分</w:t>
            </w:r>
            <w:r>
              <w:rPr>
                <w:rFonts w:hint="eastAsia" w:asciiTheme="minorEastAsia" w:hAnsiTheme="minorEastAsia" w:eastAsiaTheme="minorEastAsia" w:cstheme="minorEastAsia"/>
                <w:color w:val="auto"/>
                <w:sz w:val="24"/>
                <w:szCs w:val="24"/>
                <w:highlight w:val="none"/>
                <w:u w:val="none"/>
                <w:lang w:val="en-US"/>
              </w:rPr>
              <w:t>，本项最高得15</w:t>
            </w:r>
            <w:r>
              <w:rPr>
                <w:rFonts w:hint="eastAsia" w:asciiTheme="minorEastAsia" w:hAnsiTheme="minorEastAsia" w:eastAsiaTheme="minorEastAsia" w:cstheme="minorEastAsia"/>
                <w:color w:val="auto"/>
                <w:sz w:val="24"/>
                <w:szCs w:val="24"/>
                <w:highlight w:val="none"/>
                <w:u w:val="none"/>
                <w:lang w:val="en-US" w:eastAsia="zh-CN"/>
              </w:rPr>
              <w:t>分</w:t>
            </w:r>
            <w:r>
              <w:rPr>
                <w:rFonts w:hint="eastAsia" w:asciiTheme="minorEastAsia" w:hAnsiTheme="minorEastAsia" w:eastAsiaTheme="minorEastAsia" w:cstheme="minorEastAsia"/>
                <w:color w:val="auto"/>
                <w:sz w:val="24"/>
                <w:szCs w:val="24"/>
                <w:highlight w:val="none"/>
                <w:u w:val="none"/>
                <w:lang w:val="en-US"/>
              </w:rPr>
              <w:t>；</w:t>
            </w:r>
          </w:p>
          <w:p w14:paraId="5FE45A91">
            <w:pPr>
              <w:keepNext w:val="0"/>
              <w:keepLines w:val="0"/>
              <w:pageBreakBefore w:val="0"/>
              <w:suppressLineNumbers w:val="0"/>
              <w:kinsoku/>
              <w:overflowPunct/>
              <w:topLinePunct w:val="0"/>
              <w:bidi w:val="0"/>
              <w:adjustRightInd/>
              <w:snapToGrid/>
              <w:spacing w:before="0" w:beforeAutospacing="0" w:after="0" w:afterAutospacing="0" w:line="400" w:lineRule="exact"/>
              <w:ind w:left="0" w:leftChars="0" w:right="0" w:rightChars="0" w:firstLine="0" w:firstLineChars="0"/>
              <w:jc w:val="both"/>
              <w:outlineLvl w:val="9"/>
              <w:rPr>
                <w:rFonts w:hint="eastAsia" w:asciiTheme="minorEastAsia" w:hAnsiTheme="minorEastAsia" w:eastAsiaTheme="minorEastAsia" w:cstheme="minorEastAsia"/>
                <w:color w:val="auto"/>
                <w:sz w:val="24"/>
                <w:szCs w:val="24"/>
                <w:highlight w:val="none"/>
                <w:u w:val="none"/>
                <w:lang w:val="en-US"/>
              </w:rPr>
            </w:pPr>
            <w:r>
              <w:rPr>
                <w:rFonts w:hint="eastAsia" w:asciiTheme="minorEastAsia" w:hAnsiTheme="minorEastAsia" w:eastAsiaTheme="minorEastAsia" w:cstheme="minorEastAsia"/>
                <w:color w:val="auto"/>
                <w:sz w:val="24"/>
                <w:szCs w:val="24"/>
                <w:highlight w:val="none"/>
                <w:u w:val="none"/>
                <w:lang w:val="en-US"/>
              </w:rPr>
              <w:t>（3）具有工业和信息化部颁发的信息安全管理（高级）证书的得10</w:t>
            </w:r>
            <w:r>
              <w:rPr>
                <w:rFonts w:hint="eastAsia" w:asciiTheme="minorEastAsia" w:hAnsiTheme="minorEastAsia" w:eastAsiaTheme="minorEastAsia" w:cstheme="minorEastAsia"/>
                <w:color w:val="auto"/>
                <w:sz w:val="24"/>
                <w:szCs w:val="24"/>
                <w:highlight w:val="none"/>
                <w:u w:val="none"/>
                <w:lang w:val="en-US" w:eastAsia="zh-CN"/>
              </w:rPr>
              <w:t>分</w:t>
            </w:r>
            <w:r>
              <w:rPr>
                <w:rFonts w:hint="eastAsia" w:asciiTheme="minorEastAsia" w:hAnsiTheme="minorEastAsia" w:eastAsiaTheme="minorEastAsia" w:cstheme="minorEastAsia"/>
                <w:color w:val="auto"/>
                <w:sz w:val="24"/>
                <w:szCs w:val="24"/>
                <w:highlight w:val="none"/>
                <w:u w:val="none"/>
                <w:lang w:val="en-US"/>
              </w:rPr>
              <w:t>，本项最高得10</w:t>
            </w:r>
            <w:r>
              <w:rPr>
                <w:rFonts w:hint="eastAsia" w:asciiTheme="minorEastAsia" w:hAnsiTheme="minorEastAsia" w:eastAsiaTheme="minorEastAsia" w:cstheme="minorEastAsia"/>
                <w:color w:val="auto"/>
                <w:sz w:val="24"/>
                <w:szCs w:val="24"/>
                <w:highlight w:val="none"/>
                <w:u w:val="none"/>
                <w:lang w:val="en-US" w:eastAsia="zh-CN"/>
              </w:rPr>
              <w:t>分</w:t>
            </w:r>
            <w:r>
              <w:rPr>
                <w:rFonts w:hint="eastAsia" w:asciiTheme="minorEastAsia" w:hAnsiTheme="minorEastAsia" w:eastAsiaTheme="minorEastAsia" w:cstheme="minorEastAsia"/>
                <w:color w:val="auto"/>
                <w:sz w:val="24"/>
                <w:szCs w:val="24"/>
                <w:highlight w:val="none"/>
                <w:u w:val="none"/>
                <w:lang w:val="en-US"/>
              </w:rPr>
              <w:t>；</w:t>
            </w:r>
          </w:p>
          <w:p w14:paraId="2B0473C0">
            <w:pPr>
              <w:keepNext w:val="0"/>
              <w:keepLines w:val="0"/>
              <w:pageBreakBefore w:val="0"/>
              <w:suppressLineNumbers w:val="0"/>
              <w:kinsoku/>
              <w:overflowPunct/>
              <w:topLinePunct w:val="0"/>
              <w:bidi w:val="0"/>
              <w:adjustRightInd/>
              <w:snapToGrid/>
              <w:spacing w:before="0" w:beforeAutospacing="0" w:after="0" w:afterAutospacing="0" w:line="400" w:lineRule="exact"/>
              <w:ind w:left="0" w:leftChars="0" w:right="0" w:rightChars="0" w:firstLine="0" w:firstLineChars="0"/>
              <w:jc w:val="both"/>
              <w:outlineLvl w:val="9"/>
              <w:rPr>
                <w:rFonts w:hint="eastAsia" w:asciiTheme="minorEastAsia" w:hAnsiTheme="minorEastAsia" w:eastAsiaTheme="minorEastAsia" w:cstheme="minorEastAsia"/>
                <w:color w:val="auto"/>
                <w:sz w:val="24"/>
                <w:szCs w:val="24"/>
                <w:highlight w:val="none"/>
                <w:u w:val="none"/>
                <w:lang w:val="en-US"/>
              </w:rPr>
            </w:pPr>
            <w:r>
              <w:rPr>
                <w:rFonts w:hint="eastAsia" w:asciiTheme="minorEastAsia" w:hAnsiTheme="minorEastAsia" w:eastAsiaTheme="minorEastAsia" w:cstheme="minorEastAsia"/>
                <w:color w:val="auto"/>
                <w:sz w:val="24"/>
                <w:szCs w:val="24"/>
                <w:highlight w:val="none"/>
                <w:u w:val="none"/>
                <w:lang w:val="en-US"/>
              </w:rPr>
              <w:t>（4）具有相关机构颁发的IT信息技术工程师证书的得5</w:t>
            </w:r>
            <w:r>
              <w:rPr>
                <w:rFonts w:hint="eastAsia" w:asciiTheme="minorEastAsia" w:hAnsiTheme="minorEastAsia" w:eastAsiaTheme="minorEastAsia" w:cstheme="minorEastAsia"/>
                <w:color w:val="auto"/>
                <w:sz w:val="24"/>
                <w:szCs w:val="24"/>
                <w:highlight w:val="none"/>
                <w:u w:val="none"/>
                <w:lang w:val="en-US" w:eastAsia="zh-CN"/>
              </w:rPr>
              <w:t>分</w:t>
            </w:r>
            <w:r>
              <w:rPr>
                <w:rFonts w:hint="eastAsia" w:asciiTheme="minorEastAsia" w:hAnsiTheme="minorEastAsia" w:eastAsiaTheme="minorEastAsia" w:cstheme="minorEastAsia"/>
                <w:color w:val="auto"/>
                <w:sz w:val="24"/>
                <w:szCs w:val="24"/>
                <w:highlight w:val="none"/>
                <w:u w:val="none"/>
                <w:lang w:val="en-US"/>
              </w:rPr>
              <w:t>，本项最高得5</w:t>
            </w:r>
            <w:r>
              <w:rPr>
                <w:rFonts w:hint="eastAsia" w:asciiTheme="minorEastAsia" w:hAnsiTheme="minorEastAsia" w:eastAsiaTheme="minorEastAsia" w:cstheme="minorEastAsia"/>
                <w:color w:val="auto"/>
                <w:sz w:val="24"/>
                <w:szCs w:val="24"/>
                <w:highlight w:val="none"/>
                <w:u w:val="none"/>
                <w:lang w:val="en-US" w:eastAsia="zh-CN"/>
              </w:rPr>
              <w:t>分</w:t>
            </w:r>
            <w:r>
              <w:rPr>
                <w:rFonts w:hint="eastAsia" w:asciiTheme="minorEastAsia" w:hAnsiTheme="minorEastAsia" w:eastAsiaTheme="minorEastAsia" w:cstheme="minorEastAsia"/>
                <w:color w:val="auto"/>
                <w:sz w:val="24"/>
                <w:szCs w:val="24"/>
                <w:highlight w:val="none"/>
                <w:u w:val="none"/>
                <w:lang w:val="en-US"/>
              </w:rPr>
              <w:t>；</w:t>
            </w:r>
          </w:p>
          <w:p w14:paraId="27196918">
            <w:pPr>
              <w:keepNext w:val="0"/>
              <w:keepLines w:val="0"/>
              <w:pageBreakBefore w:val="0"/>
              <w:suppressLineNumbers w:val="0"/>
              <w:kinsoku/>
              <w:overflowPunct/>
              <w:topLinePunct w:val="0"/>
              <w:bidi w:val="0"/>
              <w:adjustRightInd/>
              <w:snapToGrid/>
              <w:spacing w:before="0" w:beforeAutospacing="0" w:after="0" w:afterAutospacing="0" w:line="400" w:lineRule="exact"/>
              <w:ind w:left="0" w:leftChars="0" w:right="0" w:rightChars="0" w:firstLine="0" w:firstLineChars="0"/>
              <w:jc w:val="both"/>
              <w:outlineLvl w:val="9"/>
              <w:rPr>
                <w:rFonts w:hint="eastAsia" w:asciiTheme="minorEastAsia" w:hAnsiTheme="minorEastAsia" w:eastAsiaTheme="minorEastAsia" w:cstheme="minorEastAsia"/>
                <w:color w:val="auto"/>
                <w:sz w:val="24"/>
                <w:szCs w:val="24"/>
                <w:highlight w:val="none"/>
                <w:u w:val="none"/>
                <w:lang w:val="en-US"/>
              </w:rPr>
            </w:pPr>
            <w:r>
              <w:rPr>
                <w:rFonts w:hint="eastAsia" w:asciiTheme="minorEastAsia" w:hAnsiTheme="minorEastAsia" w:eastAsiaTheme="minorEastAsia" w:cstheme="minorEastAsia"/>
                <w:color w:val="auto"/>
                <w:sz w:val="24"/>
                <w:szCs w:val="24"/>
                <w:highlight w:val="none"/>
                <w:u w:val="none"/>
                <w:lang w:val="en-US"/>
              </w:rPr>
              <w:t>（5）具有相关机构颁发的安全运维工程师证书的得10</w:t>
            </w:r>
            <w:r>
              <w:rPr>
                <w:rFonts w:hint="eastAsia" w:asciiTheme="minorEastAsia" w:hAnsiTheme="minorEastAsia" w:eastAsiaTheme="minorEastAsia" w:cstheme="minorEastAsia"/>
                <w:color w:val="auto"/>
                <w:sz w:val="24"/>
                <w:szCs w:val="24"/>
                <w:highlight w:val="none"/>
                <w:u w:val="none"/>
                <w:lang w:val="en-US" w:eastAsia="zh-CN"/>
              </w:rPr>
              <w:t>分</w:t>
            </w:r>
            <w:r>
              <w:rPr>
                <w:rFonts w:hint="eastAsia" w:asciiTheme="minorEastAsia" w:hAnsiTheme="minorEastAsia" w:eastAsiaTheme="minorEastAsia" w:cstheme="minorEastAsia"/>
                <w:color w:val="auto"/>
                <w:sz w:val="24"/>
                <w:szCs w:val="24"/>
                <w:highlight w:val="none"/>
                <w:u w:val="none"/>
                <w:lang w:val="en-US"/>
              </w:rPr>
              <w:t>，本项最高得10</w:t>
            </w:r>
            <w:r>
              <w:rPr>
                <w:rFonts w:hint="eastAsia" w:asciiTheme="minorEastAsia" w:hAnsiTheme="minorEastAsia" w:eastAsiaTheme="minorEastAsia" w:cstheme="minorEastAsia"/>
                <w:color w:val="auto"/>
                <w:sz w:val="24"/>
                <w:szCs w:val="24"/>
                <w:highlight w:val="none"/>
                <w:u w:val="none"/>
                <w:lang w:val="en-US" w:eastAsia="zh-CN"/>
              </w:rPr>
              <w:t>分</w:t>
            </w:r>
            <w:r>
              <w:rPr>
                <w:rFonts w:hint="eastAsia" w:asciiTheme="minorEastAsia" w:hAnsiTheme="minorEastAsia" w:eastAsiaTheme="minorEastAsia" w:cstheme="minorEastAsia"/>
                <w:color w:val="auto"/>
                <w:sz w:val="24"/>
                <w:szCs w:val="24"/>
                <w:highlight w:val="none"/>
                <w:u w:val="none"/>
                <w:lang w:val="en-US"/>
              </w:rPr>
              <w:t>；</w:t>
            </w:r>
          </w:p>
          <w:p w14:paraId="780DC77A">
            <w:pPr>
              <w:keepNext w:val="0"/>
              <w:keepLines w:val="0"/>
              <w:pageBreakBefore w:val="0"/>
              <w:suppressLineNumbers w:val="0"/>
              <w:kinsoku/>
              <w:overflowPunct/>
              <w:topLinePunct w:val="0"/>
              <w:bidi w:val="0"/>
              <w:adjustRightInd/>
              <w:snapToGrid/>
              <w:spacing w:before="0" w:beforeAutospacing="0" w:after="0" w:afterAutospacing="0" w:line="400" w:lineRule="exact"/>
              <w:ind w:left="0" w:leftChars="0" w:right="0" w:rightChars="0" w:firstLine="0" w:firstLineChars="0"/>
              <w:jc w:val="both"/>
              <w:outlineLvl w:val="9"/>
              <w:rPr>
                <w:rFonts w:hint="eastAsia" w:asciiTheme="minorEastAsia" w:hAnsiTheme="minorEastAsia" w:eastAsiaTheme="minorEastAsia" w:cstheme="minorEastAsia"/>
                <w:color w:val="auto"/>
                <w:sz w:val="24"/>
                <w:szCs w:val="24"/>
                <w:highlight w:val="none"/>
                <w:u w:val="none"/>
                <w:lang w:val="en-US"/>
              </w:rPr>
            </w:pPr>
            <w:r>
              <w:rPr>
                <w:rFonts w:hint="eastAsia" w:asciiTheme="minorEastAsia" w:hAnsiTheme="minorEastAsia" w:eastAsiaTheme="minorEastAsia" w:cstheme="minorEastAsia"/>
                <w:color w:val="auto"/>
                <w:sz w:val="24"/>
                <w:szCs w:val="24"/>
                <w:highlight w:val="none"/>
                <w:u w:val="none"/>
                <w:lang w:val="en-US"/>
              </w:rPr>
              <w:t>（6）具有相关机构颁发的安全防范系统安装维护员证书的得5</w:t>
            </w:r>
            <w:r>
              <w:rPr>
                <w:rFonts w:hint="eastAsia" w:asciiTheme="minorEastAsia" w:hAnsiTheme="minorEastAsia" w:eastAsiaTheme="minorEastAsia" w:cstheme="minorEastAsia"/>
                <w:color w:val="auto"/>
                <w:sz w:val="24"/>
                <w:szCs w:val="24"/>
                <w:highlight w:val="none"/>
                <w:u w:val="none"/>
                <w:lang w:val="en-US" w:eastAsia="zh-CN"/>
              </w:rPr>
              <w:t>分</w:t>
            </w:r>
            <w:r>
              <w:rPr>
                <w:rFonts w:hint="eastAsia" w:asciiTheme="minorEastAsia" w:hAnsiTheme="minorEastAsia" w:eastAsiaTheme="minorEastAsia" w:cstheme="minorEastAsia"/>
                <w:color w:val="auto"/>
                <w:sz w:val="24"/>
                <w:szCs w:val="24"/>
                <w:highlight w:val="none"/>
                <w:u w:val="none"/>
                <w:lang w:val="en-US"/>
              </w:rPr>
              <w:t>，本项最高得5</w:t>
            </w:r>
            <w:r>
              <w:rPr>
                <w:rFonts w:hint="eastAsia" w:asciiTheme="minorEastAsia" w:hAnsiTheme="minorEastAsia" w:eastAsiaTheme="minorEastAsia" w:cstheme="minorEastAsia"/>
                <w:color w:val="auto"/>
                <w:sz w:val="24"/>
                <w:szCs w:val="24"/>
                <w:highlight w:val="none"/>
                <w:u w:val="none"/>
                <w:lang w:val="en-US" w:eastAsia="zh-CN"/>
              </w:rPr>
              <w:t>分</w:t>
            </w:r>
            <w:r>
              <w:rPr>
                <w:rFonts w:hint="eastAsia" w:asciiTheme="minorEastAsia" w:hAnsiTheme="minorEastAsia" w:eastAsiaTheme="minorEastAsia" w:cstheme="minorEastAsia"/>
                <w:color w:val="auto"/>
                <w:sz w:val="24"/>
                <w:szCs w:val="24"/>
                <w:highlight w:val="none"/>
                <w:u w:val="none"/>
                <w:lang w:val="en-US"/>
              </w:rPr>
              <w:t>。</w:t>
            </w:r>
          </w:p>
          <w:p w14:paraId="6F773E65">
            <w:pPr>
              <w:keepNext w:val="0"/>
              <w:keepLines w:val="0"/>
              <w:pageBreakBefore w:val="0"/>
              <w:suppressLineNumbers w:val="0"/>
              <w:kinsoku/>
              <w:overflowPunct/>
              <w:topLinePunct w:val="0"/>
              <w:bidi w:val="0"/>
              <w:adjustRightInd/>
              <w:snapToGrid/>
              <w:spacing w:before="0" w:beforeAutospacing="0" w:after="0" w:afterAutospacing="0" w:line="400" w:lineRule="exact"/>
              <w:ind w:left="0" w:leftChars="0" w:right="0" w:rightChars="0" w:firstLine="0" w:firstLineChars="0"/>
              <w:jc w:val="both"/>
              <w:outlineLvl w:val="9"/>
              <w:rPr>
                <w:rFonts w:hint="eastAsia" w:asciiTheme="minorEastAsia" w:hAnsiTheme="minorEastAsia" w:eastAsiaTheme="minorEastAsia" w:cstheme="minorEastAsia"/>
                <w:b/>
                <w:bCs/>
                <w:color w:val="auto"/>
                <w:sz w:val="24"/>
                <w:szCs w:val="24"/>
                <w:highlight w:val="none"/>
                <w:u w:val="none"/>
                <w:lang w:val="en-US"/>
              </w:rPr>
            </w:pPr>
            <w:r>
              <w:rPr>
                <w:rFonts w:hint="eastAsia" w:asciiTheme="minorEastAsia" w:hAnsiTheme="minorEastAsia" w:eastAsiaTheme="minorEastAsia" w:cstheme="minorEastAsia"/>
                <w:b/>
                <w:bCs/>
                <w:color w:val="auto"/>
                <w:sz w:val="24"/>
                <w:szCs w:val="24"/>
                <w:highlight w:val="none"/>
                <w:u w:val="none"/>
                <w:lang w:val="en-US"/>
              </w:rPr>
              <w:t>2.技术负责人（仅限1人，本项最高得35</w:t>
            </w:r>
            <w:r>
              <w:rPr>
                <w:rFonts w:hint="eastAsia" w:asciiTheme="minorEastAsia" w:hAnsiTheme="minorEastAsia" w:eastAsiaTheme="minorEastAsia" w:cstheme="minorEastAsia"/>
                <w:b/>
                <w:bCs/>
                <w:color w:val="auto"/>
                <w:sz w:val="24"/>
                <w:szCs w:val="24"/>
                <w:highlight w:val="none"/>
                <w:u w:val="none"/>
                <w:lang w:val="en-US" w:eastAsia="zh-CN"/>
              </w:rPr>
              <w:t>分</w:t>
            </w:r>
            <w:r>
              <w:rPr>
                <w:rFonts w:hint="eastAsia" w:asciiTheme="minorEastAsia" w:hAnsiTheme="minorEastAsia" w:eastAsiaTheme="minorEastAsia" w:cstheme="minorEastAsia"/>
                <w:b/>
                <w:bCs/>
                <w:color w:val="auto"/>
                <w:sz w:val="24"/>
                <w:szCs w:val="24"/>
                <w:highlight w:val="none"/>
                <w:u w:val="none"/>
                <w:lang w:val="en-US"/>
              </w:rPr>
              <w:t>）：</w:t>
            </w:r>
          </w:p>
          <w:p w14:paraId="725BA446">
            <w:pPr>
              <w:keepNext w:val="0"/>
              <w:keepLines w:val="0"/>
              <w:pageBreakBefore w:val="0"/>
              <w:suppressLineNumbers w:val="0"/>
              <w:kinsoku/>
              <w:overflowPunct/>
              <w:topLinePunct w:val="0"/>
              <w:bidi w:val="0"/>
              <w:adjustRightInd/>
              <w:snapToGrid/>
              <w:spacing w:before="0" w:beforeAutospacing="0" w:after="0" w:afterAutospacing="0" w:line="400" w:lineRule="exact"/>
              <w:ind w:left="0" w:leftChars="0" w:right="0" w:rightChars="0" w:firstLine="0" w:firstLineChars="0"/>
              <w:jc w:val="both"/>
              <w:outlineLvl w:val="9"/>
              <w:rPr>
                <w:rFonts w:hint="eastAsia" w:asciiTheme="minorEastAsia" w:hAnsiTheme="minorEastAsia" w:eastAsiaTheme="minorEastAsia" w:cstheme="minorEastAsia"/>
                <w:color w:val="auto"/>
                <w:sz w:val="24"/>
                <w:szCs w:val="24"/>
                <w:highlight w:val="none"/>
                <w:u w:val="none"/>
                <w:lang w:val="en-US"/>
              </w:rPr>
            </w:pPr>
            <w:r>
              <w:rPr>
                <w:rFonts w:hint="eastAsia" w:asciiTheme="minorEastAsia" w:hAnsiTheme="minorEastAsia" w:eastAsiaTheme="minorEastAsia" w:cstheme="minorEastAsia"/>
                <w:color w:val="auto"/>
                <w:sz w:val="24"/>
                <w:szCs w:val="24"/>
                <w:highlight w:val="none"/>
                <w:u w:val="none"/>
                <w:lang w:val="en-US"/>
              </w:rPr>
              <w:t>（1）具有</w:t>
            </w:r>
            <w:r>
              <w:rPr>
                <w:rFonts w:hint="eastAsia" w:asciiTheme="minorEastAsia" w:hAnsiTheme="minorEastAsia" w:eastAsiaTheme="minorEastAsia" w:cstheme="minorEastAsia"/>
                <w:color w:val="auto"/>
                <w:sz w:val="24"/>
                <w:highlight w:val="none"/>
                <w:u w:val="none"/>
              </w:rPr>
              <w:t>电子信息工程、通信工程、计算机科学与技术、网络工程</w:t>
            </w:r>
            <w:r>
              <w:rPr>
                <w:rFonts w:hint="eastAsia" w:asciiTheme="minorEastAsia" w:hAnsiTheme="minorEastAsia" w:eastAsiaTheme="minorEastAsia" w:cstheme="minorEastAsia"/>
                <w:color w:val="auto"/>
                <w:sz w:val="24"/>
                <w:szCs w:val="24"/>
                <w:highlight w:val="none"/>
                <w:u w:val="none"/>
                <w:lang w:val="en-US" w:eastAsia="zh-CN"/>
              </w:rPr>
              <w:t>或</w:t>
            </w:r>
            <w:r>
              <w:rPr>
                <w:rFonts w:hint="eastAsia" w:asciiTheme="minorEastAsia" w:hAnsiTheme="minorEastAsia" w:eastAsiaTheme="minorEastAsia" w:cstheme="minorEastAsia"/>
                <w:color w:val="auto"/>
                <w:sz w:val="24"/>
                <w:szCs w:val="24"/>
                <w:highlight w:val="none"/>
                <w:u w:val="none"/>
                <w:lang w:val="en-US"/>
              </w:rPr>
              <w:t>计算机类专业本科</w:t>
            </w:r>
            <w:r>
              <w:rPr>
                <w:rFonts w:hint="eastAsia" w:asciiTheme="minorEastAsia" w:hAnsiTheme="minorEastAsia" w:eastAsiaTheme="minorEastAsia" w:cstheme="minorEastAsia"/>
                <w:color w:val="auto"/>
                <w:sz w:val="24"/>
                <w:szCs w:val="24"/>
                <w:highlight w:val="none"/>
                <w:u w:val="none"/>
                <w:lang w:val="en-US" w:eastAsia="zh-CN"/>
              </w:rPr>
              <w:t>（</w:t>
            </w:r>
            <w:r>
              <w:rPr>
                <w:rFonts w:hint="eastAsia" w:asciiTheme="minorEastAsia" w:hAnsiTheme="minorEastAsia" w:eastAsiaTheme="minorEastAsia" w:cstheme="minorEastAsia"/>
                <w:color w:val="auto"/>
                <w:sz w:val="24"/>
                <w:szCs w:val="24"/>
                <w:highlight w:val="none"/>
                <w:u w:val="none"/>
                <w:lang w:val="en-US"/>
              </w:rPr>
              <w:t>或以上</w:t>
            </w:r>
            <w:r>
              <w:rPr>
                <w:rFonts w:hint="eastAsia" w:asciiTheme="minorEastAsia" w:hAnsiTheme="minorEastAsia" w:eastAsiaTheme="minorEastAsia" w:cstheme="minorEastAsia"/>
                <w:color w:val="auto"/>
                <w:sz w:val="24"/>
                <w:szCs w:val="24"/>
                <w:highlight w:val="none"/>
                <w:u w:val="none"/>
                <w:lang w:val="en-US" w:eastAsia="zh-CN"/>
              </w:rPr>
              <w:t>）</w:t>
            </w:r>
            <w:r>
              <w:rPr>
                <w:rFonts w:hint="eastAsia" w:asciiTheme="minorEastAsia" w:hAnsiTheme="minorEastAsia" w:eastAsiaTheme="minorEastAsia" w:cstheme="minorEastAsia"/>
                <w:color w:val="auto"/>
                <w:sz w:val="24"/>
                <w:szCs w:val="24"/>
                <w:highlight w:val="none"/>
                <w:u w:val="none"/>
                <w:lang w:val="en-US"/>
              </w:rPr>
              <w:t>学历的得5</w:t>
            </w:r>
            <w:r>
              <w:rPr>
                <w:rFonts w:hint="eastAsia" w:asciiTheme="minorEastAsia" w:hAnsiTheme="minorEastAsia" w:eastAsiaTheme="minorEastAsia" w:cstheme="minorEastAsia"/>
                <w:color w:val="auto"/>
                <w:sz w:val="24"/>
                <w:szCs w:val="24"/>
                <w:highlight w:val="none"/>
                <w:u w:val="none"/>
                <w:lang w:val="en-US" w:eastAsia="zh-CN"/>
              </w:rPr>
              <w:t>分</w:t>
            </w:r>
            <w:r>
              <w:rPr>
                <w:rFonts w:hint="eastAsia" w:asciiTheme="minorEastAsia" w:hAnsiTheme="minorEastAsia" w:eastAsiaTheme="minorEastAsia" w:cstheme="minorEastAsia"/>
                <w:color w:val="auto"/>
                <w:sz w:val="24"/>
                <w:szCs w:val="24"/>
                <w:highlight w:val="none"/>
                <w:u w:val="none"/>
                <w:lang w:val="en-US"/>
              </w:rPr>
              <w:t>，本项最高得5</w:t>
            </w:r>
            <w:r>
              <w:rPr>
                <w:rFonts w:hint="eastAsia" w:asciiTheme="minorEastAsia" w:hAnsiTheme="minorEastAsia" w:eastAsiaTheme="minorEastAsia" w:cstheme="minorEastAsia"/>
                <w:color w:val="auto"/>
                <w:sz w:val="24"/>
                <w:szCs w:val="24"/>
                <w:highlight w:val="none"/>
                <w:u w:val="none"/>
                <w:lang w:val="en-US" w:eastAsia="zh-CN"/>
              </w:rPr>
              <w:t>分</w:t>
            </w:r>
            <w:r>
              <w:rPr>
                <w:rFonts w:hint="eastAsia" w:asciiTheme="minorEastAsia" w:hAnsiTheme="minorEastAsia" w:eastAsiaTheme="minorEastAsia" w:cstheme="minorEastAsia"/>
                <w:color w:val="auto"/>
                <w:sz w:val="24"/>
                <w:szCs w:val="24"/>
                <w:highlight w:val="none"/>
                <w:u w:val="none"/>
                <w:lang w:val="en-US"/>
              </w:rPr>
              <w:t>；</w:t>
            </w:r>
          </w:p>
          <w:p w14:paraId="1EDCC742">
            <w:pPr>
              <w:keepNext w:val="0"/>
              <w:keepLines w:val="0"/>
              <w:pageBreakBefore w:val="0"/>
              <w:suppressLineNumbers w:val="0"/>
              <w:kinsoku/>
              <w:overflowPunct/>
              <w:topLinePunct w:val="0"/>
              <w:bidi w:val="0"/>
              <w:adjustRightInd/>
              <w:snapToGrid/>
              <w:spacing w:before="0" w:beforeAutospacing="0" w:after="0" w:afterAutospacing="0" w:line="400" w:lineRule="exact"/>
              <w:ind w:left="0" w:leftChars="0" w:right="0" w:rightChars="0" w:firstLine="0" w:firstLineChars="0"/>
              <w:jc w:val="both"/>
              <w:outlineLvl w:val="9"/>
              <w:rPr>
                <w:rFonts w:hint="eastAsia" w:asciiTheme="minorEastAsia" w:hAnsiTheme="minorEastAsia" w:eastAsiaTheme="minorEastAsia" w:cstheme="minorEastAsia"/>
                <w:color w:val="auto"/>
                <w:sz w:val="24"/>
                <w:szCs w:val="24"/>
                <w:highlight w:val="none"/>
                <w:u w:val="none"/>
                <w:lang w:val="en-US"/>
              </w:rPr>
            </w:pPr>
            <w:r>
              <w:rPr>
                <w:rFonts w:hint="eastAsia" w:asciiTheme="minorEastAsia" w:hAnsiTheme="minorEastAsia" w:eastAsiaTheme="minorEastAsia" w:cstheme="minorEastAsia"/>
                <w:color w:val="auto"/>
                <w:sz w:val="24"/>
                <w:szCs w:val="24"/>
                <w:highlight w:val="none"/>
                <w:u w:val="none"/>
                <w:lang w:val="en-US"/>
              </w:rPr>
              <w:t>（2）具有人社部门或工信部门颁发的系统集成项目管理工程师</w:t>
            </w:r>
            <w:r>
              <w:rPr>
                <w:rFonts w:hint="eastAsia" w:asciiTheme="minorEastAsia" w:hAnsiTheme="minorEastAsia" w:eastAsiaTheme="minorEastAsia" w:cstheme="minorEastAsia"/>
                <w:color w:val="auto"/>
                <w:sz w:val="24"/>
                <w:szCs w:val="24"/>
                <w:highlight w:val="none"/>
                <w:u w:val="none"/>
                <w:lang w:val="en-US" w:eastAsia="zh-CN"/>
              </w:rPr>
              <w:t>或</w:t>
            </w:r>
            <w:r>
              <w:rPr>
                <w:rFonts w:hint="eastAsia" w:asciiTheme="minorEastAsia" w:hAnsiTheme="minorEastAsia" w:eastAsiaTheme="minorEastAsia" w:cstheme="minorEastAsia"/>
                <w:color w:val="auto"/>
                <w:sz w:val="24"/>
                <w:szCs w:val="24"/>
                <w:highlight w:val="none"/>
                <w:u w:val="none"/>
                <w:lang w:val="en-US"/>
              </w:rPr>
              <w:t>信息系统项目管理师</w:t>
            </w:r>
            <w:r>
              <w:rPr>
                <w:rFonts w:hint="eastAsia" w:asciiTheme="minorEastAsia" w:hAnsiTheme="minorEastAsia" w:eastAsiaTheme="minorEastAsia" w:cstheme="minorEastAsia"/>
                <w:color w:val="auto"/>
                <w:sz w:val="24"/>
                <w:szCs w:val="24"/>
                <w:highlight w:val="none"/>
                <w:u w:val="none"/>
                <w:lang w:val="en-US" w:eastAsia="zh-CN"/>
              </w:rPr>
              <w:t>证书</w:t>
            </w:r>
            <w:r>
              <w:rPr>
                <w:rFonts w:hint="eastAsia" w:asciiTheme="minorEastAsia" w:hAnsiTheme="minorEastAsia" w:eastAsiaTheme="minorEastAsia" w:cstheme="minorEastAsia"/>
                <w:color w:val="auto"/>
                <w:sz w:val="24"/>
                <w:szCs w:val="24"/>
                <w:highlight w:val="none"/>
                <w:u w:val="none"/>
                <w:lang w:val="en-US"/>
              </w:rPr>
              <w:t>的得15</w:t>
            </w:r>
            <w:r>
              <w:rPr>
                <w:rFonts w:hint="eastAsia" w:asciiTheme="minorEastAsia" w:hAnsiTheme="minorEastAsia" w:eastAsiaTheme="minorEastAsia" w:cstheme="minorEastAsia"/>
                <w:color w:val="auto"/>
                <w:sz w:val="24"/>
                <w:szCs w:val="24"/>
                <w:highlight w:val="none"/>
                <w:u w:val="none"/>
                <w:lang w:val="en-US" w:eastAsia="zh-CN"/>
              </w:rPr>
              <w:t>分</w:t>
            </w:r>
            <w:r>
              <w:rPr>
                <w:rFonts w:hint="eastAsia" w:asciiTheme="minorEastAsia" w:hAnsiTheme="minorEastAsia" w:eastAsiaTheme="minorEastAsia" w:cstheme="minorEastAsia"/>
                <w:color w:val="auto"/>
                <w:sz w:val="24"/>
                <w:szCs w:val="24"/>
                <w:highlight w:val="none"/>
                <w:u w:val="none"/>
                <w:lang w:val="en-US"/>
              </w:rPr>
              <w:t>，本项最高得15</w:t>
            </w:r>
            <w:r>
              <w:rPr>
                <w:rFonts w:hint="eastAsia" w:asciiTheme="minorEastAsia" w:hAnsiTheme="minorEastAsia" w:eastAsiaTheme="minorEastAsia" w:cstheme="minorEastAsia"/>
                <w:color w:val="auto"/>
                <w:sz w:val="24"/>
                <w:szCs w:val="24"/>
                <w:highlight w:val="none"/>
                <w:u w:val="none"/>
                <w:lang w:val="en-US" w:eastAsia="zh-CN"/>
              </w:rPr>
              <w:t>分</w:t>
            </w:r>
            <w:r>
              <w:rPr>
                <w:rFonts w:hint="eastAsia" w:asciiTheme="minorEastAsia" w:hAnsiTheme="minorEastAsia" w:eastAsiaTheme="minorEastAsia" w:cstheme="minorEastAsia"/>
                <w:color w:val="auto"/>
                <w:sz w:val="24"/>
                <w:szCs w:val="24"/>
                <w:highlight w:val="none"/>
                <w:u w:val="none"/>
                <w:lang w:val="en-US"/>
              </w:rPr>
              <w:t>；</w:t>
            </w:r>
          </w:p>
          <w:p w14:paraId="60D9B59A">
            <w:pPr>
              <w:keepNext w:val="0"/>
              <w:keepLines w:val="0"/>
              <w:pageBreakBefore w:val="0"/>
              <w:suppressLineNumbers w:val="0"/>
              <w:kinsoku/>
              <w:overflowPunct/>
              <w:topLinePunct w:val="0"/>
              <w:bidi w:val="0"/>
              <w:adjustRightInd/>
              <w:snapToGrid/>
              <w:spacing w:before="0" w:beforeAutospacing="0" w:after="0" w:afterAutospacing="0" w:line="400" w:lineRule="exact"/>
              <w:ind w:left="0" w:leftChars="0" w:right="0" w:rightChars="0" w:firstLine="0" w:firstLineChars="0"/>
              <w:jc w:val="both"/>
              <w:outlineLvl w:val="9"/>
              <w:rPr>
                <w:rFonts w:hint="eastAsia" w:asciiTheme="minorEastAsia" w:hAnsiTheme="minorEastAsia" w:eastAsiaTheme="minorEastAsia" w:cstheme="minorEastAsia"/>
                <w:color w:val="auto"/>
                <w:sz w:val="24"/>
                <w:szCs w:val="24"/>
                <w:highlight w:val="none"/>
                <w:u w:val="none"/>
                <w:lang w:val="en-US"/>
              </w:rPr>
            </w:pPr>
            <w:r>
              <w:rPr>
                <w:rFonts w:hint="eastAsia" w:asciiTheme="minorEastAsia" w:hAnsiTheme="minorEastAsia" w:eastAsiaTheme="minorEastAsia" w:cstheme="minorEastAsia"/>
                <w:color w:val="auto"/>
                <w:sz w:val="24"/>
                <w:szCs w:val="24"/>
                <w:highlight w:val="none"/>
                <w:u w:val="none"/>
                <w:lang w:val="en-US"/>
              </w:rPr>
              <w:t>（3）具有相关机构颁发的助理</w:t>
            </w:r>
            <w:r>
              <w:rPr>
                <w:rFonts w:hint="eastAsia" w:asciiTheme="minorEastAsia" w:hAnsiTheme="minorEastAsia" w:eastAsiaTheme="minorEastAsia" w:cstheme="minorEastAsia"/>
                <w:color w:val="auto"/>
                <w:sz w:val="24"/>
                <w:szCs w:val="24"/>
                <w:highlight w:val="none"/>
                <w:u w:val="none"/>
                <w:lang w:val="en-US" w:eastAsia="zh-CN"/>
              </w:rPr>
              <w:t>（或以上）</w:t>
            </w:r>
            <w:r>
              <w:rPr>
                <w:rFonts w:hint="eastAsia" w:asciiTheme="minorEastAsia" w:hAnsiTheme="minorEastAsia" w:eastAsiaTheme="minorEastAsia" w:cstheme="minorEastAsia"/>
                <w:color w:val="auto"/>
                <w:sz w:val="24"/>
                <w:szCs w:val="24"/>
                <w:highlight w:val="none"/>
                <w:u w:val="none"/>
                <w:lang w:val="en-US"/>
              </w:rPr>
              <w:t>网络工程师证书的得15</w:t>
            </w:r>
            <w:r>
              <w:rPr>
                <w:rFonts w:hint="eastAsia" w:asciiTheme="minorEastAsia" w:hAnsiTheme="minorEastAsia" w:eastAsiaTheme="minorEastAsia" w:cstheme="minorEastAsia"/>
                <w:color w:val="auto"/>
                <w:sz w:val="24"/>
                <w:szCs w:val="24"/>
                <w:highlight w:val="none"/>
                <w:u w:val="none"/>
                <w:lang w:val="en-US" w:eastAsia="zh-CN"/>
              </w:rPr>
              <w:t>分</w:t>
            </w:r>
            <w:r>
              <w:rPr>
                <w:rFonts w:hint="eastAsia" w:asciiTheme="minorEastAsia" w:hAnsiTheme="minorEastAsia" w:eastAsiaTheme="minorEastAsia" w:cstheme="minorEastAsia"/>
                <w:color w:val="auto"/>
                <w:sz w:val="24"/>
                <w:szCs w:val="24"/>
                <w:highlight w:val="none"/>
                <w:u w:val="none"/>
                <w:lang w:val="en-US"/>
              </w:rPr>
              <w:t>，本项最高得15</w:t>
            </w:r>
            <w:r>
              <w:rPr>
                <w:rFonts w:hint="eastAsia" w:asciiTheme="minorEastAsia" w:hAnsiTheme="minorEastAsia" w:eastAsiaTheme="minorEastAsia" w:cstheme="minorEastAsia"/>
                <w:color w:val="auto"/>
                <w:sz w:val="24"/>
                <w:szCs w:val="24"/>
                <w:highlight w:val="none"/>
                <w:u w:val="none"/>
                <w:lang w:val="en-US" w:eastAsia="zh-CN"/>
              </w:rPr>
              <w:t>分</w:t>
            </w:r>
            <w:r>
              <w:rPr>
                <w:rFonts w:hint="eastAsia" w:asciiTheme="minorEastAsia" w:hAnsiTheme="minorEastAsia" w:eastAsiaTheme="minorEastAsia" w:cstheme="minorEastAsia"/>
                <w:color w:val="auto"/>
                <w:sz w:val="24"/>
                <w:szCs w:val="24"/>
                <w:highlight w:val="none"/>
                <w:u w:val="none"/>
                <w:lang w:val="en-US"/>
              </w:rPr>
              <w:t>。</w:t>
            </w:r>
          </w:p>
          <w:p w14:paraId="307D94A6">
            <w:pPr>
              <w:keepNext w:val="0"/>
              <w:keepLines w:val="0"/>
              <w:pageBreakBefore w:val="0"/>
              <w:suppressLineNumbers w:val="0"/>
              <w:kinsoku/>
              <w:overflowPunct/>
              <w:topLinePunct w:val="0"/>
              <w:bidi w:val="0"/>
              <w:adjustRightInd/>
              <w:snapToGrid/>
              <w:spacing w:before="0" w:beforeAutospacing="0" w:after="0" w:afterAutospacing="0" w:line="400" w:lineRule="exact"/>
              <w:ind w:left="0" w:leftChars="0" w:right="0" w:rightChars="0" w:firstLine="0" w:firstLineChars="0"/>
              <w:jc w:val="both"/>
              <w:outlineLvl w:val="9"/>
              <w:rPr>
                <w:rFonts w:hint="eastAsia" w:asciiTheme="minorEastAsia" w:hAnsiTheme="minorEastAsia" w:eastAsiaTheme="minorEastAsia" w:cstheme="minorEastAsia"/>
                <w:b/>
                <w:bCs/>
                <w:color w:val="auto"/>
                <w:sz w:val="24"/>
                <w:szCs w:val="24"/>
                <w:highlight w:val="none"/>
                <w:u w:val="none"/>
                <w:lang w:val="en-US"/>
              </w:rPr>
            </w:pPr>
            <w:r>
              <w:rPr>
                <w:rFonts w:hint="eastAsia" w:asciiTheme="minorEastAsia" w:hAnsiTheme="minorEastAsia" w:eastAsiaTheme="minorEastAsia" w:cstheme="minorEastAsia"/>
                <w:b/>
                <w:bCs/>
                <w:color w:val="auto"/>
                <w:sz w:val="24"/>
                <w:szCs w:val="24"/>
                <w:highlight w:val="none"/>
                <w:u w:val="none"/>
                <w:lang w:val="en-US"/>
              </w:rPr>
              <w:t>3.组员（</w:t>
            </w:r>
            <w:r>
              <w:rPr>
                <w:rFonts w:hint="eastAsia" w:asciiTheme="minorEastAsia" w:hAnsiTheme="minorEastAsia" w:eastAsiaTheme="minorEastAsia" w:cstheme="minorEastAsia"/>
                <w:b/>
                <w:bCs/>
                <w:color w:val="auto"/>
                <w:sz w:val="24"/>
                <w:szCs w:val="24"/>
                <w:highlight w:val="none"/>
                <w:u w:val="none"/>
                <w:lang w:val="en-US" w:eastAsia="zh-CN"/>
              </w:rPr>
              <w:t>限3人</w:t>
            </w:r>
            <w:r>
              <w:rPr>
                <w:rFonts w:hint="eastAsia" w:asciiTheme="minorEastAsia" w:hAnsiTheme="minorEastAsia" w:eastAsiaTheme="minorEastAsia" w:cstheme="minorEastAsia"/>
                <w:b/>
                <w:bCs/>
                <w:color w:val="auto"/>
                <w:sz w:val="24"/>
                <w:szCs w:val="24"/>
                <w:highlight w:val="none"/>
                <w:u w:val="none"/>
                <w:lang w:val="en-US"/>
              </w:rPr>
              <w:t>，本项最高得15</w:t>
            </w:r>
            <w:r>
              <w:rPr>
                <w:rFonts w:hint="eastAsia" w:asciiTheme="minorEastAsia" w:hAnsiTheme="minorEastAsia" w:eastAsiaTheme="minorEastAsia" w:cstheme="minorEastAsia"/>
                <w:b/>
                <w:bCs/>
                <w:color w:val="auto"/>
                <w:sz w:val="24"/>
                <w:szCs w:val="24"/>
                <w:highlight w:val="none"/>
                <w:u w:val="none"/>
                <w:lang w:val="en-US" w:eastAsia="zh-CN"/>
              </w:rPr>
              <w:t>分</w:t>
            </w:r>
            <w:r>
              <w:rPr>
                <w:rFonts w:hint="eastAsia" w:asciiTheme="minorEastAsia" w:hAnsiTheme="minorEastAsia" w:eastAsiaTheme="minorEastAsia" w:cstheme="minorEastAsia"/>
                <w:b/>
                <w:bCs/>
                <w:color w:val="auto"/>
                <w:sz w:val="24"/>
                <w:szCs w:val="24"/>
                <w:highlight w:val="none"/>
                <w:u w:val="none"/>
                <w:lang w:val="en-US"/>
              </w:rPr>
              <w:t>）：</w:t>
            </w:r>
          </w:p>
          <w:p w14:paraId="61793365">
            <w:pPr>
              <w:keepNext w:val="0"/>
              <w:keepLines w:val="0"/>
              <w:pageBreakBefore w:val="0"/>
              <w:suppressLineNumbers w:val="0"/>
              <w:kinsoku/>
              <w:overflowPunct/>
              <w:topLinePunct w:val="0"/>
              <w:bidi w:val="0"/>
              <w:adjustRightInd/>
              <w:snapToGrid/>
              <w:spacing w:before="0" w:beforeAutospacing="0" w:after="0" w:afterAutospacing="0" w:line="400" w:lineRule="exact"/>
              <w:ind w:left="0" w:leftChars="0" w:right="0" w:rightChars="0" w:firstLine="0" w:firstLineChars="0"/>
              <w:jc w:val="both"/>
              <w:outlineLvl w:val="9"/>
              <w:rPr>
                <w:rFonts w:hint="eastAsia" w:asciiTheme="minorEastAsia" w:hAnsiTheme="minorEastAsia" w:eastAsiaTheme="minorEastAsia" w:cstheme="minorEastAsia"/>
                <w:color w:val="auto"/>
                <w:sz w:val="24"/>
                <w:szCs w:val="24"/>
                <w:highlight w:val="none"/>
                <w:u w:val="none"/>
                <w:lang w:val="en-US"/>
              </w:rPr>
            </w:pPr>
            <w:r>
              <w:rPr>
                <w:rFonts w:hint="eastAsia" w:asciiTheme="minorEastAsia" w:hAnsiTheme="minorEastAsia" w:eastAsiaTheme="minorEastAsia" w:cstheme="minorEastAsia"/>
                <w:color w:val="auto"/>
                <w:sz w:val="24"/>
                <w:szCs w:val="24"/>
                <w:highlight w:val="none"/>
                <w:u w:val="none"/>
                <w:lang w:val="en-US" w:eastAsia="zh-CN"/>
              </w:rPr>
              <w:t>（1）</w:t>
            </w:r>
            <w:r>
              <w:rPr>
                <w:rFonts w:hint="eastAsia" w:asciiTheme="minorEastAsia" w:hAnsiTheme="minorEastAsia" w:eastAsiaTheme="minorEastAsia" w:cstheme="minorEastAsia"/>
                <w:color w:val="auto"/>
                <w:sz w:val="24"/>
                <w:szCs w:val="24"/>
                <w:highlight w:val="none"/>
                <w:u w:val="none"/>
                <w:lang w:val="en-US"/>
              </w:rPr>
              <w:t>具有</w:t>
            </w:r>
            <w:r>
              <w:rPr>
                <w:rFonts w:hint="eastAsia" w:asciiTheme="minorEastAsia" w:hAnsiTheme="minorEastAsia" w:eastAsiaTheme="minorEastAsia" w:cstheme="minorEastAsia"/>
                <w:color w:val="auto"/>
                <w:sz w:val="24"/>
                <w:szCs w:val="24"/>
                <w:highlight w:val="none"/>
                <w:u w:val="none"/>
                <w:lang w:val="en-US" w:eastAsia="zh-CN"/>
              </w:rPr>
              <w:t>相关机构颁发的处于</w:t>
            </w:r>
            <w:r>
              <w:rPr>
                <w:rFonts w:hint="eastAsia" w:asciiTheme="minorEastAsia" w:hAnsiTheme="minorEastAsia" w:eastAsiaTheme="minorEastAsia" w:cstheme="minorEastAsia"/>
                <w:color w:val="auto"/>
                <w:sz w:val="24"/>
                <w:szCs w:val="24"/>
                <w:highlight w:val="none"/>
                <w:u w:val="none"/>
                <w:lang w:val="en-US"/>
              </w:rPr>
              <w:t>有效期内</w:t>
            </w:r>
            <w:r>
              <w:rPr>
                <w:rFonts w:hint="eastAsia" w:asciiTheme="minorEastAsia" w:hAnsiTheme="minorEastAsia" w:eastAsiaTheme="minorEastAsia" w:cstheme="minorEastAsia"/>
                <w:color w:val="auto"/>
                <w:sz w:val="24"/>
                <w:szCs w:val="24"/>
                <w:highlight w:val="none"/>
                <w:u w:val="none"/>
                <w:lang w:val="en-US" w:eastAsia="zh-CN"/>
              </w:rPr>
              <w:t>的</w:t>
            </w:r>
            <w:r>
              <w:rPr>
                <w:rFonts w:hint="eastAsia" w:asciiTheme="minorEastAsia" w:hAnsiTheme="minorEastAsia" w:eastAsiaTheme="minorEastAsia" w:cstheme="minorEastAsia"/>
                <w:color w:val="auto"/>
                <w:sz w:val="24"/>
                <w:szCs w:val="24"/>
                <w:highlight w:val="none"/>
                <w:u w:val="none"/>
                <w:lang w:val="en-US"/>
              </w:rPr>
              <w:t>安防从业人员继续教育培训合格证,每提供1</w:t>
            </w:r>
            <w:r>
              <w:rPr>
                <w:rFonts w:hint="eastAsia" w:asciiTheme="minorEastAsia" w:hAnsiTheme="minorEastAsia" w:eastAsiaTheme="minorEastAsia" w:cstheme="minorEastAsia"/>
                <w:color w:val="auto"/>
                <w:sz w:val="24"/>
                <w:szCs w:val="24"/>
                <w:highlight w:val="none"/>
                <w:u w:val="none"/>
                <w:lang w:val="en-US" w:eastAsia="zh-CN"/>
              </w:rPr>
              <w:t>人</w:t>
            </w:r>
            <w:r>
              <w:rPr>
                <w:rFonts w:hint="eastAsia" w:asciiTheme="minorEastAsia" w:hAnsiTheme="minorEastAsia" w:eastAsiaTheme="minorEastAsia" w:cstheme="minorEastAsia"/>
                <w:color w:val="auto"/>
                <w:sz w:val="24"/>
                <w:szCs w:val="24"/>
                <w:highlight w:val="none"/>
                <w:u w:val="none"/>
                <w:lang w:val="en-US"/>
              </w:rPr>
              <w:t>得5</w:t>
            </w:r>
            <w:r>
              <w:rPr>
                <w:rFonts w:hint="eastAsia" w:asciiTheme="minorEastAsia" w:hAnsiTheme="minorEastAsia" w:eastAsiaTheme="minorEastAsia" w:cstheme="minorEastAsia"/>
                <w:color w:val="auto"/>
                <w:sz w:val="24"/>
                <w:szCs w:val="24"/>
                <w:highlight w:val="none"/>
                <w:u w:val="none"/>
                <w:lang w:val="en-US" w:eastAsia="zh-CN"/>
              </w:rPr>
              <w:t>分</w:t>
            </w:r>
            <w:r>
              <w:rPr>
                <w:rFonts w:hint="eastAsia" w:asciiTheme="minorEastAsia" w:hAnsiTheme="minorEastAsia" w:eastAsiaTheme="minorEastAsia" w:cstheme="minorEastAsia"/>
                <w:color w:val="auto"/>
                <w:sz w:val="24"/>
                <w:szCs w:val="24"/>
                <w:highlight w:val="none"/>
                <w:u w:val="none"/>
                <w:lang w:val="en-US"/>
              </w:rPr>
              <w:t>，本项最高得15</w:t>
            </w:r>
            <w:r>
              <w:rPr>
                <w:rFonts w:hint="eastAsia" w:asciiTheme="minorEastAsia" w:hAnsiTheme="minorEastAsia" w:eastAsiaTheme="minorEastAsia" w:cstheme="minorEastAsia"/>
                <w:color w:val="auto"/>
                <w:sz w:val="24"/>
                <w:szCs w:val="24"/>
                <w:highlight w:val="none"/>
                <w:u w:val="none"/>
                <w:lang w:val="en-US" w:eastAsia="zh-CN"/>
              </w:rPr>
              <w:t>分</w:t>
            </w:r>
            <w:r>
              <w:rPr>
                <w:rFonts w:hint="eastAsia" w:asciiTheme="minorEastAsia" w:hAnsiTheme="minorEastAsia" w:eastAsiaTheme="minorEastAsia" w:cstheme="minorEastAsia"/>
                <w:color w:val="auto"/>
                <w:sz w:val="24"/>
                <w:szCs w:val="24"/>
                <w:highlight w:val="none"/>
                <w:u w:val="none"/>
                <w:lang w:val="en-US"/>
              </w:rPr>
              <w:t>。</w:t>
            </w:r>
          </w:p>
          <w:p w14:paraId="11BCDC77">
            <w:pPr>
              <w:widowControl/>
              <w:jc w:val="left"/>
              <w:rPr>
                <w:rFonts w:hint="eastAsia"/>
                <w:lang w:val="en-US"/>
              </w:rPr>
            </w:pPr>
            <w:r>
              <w:rPr>
                <w:rFonts w:hint="eastAsia"/>
                <w:b/>
                <w:bCs/>
                <w:sz w:val="21"/>
                <w:szCs w:val="21"/>
                <w:highlight w:val="none"/>
              </w:rPr>
              <w:t>以上</w:t>
            </w:r>
            <w:r>
              <w:rPr>
                <w:rFonts w:hint="eastAsia"/>
                <w:b/>
                <w:bCs/>
                <w:sz w:val="21"/>
                <w:szCs w:val="21"/>
                <w:highlight w:val="none"/>
                <w:lang w:val="en-US" w:eastAsia="zh-CN"/>
              </w:rPr>
              <w:t>1-3项</w:t>
            </w:r>
            <w:r>
              <w:rPr>
                <w:rFonts w:hint="eastAsia"/>
                <w:b/>
                <w:bCs/>
                <w:sz w:val="21"/>
                <w:szCs w:val="21"/>
                <w:highlight w:val="none"/>
              </w:rPr>
              <w:t>合计最高得100分。同一人匹配多项岗位的不可重复计分。</w:t>
            </w:r>
          </w:p>
          <w:p w14:paraId="5589AA7A">
            <w:pPr>
              <w:keepNext w:val="0"/>
              <w:keepLines w:val="0"/>
              <w:pageBreakBefore w:val="0"/>
              <w:suppressLineNumbers w:val="0"/>
              <w:kinsoku/>
              <w:overflowPunct/>
              <w:topLinePunct w:val="0"/>
              <w:bidi w:val="0"/>
              <w:adjustRightInd/>
              <w:snapToGrid/>
              <w:spacing w:before="0" w:beforeAutospacing="0" w:after="0" w:afterAutospacing="0" w:line="400" w:lineRule="exact"/>
              <w:ind w:left="0" w:leftChars="0" w:right="0" w:rightChars="0" w:firstLine="0" w:firstLineChars="0"/>
              <w:jc w:val="both"/>
              <w:outlineLvl w:val="9"/>
              <w:rPr>
                <w:rFonts w:hint="eastAsia" w:asciiTheme="minorEastAsia" w:hAnsiTheme="minorEastAsia" w:eastAsiaTheme="minorEastAsia" w:cstheme="minorEastAsia"/>
                <w:color w:val="auto"/>
                <w:sz w:val="24"/>
                <w:szCs w:val="24"/>
                <w:highlight w:val="none"/>
                <w:u w:val="none"/>
                <w:lang w:val="en-US"/>
              </w:rPr>
            </w:pPr>
            <w:r>
              <w:rPr>
                <w:rFonts w:hint="eastAsia" w:asciiTheme="minorEastAsia" w:hAnsiTheme="minorEastAsia" w:eastAsiaTheme="minorEastAsia" w:cstheme="minorEastAsia"/>
                <w:color w:val="auto"/>
                <w:sz w:val="24"/>
                <w:szCs w:val="24"/>
                <w:highlight w:val="none"/>
                <w:u w:val="none"/>
                <w:lang w:val="en-US"/>
              </w:rPr>
              <w:t>(二)评</w:t>
            </w:r>
            <w:r>
              <w:rPr>
                <w:rFonts w:hint="eastAsia" w:asciiTheme="minorEastAsia" w:hAnsiTheme="minorEastAsia" w:eastAsiaTheme="minorEastAsia" w:cstheme="minorEastAsia"/>
                <w:color w:val="auto"/>
                <w:sz w:val="24"/>
                <w:szCs w:val="24"/>
                <w:highlight w:val="none"/>
                <w:u w:val="none"/>
                <w:lang w:val="en-US" w:eastAsia="zh-CN"/>
              </w:rPr>
              <w:t>分</w:t>
            </w:r>
            <w:r>
              <w:rPr>
                <w:rFonts w:hint="eastAsia" w:asciiTheme="minorEastAsia" w:hAnsiTheme="minorEastAsia" w:eastAsiaTheme="minorEastAsia" w:cstheme="minorEastAsia"/>
                <w:color w:val="auto"/>
                <w:sz w:val="24"/>
                <w:szCs w:val="24"/>
                <w:highlight w:val="none"/>
                <w:u w:val="none"/>
                <w:lang w:val="en-US"/>
              </w:rPr>
              <w:t>依据：</w:t>
            </w:r>
          </w:p>
          <w:p w14:paraId="62CC7016">
            <w:pPr>
              <w:keepNext w:val="0"/>
              <w:keepLines w:val="0"/>
              <w:pageBreakBefore w:val="0"/>
              <w:suppressLineNumbers w:val="0"/>
              <w:kinsoku/>
              <w:overflowPunct/>
              <w:topLinePunct w:val="0"/>
              <w:bidi w:val="0"/>
              <w:adjustRightInd/>
              <w:snapToGrid/>
              <w:spacing w:before="0" w:beforeAutospacing="0" w:after="0" w:afterAutospacing="0" w:line="400" w:lineRule="exact"/>
              <w:ind w:left="0" w:leftChars="0" w:right="0" w:rightChars="0" w:firstLine="0" w:firstLineChars="0"/>
              <w:jc w:val="both"/>
              <w:outlineLvl w:val="9"/>
              <w:rPr>
                <w:rFonts w:hint="eastAsia" w:asciiTheme="minorEastAsia" w:hAnsiTheme="minorEastAsia" w:eastAsiaTheme="minorEastAsia" w:cstheme="minorEastAsia"/>
                <w:color w:val="0000FF"/>
                <w:sz w:val="24"/>
                <w:szCs w:val="24"/>
                <w:highlight w:val="none"/>
                <w:u w:val="none"/>
                <w:lang w:val="en-US"/>
              </w:rPr>
            </w:pPr>
            <w:r>
              <w:rPr>
                <w:rFonts w:hint="eastAsia" w:asciiTheme="minorEastAsia" w:hAnsiTheme="minorEastAsia" w:eastAsiaTheme="minorEastAsia" w:cstheme="minorEastAsia"/>
                <w:color w:val="0000FF"/>
                <w:sz w:val="24"/>
                <w:szCs w:val="24"/>
                <w:highlight w:val="none"/>
                <w:u w:val="none"/>
                <w:lang w:val="en-US"/>
              </w:rPr>
              <w:t>1.涉及证书的，提供有效相关证书扫描件</w:t>
            </w:r>
            <w:r>
              <w:rPr>
                <w:rFonts w:hint="eastAsia" w:asciiTheme="minorEastAsia" w:hAnsiTheme="minorEastAsia" w:eastAsiaTheme="minorEastAsia" w:cstheme="minorEastAsia"/>
                <w:color w:val="0000FF"/>
                <w:sz w:val="24"/>
                <w:szCs w:val="24"/>
                <w:highlight w:val="none"/>
                <w:u w:val="none"/>
                <w:lang w:val="en-US" w:eastAsia="zh-CN"/>
              </w:rPr>
              <w:t>：（1）</w:t>
            </w:r>
            <w:r>
              <w:rPr>
                <w:rFonts w:hint="eastAsia" w:asciiTheme="minorEastAsia" w:hAnsiTheme="minorEastAsia" w:eastAsiaTheme="minorEastAsia" w:cstheme="minorEastAsia"/>
                <w:color w:val="0000FF"/>
                <w:sz w:val="24"/>
                <w:szCs w:val="24"/>
                <w:highlight w:val="none"/>
                <w:u w:val="none"/>
                <w:lang w:val="en-US"/>
              </w:rPr>
              <w:t>涉及学历的，</w:t>
            </w:r>
            <w:r>
              <w:rPr>
                <w:rFonts w:hint="eastAsia" w:asciiTheme="minorEastAsia" w:hAnsiTheme="minorEastAsia" w:eastAsiaTheme="minorEastAsia" w:cstheme="minorEastAsia"/>
                <w:color w:val="0000FF"/>
                <w:sz w:val="24"/>
                <w:szCs w:val="24"/>
                <w:highlight w:val="none"/>
                <w:u w:val="none"/>
                <w:lang w:val="en-US" w:eastAsia="zh-CN"/>
              </w:rPr>
              <w:t>还需提供</w:t>
            </w:r>
            <w:r>
              <w:rPr>
                <w:rFonts w:hint="eastAsia" w:asciiTheme="minorEastAsia" w:hAnsiTheme="minorEastAsia" w:eastAsiaTheme="minorEastAsia" w:cstheme="minorEastAsia"/>
                <w:color w:val="0000FF"/>
                <w:sz w:val="24"/>
                <w:szCs w:val="24"/>
                <w:highlight w:val="none"/>
                <w:u w:val="none"/>
                <w:lang w:val="en-US"/>
              </w:rPr>
              <w:t>学信网查询记录截图（如较早颁发的学历证书，学信网无法查询的，可提供毕业院校或教育或人社部门等颁发机构或监管机构等出具的证明，如海外留学（含港澳台人）学历无法通过学信网站查询的，应当提供教育部留学服务中心出具的国外学历认证证书以及教育部留学服务中心官网查询截图。若证明文件为其它语言，必须附中文译文，以中文译文为准）</w:t>
            </w:r>
            <w:r>
              <w:rPr>
                <w:rFonts w:hint="eastAsia" w:asciiTheme="minorEastAsia" w:hAnsiTheme="minorEastAsia" w:eastAsiaTheme="minorEastAsia" w:cstheme="minorEastAsia"/>
                <w:color w:val="0000FF"/>
                <w:sz w:val="24"/>
                <w:szCs w:val="24"/>
                <w:highlight w:val="none"/>
                <w:u w:val="none"/>
                <w:lang w:val="en-US" w:eastAsia="zh-CN"/>
              </w:rPr>
              <w:t>；（2）其中第1项中第（2）项和第2项中第（2）项需同时提供中国计算机技术职业资格网（https://bm.ruankao.org.cn/）的查询截图；第1项中的第(6)项还需同时提供国家技能人才评价证书全国联网系统查询截图（http://zscx.osta.org.cn/）</w:t>
            </w:r>
            <w:r>
              <w:rPr>
                <w:rFonts w:hint="eastAsia" w:asciiTheme="minorEastAsia" w:hAnsiTheme="minorEastAsia" w:eastAsiaTheme="minorEastAsia" w:cstheme="minorEastAsia"/>
                <w:color w:val="0000FF"/>
                <w:sz w:val="24"/>
                <w:szCs w:val="24"/>
                <w:highlight w:val="none"/>
                <w:u w:val="none"/>
                <w:lang w:val="en-US"/>
              </w:rPr>
              <w:t>；</w:t>
            </w:r>
          </w:p>
          <w:p w14:paraId="33107D4E">
            <w:pPr>
              <w:keepNext w:val="0"/>
              <w:keepLines w:val="0"/>
              <w:pageBreakBefore w:val="0"/>
              <w:suppressLineNumbers w:val="0"/>
              <w:kinsoku/>
              <w:overflowPunct/>
              <w:topLinePunct w:val="0"/>
              <w:bidi w:val="0"/>
              <w:adjustRightInd/>
              <w:snapToGrid/>
              <w:spacing w:before="0" w:beforeAutospacing="0" w:after="0" w:afterAutospacing="0" w:line="400" w:lineRule="exact"/>
              <w:ind w:left="0" w:leftChars="0" w:right="0" w:rightChars="0" w:firstLine="0" w:firstLineChars="0"/>
              <w:jc w:val="both"/>
              <w:outlineLvl w:val="9"/>
              <w:rPr>
                <w:rFonts w:hint="eastAsia" w:asciiTheme="minorEastAsia" w:hAnsiTheme="minorEastAsia" w:eastAsiaTheme="minorEastAsia" w:cstheme="minorEastAsia"/>
                <w:color w:val="0000FF"/>
                <w:sz w:val="24"/>
                <w:szCs w:val="24"/>
                <w:highlight w:val="none"/>
                <w:u w:val="none"/>
                <w:lang w:val="en-US"/>
              </w:rPr>
            </w:pPr>
            <w:r>
              <w:rPr>
                <w:rFonts w:hint="eastAsia" w:asciiTheme="minorEastAsia" w:hAnsiTheme="minorEastAsia" w:eastAsiaTheme="minorEastAsia" w:cstheme="minorEastAsia"/>
                <w:color w:val="0000FF"/>
                <w:sz w:val="24"/>
                <w:szCs w:val="24"/>
                <w:highlight w:val="none"/>
                <w:u w:val="none"/>
                <w:lang w:val="en-US"/>
              </w:rPr>
              <w:t>2.如评分项中涉及的证书颁发单位为相关行业协会（或学会）的，则需同时提供证书颁发单位在全国社会组织信用信息公示平台（https://xxgs.chinanpo.mca.gov.cn/gsxt/newList）的信息查询截图（截图需显示发证单位状态为“正常”）；</w:t>
            </w:r>
          </w:p>
          <w:p w14:paraId="3115F7F7">
            <w:pPr>
              <w:keepNext w:val="0"/>
              <w:keepLines w:val="0"/>
              <w:pageBreakBefore w:val="0"/>
              <w:suppressLineNumbers w:val="0"/>
              <w:kinsoku/>
              <w:overflowPunct/>
              <w:topLinePunct w:val="0"/>
              <w:bidi w:val="0"/>
              <w:adjustRightInd/>
              <w:snapToGrid/>
              <w:spacing w:before="0" w:beforeAutospacing="0" w:after="0" w:afterAutospacing="0" w:line="400" w:lineRule="exact"/>
              <w:ind w:left="0" w:leftChars="0" w:right="0" w:rightChars="0" w:firstLine="0" w:firstLineChars="0"/>
              <w:jc w:val="both"/>
              <w:outlineLvl w:val="9"/>
              <w:rPr>
                <w:rFonts w:hint="eastAsia" w:asciiTheme="minorEastAsia" w:hAnsiTheme="minorEastAsia" w:eastAsiaTheme="minorEastAsia" w:cstheme="minorEastAsia"/>
                <w:color w:val="0000FF"/>
                <w:sz w:val="24"/>
                <w:szCs w:val="24"/>
                <w:highlight w:val="none"/>
                <w:u w:val="none"/>
                <w:lang w:val="en-US"/>
              </w:rPr>
            </w:pPr>
            <w:r>
              <w:rPr>
                <w:rFonts w:hint="eastAsia" w:asciiTheme="minorEastAsia" w:hAnsiTheme="minorEastAsia" w:eastAsiaTheme="minorEastAsia" w:cstheme="minorEastAsia"/>
                <w:color w:val="0000FF"/>
                <w:sz w:val="24"/>
                <w:szCs w:val="24"/>
                <w:highlight w:val="none"/>
                <w:u w:val="none"/>
                <w:lang w:val="en-US" w:eastAsia="zh-CN"/>
              </w:rPr>
              <w:t>3</w:t>
            </w:r>
            <w:r>
              <w:rPr>
                <w:rFonts w:hint="eastAsia" w:asciiTheme="minorEastAsia" w:hAnsiTheme="minorEastAsia" w:eastAsiaTheme="minorEastAsia" w:cstheme="minorEastAsia"/>
                <w:color w:val="0000FF"/>
                <w:sz w:val="24"/>
                <w:szCs w:val="24"/>
                <w:highlight w:val="none"/>
                <w:u w:val="none"/>
                <w:lang w:val="en-US"/>
              </w:rPr>
              <w:t>.提供项目负责人开标日当月（或前一个月）在本单位缴纳且载有社保部门（或税务部门）公章（或税务部门公章）的社保缴交证明材料（如开标日当月（或前一个月）的社保材料因社保部门（或税务部门）原因暂时无法取得，则可以往前顺延一个月）；成立时间不满1个月的投标人需提供成立时间相关说明材料，并提供承诺函（格式自拟）承诺人员为投标人现有员工。</w:t>
            </w:r>
          </w:p>
          <w:p w14:paraId="2A5C0493">
            <w:pPr>
              <w:rPr>
                <w:rFonts w:hint="eastAsia" w:asciiTheme="minorEastAsia" w:hAnsiTheme="minorEastAsia" w:eastAsiaTheme="minorEastAsia" w:cstheme="minorEastAsia"/>
                <w:color w:val="auto"/>
                <w:kern w:val="2"/>
                <w:sz w:val="24"/>
                <w:szCs w:val="24"/>
                <w:highlight w:val="none"/>
                <w:u w:val="none"/>
                <w:lang w:val="en-US" w:eastAsia="zh-CN" w:bidi="ar-SA"/>
              </w:rPr>
            </w:pPr>
            <w:r>
              <w:rPr>
                <w:rFonts w:hint="eastAsia" w:asciiTheme="minorEastAsia" w:hAnsiTheme="minorEastAsia" w:eastAsiaTheme="minorEastAsia" w:cstheme="minorEastAsia"/>
                <w:color w:val="0000FF"/>
                <w:sz w:val="24"/>
                <w:szCs w:val="24"/>
                <w:highlight w:val="none"/>
                <w:u w:val="none"/>
                <w:lang w:val="en-US" w:eastAsia="zh-CN"/>
              </w:rPr>
              <w:t>4</w:t>
            </w:r>
            <w:r>
              <w:rPr>
                <w:rFonts w:hint="eastAsia" w:asciiTheme="minorEastAsia" w:hAnsiTheme="minorEastAsia" w:eastAsiaTheme="minorEastAsia" w:cstheme="minorEastAsia"/>
                <w:color w:val="0000FF"/>
                <w:sz w:val="24"/>
                <w:szCs w:val="24"/>
                <w:highlight w:val="none"/>
                <w:u w:val="none"/>
                <w:lang w:val="en-US"/>
              </w:rPr>
              <w:t>.未按要求提供相关证明材料（或相关证明材料无法判断是否符合评分要求）的不计得分</w:t>
            </w:r>
            <w:r>
              <w:rPr>
                <w:rFonts w:hint="eastAsia" w:asciiTheme="minorEastAsia" w:hAnsiTheme="minorEastAsia" w:eastAsiaTheme="minorEastAsia" w:cstheme="minorEastAsia"/>
                <w:color w:val="0000FF"/>
                <w:sz w:val="24"/>
                <w:szCs w:val="24"/>
                <w:highlight w:val="none"/>
                <w:u w:val="none"/>
                <w:lang w:val="en-US" w:eastAsia="zh-CN"/>
              </w:rPr>
              <w:t>。</w:t>
            </w:r>
          </w:p>
        </w:tc>
      </w:tr>
      <w:tr w14:paraId="0992A04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0" w:type="dxa"/>
            <w:vMerge w:val="continue"/>
            <w:tcBorders>
              <w:left w:val="single" w:color="000000" w:sz="8" w:space="0"/>
              <w:right w:val="single" w:color="000000" w:sz="8" w:space="0"/>
            </w:tcBorders>
            <w:vAlign w:val="center"/>
          </w:tcPr>
          <w:p w14:paraId="575A45A8">
            <w:pPr>
              <w:rPr>
                <w:rFonts w:ascii="宋体" w:hAnsi="宋体" w:cs="宋体"/>
                <w:b/>
                <w:bCs/>
                <w:color w:val="0000FF"/>
                <w:sz w:val="24"/>
              </w:rPr>
            </w:pPr>
          </w:p>
        </w:tc>
        <w:tc>
          <w:tcPr>
            <w:tcW w:w="680" w:type="dxa"/>
            <w:tcBorders>
              <w:top w:val="single" w:color="000000" w:sz="8" w:space="0"/>
              <w:left w:val="single" w:color="000000" w:sz="8" w:space="0"/>
              <w:bottom w:val="single" w:color="000000" w:sz="8" w:space="0"/>
              <w:right w:val="single" w:color="000000" w:sz="8" w:space="0"/>
            </w:tcBorders>
            <w:vAlign w:val="center"/>
          </w:tcPr>
          <w:p w14:paraId="3D997133">
            <w:pPr>
              <w:wordWrap w:val="0"/>
              <w:jc w:val="center"/>
              <w:rPr>
                <w:rFonts w:hint="eastAsia" w:ascii="宋体" w:hAnsi="宋体" w:eastAsia="宋体" w:cs="宋体"/>
                <w:szCs w:val="21"/>
                <w:lang w:val="en-US" w:eastAsia="zh-CN"/>
              </w:rPr>
            </w:pPr>
            <w:r>
              <w:rPr>
                <w:rFonts w:hint="eastAsia" w:ascii="宋体" w:hAnsi="宋体" w:cs="宋体"/>
                <w:szCs w:val="21"/>
                <w:lang w:val="en-US" w:eastAsia="zh-CN"/>
              </w:rPr>
              <w:t>8</w:t>
            </w:r>
          </w:p>
        </w:tc>
        <w:tc>
          <w:tcPr>
            <w:tcW w:w="283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522C0CD">
            <w:pPr>
              <w:keepNext w:val="0"/>
              <w:keepLines w:val="0"/>
              <w:pageBreakBefore w:val="0"/>
              <w:suppressLineNumbers w:val="0"/>
              <w:kinsoku/>
              <w:overflowPunct/>
              <w:topLinePunct w:val="0"/>
              <w:bidi w:val="0"/>
              <w:adjustRightInd/>
              <w:snapToGrid/>
              <w:spacing w:before="0" w:beforeAutospacing="0" w:after="0" w:afterAutospacing="0" w:line="400" w:lineRule="exact"/>
              <w:ind w:left="0" w:leftChars="0" w:right="0" w:rightChars="0" w:firstLine="0" w:firstLineChars="0"/>
              <w:jc w:val="center"/>
              <w:outlineLvl w:val="9"/>
              <w:rPr>
                <w:rFonts w:hint="eastAsia" w:asciiTheme="minorEastAsia" w:hAnsiTheme="minorEastAsia" w:eastAsiaTheme="minorEastAsia" w:cstheme="minorEastAsia"/>
                <w:b w:val="0"/>
                <w:bCs/>
                <w:color w:val="auto"/>
                <w:kern w:val="2"/>
                <w:sz w:val="24"/>
                <w:szCs w:val="24"/>
                <w:highlight w:val="none"/>
                <w:u w:val="none"/>
                <w:lang w:val="en-US" w:eastAsia="zh-CN" w:bidi="ar-SA"/>
              </w:rPr>
            </w:pPr>
            <w:r>
              <w:rPr>
                <w:rFonts w:hint="eastAsia" w:asciiTheme="minorEastAsia" w:hAnsiTheme="minorEastAsia" w:eastAsiaTheme="minorEastAsia" w:cstheme="minorEastAsia"/>
                <w:bCs/>
                <w:color w:val="auto"/>
                <w:kern w:val="0"/>
                <w:sz w:val="24"/>
                <w:szCs w:val="24"/>
                <w:highlight w:val="none"/>
                <w:u w:val="none"/>
              </w:rPr>
              <w:t>拟安排团队成员情况评价</w:t>
            </w:r>
          </w:p>
        </w:tc>
        <w:tc>
          <w:tcPr>
            <w:tcW w:w="68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7EB8F4F">
            <w:pPr>
              <w:keepNext w:val="0"/>
              <w:keepLines w:val="0"/>
              <w:pageBreakBefore w:val="0"/>
              <w:suppressLineNumbers w:val="0"/>
              <w:kinsoku/>
              <w:overflowPunct/>
              <w:topLinePunct w:val="0"/>
              <w:bidi w:val="0"/>
              <w:adjustRightInd/>
              <w:snapToGrid/>
              <w:spacing w:before="0" w:beforeAutospacing="0" w:after="0" w:afterAutospacing="0" w:line="400" w:lineRule="exact"/>
              <w:ind w:left="0" w:leftChars="0" w:right="0" w:rightChars="0" w:firstLine="0" w:firstLineChars="0"/>
              <w:jc w:val="center"/>
              <w:outlineLvl w:val="9"/>
              <w:rPr>
                <w:rFonts w:hint="default" w:asciiTheme="minorEastAsia" w:hAnsiTheme="minorEastAsia" w:eastAsiaTheme="minorEastAsia" w:cstheme="minorEastAsia"/>
                <w:color w:val="auto"/>
                <w:kern w:val="2"/>
                <w:sz w:val="24"/>
                <w:szCs w:val="24"/>
                <w:highlight w:val="none"/>
                <w:u w:val="none"/>
                <w:lang w:val="en-US" w:eastAsia="zh-CN" w:bidi="ar-SA"/>
              </w:rPr>
            </w:pPr>
            <w:r>
              <w:rPr>
                <w:rFonts w:hint="eastAsia" w:asciiTheme="minorEastAsia" w:hAnsiTheme="minorEastAsia" w:eastAsiaTheme="minorEastAsia" w:cstheme="minorEastAsia"/>
                <w:color w:val="auto"/>
                <w:sz w:val="24"/>
                <w:szCs w:val="24"/>
                <w:highlight w:val="none"/>
                <w:u w:val="none"/>
                <w:lang w:val="en-US" w:eastAsia="zh-CN"/>
              </w:rPr>
              <w:t>1</w:t>
            </w:r>
            <w:r>
              <w:rPr>
                <w:rFonts w:hint="default" w:asciiTheme="minorEastAsia" w:hAnsiTheme="minorEastAsia" w:eastAsiaTheme="minorEastAsia" w:cstheme="minorEastAsia"/>
                <w:color w:val="auto"/>
                <w:sz w:val="24"/>
                <w:szCs w:val="24"/>
                <w:highlight w:val="none"/>
                <w:u w:val="none"/>
                <w:lang w:val="en-US" w:eastAsia="zh-CN"/>
              </w:rPr>
              <w:t>1</w:t>
            </w:r>
          </w:p>
        </w:tc>
        <w:tc>
          <w:tcPr>
            <w:tcW w:w="419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4624546">
            <w:pPr>
              <w:keepNext w:val="0"/>
              <w:keepLines w:val="0"/>
              <w:pageBreakBefore w:val="0"/>
              <w:suppressLineNumbers w:val="0"/>
              <w:kinsoku/>
              <w:overflowPunct/>
              <w:topLinePunct w:val="0"/>
              <w:bidi w:val="0"/>
              <w:adjustRightInd/>
              <w:snapToGrid/>
              <w:spacing w:before="0" w:beforeAutospacing="0" w:after="0" w:afterAutospacing="0" w:line="400" w:lineRule="exact"/>
              <w:ind w:left="0" w:leftChars="0" w:right="0" w:rightChars="0" w:firstLine="0" w:firstLineChars="0"/>
              <w:jc w:val="both"/>
              <w:outlineLvl w:val="9"/>
              <w:rPr>
                <w:rFonts w:hint="eastAsia" w:asciiTheme="minorEastAsia" w:hAnsiTheme="minorEastAsia" w:eastAsiaTheme="minorEastAsia" w:cstheme="minorEastAsia"/>
                <w:b w:val="0"/>
                <w:bCs/>
                <w:color w:val="auto"/>
                <w:kern w:val="44"/>
                <w:sz w:val="24"/>
                <w:szCs w:val="24"/>
                <w:highlight w:val="none"/>
                <w:u w:val="none"/>
                <w:lang w:val="en-US" w:eastAsia="zh-CN"/>
              </w:rPr>
            </w:pPr>
            <w:r>
              <w:rPr>
                <w:rFonts w:hint="eastAsia" w:asciiTheme="minorEastAsia" w:hAnsiTheme="minorEastAsia" w:eastAsiaTheme="minorEastAsia" w:cstheme="minorEastAsia"/>
                <w:b w:val="0"/>
                <w:bCs/>
                <w:color w:val="auto"/>
                <w:kern w:val="44"/>
                <w:sz w:val="24"/>
                <w:szCs w:val="24"/>
                <w:highlight w:val="none"/>
                <w:u w:val="none"/>
                <w:lang w:val="en-US" w:eastAsia="zh-CN"/>
              </w:rPr>
              <w:t>（一）评分内容</w:t>
            </w:r>
          </w:p>
          <w:p w14:paraId="1BE92B6F">
            <w:pPr>
              <w:keepNext w:val="0"/>
              <w:keepLines w:val="0"/>
              <w:pageBreakBefore w:val="0"/>
              <w:suppressLineNumbers w:val="0"/>
              <w:kinsoku/>
              <w:overflowPunct/>
              <w:topLinePunct w:val="0"/>
              <w:bidi w:val="0"/>
              <w:adjustRightInd/>
              <w:snapToGrid/>
              <w:spacing w:before="0" w:beforeAutospacing="0" w:after="0" w:afterAutospacing="0" w:line="400" w:lineRule="exact"/>
              <w:ind w:left="0" w:leftChars="0" w:right="0" w:rightChars="0" w:firstLine="0" w:firstLineChars="0"/>
              <w:jc w:val="both"/>
              <w:outlineLvl w:val="9"/>
              <w:rPr>
                <w:rFonts w:hint="eastAsia" w:asciiTheme="minorEastAsia" w:hAnsiTheme="minorEastAsia" w:eastAsiaTheme="minorEastAsia" w:cstheme="minorEastAsia"/>
                <w:b w:val="0"/>
                <w:bCs/>
                <w:color w:val="auto"/>
                <w:kern w:val="44"/>
                <w:sz w:val="24"/>
                <w:szCs w:val="24"/>
                <w:highlight w:val="none"/>
                <w:u w:val="none"/>
                <w:lang w:val="en-US" w:eastAsia="zh-CN"/>
              </w:rPr>
            </w:pPr>
            <w:r>
              <w:rPr>
                <w:rFonts w:hint="eastAsia" w:asciiTheme="minorEastAsia" w:hAnsiTheme="minorEastAsia" w:eastAsiaTheme="minorEastAsia" w:cstheme="minorEastAsia"/>
                <w:b w:val="0"/>
                <w:bCs/>
                <w:color w:val="auto"/>
                <w:kern w:val="44"/>
                <w:sz w:val="24"/>
                <w:szCs w:val="24"/>
                <w:highlight w:val="none"/>
                <w:u w:val="none"/>
                <w:lang w:val="en-US" w:eastAsia="zh-CN"/>
              </w:rPr>
              <w:t>投标人为本项目拟安排的项目主要团队成员须为投标人自有员工（拟安排的项目负责人、拟安排的安保视频监控(临时)指挥平台组及拟安排的培训负责人及培训团队成员除外）。在此基础上，按以下标准评分：</w:t>
            </w:r>
          </w:p>
          <w:p w14:paraId="2F2AFB11">
            <w:pPr>
              <w:keepNext w:val="0"/>
              <w:keepLines w:val="0"/>
              <w:pageBreakBefore w:val="0"/>
              <w:suppressLineNumbers w:val="0"/>
              <w:kinsoku/>
              <w:overflowPunct/>
              <w:topLinePunct w:val="0"/>
              <w:bidi w:val="0"/>
              <w:adjustRightInd/>
              <w:snapToGrid/>
              <w:spacing w:before="0" w:beforeAutospacing="0" w:after="0" w:afterAutospacing="0" w:line="400" w:lineRule="exact"/>
              <w:ind w:left="0" w:leftChars="0" w:right="0" w:rightChars="0" w:firstLine="0" w:firstLineChars="0"/>
              <w:jc w:val="both"/>
              <w:outlineLvl w:val="9"/>
              <w:rPr>
                <w:rFonts w:hint="eastAsia" w:asciiTheme="minorEastAsia" w:hAnsiTheme="minorEastAsia" w:eastAsiaTheme="minorEastAsia" w:cstheme="minorEastAsia"/>
                <w:b/>
                <w:bCs w:val="0"/>
                <w:color w:val="auto"/>
                <w:kern w:val="44"/>
                <w:sz w:val="24"/>
                <w:szCs w:val="24"/>
                <w:highlight w:val="none"/>
                <w:u w:val="none"/>
                <w:lang w:val="en-US" w:eastAsia="zh-CN"/>
              </w:rPr>
            </w:pPr>
            <w:r>
              <w:rPr>
                <w:rFonts w:hint="eastAsia" w:asciiTheme="minorEastAsia" w:hAnsiTheme="minorEastAsia" w:eastAsiaTheme="minorEastAsia" w:cstheme="minorEastAsia"/>
                <w:b/>
                <w:bCs w:val="0"/>
                <w:color w:val="auto"/>
                <w:kern w:val="44"/>
                <w:sz w:val="24"/>
                <w:szCs w:val="24"/>
                <w:highlight w:val="none"/>
                <w:u w:val="none"/>
                <w:lang w:val="en-US" w:eastAsia="zh-CN"/>
              </w:rPr>
              <w:t>1.拟安排的队长（仅限1人，本项最高得30</w:t>
            </w:r>
            <w:r>
              <w:rPr>
                <w:rFonts w:hint="eastAsia" w:asciiTheme="minorEastAsia" w:hAnsiTheme="minorEastAsia" w:eastAsiaTheme="minorEastAsia" w:cstheme="minorEastAsia"/>
                <w:color w:val="auto"/>
                <w:sz w:val="24"/>
                <w:szCs w:val="24"/>
                <w:highlight w:val="none"/>
                <w:u w:val="none"/>
                <w:lang w:val="en-US" w:eastAsia="zh-CN"/>
              </w:rPr>
              <w:t>分）</w:t>
            </w:r>
            <w:r>
              <w:rPr>
                <w:rFonts w:hint="eastAsia" w:asciiTheme="minorEastAsia" w:hAnsiTheme="minorEastAsia" w:eastAsiaTheme="minorEastAsia" w:cstheme="minorEastAsia"/>
                <w:b/>
                <w:bCs w:val="0"/>
                <w:color w:val="auto"/>
                <w:kern w:val="44"/>
                <w:sz w:val="24"/>
                <w:szCs w:val="24"/>
                <w:highlight w:val="none"/>
                <w:u w:val="none"/>
                <w:lang w:val="en-US" w:eastAsia="zh-CN"/>
              </w:rPr>
              <w:t>：</w:t>
            </w:r>
          </w:p>
          <w:p w14:paraId="0DD81D1B">
            <w:pPr>
              <w:keepNext w:val="0"/>
              <w:keepLines w:val="0"/>
              <w:pageBreakBefore w:val="0"/>
              <w:suppressLineNumbers w:val="0"/>
              <w:kinsoku/>
              <w:overflowPunct/>
              <w:topLinePunct w:val="0"/>
              <w:bidi w:val="0"/>
              <w:adjustRightInd/>
              <w:snapToGrid/>
              <w:spacing w:before="0" w:beforeAutospacing="0" w:after="0" w:afterAutospacing="0" w:line="400" w:lineRule="exact"/>
              <w:ind w:left="0" w:leftChars="0" w:right="0" w:rightChars="0" w:firstLine="0" w:firstLineChars="0"/>
              <w:jc w:val="both"/>
              <w:outlineLvl w:val="9"/>
              <w:rPr>
                <w:rFonts w:hint="default" w:asciiTheme="minorEastAsia" w:hAnsiTheme="minorEastAsia" w:eastAsiaTheme="minorEastAsia" w:cstheme="minorEastAsia"/>
                <w:b w:val="0"/>
                <w:bCs/>
                <w:color w:val="auto"/>
                <w:kern w:val="44"/>
                <w:sz w:val="24"/>
                <w:szCs w:val="24"/>
                <w:highlight w:val="none"/>
                <w:u w:val="none"/>
                <w:lang w:val="en-US" w:eastAsia="zh-CN"/>
              </w:rPr>
            </w:pPr>
            <w:r>
              <w:rPr>
                <w:rFonts w:hint="eastAsia" w:asciiTheme="minorEastAsia" w:hAnsiTheme="minorEastAsia" w:eastAsiaTheme="minorEastAsia" w:cstheme="minorEastAsia"/>
                <w:b w:val="0"/>
                <w:bCs/>
                <w:color w:val="auto"/>
                <w:kern w:val="44"/>
                <w:sz w:val="24"/>
                <w:szCs w:val="24"/>
                <w:highlight w:val="none"/>
                <w:u w:val="none"/>
                <w:lang w:val="en-US" w:eastAsia="zh-CN"/>
              </w:rPr>
              <w:t>（1）具有管理类或法律类专业本科（或以上）学历的得</w:t>
            </w:r>
            <w:r>
              <w:rPr>
                <w:rFonts w:hint="default" w:asciiTheme="minorEastAsia" w:hAnsiTheme="minorEastAsia" w:eastAsiaTheme="minorEastAsia" w:cstheme="minorEastAsia"/>
                <w:b w:val="0"/>
                <w:bCs/>
                <w:color w:val="auto"/>
                <w:kern w:val="44"/>
                <w:sz w:val="24"/>
                <w:szCs w:val="24"/>
                <w:highlight w:val="none"/>
                <w:u w:val="none"/>
                <w:lang w:val="en-US" w:eastAsia="zh-CN"/>
              </w:rPr>
              <w:t>5</w:t>
            </w:r>
            <w:r>
              <w:rPr>
                <w:rFonts w:hint="eastAsia" w:asciiTheme="minorEastAsia" w:hAnsiTheme="minorEastAsia" w:eastAsiaTheme="minorEastAsia" w:cstheme="minorEastAsia"/>
                <w:color w:val="auto"/>
                <w:sz w:val="24"/>
                <w:szCs w:val="24"/>
                <w:highlight w:val="none"/>
                <w:u w:val="none"/>
                <w:lang w:val="en-US" w:eastAsia="zh-CN"/>
              </w:rPr>
              <w:t>分</w:t>
            </w:r>
            <w:r>
              <w:rPr>
                <w:rFonts w:hint="eastAsia" w:asciiTheme="minorEastAsia" w:hAnsiTheme="minorEastAsia" w:eastAsiaTheme="minorEastAsia" w:cstheme="minorEastAsia"/>
                <w:b w:val="0"/>
                <w:bCs/>
                <w:color w:val="auto"/>
                <w:kern w:val="44"/>
                <w:sz w:val="24"/>
                <w:szCs w:val="24"/>
                <w:highlight w:val="none"/>
                <w:u w:val="none"/>
                <w:lang w:val="en-US" w:eastAsia="zh-CN"/>
              </w:rPr>
              <w:t>，本项最高得</w:t>
            </w:r>
            <w:r>
              <w:rPr>
                <w:rFonts w:hint="default" w:asciiTheme="minorEastAsia" w:hAnsiTheme="minorEastAsia" w:eastAsiaTheme="minorEastAsia" w:cstheme="minorEastAsia"/>
                <w:b w:val="0"/>
                <w:bCs/>
                <w:color w:val="auto"/>
                <w:kern w:val="44"/>
                <w:sz w:val="24"/>
                <w:szCs w:val="24"/>
                <w:highlight w:val="none"/>
                <w:u w:val="none"/>
                <w:lang w:val="en-US" w:eastAsia="zh-CN"/>
              </w:rPr>
              <w:t>5</w:t>
            </w:r>
            <w:r>
              <w:rPr>
                <w:rFonts w:hint="eastAsia" w:asciiTheme="minorEastAsia" w:hAnsiTheme="minorEastAsia" w:eastAsiaTheme="minorEastAsia" w:cstheme="minorEastAsia"/>
                <w:color w:val="auto"/>
                <w:sz w:val="24"/>
                <w:szCs w:val="24"/>
                <w:highlight w:val="none"/>
                <w:u w:val="none"/>
                <w:lang w:val="en-US" w:eastAsia="zh-CN"/>
              </w:rPr>
              <w:t>分</w:t>
            </w:r>
            <w:r>
              <w:rPr>
                <w:rFonts w:hint="eastAsia" w:asciiTheme="minorEastAsia" w:hAnsiTheme="minorEastAsia" w:eastAsiaTheme="minorEastAsia" w:cstheme="minorEastAsia"/>
                <w:b w:val="0"/>
                <w:bCs/>
                <w:color w:val="auto"/>
                <w:kern w:val="44"/>
                <w:sz w:val="24"/>
                <w:szCs w:val="24"/>
                <w:highlight w:val="none"/>
                <w:u w:val="none"/>
                <w:lang w:val="en-US" w:eastAsia="zh-CN"/>
              </w:rPr>
              <w:t>；</w:t>
            </w:r>
          </w:p>
          <w:p w14:paraId="2D4ED4A8">
            <w:pPr>
              <w:keepNext w:val="0"/>
              <w:keepLines w:val="0"/>
              <w:pageBreakBefore w:val="0"/>
              <w:suppressLineNumbers w:val="0"/>
              <w:kinsoku/>
              <w:overflowPunct/>
              <w:topLinePunct w:val="0"/>
              <w:bidi w:val="0"/>
              <w:adjustRightInd/>
              <w:snapToGrid/>
              <w:spacing w:before="0" w:beforeAutospacing="0" w:after="0" w:afterAutospacing="0" w:line="400" w:lineRule="exact"/>
              <w:ind w:left="0" w:leftChars="0" w:right="0" w:rightChars="0" w:firstLine="0" w:firstLineChars="0"/>
              <w:jc w:val="both"/>
              <w:outlineLvl w:val="9"/>
              <w:rPr>
                <w:rFonts w:hint="eastAsia" w:asciiTheme="minorEastAsia" w:hAnsiTheme="minorEastAsia" w:eastAsiaTheme="minorEastAsia" w:cstheme="minorEastAsia"/>
                <w:b w:val="0"/>
                <w:bCs/>
                <w:color w:val="auto"/>
                <w:kern w:val="44"/>
                <w:sz w:val="24"/>
                <w:szCs w:val="24"/>
                <w:highlight w:val="none"/>
                <w:u w:val="none"/>
                <w:lang w:val="en-US" w:eastAsia="zh-CN"/>
              </w:rPr>
            </w:pPr>
            <w:r>
              <w:rPr>
                <w:rFonts w:hint="eastAsia" w:asciiTheme="minorEastAsia" w:hAnsiTheme="minorEastAsia" w:eastAsiaTheme="minorEastAsia" w:cstheme="minorEastAsia"/>
                <w:b w:val="0"/>
                <w:bCs/>
                <w:color w:val="auto"/>
                <w:kern w:val="44"/>
                <w:sz w:val="24"/>
                <w:szCs w:val="24"/>
                <w:highlight w:val="none"/>
                <w:u w:val="none"/>
                <w:lang w:val="en-US" w:eastAsia="zh-CN"/>
              </w:rPr>
              <w:t>（2）具有相关机构颁发的高级现场管理工程师的得5</w:t>
            </w:r>
            <w:r>
              <w:rPr>
                <w:rFonts w:hint="eastAsia" w:asciiTheme="minorEastAsia" w:hAnsiTheme="minorEastAsia" w:eastAsiaTheme="minorEastAsia" w:cstheme="minorEastAsia"/>
                <w:color w:val="auto"/>
                <w:sz w:val="24"/>
                <w:szCs w:val="24"/>
                <w:highlight w:val="none"/>
                <w:u w:val="none"/>
                <w:lang w:val="en-US" w:eastAsia="zh-CN"/>
              </w:rPr>
              <w:t>分</w:t>
            </w:r>
            <w:r>
              <w:rPr>
                <w:rFonts w:hint="eastAsia" w:asciiTheme="minorEastAsia" w:hAnsiTheme="minorEastAsia" w:eastAsiaTheme="minorEastAsia" w:cstheme="minorEastAsia"/>
                <w:b w:val="0"/>
                <w:bCs/>
                <w:color w:val="auto"/>
                <w:kern w:val="44"/>
                <w:sz w:val="24"/>
                <w:szCs w:val="24"/>
                <w:highlight w:val="none"/>
                <w:u w:val="none"/>
                <w:lang w:val="en-US" w:eastAsia="zh-CN"/>
              </w:rPr>
              <w:t>，本项最高得5</w:t>
            </w:r>
            <w:r>
              <w:rPr>
                <w:rFonts w:hint="eastAsia" w:asciiTheme="minorEastAsia" w:hAnsiTheme="minorEastAsia" w:eastAsiaTheme="minorEastAsia" w:cstheme="minorEastAsia"/>
                <w:color w:val="auto"/>
                <w:sz w:val="24"/>
                <w:szCs w:val="24"/>
                <w:highlight w:val="none"/>
                <w:u w:val="none"/>
                <w:lang w:val="en-US" w:eastAsia="zh-CN"/>
              </w:rPr>
              <w:t>分</w:t>
            </w:r>
            <w:r>
              <w:rPr>
                <w:rFonts w:hint="eastAsia" w:asciiTheme="minorEastAsia" w:hAnsiTheme="minorEastAsia" w:eastAsiaTheme="minorEastAsia" w:cstheme="minorEastAsia"/>
                <w:b w:val="0"/>
                <w:bCs/>
                <w:color w:val="auto"/>
                <w:kern w:val="44"/>
                <w:sz w:val="24"/>
                <w:szCs w:val="24"/>
                <w:highlight w:val="none"/>
                <w:u w:val="none"/>
                <w:lang w:val="en-US" w:eastAsia="zh-CN"/>
              </w:rPr>
              <w:t>；</w:t>
            </w:r>
          </w:p>
          <w:p w14:paraId="235C19A9">
            <w:pPr>
              <w:keepNext w:val="0"/>
              <w:keepLines w:val="0"/>
              <w:pageBreakBefore w:val="0"/>
              <w:suppressLineNumbers w:val="0"/>
              <w:kinsoku/>
              <w:overflowPunct/>
              <w:topLinePunct w:val="0"/>
              <w:bidi w:val="0"/>
              <w:adjustRightInd/>
              <w:snapToGrid/>
              <w:spacing w:before="0" w:beforeAutospacing="0" w:after="0" w:afterAutospacing="0" w:line="400" w:lineRule="exact"/>
              <w:ind w:left="0" w:leftChars="0" w:right="0" w:rightChars="0" w:firstLine="0" w:firstLineChars="0"/>
              <w:jc w:val="both"/>
              <w:outlineLvl w:val="9"/>
              <w:rPr>
                <w:rFonts w:hint="eastAsia" w:asciiTheme="minorEastAsia" w:hAnsiTheme="minorEastAsia" w:eastAsiaTheme="minorEastAsia" w:cstheme="minorEastAsia"/>
                <w:b w:val="0"/>
                <w:bCs/>
                <w:color w:val="auto"/>
                <w:kern w:val="44"/>
                <w:sz w:val="24"/>
                <w:szCs w:val="24"/>
                <w:highlight w:val="none"/>
                <w:u w:val="none"/>
                <w:lang w:val="en-US" w:eastAsia="zh-CN"/>
              </w:rPr>
            </w:pPr>
            <w:r>
              <w:rPr>
                <w:rFonts w:hint="eastAsia" w:asciiTheme="minorEastAsia" w:hAnsiTheme="minorEastAsia" w:eastAsiaTheme="minorEastAsia" w:cstheme="minorEastAsia"/>
                <w:b w:val="0"/>
                <w:bCs/>
                <w:color w:val="auto"/>
                <w:kern w:val="44"/>
                <w:sz w:val="24"/>
                <w:szCs w:val="24"/>
                <w:highlight w:val="none"/>
                <w:u w:val="none"/>
                <w:lang w:val="en-US" w:eastAsia="zh-CN"/>
              </w:rPr>
              <w:t>（3）具有相关机构颁发的中级（四级）或以上消防安全管理员证书的得5</w:t>
            </w:r>
            <w:r>
              <w:rPr>
                <w:rFonts w:hint="eastAsia" w:asciiTheme="minorEastAsia" w:hAnsiTheme="minorEastAsia" w:eastAsiaTheme="minorEastAsia" w:cstheme="minorEastAsia"/>
                <w:color w:val="auto"/>
                <w:sz w:val="24"/>
                <w:szCs w:val="24"/>
                <w:highlight w:val="none"/>
                <w:u w:val="none"/>
                <w:lang w:val="en-US" w:eastAsia="zh-CN"/>
              </w:rPr>
              <w:t>分</w:t>
            </w:r>
            <w:r>
              <w:rPr>
                <w:rFonts w:hint="eastAsia" w:asciiTheme="minorEastAsia" w:hAnsiTheme="minorEastAsia" w:eastAsiaTheme="minorEastAsia" w:cstheme="minorEastAsia"/>
                <w:b w:val="0"/>
                <w:bCs/>
                <w:color w:val="auto"/>
                <w:kern w:val="44"/>
                <w:sz w:val="24"/>
                <w:szCs w:val="24"/>
                <w:highlight w:val="none"/>
                <w:u w:val="none"/>
                <w:lang w:val="en-US" w:eastAsia="zh-CN"/>
              </w:rPr>
              <w:t>，本项最高得5</w:t>
            </w:r>
            <w:r>
              <w:rPr>
                <w:rFonts w:hint="eastAsia" w:asciiTheme="minorEastAsia" w:hAnsiTheme="minorEastAsia" w:eastAsiaTheme="minorEastAsia" w:cstheme="minorEastAsia"/>
                <w:color w:val="auto"/>
                <w:sz w:val="24"/>
                <w:szCs w:val="24"/>
                <w:highlight w:val="none"/>
                <w:u w:val="none"/>
                <w:lang w:val="en-US" w:eastAsia="zh-CN"/>
              </w:rPr>
              <w:t>分</w:t>
            </w:r>
            <w:r>
              <w:rPr>
                <w:rFonts w:hint="eastAsia" w:asciiTheme="minorEastAsia" w:hAnsiTheme="minorEastAsia" w:eastAsiaTheme="minorEastAsia" w:cstheme="minorEastAsia"/>
                <w:b w:val="0"/>
                <w:bCs/>
                <w:color w:val="auto"/>
                <w:kern w:val="44"/>
                <w:sz w:val="24"/>
                <w:szCs w:val="24"/>
                <w:highlight w:val="none"/>
                <w:u w:val="none"/>
                <w:lang w:val="en-US" w:eastAsia="zh-CN"/>
              </w:rPr>
              <w:t>；</w:t>
            </w:r>
          </w:p>
          <w:p w14:paraId="293C4139">
            <w:pPr>
              <w:keepNext w:val="0"/>
              <w:keepLines w:val="0"/>
              <w:pageBreakBefore w:val="0"/>
              <w:suppressLineNumbers w:val="0"/>
              <w:kinsoku/>
              <w:overflowPunct/>
              <w:topLinePunct w:val="0"/>
              <w:bidi w:val="0"/>
              <w:adjustRightInd/>
              <w:snapToGrid/>
              <w:spacing w:before="0" w:beforeAutospacing="0" w:after="0" w:afterAutospacing="0" w:line="400" w:lineRule="exact"/>
              <w:ind w:left="0" w:leftChars="0" w:right="0" w:rightChars="0" w:firstLine="0" w:firstLineChars="0"/>
              <w:jc w:val="both"/>
              <w:outlineLvl w:val="9"/>
              <w:rPr>
                <w:rFonts w:hint="eastAsia" w:asciiTheme="minorEastAsia" w:hAnsiTheme="minorEastAsia" w:eastAsiaTheme="minorEastAsia" w:cstheme="minorEastAsia"/>
                <w:b w:val="0"/>
                <w:bCs/>
                <w:color w:val="auto"/>
                <w:kern w:val="44"/>
                <w:sz w:val="24"/>
                <w:szCs w:val="24"/>
                <w:highlight w:val="none"/>
                <w:u w:val="none"/>
                <w:lang w:val="en-US" w:eastAsia="zh-CN"/>
              </w:rPr>
            </w:pPr>
            <w:r>
              <w:rPr>
                <w:rFonts w:hint="eastAsia" w:asciiTheme="minorEastAsia" w:hAnsiTheme="minorEastAsia" w:eastAsiaTheme="minorEastAsia" w:cstheme="minorEastAsia"/>
                <w:b w:val="0"/>
                <w:bCs/>
                <w:color w:val="auto"/>
                <w:kern w:val="44"/>
                <w:sz w:val="24"/>
                <w:szCs w:val="24"/>
                <w:highlight w:val="none"/>
                <w:u w:val="none"/>
                <w:lang w:val="en-US" w:eastAsia="zh-CN"/>
              </w:rPr>
              <w:t>（4）具有相关机构颁发的大型活动应急处置管理师证书的得5</w:t>
            </w:r>
            <w:r>
              <w:rPr>
                <w:rFonts w:hint="eastAsia" w:asciiTheme="minorEastAsia" w:hAnsiTheme="minorEastAsia" w:eastAsiaTheme="minorEastAsia" w:cstheme="minorEastAsia"/>
                <w:color w:val="auto"/>
                <w:sz w:val="24"/>
                <w:szCs w:val="24"/>
                <w:highlight w:val="none"/>
                <w:u w:val="none"/>
                <w:lang w:val="en-US" w:eastAsia="zh-CN"/>
              </w:rPr>
              <w:t>分</w:t>
            </w:r>
            <w:r>
              <w:rPr>
                <w:rFonts w:hint="eastAsia" w:asciiTheme="minorEastAsia" w:hAnsiTheme="minorEastAsia" w:eastAsiaTheme="minorEastAsia" w:cstheme="minorEastAsia"/>
                <w:b w:val="0"/>
                <w:bCs/>
                <w:color w:val="auto"/>
                <w:kern w:val="44"/>
                <w:sz w:val="24"/>
                <w:szCs w:val="24"/>
                <w:highlight w:val="none"/>
                <w:u w:val="none"/>
                <w:lang w:val="en-US" w:eastAsia="zh-CN"/>
              </w:rPr>
              <w:t>，本项最高得5</w:t>
            </w:r>
            <w:r>
              <w:rPr>
                <w:rFonts w:hint="eastAsia" w:asciiTheme="minorEastAsia" w:hAnsiTheme="minorEastAsia" w:eastAsiaTheme="minorEastAsia" w:cstheme="minorEastAsia"/>
                <w:color w:val="auto"/>
                <w:sz w:val="24"/>
                <w:szCs w:val="24"/>
                <w:highlight w:val="none"/>
                <w:u w:val="none"/>
                <w:lang w:val="en-US" w:eastAsia="zh-CN"/>
              </w:rPr>
              <w:t>分</w:t>
            </w:r>
            <w:r>
              <w:rPr>
                <w:rFonts w:hint="eastAsia" w:asciiTheme="minorEastAsia" w:hAnsiTheme="minorEastAsia" w:eastAsiaTheme="minorEastAsia" w:cstheme="minorEastAsia"/>
                <w:b w:val="0"/>
                <w:bCs/>
                <w:color w:val="auto"/>
                <w:kern w:val="44"/>
                <w:sz w:val="24"/>
                <w:szCs w:val="24"/>
                <w:highlight w:val="none"/>
                <w:u w:val="none"/>
                <w:lang w:val="en-US" w:eastAsia="zh-CN"/>
              </w:rPr>
              <w:t>；</w:t>
            </w:r>
          </w:p>
          <w:p w14:paraId="3DDF8A04">
            <w:pPr>
              <w:keepNext w:val="0"/>
              <w:keepLines w:val="0"/>
              <w:pageBreakBefore w:val="0"/>
              <w:suppressLineNumbers w:val="0"/>
              <w:kinsoku/>
              <w:overflowPunct/>
              <w:topLinePunct w:val="0"/>
              <w:bidi w:val="0"/>
              <w:adjustRightInd/>
              <w:snapToGrid/>
              <w:spacing w:before="0" w:beforeAutospacing="0" w:after="0" w:afterAutospacing="0" w:line="400" w:lineRule="exact"/>
              <w:ind w:left="0" w:leftChars="0" w:right="0" w:rightChars="0" w:firstLine="0" w:firstLineChars="0"/>
              <w:jc w:val="both"/>
              <w:outlineLvl w:val="9"/>
              <w:rPr>
                <w:rFonts w:hint="eastAsia" w:asciiTheme="minorEastAsia" w:hAnsiTheme="minorEastAsia" w:eastAsiaTheme="minorEastAsia" w:cstheme="minorEastAsia"/>
                <w:b w:val="0"/>
                <w:bCs/>
                <w:color w:val="auto"/>
                <w:kern w:val="44"/>
                <w:sz w:val="24"/>
                <w:szCs w:val="24"/>
                <w:highlight w:val="none"/>
                <w:u w:val="none"/>
                <w:lang w:val="en-US" w:eastAsia="zh-CN"/>
              </w:rPr>
            </w:pPr>
            <w:r>
              <w:rPr>
                <w:rFonts w:hint="eastAsia" w:asciiTheme="minorEastAsia" w:hAnsiTheme="minorEastAsia" w:eastAsiaTheme="minorEastAsia" w:cstheme="minorEastAsia"/>
                <w:b w:val="0"/>
                <w:bCs/>
                <w:color w:val="auto"/>
                <w:kern w:val="44"/>
                <w:sz w:val="24"/>
                <w:szCs w:val="24"/>
                <w:highlight w:val="none"/>
                <w:u w:val="none"/>
                <w:lang w:val="en-US" w:eastAsia="zh-CN"/>
              </w:rPr>
              <w:t>（5）具有相关机构颁发高级安全风险评估师的得5</w:t>
            </w:r>
            <w:r>
              <w:rPr>
                <w:rFonts w:hint="eastAsia" w:asciiTheme="minorEastAsia" w:hAnsiTheme="minorEastAsia" w:eastAsiaTheme="minorEastAsia" w:cstheme="minorEastAsia"/>
                <w:color w:val="auto"/>
                <w:sz w:val="24"/>
                <w:szCs w:val="24"/>
                <w:highlight w:val="none"/>
                <w:u w:val="none"/>
                <w:lang w:val="en-US" w:eastAsia="zh-CN"/>
              </w:rPr>
              <w:t>分</w:t>
            </w:r>
            <w:r>
              <w:rPr>
                <w:rFonts w:hint="eastAsia" w:asciiTheme="minorEastAsia" w:hAnsiTheme="minorEastAsia" w:eastAsiaTheme="minorEastAsia" w:cstheme="minorEastAsia"/>
                <w:b w:val="0"/>
                <w:bCs/>
                <w:color w:val="auto"/>
                <w:kern w:val="44"/>
                <w:sz w:val="24"/>
                <w:szCs w:val="24"/>
                <w:highlight w:val="none"/>
                <w:u w:val="none"/>
                <w:lang w:val="en-US" w:eastAsia="zh-CN"/>
              </w:rPr>
              <w:t>，本项最高得5</w:t>
            </w:r>
            <w:r>
              <w:rPr>
                <w:rFonts w:hint="eastAsia" w:asciiTheme="minorEastAsia" w:hAnsiTheme="minorEastAsia" w:eastAsiaTheme="minorEastAsia" w:cstheme="minorEastAsia"/>
                <w:color w:val="auto"/>
                <w:sz w:val="24"/>
                <w:szCs w:val="24"/>
                <w:highlight w:val="none"/>
                <w:u w:val="none"/>
                <w:lang w:val="en-US" w:eastAsia="zh-CN"/>
              </w:rPr>
              <w:t>分</w:t>
            </w:r>
            <w:r>
              <w:rPr>
                <w:rFonts w:hint="eastAsia" w:asciiTheme="minorEastAsia" w:hAnsiTheme="minorEastAsia" w:eastAsiaTheme="minorEastAsia" w:cstheme="minorEastAsia"/>
                <w:b w:val="0"/>
                <w:bCs/>
                <w:color w:val="auto"/>
                <w:kern w:val="44"/>
                <w:sz w:val="24"/>
                <w:szCs w:val="24"/>
                <w:highlight w:val="none"/>
                <w:u w:val="none"/>
                <w:lang w:val="en-US" w:eastAsia="zh-CN"/>
              </w:rPr>
              <w:t>；</w:t>
            </w:r>
          </w:p>
          <w:p w14:paraId="572DBAA5">
            <w:pPr>
              <w:keepNext w:val="0"/>
              <w:keepLines w:val="0"/>
              <w:pageBreakBefore w:val="0"/>
              <w:suppressLineNumbers w:val="0"/>
              <w:kinsoku/>
              <w:overflowPunct/>
              <w:topLinePunct w:val="0"/>
              <w:bidi w:val="0"/>
              <w:adjustRightInd/>
              <w:snapToGrid/>
              <w:spacing w:before="0" w:beforeAutospacing="0" w:after="0" w:afterAutospacing="0" w:line="400" w:lineRule="exact"/>
              <w:ind w:left="0" w:leftChars="0" w:right="0" w:rightChars="0" w:firstLine="0" w:firstLineChars="0"/>
              <w:jc w:val="both"/>
              <w:outlineLvl w:val="9"/>
              <w:rPr>
                <w:rFonts w:hint="default" w:asciiTheme="minorEastAsia" w:hAnsiTheme="minorEastAsia" w:eastAsiaTheme="minorEastAsia" w:cstheme="minorEastAsia"/>
                <w:b w:val="0"/>
                <w:bCs/>
                <w:color w:val="auto"/>
                <w:kern w:val="44"/>
                <w:sz w:val="24"/>
                <w:szCs w:val="24"/>
                <w:highlight w:val="none"/>
                <w:u w:val="none"/>
                <w:lang w:val="en-US" w:eastAsia="zh-CN"/>
              </w:rPr>
            </w:pPr>
            <w:r>
              <w:rPr>
                <w:rFonts w:hint="eastAsia" w:asciiTheme="minorEastAsia" w:hAnsiTheme="minorEastAsia" w:eastAsiaTheme="minorEastAsia" w:cstheme="minorEastAsia"/>
                <w:b w:val="0"/>
                <w:bCs/>
                <w:color w:val="auto"/>
                <w:kern w:val="44"/>
                <w:sz w:val="24"/>
                <w:szCs w:val="24"/>
                <w:highlight w:val="none"/>
                <w:u w:val="none"/>
                <w:lang w:val="en-US" w:eastAsia="zh-CN"/>
              </w:rPr>
              <w:t>（6）具有相关机构颁发的一级保卫管理员证书的得5</w:t>
            </w:r>
            <w:r>
              <w:rPr>
                <w:rFonts w:hint="eastAsia" w:asciiTheme="minorEastAsia" w:hAnsiTheme="minorEastAsia" w:eastAsiaTheme="minorEastAsia" w:cstheme="minorEastAsia"/>
                <w:color w:val="auto"/>
                <w:sz w:val="24"/>
                <w:szCs w:val="24"/>
                <w:highlight w:val="none"/>
                <w:u w:val="none"/>
                <w:lang w:val="en-US" w:eastAsia="zh-CN"/>
              </w:rPr>
              <w:t>分</w:t>
            </w:r>
            <w:r>
              <w:rPr>
                <w:rFonts w:hint="eastAsia" w:asciiTheme="minorEastAsia" w:hAnsiTheme="minorEastAsia" w:eastAsiaTheme="minorEastAsia" w:cstheme="minorEastAsia"/>
                <w:b w:val="0"/>
                <w:bCs/>
                <w:color w:val="auto"/>
                <w:kern w:val="44"/>
                <w:sz w:val="24"/>
                <w:szCs w:val="24"/>
                <w:highlight w:val="none"/>
                <w:u w:val="none"/>
                <w:lang w:val="en-US" w:eastAsia="zh-CN"/>
              </w:rPr>
              <w:t>，本项最高得5分。</w:t>
            </w:r>
          </w:p>
          <w:p w14:paraId="7A8C9A7F">
            <w:pPr>
              <w:keepNext w:val="0"/>
              <w:keepLines w:val="0"/>
              <w:pageBreakBefore w:val="0"/>
              <w:suppressLineNumbers w:val="0"/>
              <w:kinsoku/>
              <w:overflowPunct/>
              <w:topLinePunct w:val="0"/>
              <w:bidi w:val="0"/>
              <w:adjustRightInd/>
              <w:snapToGrid/>
              <w:spacing w:before="0" w:beforeAutospacing="0" w:after="0" w:afterAutospacing="0" w:line="400" w:lineRule="exact"/>
              <w:ind w:left="0" w:leftChars="0" w:right="0" w:rightChars="0" w:firstLine="0" w:firstLineChars="0"/>
              <w:jc w:val="both"/>
              <w:outlineLvl w:val="9"/>
              <w:rPr>
                <w:rFonts w:hint="eastAsia" w:asciiTheme="minorEastAsia" w:hAnsiTheme="minorEastAsia" w:eastAsiaTheme="minorEastAsia" w:cstheme="minorEastAsia"/>
                <w:b/>
                <w:bCs w:val="0"/>
                <w:color w:val="auto"/>
                <w:kern w:val="44"/>
                <w:sz w:val="24"/>
                <w:szCs w:val="24"/>
                <w:highlight w:val="none"/>
                <w:u w:val="none"/>
                <w:lang w:val="en-US" w:eastAsia="zh-CN"/>
              </w:rPr>
            </w:pPr>
            <w:r>
              <w:rPr>
                <w:rFonts w:hint="eastAsia" w:asciiTheme="minorEastAsia" w:hAnsiTheme="minorEastAsia" w:eastAsiaTheme="minorEastAsia" w:cstheme="minorEastAsia"/>
                <w:b/>
                <w:bCs w:val="0"/>
                <w:color w:val="auto"/>
                <w:kern w:val="44"/>
                <w:sz w:val="24"/>
                <w:szCs w:val="24"/>
                <w:highlight w:val="none"/>
                <w:u w:val="none"/>
                <w:lang w:val="en-US" w:eastAsia="zh-CN"/>
              </w:rPr>
              <w:t>2.拟安排的副队长（仅限4人，本项最高的20分）：</w:t>
            </w:r>
          </w:p>
          <w:p w14:paraId="4034769F">
            <w:pPr>
              <w:keepNext w:val="0"/>
              <w:keepLines w:val="0"/>
              <w:pageBreakBefore w:val="0"/>
              <w:suppressLineNumbers w:val="0"/>
              <w:kinsoku/>
              <w:overflowPunct/>
              <w:topLinePunct w:val="0"/>
              <w:bidi w:val="0"/>
              <w:adjustRightInd/>
              <w:snapToGrid/>
              <w:spacing w:before="0" w:beforeAutospacing="0" w:after="0" w:afterAutospacing="0" w:line="400" w:lineRule="exact"/>
              <w:ind w:left="0" w:leftChars="0" w:right="0" w:rightChars="0" w:firstLine="0" w:firstLineChars="0"/>
              <w:jc w:val="both"/>
              <w:outlineLvl w:val="9"/>
              <w:rPr>
                <w:rFonts w:hint="eastAsia" w:asciiTheme="minorEastAsia" w:hAnsiTheme="minorEastAsia" w:eastAsiaTheme="minorEastAsia" w:cstheme="minorEastAsia"/>
                <w:b w:val="0"/>
                <w:bCs/>
                <w:color w:val="auto"/>
                <w:kern w:val="44"/>
                <w:sz w:val="24"/>
                <w:szCs w:val="24"/>
                <w:highlight w:val="none"/>
                <w:u w:val="none"/>
                <w:lang w:val="en-US" w:eastAsia="zh-CN"/>
              </w:rPr>
            </w:pPr>
            <w:r>
              <w:rPr>
                <w:rFonts w:hint="eastAsia" w:asciiTheme="minorEastAsia" w:hAnsiTheme="minorEastAsia" w:eastAsiaTheme="minorEastAsia" w:cstheme="minorEastAsia"/>
                <w:b w:val="0"/>
                <w:bCs/>
                <w:color w:val="auto"/>
                <w:kern w:val="44"/>
                <w:sz w:val="24"/>
                <w:szCs w:val="24"/>
                <w:highlight w:val="none"/>
                <w:u w:val="none"/>
                <w:lang w:val="en-US" w:eastAsia="zh-CN"/>
              </w:rPr>
              <w:t>（1）具有管理类或法律类专业本科（或以上）学历的，每提供1人得3分，本项最高得12分；</w:t>
            </w:r>
          </w:p>
          <w:p w14:paraId="20901ECE">
            <w:pPr>
              <w:keepNext w:val="0"/>
              <w:keepLines w:val="0"/>
              <w:pageBreakBefore w:val="0"/>
              <w:suppressLineNumbers w:val="0"/>
              <w:kinsoku/>
              <w:overflowPunct/>
              <w:topLinePunct w:val="0"/>
              <w:bidi w:val="0"/>
              <w:adjustRightInd/>
              <w:snapToGrid/>
              <w:spacing w:before="0" w:beforeAutospacing="0" w:after="0" w:afterAutospacing="0" w:line="400" w:lineRule="exact"/>
              <w:ind w:left="0" w:leftChars="0" w:right="0" w:rightChars="0" w:firstLine="0" w:firstLineChars="0"/>
              <w:jc w:val="both"/>
              <w:outlineLvl w:val="9"/>
              <w:rPr>
                <w:rFonts w:hint="eastAsia" w:asciiTheme="minorEastAsia" w:hAnsiTheme="minorEastAsia" w:eastAsiaTheme="minorEastAsia" w:cstheme="minorEastAsia"/>
                <w:b w:val="0"/>
                <w:bCs/>
                <w:color w:val="auto"/>
                <w:kern w:val="44"/>
                <w:sz w:val="24"/>
                <w:szCs w:val="24"/>
                <w:highlight w:val="none"/>
                <w:u w:val="none"/>
                <w:lang w:val="en-US" w:eastAsia="zh-CN"/>
              </w:rPr>
            </w:pPr>
            <w:r>
              <w:rPr>
                <w:rFonts w:hint="eastAsia" w:asciiTheme="minorEastAsia" w:hAnsiTheme="minorEastAsia" w:eastAsiaTheme="minorEastAsia" w:cstheme="minorEastAsia"/>
                <w:b w:val="0"/>
                <w:bCs/>
                <w:color w:val="auto"/>
                <w:kern w:val="44"/>
                <w:sz w:val="24"/>
                <w:szCs w:val="24"/>
                <w:highlight w:val="none"/>
                <w:u w:val="none"/>
                <w:lang w:val="en-US" w:eastAsia="zh-CN"/>
              </w:rPr>
              <w:t>（2）具有红十字会或急救中心颁发的初级（或以上）救护员证的，每提供1人得2分，最高得8分。</w:t>
            </w:r>
          </w:p>
          <w:p w14:paraId="37083438">
            <w:pPr>
              <w:keepNext w:val="0"/>
              <w:keepLines w:val="0"/>
              <w:pageBreakBefore w:val="0"/>
              <w:suppressLineNumbers w:val="0"/>
              <w:kinsoku/>
              <w:overflowPunct/>
              <w:topLinePunct w:val="0"/>
              <w:bidi w:val="0"/>
              <w:adjustRightInd/>
              <w:snapToGrid/>
              <w:spacing w:before="0" w:beforeAutospacing="0" w:after="0" w:afterAutospacing="0" w:line="400" w:lineRule="exact"/>
              <w:ind w:left="0" w:leftChars="0" w:right="0" w:rightChars="0" w:firstLine="0" w:firstLineChars="0"/>
              <w:jc w:val="both"/>
              <w:outlineLvl w:val="9"/>
              <w:rPr>
                <w:rFonts w:hint="eastAsia" w:asciiTheme="minorEastAsia" w:hAnsiTheme="minorEastAsia" w:eastAsiaTheme="minorEastAsia" w:cstheme="minorEastAsia"/>
                <w:b/>
                <w:bCs w:val="0"/>
                <w:color w:val="auto"/>
                <w:kern w:val="44"/>
                <w:sz w:val="24"/>
                <w:szCs w:val="24"/>
                <w:highlight w:val="none"/>
                <w:u w:val="none"/>
                <w:lang w:val="en-US" w:eastAsia="zh-CN"/>
              </w:rPr>
            </w:pPr>
            <w:r>
              <w:rPr>
                <w:rFonts w:hint="eastAsia" w:asciiTheme="minorEastAsia" w:hAnsiTheme="minorEastAsia" w:eastAsiaTheme="minorEastAsia" w:cstheme="minorEastAsia"/>
                <w:b/>
                <w:bCs w:val="0"/>
                <w:color w:val="auto"/>
                <w:kern w:val="44"/>
                <w:sz w:val="24"/>
                <w:szCs w:val="24"/>
                <w:highlight w:val="none"/>
                <w:u w:val="none"/>
                <w:lang w:val="en-US" w:eastAsia="zh-CN"/>
              </w:rPr>
              <w:t>3.拟安排的队员（本小项最高得50分，同一人员不可累计得分，如同一人员具有以下多个证书的，按得分最优情况计分）</w:t>
            </w:r>
          </w:p>
          <w:p w14:paraId="54AC2A9C">
            <w:pPr>
              <w:keepNext w:val="0"/>
              <w:keepLines w:val="0"/>
              <w:pageBreakBefore w:val="0"/>
              <w:suppressLineNumbers w:val="0"/>
              <w:kinsoku/>
              <w:overflowPunct/>
              <w:topLinePunct w:val="0"/>
              <w:bidi w:val="0"/>
              <w:adjustRightInd/>
              <w:snapToGrid/>
              <w:spacing w:before="0" w:beforeAutospacing="0" w:after="0" w:afterAutospacing="0" w:line="400" w:lineRule="exact"/>
              <w:ind w:left="0" w:leftChars="0" w:right="0" w:rightChars="0" w:firstLine="0" w:firstLineChars="0"/>
              <w:jc w:val="both"/>
              <w:outlineLvl w:val="9"/>
              <w:rPr>
                <w:rFonts w:hint="eastAsia" w:asciiTheme="minorEastAsia" w:hAnsiTheme="minorEastAsia" w:eastAsiaTheme="minorEastAsia" w:cstheme="minorEastAsia"/>
                <w:b w:val="0"/>
                <w:bCs/>
                <w:color w:val="auto"/>
                <w:kern w:val="44"/>
                <w:sz w:val="24"/>
                <w:szCs w:val="24"/>
                <w:highlight w:val="none"/>
                <w:u w:val="none"/>
                <w:lang w:val="en-US" w:eastAsia="zh-CN"/>
              </w:rPr>
            </w:pPr>
            <w:r>
              <w:rPr>
                <w:rFonts w:hint="eastAsia" w:asciiTheme="minorEastAsia" w:hAnsiTheme="minorEastAsia" w:eastAsiaTheme="minorEastAsia" w:cstheme="minorEastAsia"/>
                <w:b w:val="0"/>
                <w:bCs/>
                <w:color w:val="auto"/>
                <w:kern w:val="44"/>
                <w:sz w:val="24"/>
                <w:szCs w:val="24"/>
                <w:highlight w:val="none"/>
                <w:u w:val="none"/>
                <w:lang w:val="en-US" w:eastAsia="zh-CN"/>
              </w:rPr>
              <w:t>（1）具有相关机构颁发的应急第一响应人初级（或以上）证书的，每提供1人得1分，本项最高的10分；</w:t>
            </w:r>
          </w:p>
          <w:p w14:paraId="0B79372F">
            <w:pPr>
              <w:keepNext w:val="0"/>
              <w:keepLines w:val="0"/>
              <w:pageBreakBefore w:val="0"/>
              <w:suppressLineNumbers w:val="0"/>
              <w:kinsoku/>
              <w:overflowPunct/>
              <w:topLinePunct w:val="0"/>
              <w:bidi w:val="0"/>
              <w:adjustRightInd/>
              <w:snapToGrid/>
              <w:spacing w:before="0" w:beforeAutospacing="0" w:after="0" w:afterAutospacing="0" w:line="400" w:lineRule="exact"/>
              <w:ind w:left="0" w:leftChars="0" w:right="0" w:rightChars="0" w:firstLine="0" w:firstLineChars="0"/>
              <w:jc w:val="both"/>
              <w:outlineLvl w:val="9"/>
              <w:rPr>
                <w:rFonts w:hint="eastAsia" w:asciiTheme="minorEastAsia" w:hAnsiTheme="minorEastAsia" w:eastAsiaTheme="minorEastAsia" w:cstheme="minorEastAsia"/>
                <w:b w:val="0"/>
                <w:bCs/>
                <w:color w:val="auto"/>
                <w:kern w:val="44"/>
                <w:sz w:val="24"/>
                <w:szCs w:val="24"/>
                <w:highlight w:val="none"/>
                <w:u w:val="none"/>
                <w:lang w:val="en-US" w:eastAsia="zh-CN"/>
              </w:rPr>
            </w:pPr>
            <w:r>
              <w:rPr>
                <w:rFonts w:hint="eastAsia" w:asciiTheme="minorEastAsia" w:hAnsiTheme="minorEastAsia" w:eastAsiaTheme="minorEastAsia" w:cstheme="minorEastAsia"/>
                <w:b w:val="0"/>
                <w:bCs/>
                <w:color w:val="auto"/>
                <w:kern w:val="44"/>
                <w:sz w:val="24"/>
                <w:szCs w:val="24"/>
                <w:highlight w:val="none"/>
                <w:u w:val="none"/>
                <w:lang w:val="en-US" w:eastAsia="zh-CN"/>
              </w:rPr>
              <w:t>（2）获得过区（县）级或以上国家机关或事业单位颁发的保安类荣誉（或表彰或奖项）证书的，每提供1人得2.5分，本项最高得10分；</w:t>
            </w:r>
          </w:p>
          <w:p w14:paraId="2068B18A">
            <w:pPr>
              <w:keepNext w:val="0"/>
              <w:keepLines w:val="0"/>
              <w:pageBreakBefore w:val="0"/>
              <w:suppressLineNumbers w:val="0"/>
              <w:kinsoku/>
              <w:overflowPunct/>
              <w:topLinePunct w:val="0"/>
              <w:bidi w:val="0"/>
              <w:adjustRightInd/>
              <w:snapToGrid/>
              <w:spacing w:before="0" w:beforeAutospacing="0" w:after="0" w:afterAutospacing="0" w:line="400" w:lineRule="exact"/>
              <w:ind w:left="0" w:leftChars="0" w:right="0" w:rightChars="0" w:firstLine="0" w:firstLineChars="0"/>
              <w:jc w:val="both"/>
              <w:outlineLvl w:val="9"/>
              <w:rPr>
                <w:rFonts w:hint="eastAsia" w:asciiTheme="minorEastAsia" w:hAnsiTheme="minorEastAsia" w:eastAsiaTheme="minorEastAsia" w:cstheme="minorEastAsia"/>
                <w:b w:val="0"/>
                <w:bCs/>
                <w:color w:val="auto"/>
                <w:kern w:val="44"/>
                <w:sz w:val="24"/>
                <w:szCs w:val="24"/>
                <w:highlight w:val="none"/>
                <w:u w:val="none"/>
                <w:lang w:val="en-US" w:eastAsia="zh-CN"/>
              </w:rPr>
            </w:pPr>
            <w:r>
              <w:rPr>
                <w:rFonts w:hint="eastAsia" w:asciiTheme="minorEastAsia" w:hAnsiTheme="minorEastAsia" w:eastAsiaTheme="minorEastAsia" w:cstheme="minorEastAsia"/>
                <w:b w:val="0"/>
                <w:bCs/>
                <w:color w:val="auto"/>
                <w:kern w:val="44"/>
                <w:sz w:val="24"/>
                <w:szCs w:val="24"/>
                <w:highlight w:val="none"/>
                <w:u w:val="none"/>
                <w:lang w:val="en-US" w:eastAsia="zh-CN"/>
              </w:rPr>
              <w:t>（3）具有红十字会或急救中心颁发的初级（或以上）救护员证的，每提供1人得1.5分，本项最高得15分；</w:t>
            </w:r>
          </w:p>
          <w:p w14:paraId="34F30963">
            <w:pPr>
              <w:keepNext w:val="0"/>
              <w:keepLines w:val="0"/>
              <w:pageBreakBefore w:val="0"/>
              <w:suppressLineNumbers w:val="0"/>
              <w:kinsoku/>
              <w:overflowPunct/>
              <w:topLinePunct w:val="0"/>
              <w:bidi w:val="0"/>
              <w:adjustRightInd/>
              <w:snapToGrid/>
              <w:spacing w:before="0" w:beforeAutospacing="0" w:after="0" w:afterAutospacing="0" w:line="400" w:lineRule="exact"/>
              <w:ind w:left="0" w:leftChars="0" w:right="0" w:rightChars="0" w:firstLine="0" w:firstLineChars="0"/>
              <w:jc w:val="both"/>
              <w:outlineLvl w:val="9"/>
              <w:rPr>
                <w:rFonts w:hint="eastAsia" w:asciiTheme="minorEastAsia" w:hAnsiTheme="minorEastAsia" w:eastAsiaTheme="minorEastAsia" w:cstheme="minorEastAsia"/>
                <w:b w:val="0"/>
                <w:bCs/>
                <w:color w:val="auto"/>
                <w:kern w:val="44"/>
                <w:sz w:val="24"/>
                <w:szCs w:val="24"/>
                <w:highlight w:val="none"/>
                <w:u w:val="none"/>
                <w:lang w:val="en-US" w:eastAsia="zh-CN"/>
              </w:rPr>
            </w:pPr>
            <w:r>
              <w:rPr>
                <w:rFonts w:hint="eastAsia" w:asciiTheme="minorEastAsia" w:hAnsiTheme="minorEastAsia" w:eastAsiaTheme="minorEastAsia" w:cstheme="minorEastAsia"/>
                <w:b w:val="0"/>
                <w:bCs/>
                <w:color w:val="auto"/>
                <w:kern w:val="44"/>
                <w:sz w:val="24"/>
                <w:szCs w:val="24"/>
                <w:highlight w:val="none"/>
                <w:u w:val="none"/>
                <w:lang w:val="en-US" w:eastAsia="zh-CN"/>
              </w:rPr>
              <w:t>（4）具有</w:t>
            </w:r>
            <w:r>
              <w:rPr>
                <w:rFonts w:hint="eastAsia" w:asciiTheme="minorEastAsia" w:hAnsiTheme="minorEastAsia" w:eastAsiaTheme="minorEastAsia" w:cstheme="minorEastAsia"/>
                <w:bCs/>
                <w:color w:val="auto"/>
                <w:kern w:val="44"/>
                <w:sz w:val="24"/>
                <w:highlight w:val="none"/>
                <w:u w:val="none"/>
              </w:rPr>
              <w:t>人社部门（或在人社部门备案的第三方机构）</w:t>
            </w:r>
            <w:r>
              <w:rPr>
                <w:rFonts w:hint="eastAsia" w:asciiTheme="minorEastAsia" w:hAnsiTheme="minorEastAsia" w:eastAsiaTheme="minorEastAsia" w:cstheme="minorEastAsia"/>
                <w:b w:val="0"/>
                <w:bCs/>
                <w:color w:val="auto"/>
                <w:kern w:val="44"/>
                <w:sz w:val="24"/>
                <w:szCs w:val="24"/>
                <w:highlight w:val="none"/>
                <w:u w:val="none"/>
                <w:lang w:val="en-US" w:eastAsia="zh-CN"/>
              </w:rPr>
              <w:t>颁发的三级（或以上）保卫管理员证书的，每提供1人得1分，本项目最高得15分。</w:t>
            </w:r>
          </w:p>
          <w:p w14:paraId="3239BB2B">
            <w:pPr>
              <w:widowControl/>
              <w:jc w:val="left"/>
              <w:rPr>
                <w:rFonts w:hint="eastAsia" w:asciiTheme="minorEastAsia" w:hAnsiTheme="minorEastAsia" w:eastAsiaTheme="minorEastAsia" w:cstheme="minorEastAsia"/>
                <w:b w:val="0"/>
                <w:bCs/>
                <w:color w:val="auto"/>
                <w:kern w:val="44"/>
                <w:sz w:val="24"/>
                <w:szCs w:val="24"/>
                <w:highlight w:val="none"/>
                <w:u w:val="none"/>
                <w:lang w:val="en-US" w:eastAsia="zh-CN"/>
              </w:rPr>
            </w:pPr>
            <w:r>
              <w:rPr>
                <w:rFonts w:hint="eastAsia"/>
                <w:b/>
                <w:bCs/>
                <w:sz w:val="21"/>
                <w:szCs w:val="21"/>
                <w:highlight w:val="none"/>
              </w:rPr>
              <w:t>以上</w:t>
            </w:r>
            <w:r>
              <w:rPr>
                <w:rFonts w:hint="eastAsia"/>
                <w:b/>
                <w:bCs/>
                <w:sz w:val="21"/>
                <w:szCs w:val="21"/>
                <w:highlight w:val="none"/>
                <w:lang w:val="en-US" w:eastAsia="zh-CN"/>
              </w:rPr>
              <w:t>1-3项</w:t>
            </w:r>
            <w:r>
              <w:rPr>
                <w:rFonts w:hint="eastAsia"/>
                <w:b/>
                <w:bCs/>
                <w:sz w:val="21"/>
                <w:szCs w:val="21"/>
                <w:highlight w:val="none"/>
              </w:rPr>
              <w:t>合计最高得100分。同一人匹配多项岗位的不可重复计分</w:t>
            </w:r>
            <w:r>
              <w:rPr>
                <w:rFonts w:hint="eastAsia" w:asciiTheme="minorEastAsia" w:hAnsiTheme="minorEastAsia" w:eastAsiaTheme="minorEastAsia" w:cstheme="minorEastAsia"/>
                <w:b w:val="0"/>
                <w:bCs/>
                <w:color w:val="auto"/>
                <w:kern w:val="44"/>
                <w:sz w:val="24"/>
                <w:szCs w:val="24"/>
                <w:highlight w:val="none"/>
                <w:u w:val="none"/>
                <w:lang w:val="en-US" w:eastAsia="zh-CN"/>
              </w:rPr>
              <w:t>。</w:t>
            </w:r>
          </w:p>
          <w:p w14:paraId="70894875">
            <w:pPr>
              <w:keepNext w:val="0"/>
              <w:keepLines w:val="0"/>
              <w:pageBreakBefore w:val="0"/>
              <w:suppressLineNumbers w:val="0"/>
              <w:kinsoku/>
              <w:overflowPunct/>
              <w:topLinePunct w:val="0"/>
              <w:bidi w:val="0"/>
              <w:adjustRightInd/>
              <w:snapToGrid/>
              <w:spacing w:before="0" w:beforeAutospacing="0" w:after="0" w:afterAutospacing="0" w:line="400" w:lineRule="exact"/>
              <w:ind w:left="0" w:leftChars="0" w:right="0" w:rightChars="0" w:firstLine="0" w:firstLineChars="0"/>
              <w:jc w:val="both"/>
              <w:outlineLvl w:val="9"/>
              <w:rPr>
                <w:rFonts w:hint="eastAsia" w:asciiTheme="minorEastAsia" w:hAnsiTheme="minorEastAsia" w:eastAsiaTheme="minorEastAsia" w:cstheme="minorEastAsia"/>
                <w:b w:val="0"/>
                <w:bCs/>
                <w:color w:val="auto"/>
                <w:kern w:val="44"/>
                <w:sz w:val="24"/>
                <w:szCs w:val="24"/>
                <w:highlight w:val="none"/>
                <w:u w:val="none"/>
                <w:lang w:val="en-US" w:eastAsia="zh-CN"/>
              </w:rPr>
            </w:pPr>
            <w:r>
              <w:rPr>
                <w:rFonts w:hint="eastAsia" w:asciiTheme="minorEastAsia" w:hAnsiTheme="minorEastAsia" w:eastAsiaTheme="minorEastAsia" w:cstheme="minorEastAsia"/>
                <w:b w:val="0"/>
                <w:bCs/>
                <w:color w:val="auto"/>
                <w:kern w:val="44"/>
                <w:sz w:val="24"/>
                <w:szCs w:val="24"/>
                <w:highlight w:val="none"/>
                <w:u w:val="none"/>
                <w:lang w:val="en-US" w:eastAsia="zh-CN"/>
              </w:rPr>
              <w:t>（二）评分依据：</w:t>
            </w:r>
          </w:p>
          <w:p w14:paraId="01822994">
            <w:pPr>
              <w:keepNext w:val="0"/>
              <w:keepLines w:val="0"/>
              <w:pageBreakBefore w:val="0"/>
              <w:suppressLineNumbers w:val="0"/>
              <w:kinsoku/>
              <w:overflowPunct/>
              <w:topLinePunct w:val="0"/>
              <w:bidi w:val="0"/>
              <w:adjustRightInd/>
              <w:snapToGrid/>
              <w:spacing w:before="0" w:beforeAutospacing="0" w:after="0" w:afterAutospacing="0" w:line="400" w:lineRule="exact"/>
              <w:ind w:left="0" w:leftChars="0" w:right="0" w:rightChars="0" w:firstLine="0" w:firstLineChars="0"/>
              <w:jc w:val="both"/>
              <w:outlineLvl w:val="9"/>
              <w:rPr>
                <w:rFonts w:hint="eastAsia" w:asciiTheme="minorEastAsia" w:hAnsiTheme="minorEastAsia" w:eastAsiaTheme="minorEastAsia" w:cstheme="minorEastAsia"/>
                <w:color w:val="0000FF"/>
                <w:sz w:val="24"/>
                <w:szCs w:val="24"/>
                <w:highlight w:val="none"/>
                <w:u w:val="none"/>
                <w:lang w:val="en-US"/>
              </w:rPr>
            </w:pPr>
            <w:r>
              <w:rPr>
                <w:rFonts w:hint="eastAsia" w:asciiTheme="minorEastAsia" w:hAnsiTheme="minorEastAsia" w:eastAsiaTheme="minorEastAsia" w:cstheme="minorEastAsia"/>
                <w:color w:val="0000FF"/>
                <w:sz w:val="24"/>
                <w:szCs w:val="24"/>
                <w:highlight w:val="none"/>
                <w:u w:val="none"/>
                <w:lang w:val="en-US"/>
              </w:rPr>
              <w:t>1.涉及证书的，提供有效相关证书扫描件</w:t>
            </w:r>
            <w:r>
              <w:rPr>
                <w:rFonts w:hint="eastAsia" w:asciiTheme="minorEastAsia" w:hAnsiTheme="minorEastAsia" w:eastAsiaTheme="minorEastAsia" w:cstheme="minorEastAsia"/>
                <w:color w:val="0000FF"/>
                <w:sz w:val="24"/>
                <w:szCs w:val="24"/>
                <w:highlight w:val="none"/>
                <w:u w:val="none"/>
                <w:lang w:val="en-US" w:eastAsia="zh-CN"/>
              </w:rPr>
              <w:t>：（1）</w:t>
            </w:r>
            <w:r>
              <w:rPr>
                <w:rFonts w:hint="eastAsia" w:asciiTheme="minorEastAsia" w:hAnsiTheme="minorEastAsia" w:eastAsiaTheme="minorEastAsia" w:cstheme="minorEastAsia"/>
                <w:color w:val="0000FF"/>
                <w:sz w:val="24"/>
                <w:szCs w:val="24"/>
                <w:highlight w:val="none"/>
                <w:u w:val="none"/>
                <w:lang w:val="en-US"/>
              </w:rPr>
              <w:t>涉及学历的，</w:t>
            </w:r>
            <w:r>
              <w:rPr>
                <w:rFonts w:hint="eastAsia" w:asciiTheme="minorEastAsia" w:hAnsiTheme="minorEastAsia" w:eastAsiaTheme="minorEastAsia" w:cstheme="minorEastAsia"/>
                <w:color w:val="0000FF"/>
                <w:sz w:val="24"/>
                <w:szCs w:val="24"/>
                <w:highlight w:val="none"/>
                <w:u w:val="none"/>
                <w:lang w:val="en-US" w:eastAsia="zh-CN"/>
              </w:rPr>
              <w:t>还需提供</w:t>
            </w:r>
            <w:r>
              <w:rPr>
                <w:rFonts w:hint="eastAsia" w:asciiTheme="minorEastAsia" w:hAnsiTheme="minorEastAsia" w:eastAsiaTheme="minorEastAsia" w:cstheme="minorEastAsia"/>
                <w:color w:val="0000FF"/>
                <w:sz w:val="24"/>
                <w:szCs w:val="24"/>
                <w:highlight w:val="none"/>
                <w:u w:val="none"/>
                <w:lang w:val="en-US"/>
              </w:rPr>
              <w:t>学信网查询记录截图（如较早颁发的学历证书，学信网无法查询的，可提供毕业院校或教育或人社部门等颁发机构或监管机构等出具的证明，如海外留学（含港澳台人）学历无法通过学信网站查询的，应当提供教育部留学服务中心出具的国外学历认证证书以及教育部留学服务中心官网查询截图。若证明文件为其它语言，必须附中文译文，以中文译文为准）</w:t>
            </w:r>
            <w:r>
              <w:rPr>
                <w:rFonts w:hint="eastAsia" w:asciiTheme="minorEastAsia" w:hAnsiTheme="minorEastAsia" w:eastAsiaTheme="minorEastAsia" w:cstheme="minorEastAsia"/>
                <w:color w:val="0000FF"/>
                <w:sz w:val="24"/>
                <w:szCs w:val="24"/>
                <w:highlight w:val="none"/>
                <w:u w:val="none"/>
                <w:lang w:val="en-US" w:eastAsia="zh-CN"/>
              </w:rPr>
              <w:t>；</w:t>
            </w:r>
          </w:p>
          <w:p w14:paraId="448A693D">
            <w:pPr>
              <w:keepNext w:val="0"/>
              <w:keepLines w:val="0"/>
              <w:pageBreakBefore w:val="0"/>
              <w:suppressLineNumbers w:val="0"/>
              <w:kinsoku/>
              <w:overflowPunct/>
              <w:topLinePunct w:val="0"/>
              <w:bidi w:val="0"/>
              <w:adjustRightInd/>
              <w:snapToGrid/>
              <w:spacing w:before="0" w:beforeAutospacing="0" w:after="0" w:afterAutospacing="0" w:line="400" w:lineRule="exact"/>
              <w:ind w:left="0" w:leftChars="0" w:right="0" w:rightChars="0" w:firstLine="0" w:firstLineChars="0"/>
              <w:jc w:val="both"/>
              <w:outlineLvl w:val="9"/>
              <w:rPr>
                <w:rFonts w:hint="eastAsia" w:asciiTheme="minorEastAsia" w:hAnsiTheme="minorEastAsia" w:eastAsiaTheme="minorEastAsia" w:cstheme="minorEastAsia"/>
                <w:color w:val="0000FF"/>
                <w:sz w:val="24"/>
                <w:szCs w:val="24"/>
                <w:highlight w:val="none"/>
                <w:u w:val="none"/>
                <w:lang w:val="en-US"/>
              </w:rPr>
            </w:pPr>
            <w:r>
              <w:rPr>
                <w:rFonts w:hint="eastAsia" w:asciiTheme="minorEastAsia" w:hAnsiTheme="minorEastAsia" w:eastAsiaTheme="minorEastAsia" w:cstheme="minorEastAsia"/>
                <w:color w:val="0000FF"/>
                <w:sz w:val="24"/>
                <w:szCs w:val="24"/>
                <w:highlight w:val="none"/>
                <w:u w:val="none"/>
                <w:lang w:val="en-US"/>
              </w:rPr>
              <w:t>2.如评分项中涉及的证书颁发单位为相关行业协会（或学会）的，则需同时提供证书颁发单位在全国社会组织信用信息公示平台（https://xxgs.chinanpo.mca.gov.cn/gsxt/newList）的信息查询截图（截图需显示发证单位状态为“正常”）；</w:t>
            </w:r>
          </w:p>
          <w:p w14:paraId="628495F0">
            <w:pPr>
              <w:keepNext w:val="0"/>
              <w:keepLines w:val="0"/>
              <w:pageBreakBefore w:val="0"/>
              <w:suppressLineNumbers w:val="0"/>
              <w:kinsoku/>
              <w:overflowPunct/>
              <w:topLinePunct w:val="0"/>
              <w:bidi w:val="0"/>
              <w:adjustRightInd/>
              <w:snapToGrid/>
              <w:spacing w:before="0" w:beforeAutospacing="0" w:after="0" w:afterAutospacing="0" w:line="400" w:lineRule="exact"/>
              <w:ind w:left="0" w:leftChars="0" w:right="0" w:rightChars="0" w:firstLine="0" w:firstLineChars="0"/>
              <w:jc w:val="both"/>
              <w:outlineLvl w:val="9"/>
              <w:rPr>
                <w:rFonts w:hint="eastAsia" w:asciiTheme="minorEastAsia" w:hAnsiTheme="minorEastAsia" w:eastAsiaTheme="minorEastAsia" w:cstheme="minorEastAsia"/>
                <w:color w:val="0000FF"/>
                <w:sz w:val="24"/>
                <w:szCs w:val="24"/>
                <w:highlight w:val="none"/>
                <w:u w:val="none"/>
                <w:lang w:val="en-US"/>
              </w:rPr>
            </w:pPr>
            <w:r>
              <w:rPr>
                <w:rFonts w:hint="eastAsia" w:asciiTheme="minorEastAsia" w:hAnsiTheme="minorEastAsia" w:eastAsiaTheme="minorEastAsia" w:cstheme="minorEastAsia"/>
                <w:color w:val="0000FF"/>
                <w:sz w:val="24"/>
                <w:szCs w:val="24"/>
                <w:highlight w:val="none"/>
                <w:u w:val="none"/>
                <w:lang w:val="en-US" w:eastAsia="zh-CN"/>
              </w:rPr>
              <w:t>3</w:t>
            </w:r>
            <w:r>
              <w:rPr>
                <w:rFonts w:hint="eastAsia" w:asciiTheme="minorEastAsia" w:hAnsiTheme="minorEastAsia" w:eastAsiaTheme="minorEastAsia" w:cstheme="minorEastAsia"/>
                <w:color w:val="0000FF"/>
                <w:sz w:val="24"/>
                <w:szCs w:val="24"/>
                <w:highlight w:val="none"/>
                <w:u w:val="none"/>
                <w:lang w:val="en-US"/>
              </w:rPr>
              <w:t>.涉及荣誉（或表彰或奖项）的，需提供荣誉（或表彰或奖项）证书扫描件，或颁奖单位官方网站公开表彰公示截图</w:t>
            </w:r>
            <w:r>
              <w:rPr>
                <w:rFonts w:hint="eastAsia" w:asciiTheme="minorEastAsia" w:hAnsiTheme="minorEastAsia" w:eastAsiaTheme="minorEastAsia" w:cstheme="minorEastAsia"/>
                <w:color w:val="0000FF"/>
                <w:sz w:val="24"/>
                <w:szCs w:val="24"/>
                <w:highlight w:val="none"/>
                <w:u w:val="none"/>
                <w:lang w:val="en-US" w:eastAsia="zh-CN"/>
              </w:rPr>
              <w:t>（以上信息需</w:t>
            </w:r>
            <w:r>
              <w:rPr>
                <w:rFonts w:hint="eastAsia" w:asciiTheme="minorEastAsia" w:hAnsiTheme="minorEastAsia" w:eastAsiaTheme="minorEastAsia" w:cstheme="minorEastAsia"/>
                <w:color w:val="0000FF"/>
                <w:sz w:val="24"/>
                <w:szCs w:val="24"/>
                <w:highlight w:val="none"/>
                <w:u w:val="none"/>
                <w:lang w:val="en-US"/>
              </w:rPr>
              <w:t>体现</w:t>
            </w:r>
            <w:r>
              <w:rPr>
                <w:rFonts w:hint="eastAsia" w:asciiTheme="minorEastAsia" w:hAnsiTheme="minorEastAsia" w:eastAsiaTheme="minorEastAsia" w:cstheme="minorEastAsia"/>
                <w:color w:val="0000FF"/>
                <w:sz w:val="24"/>
                <w:szCs w:val="24"/>
                <w:highlight w:val="none"/>
                <w:u w:val="none"/>
                <w:lang w:val="en-US" w:eastAsia="zh-CN"/>
              </w:rPr>
              <w:t>人员信息）</w:t>
            </w:r>
            <w:r>
              <w:rPr>
                <w:rFonts w:hint="eastAsia" w:asciiTheme="minorEastAsia" w:hAnsiTheme="minorEastAsia" w:eastAsiaTheme="minorEastAsia" w:cstheme="minorEastAsia"/>
                <w:color w:val="0000FF"/>
                <w:sz w:val="24"/>
                <w:szCs w:val="24"/>
                <w:highlight w:val="none"/>
                <w:u w:val="none"/>
                <w:lang w:val="en-US"/>
              </w:rPr>
              <w:t>。</w:t>
            </w:r>
          </w:p>
          <w:p w14:paraId="5AFEB0DE">
            <w:pPr>
              <w:keepNext w:val="0"/>
              <w:keepLines w:val="0"/>
              <w:pageBreakBefore w:val="0"/>
              <w:suppressLineNumbers w:val="0"/>
              <w:kinsoku/>
              <w:overflowPunct/>
              <w:topLinePunct w:val="0"/>
              <w:bidi w:val="0"/>
              <w:adjustRightInd/>
              <w:snapToGrid/>
              <w:spacing w:before="0" w:beforeAutospacing="0" w:after="0" w:afterAutospacing="0" w:line="400" w:lineRule="exact"/>
              <w:ind w:left="0" w:leftChars="0" w:right="0" w:rightChars="0" w:firstLine="0" w:firstLineChars="0"/>
              <w:jc w:val="both"/>
              <w:outlineLvl w:val="9"/>
              <w:rPr>
                <w:rFonts w:hint="eastAsia" w:asciiTheme="minorEastAsia" w:hAnsiTheme="minorEastAsia" w:eastAsiaTheme="minorEastAsia" w:cstheme="minorEastAsia"/>
                <w:color w:val="0000FF"/>
                <w:sz w:val="24"/>
                <w:szCs w:val="24"/>
                <w:highlight w:val="none"/>
                <w:u w:val="none"/>
                <w:lang w:val="en-US"/>
              </w:rPr>
            </w:pPr>
            <w:r>
              <w:rPr>
                <w:rFonts w:hint="eastAsia" w:asciiTheme="minorEastAsia" w:hAnsiTheme="minorEastAsia" w:eastAsiaTheme="minorEastAsia" w:cstheme="minorEastAsia"/>
                <w:color w:val="0000FF"/>
                <w:sz w:val="24"/>
                <w:szCs w:val="24"/>
                <w:highlight w:val="none"/>
                <w:u w:val="none"/>
                <w:lang w:val="en-US" w:eastAsia="zh-CN"/>
              </w:rPr>
              <w:t>4</w:t>
            </w:r>
            <w:r>
              <w:rPr>
                <w:rFonts w:hint="eastAsia" w:asciiTheme="minorEastAsia" w:hAnsiTheme="minorEastAsia" w:eastAsiaTheme="minorEastAsia" w:cstheme="minorEastAsia"/>
                <w:color w:val="0000FF"/>
                <w:sz w:val="24"/>
                <w:szCs w:val="24"/>
                <w:highlight w:val="none"/>
                <w:u w:val="none"/>
                <w:lang w:val="en-US"/>
              </w:rPr>
              <w:t>.提供项目负责人开标日当月（或前一个月）在本单位缴纳且载有社保部门（或税务部门）公章（或税务部门公章）的社保缴交证明材料（如开标日当月（或前一个月）的社保材料因社保部门（或税务部门）原因暂时无法取得，则可以往前顺延一个月）；成立时间不满1个月的投标人需提供成立时间相关说明材料，并提供承诺函（格式自拟）承诺人员为投标人现有员工。</w:t>
            </w:r>
          </w:p>
          <w:p w14:paraId="2A58E025">
            <w:pPr>
              <w:rPr>
                <w:rFonts w:hint="eastAsia" w:asciiTheme="minorEastAsia" w:hAnsiTheme="minorEastAsia" w:eastAsiaTheme="minorEastAsia" w:cstheme="minorEastAsia"/>
                <w:b w:val="0"/>
                <w:bCs/>
                <w:color w:val="auto"/>
                <w:kern w:val="44"/>
                <w:sz w:val="24"/>
                <w:szCs w:val="24"/>
                <w:highlight w:val="none"/>
                <w:u w:val="none"/>
                <w:lang w:val="en-US" w:eastAsia="zh-CN" w:bidi="ar-SA"/>
              </w:rPr>
            </w:pPr>
            <w:r>
              <w:rPr>
                <w:rFonts w:hint="eastAsia" w:asciiTheme="minorEastAsia" w:hAnsiTheme="minorEastAsia" w:eastAsiaTheme="minorEastAsia" w:cstheme="minorEastAsia"/>
                <w:color w:val="0000FF"/>
                <w:sz w:val="24"/>
                <w:szCs w:val="24"/>
                <w:highlight w:val="none"/>
                <w:u w:val="none"/>
                <w:lang w:val="en-US" w:eastAsia="zh-CN"/>
              </w:rPr>
              <w:t>5</w:t>
            </w:r>
            <w:r>
              <w:rPr>
                <w:rFonts w:hint="eastAsia" w:asciiTheme="minorEastAsia" w:hAnsiTheme="minorEastAsia" w:eastAsiaTheme="minorEastAsia" w:cstheme="minorEastAsia"/>
                <w:color w:val="0000FF"/>
                <w:sz w:val="24"/>
                <w:szCs w:val="24"/>
                <w:highlight w:val="none"/>
                <w:u w:val="none"/>
                <w:lang w:val="en-US"/>
              </w:rPr>
              <w:t>.未按要求提供相关证明材料（或相关证明材料无法判断是否符合评分要求）的不计得分</w:t>
            </w:r>
            <w:r>
              <w:rPr>
                <w:rFonts w:hint="eastAsia" w:asciiTheme="minorEastAsia" w:hAnsiTheme="minorEastAsia" w:eastAsiaTheme="minorEastAsia" w:cstheme="minorEastAsia"/>
                <w:color w:val="0000FF"/>
                <w:sz w:val="24"/>
                <w:szCs w:val="24"/>
                <w:highlight w:val="none"/>
                <w:u w:val="none"/>
                <w:lang w:val="en-US" w:eastAsia="zh-CN"/>
              </w:rPr>
              <w:t>。</w:t>
            </w:r>
          </w:p>
        </w:tc>
      </w:tr>
      <w:tr w14:paraId="4D33B9E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0" w:type="dxa"/>
            <w:vMerge w:val="continue"/>
            <w:tcBorders>
              <w:left w:val="single" w:color="000000" w:sz="8" w:space="0"/>
              <w:bottom w:val="single" w:color="000000" w:sz="8" w:space="0"/>
              <w:right w:val="single" w:color="000000" w:sz="8" w:space="0"/>
            </w:tcBorders>
            <w:vAlign w:val="center"/>
          </w:tcPr>
          <w:p w14:paraId="038C9ABF">
            <w:pPr>
              <w:rPr>
                <w:rFonts w:ascii="宋体" w:hAnsi="宋体" w:cs="宋体"/>
                <w:b/>
                <w:bCs/>
                <w:color w:val="0000FF"/>
                <w:sz w:val="24"/>
              </w:rPr>
            </w:pPr>
          </w:p>
        </w:tc>
        <w:tc>
          <w:tcPr>
            <w:tcW w:w="680" w:type="dxa"/>
            <w:tcBorders>
              <w:top w:val="single" w:color="000000" w:sz="8" w:space="0"/>
              <w:left w:val="single" w:color="000000" w:sz="8" w:space="0"/>
              <w:bottom w:val="single" w:color="000000" w:sz="8" w:space="0"/>
              <w:right w:val="single" w:color="000000" w:sz="8" w:space="0"/>
            </w:tcBorders>
            <w:vAlign w:val="center"/>
          </w:tcPr>
          <w:p w14:paraId="3918D57F">
            <w:pPr>
              <w:wordWrap w:val="0"/>
              <w:jc w:val="center"/>
              <w:rPr>
                <w:rFonts w:hint="default" w:ascii="宋体" w:hAnsi="宋体" w:cs="宋体"/>
                <w:szCs w:val="21"/>
                <w:lang w:val="en-US" w:eastAsia="zh-CN"/>
              </w:rPr>
            </w:pPr>
            <w:r>
              <w:rPr>
                <w:rFonts w:hint="eastAsia" w:ascii="宋体" w:hAnsi="宋体" w:cs="宋体"/>
                <w:szCs w:val="21"/>
                <w:lang w:val="en-US" w:eastAsia="zh-CN"/>
              </w:rPr>
              <w:t>8</w:t>
            </w:r>
          </w:p>
        </w:tc>
        <w:tc>
          <w:tcPr>
            <w:tcW w:w="283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B55A539">
            <w:pPr>
              <w:keepNext w:val="0"/>
              <w:keepLines w:val="0"/>
              <w:pageBreakBefore w:val="0"/>
              <w:suppressLineNumbers w:val="0"/>
              <w:kinsoku/>
              <w:overflowPunct/>
              <w:topLinePunct w:val="0"/>
              <w:bidi w:val="0"/>
              <w:adjustRightInd/>
              <w:snapToGrid/>
              <w:spacing w:before="0" w:beforeAutospacing="0" w:after="0" w:afterAutospacing="0" w:line="400" w:lineRule="exact"/>
              <w:ind w:left="0" w:leftChars="0" w:right="0" w:rightChars="0" w:firstLine="0" w:firstLineChars="0"/>
              <w:jc w:val="center"/>
              <w:outlineLvl w:val="9"/>
              <w:rPr>
                <w:rFonts w:hint="eastAsia" w:asciiTheme="minorEastAsia" w:hAnsiTheme="minorEastAsia" w:eastAsiaTheme="minorEastAsia" w:cstheme="minorEastAsia"/>
                <w:color w:val="auto"/>
                <w:kern w:val="2"/>
                <w:sz w:val="24"/>
                <w:szCs w:val="24"/>
                <w:highlight w:val="none"/>
                <w:u w:val="none"/>
                <w:lang w:val="en-US" w:eastAsia="zh-CN" w:bidi="ar-SA"/>
              </w:rPr>
            </w:pPr>
            <w:r>
              <w:rPr>
                <w:rFonts w:hint="eastAsia" w:asciiTheme="minorEastAsia" w:hAnsiTheme="minorEastAsia" w:eastAsiaTheme="minorEastAsia" w:cstheme="minorEastAsia"/>
                <w:bCs/>
                <w:color w:val="auto"/>
                <w:kern w:val="44"/>
                <w:sz w:val="24"/>
                <w:szCs w:val="24"/>
                <w:highlight w:val="none"/>
                <w:u w:val="none"/>
                <w:lang w:eastAsia="zh-CN"/>
              </w:rPr>
              <w:t>培训能力评价</w:t>
            </w:r>
          </w:p>
        </w:tc>
        <w:tc>
          <w:tcPr>
            <w:tcW w:w="68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81FD830">
            <w:pPr>
              <w:wordWrap w:val="0"/>
              <w:jc w:val="center"/>
              <w:rPr>
                <w:rFonts w:hint="default" w:ascii="宋体" w:hAnsi="宋体" w:eastAsia="宋体" w:cs="宋体"/>
                <w:kern w:val="2"/>
                <w:sz w:val="21"/>
                <w:szCs w:val="21"/>
                <w:lang w:val="en-US" w:eastAsia="zh-CN" w:bidi="ar-SA"/>
              </w:rPr>
            </w:pPr>
            <w:r>
              <w:rPr>
                <w:rFonts w:hint="eastAsia" w:ascii="宋体" w:hAnsi="宋体" w:cs="宋体"/>
                <w:kern w:val="2"/>
                <w:sz w:val="21"/>
                <w:szCs w:val="21"/>
                <w:lang w:val="en-US" w:eastAsia="zh-CN" w:bidi="ar-SA"/>
              </w:rPr>
              <w:t>9</w:t>
            </w:r>
          </w:p>
        </w:tc>
        <w:tc>
          <w:tcPr>
            <w:tcW w:w="419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CF63D75">
            <w:pPr>
              <w:keepNext w:val="0"/>
              <w:keepLines w:val="0"/>
              <w:pageBreakBefore w:val="0"/>
              <w:suppressLineNumbers w:val="0"/>
              <w:kinsoku/>
              <w:overflowPunct/>
              <w:topLinePunct w:val="0"/>
              <w:bidi w:val="0"/>
              <w:adjustRightInd/>
              <w:snapToGrid/>
              <w:spacing w:before="0" w:beforeAutospacing="0" w:after="0" w:afterAutospacing="0" w:line="400" w:lineRule="exact"/>
              <w:ind w:left="0" w:leftChars="0" w:right="0" w:rightChars="0" w:firstLine="0" w:firstLineChars="0"/>
              <w:jc w:val="both"/>
              <w:outlineLvl w:val="9"/>
              <w:rPr>
                <w:rFonts w:hint="eastAsia" w:asciiTheme="minorEastAsia" w:hAnsiTheme="minorEastAsia" w:eastAsiaTheme="minorEastAsia" w:cstheme="minorEastAsia"/>
                <w:b w:val="0"/>
                <w:bCs/>
                <w:color w:val="auto"/>
                <w:kern w:val="0"/>
                <w:sz w:val="24"/>
                <w:szCs w:val="24"/>
                <w:highlight w:val="none"/>
                <w:u w:val="none"/>
              </w:rPr>
            </w:pPr>
            <w:r>
              <w:rPr>
                <w:rFonts w:hint="eastAsia" w:asciiTheme="minorEastAsia" w:hAnsiTheme="minorEastAsia" w:eastAsiaTheme="minorEastAsia" w:cstheme="minorEastAsia"/>
                <w:b w:val="0"/>
                <w:bCs/>
                <w:color w:val="auto"/>
                <w:kern w:val="0"/>
                <w:sz w:val="24"/>
                <w:szCs w:val="24"/>
                <w:highlight w:val="none"/>
                <w:u w:val="none"/>
                <w:lang w:eastAsia="zh-CN"/>
              </w:rPr>
              <w:t>（一）评分内容</w:t>
            </w:r>
          </w:p>
          <w:p w14:paraId="0B7642A5">
            <w:pPr>
              <w:keepNext w:val="0"/>
              <w:keepLines w:val="0"/>
              <w:pageBreakBefore w:val="0"/>
              <w:suppressLineNumbers w:val="0"/>
              <w:kinsoku/>
              <w:overflowPunct/>
              <w:topLinePunct w:val="0"/>
              <w:bidi w:val="0"/>
              <w:adjustRightInd/>
              <w:snapToGrid/>
              <w:spacing w:before="0" w:beforeAutospacing="0" w:after="0" w:afterAutospacing="0" w:line="400" w:lineRule="exact"/>
              <w:ind w:left="0" w:leftChars="0" w:right="0" w:rightChars="0" w:firstLine="0" w:firstLineChars="0"/>
              <w:jc w:val="both"/>
              <w:outlineLvl w:val="9"/>
              <w:rPr>
                <w:rFonts w:hint="eastAsia" w:asciiTheme="minorEastAsia" w:hAnsiTheme="minorEastAsia" w:eastAsiaTheme="minorEastAsia" w:cstheme="minorEastAsia"/>
                <w:b w:val="0"/>
                <w:bCs/>
                <w:color w:val="auto"/>
                <w:kern w:val="0"/>
                <w:sz w:val="24"/>
                <w:szCs w:val="24"/>
                <w:highlight w:val="none"/>
                <w:u w:val="none"/>
              </w:rPr>
            </w:pPr>
            <w:r>
              <w:rPr>
                <w:rFonts w:hint="eastAsia" w:asciiTheme="minorEastAsia" w:hAnsiTheme="minorEastAsia" w:eastAsiaTheme="minorEastAsia" w:cstheme="minorEastAsia"/>
                <w:b w:val="0"/>
                <w:bCs/>
                <w:color w:val="auto"/>
                <w:kern w:val="44"/>
                <w:sz w:val="24"/>
                <w:szCs w:val="24"/>
                <w:highlight w:val="none"/>
                <w:u w:val="none"/>
                <w:lang w:val="en-US" w:eastAsia="zh-CN"/>
              </w:rPr>
              <w:t>投标人为本项目拟安排的</w:t>
            </w:r>
            <w:r>
              <w:rPr>
                <w:rFonts w:hint="eastAsia" w:asciiTheme="minorEastAsia" w:hAnsiTheme="minorEastAsia" w:eastAsiaTheme="minorEastAsia" w:cstheme="minorEastAsia"/>
                <w:bCs/>
                <w:color w:val="auto"/>
                <w:kern w:val="44"/>
                <w:sz w:val="24"/>
                <w:highlight w:val="none"/>
                <w:u w:val="none"/>
              </w:rPr>
              <w:t>培训团队成员（含培训负责人）</w:t>
            </w:r>
            <w:r>
              <w:rPr>
                <w:rFonts w:hint="eastAsia" w:asciiTheme="minorEastAsia" w:hAnsiTheme="minorEastAsia" w:eastAsiaTheme="minorEastAsia" w:cstheme="minorEastAsia"/>
                <w:b w:val="0"/>
                <w:bCs/>
                <w:color w:val="auto"/>
                <w:kern w:val="44"/>
                <w:sz w:val="24"/>
                <w:szCs w:val="24"/>
                <w:highlight w:val="none"/>
                <w:u w:val="none"/>
                <w:lang w:val="en-US" w:eastAsia="zh-CN"/>
              </w:rPr>
              <w:t>须为投标人自有员工（拟安排的项目负责人、拟安排的安保视频监控(临时)指挥平台组及拟安排的培训负责人及</w:t>
            </w:r>
            <w:r>
              <w:rPr>
                <w:rFonts w:hint="eastAsia" w:asciiTheme="minorEastAsia" w:hAnsiTheme="minorEastAsia" w:eastAsiaTheme="minorEastAsia" w:cstheme="minorEastAsia"/>
                <w:bCs/>
                <w:color w:val="auto"/>
                <w:kern w:val="0"/>
                <w:sz w:val="24"/>
                <w:szCs w:val="24"/>
                <w:highlight w:val="none"/>
                <w:u w:val="none"/>
              </w:rPr>
              <w:t>团队成员</w:t>
            </w:r>
            <w:r>
              <w:rPr>
                <w:rFonts w:hint="eastAsia" w:asciiTheme="minorEastAsia" w:hAnsiTheme="minorEastAsia" w:eastAsiaTheme="minorEastAsia" w:cstheme="minorEastAsia"/>
                <w:b w:val="0"/>
                <w:bCs/>
                <w:color w:val="auto"/>
                <w:kern w:val="44"/>
                <w:sz w:val="24"/>
                <w:szCs w:val="24"/>
                <w:highlight w:val="none"/>
                <w:u w:val="none"/>
                <w:lang w:val="en-US" w:eastAsia="zh-CN"/>
              </w:rPr>
              <w:t>除外）。在此基础上，按以下标准评分：</w:t>
            </w:r>
          </w:p>
          <w:p w14:paraId="22F103CE">
            <w:pPr>
              <w:keepNext w:val="0"/>
              <w:keepLines w:val="0"/>
              <w:pageBreakBefore w:val="0"/>
              <w:suppressLineNumbers w:val="0"/>
              <w:kinsoku/>
              <w:overflowPunct/>
              <w:topLinePunct w:val="0"/>
              <w:bidi w:val="0"/>
              <w:adjustRightInd/>
              <w:snapToGrid/>
              <w:spacing w:before="0" w:beforeAutospacing="0" w:after="0" w:afterAutospacing="0" w:line="400" w:lineRule="exact"/>
              <w:ind w:left="0" w:leftChars="0" w:right="0" w:rightChars="0" w:firstLine="0" w:firstLineChars="0"/>
              <w:jc w:val="both"/>
              <w:outlineLvl w:val="9"/>
              <w:rPr>
                <w:rFonts w:hint="eastAsia" w:asciiTheme="minorEastAsia" w:hAnsiTheme="minorEastAsia" w:eastAsiaTheme="minorEastAsia" w:cstheme="minorEastAsia"/>
                <w:b/>
                <w:bCs w:val="0"/>
                <w:color w:val="auto"/>
                <w:kern w:val="0"/>
                <w:sz w:val="24"/>
                <w:szCs w:val="24"/>
                <w:highlight w:val="none"/>
                <w:u w:val="none"/>
              </w:rPr>
            </w:pPr>
            <w:r>
              <w:rPr>
                <w:rFonts w:hint="eastAsia" w:asciiTheme="minorEastAsia" w:hAnsiTheme="minorEastAsia" w:eastAsiaTheme="minorEastAsia" w:cstheme="minorEastAsia"/>
                <w:b/>
                <w:bCs w:val="0"/>
                <w:color w:val="auto"/>
                <w:kern w:val="0"/>
                <w:sz w:val="24"/>
                <w:szCs w:val="24"/>
                <w:highlight w:val="none"/>
                <w:u w:val="none"/>
              </w:rPr>
              <w:t>1.培训负责人（仅限</w:t>
            </w:r>
            <w:r>
              <w:rPr>
                <w:rFonts w:hint="eastAsia" w:asciiTheme="minorEastAsia" w:hAnsiTheme="minorEastAsia" w:eastAsiaTheme="minorEastAsia" w:cstheme="minorEastAsia"/>
                <w:b/>
                <w:bCs w:val="0"/>
                <w:color w:val="auto"/>
                <w:kern w:val="0"/>
                <w:sz w:val="24"/>
                <w:szCs w:val="24"/>
                <w:highlight w:val="none"/>
                <w:u w:val="none"/>
                <w:lang w:val="en-US" w:eastAsia="zh-CN"/>
              </w:rPr>
              <w:t>1</w:t>
            </w:r>
            <w:r>
              <w:rPr>
                <w:rFonts w:hint="eastAsia" w:asciiTheme="minorEastAsia" w:hAnsiTheme="minorEastAsia" w:eastAsiaTheme="minorEastAsia" w:cstheme="minorEastAsia"/>
                <w:b/>
                <w:bCs w:val="0"/>
                <w:color w:val="auto"/>
                <w:kern w:val="0"/>
                <w:sz w:val="24"/>
                <w:szCs w:val="24"/>
                <w:highlight w:val="none"/>
                <w:u w:val="none"/>
              </w:rPr>
              <w:t>人</w:t>
            </w:r>
            <w:r>
              <w:rPr>
                <w:rFonts w:hint="eastAsia" w:asciiTheme="minorEastAsia" w:hAnsiTheme="minorEastAsia" w:eastAsiaTheme="minorEastAsia" w:cstheme="minorEastAsia"/>
                <w:b/>
                <w:bCs w:val="0"/>
                <w:color w:val="auto"/>
                <w:kern w:val="0"/>
                <w:sz w:val="24"/>
                <w:szCs w:val="24"/>
                <w:highlight w:val="none"/>
                <w:u w:val="none"/>
                <w:lang w:eastAsia="zh-CN"/>
              </w:rPr>
              <w:t>，</w:t>
            </w:r>
            <w:r>
              <w:rPr>
                <w:rFonts w:hint="eastAsia" w:asciiTheme="minorEastAsia" w:hAnsiTheme="minorEastAsia" w:eastAsiaTheme="minorEastAsia" w:cstheme="minorEastAsia"/>
                <w:b/>
                <w:bCs w:val="0"/>
                <w:color w:val="auto"/>
                <w:kern w:val="0"/>
                <w:sz w:val="24"/>
                <w:szCs w:val="24"/>
                <w:highlight w:val="none"/>
                <w:u w:val="none"/>
              </w:rPr>
              <w:t>本项最高得60</w:t>
            </w:r>
            <w:r>
              <w:rPr>
                <w:rFonts w:hint="eastAsia" w:asciiTheme="minorEastAsia" w:hAnsiTheme="minorEastAsia" w:eastAsiaTheme="minorEastAsia" w:cstheme="minorEastAsia"/>
                <w:b/>
                <w:bCs w:val="0"/>
                <w:color w:val="auto"/>
                <w:kern w:val="0"/>
                <w:sz w:val="24"/>
                <w:szCs w:val="24"/>
                <w:highlight w:val="none"/>
                <w:u w:val="none"/>
                <w:lang w:eastAsia="zh-CN"/>
              </w:rPr>
              <w:t>分</w:t>
            </w:r>
            <w:r>
              <w:rPr>
                <w:rFonts w:hint="eastAsia" w:asciiTheme="minorEastAsia" w:hAnsiTheme="minorEastAsia" w:eastAsiaTheme="minorEastAsia" w:cstheme="minorEastAsia"/>
                <w:b/>
                <w:bCs w:val="0"/>
                <w:color w:val="auto"/>
                <w:kern w:val="0"/>
                <w:sz w:val="24"/>
                <w:szCs w:val="24"/>
                <w:highlight w:val="none"/>
                <w:u w:val="none"/>
              </w:rPr>
              <w:t>）：</w:t>
            </w:r>
          </w:p>
          <w:p w14:paraId="26CA8379">
            <w:pPr>
              <w:keepNext w:val="0"/>
              <w:keepLines w:val="0"/>
              <w:pageBreakBefore w:val="0"/>
              <w:suppressLineNumbers w:val="0"/>
              <w:kinsoku/>
              <w:overflowPunct/>
              <w:topLinePunct w:val="0"/>
              <w:bidi w:val="0"/>
              <w:adjustRightInd/>
              <w:snapToGrid/>
              <w:spacing w:before="0" w:beforeAutospacing="0" w:after="0" w:afterAutospacing="0" w:line="400" w:lineRule="exact"/>
              <w:ind w:left="0" w:leftChars="0" w:right="0" w:rightChars="0" w:firstLine="0" w:firstLineChars="0"/>
              <w:jc w:val="both"/>
              <w:outlineLvl w:val="9"/>
              <w:rPr>
                <w:rFonts w:hint="eastAsia" w:asciiTheme="minorEastAsia" w:hAnsiTheme="minorEastAsia" w:eastAsiaTheme="minorEastAsia" w:cstheme="minorEastAsia"/>
                <w:b w:val="0"/>
                <w:bCs/>
                <w:color w:val="auto"/>
                <w:kern w:val="0"/>
                <w:sz w:val="24"/>
                <w:szCs w:val="24"/>
                <w:highlight w:val="none"/>
                <w:u w:val="none"/>
              </w:rPr>
            </w:pPr>
            <w:r>
              <w:rPr>
                <w:rFonts w:hint="eastAsia" w:asciiTheme="minorEastAsia" w:hAnsiTheme="minorEastAsia" w:eastAsiaTheme="minorEastAsia" w:cstheme="minorEastAsia"/>
                <w:b w:val="0"/>
                <w:bCs/>
                <w:color w:val="auto"/>
                <w:kern w:val="0"/>
                <w:sz w:val="24"/>
                <w:szCs w:val="24"/>
                <w:highlight w:val="none"/>
                <w:u w:val="none"/>
              </w:rPr>
              <w:t>（1）具有退伍军人证或退出现役证或转业军人证的得10</w:t>
            </w:r>
            <w:r>
              <w:rPr>
                <w:rFonts w:hint="eastAsia" w:asciiTheme="minorEastAsia" w:hAnsiTheme="minorEastAsia" w:eastAsiaTheme="minorEastAsia" w:cstheme="minorEastAsia"/>
                <w:b w:val="0"/>
                <w:bCs/>
                <w:color w:val="auto"/>
                <w:kern w:val="0"/>
                <w:sz w:val="24"/>
                <w:szCs w:val="24"/>
                <w:highlight w:val="none"/>
                <w:u w:val="none"/>
                <w:lang w:eastAsia="zh-CN"/>
              </w:rPr>
              <w:t>分</w:t>
            </w:r>
            <w:r>
              <w:rPr>
                <w:rFonts w:hint="eastAsia" w:asciiTheme="minorEastAsia" w:hAnsiTheme="minorEastAsia" w:eastAsiaTheme="minorEastAsia" w:cstheme="minorEastAsia"/>
                <w:b w:val="0"/>
                <w:bCs/>
                <w:color w:val="auto"/>
                <w:kern w:val="0"/>
                <w:sz w:val="24"/>
                <w:szCs w:val="24"/>
                <w:highlight w:val="none"/>
                <w:u w:val="none"/>
              </w:rPr>
              <w:t>，本项最高得10</w:t>
            </w:r>
            <w:r>
              <w:rPr>
                <w:rFonts w:hint="eastAsia" w:asciiTheme="minorEastAsia" w:hAnsiTheme="minorEastAsia" w:eastAsiaTheme="minorEastAsia" w:cstheme="minorEastAsia"/>
                <w:b w:val="0"/>
                <w:bCs/>
                <w:color w:val="auto"/>
                <w:kern w:val="0"/>
                <w:sz w:val="24"/>
                <w:szCs w:val="24"/>
                <w:highlight w:val="none"/>
                <w:u w:val="none"/>
                <w:lang w:eastAsia="zh-CN"/>
              </w:rPr>
              <w:t>分</w:t>
            </w:r>
            <w:r>
              <w:rPr>
                <w:rFonts w:hint="eastAsia" w:asciiTheme="minorEastAsia" w:hAnsiTheme="minorEastAsia" w:eastAsiaTheme="minorEastAsia" w:cstheme="minorEastAsia"/>
                <w:b w:val="0"/>
                <w:bCs/>
                <w:color w:val="auto"/>
                <w:kern w:val="0"/>
                <w:sz w:val="24"/>
                <w:szCs w:val="24"/>
                <w:highlight w:val="none"/>
                <w:u w:val="none"/>
              </w:rPr>
              <w:t>；</w:t>
            </w:r>
          </w:p>
          <w:p w14:paraId="077A9FE9">
            <w:pPr>
              <w:keepNext w:val="0"/>
              <w:keepLines w:val="0"/>
              <w:pageBreakBefore w:val="0"/>
              <w:suppressLineNumbers w:val="0"/>
              <w:kinsoku/>
              <w:overflowPunct/>
              <w:topLinePunct w:val="0"/>
              <w:bidi w:val="0"/>
              <w:adjustRightInd/>
              <w:snapToGrid/>
              <w:spacing w:before="0" w:beforeAutospacing="0" w:after="0" w:afterAutospacing="0" w:line="400" w:lineRule="exact"/>
              <w:ind w:left="0" w:leftChars="0" w:right="0" w:rightChars="0" w:firstLine="0" w:firstLineChars="0"/>
              <w:jc w:val="both"/>
              <w:outlineLvl w:val="9"/>
              <w:rPr>
                <w:rFonts w:hint="eastAsia" w:asciiTheme="minorEastAsia" w:hAnsiTheme="minorEastAsia" w:eastAsiaTheme="minorEastAsia" w:cstheme="minorEastAsia"/>
                <w:b w:val="0"/>
                <w:bCs/>
                <w:color w:val="auto"/>
                <w:kern w:val="0"/>
                <w:sz w:val="24"/>
                <w:szCs w:val="24"/>
                <w:highlight w:val="none"/>
                <w:u w:val="none"/>
              </w:rPr>
            </w:pPr>
            <w:r>
              <w:rPr>
                <w:rFonts w:hint="eastAsia" w:asciiTheme="minorEastAsia" w:hAnsiTheme="minorEastAsia" w:eastAsiaTheme="minorEastAsia" w:cstheme="minorEastAsia"/>
                <w:b w:val="0"/>
                <w:bCs/>
                <w:color w:val="auto"/>
                <w:kern w:val="0"/>
                <w:sz w:val="24"/>
                <w:szCs w:val="24"/>
                <w:highlight w:val="none"/>
                <w:u w:val="none"/>
              </w:rPr>
              <w:t>（2）具有相关机构颁发的高级安全风险评估师证书的得10</w:t>
            </w:r>
            <w:r>
              <w:rPr>
                <w:rFonts w:hint="eastAsia" w:asciiTheme="minorEastAsia" w:hAnsiTheme="minorEastAsia" w:eastAsiaTheme="minorEastAsia" w:cstheme="minorEastAsia"/>
                <w:b w:val="0"/>
                <w:bCs/>
                <w:color w:val="auto"/>
                <w:kern w:val="0"/>
                <w:sz w:val="24"/>
                <w:szCs w:val="24"/>
                <w:highlight w:val="none"/>
                <w:u w:val="none"/>
                <w:lang w:eastAsia="zh-CN"/>
              </w:rPr>
              <w:t>分</w:t>
            </w:r>
            <w:r>
              <w:rPr>
                <w:rFonts w:hint="eastAsia" w:asciiTheme="minorEastAsia" w:hAnsiTheme="minorEastAsia" w:eastAsiaTheme="minorEastAsia" w:cstheme="minorEastAsia"/>
                <w:b w:val="0"/>
                <w:bCs/>
                <w:color w:val="auto"/>
                <w:kern w:val="0"/>
                <w:sz w:val="24"/>
                <w:szCs w:val="24"/>
                <w:highlight w:val="none"/>
                <w:u w:val="none"/>
              </w:rPr>
              <w:t>，本项最高得10</w:t>
            </w:r>
            <w:r>
              <w:rPr>
                <w:rFonts w:hint="eastAsia" w:asciiTheme="minorEastAsia" w:hAnsiTheme="minorEastAsia" w:eastAsiaTheme="minorEastAsia" w:cstheme="minorEastAsia"/>
                <w:b w:val="0"/>
                <w:bCs/>
                <w:color w:val="auto"/>
                <w:kern w:val="0"/>
                <w:sz w:val="24"/>
                <w:szCs w:val="24"/>
                <w:highlight w:val="none"/>
                <w:u w:val="none"/>
                <w:lang w:eastAsia="zh-CN"/>
              </w:rPr>
              <w:t>分</w:t>
            </w:r>
            <w:r>
              <w:rPr>
                <w:rFonts w:hint="eastAsia" w:asciiTheme="minorEastAsia" w:hAnsiTheme="minorEastAsia" w:eastAsiaTheme="minorEastAsia" w:cstheme="minorEastAsia"/>
                <w:b w:val="0"/>
                <w:bCs/>
                <w:color w:val="auto"/>
                <w:kern w:val="0"/>
                <w:sz w:val="24"/>
                <w:szCs w:val="24"/>
                <w:highlight w:val="none"/>
                <w:u w:val="none"/>
              </w:rPr>
              <w:t>；</w:t>
            </w:r>
          </w:p>
          <w:p w14:paraId="3943E79C">
            <w:pPr>
              <w:keepNext w:val="0"/>
              <w:keepLines w:val="0"/>
              <w:pageBreakBefore w:val="0"/>
              <w:suppressLineNumbers w:val="0"/>
              <w:kinsoku/>
              <w:overflowPunct/>
              <w:topLinePunct w:val="0"/>
              <w:bidi w:val="0"/>
              <w:adjustRightInd/>
              <w:snapToGrid/>
              <w:spacing w:before="0" w:beforeAutospacing="0" w:after="0" w:afterAutospacing="0" w:line="400" w:lineRule="exact"/>
              <w:ind w:left="0" w:leftChars="0" w:right="0" w:rightChars="0" w:firstLine="0" w:firstLineChars="0"/>
              <w:jc w:val="both"/>
              <w:outlineLvl w:val="9"/>
              <w:rPr>
                <w:rFonts w:hint="eastAsia" w:asciiTheme="minorEastAsia" w:hAnsiTheme="minorEastAsia" w:eastAsiaTheme="minorEastAsia" w:cstheme="minorEastAsia"/>
                <w:b w:val="0"/>
                <w:bCs/>
                <w:color w:val="auto"/>
                <w:kern w:val="0"/>
                <w:sz w:val="24"/>
                <w:szCs w:val="24"/>
                <w:highlight w:val="none"/>
                <w:u w:val="none"/>
              </w:rPr>
            </w:pPr>
            <w:r>
              <w:rPr>
                <w:rFonts w:hint="eastAsia" w:asciiTheme="minorEastAsia" w:hAnsiTheme="minorEastAsia" w:eastAsiaTheme="minorEastAsia" w:cstheme="minorEastAsia"/>
                <w:b w:val="0"/>
                <w:bCs/>
                <w:color w:val="auto"/>
                <w:kern w:val="0"/>
                <w:sz w:val="24"/>
                <w:szCs w:val="24"/>
                <w:highlight w:val="none"/>
                <w:u w:val="none"/>
              </w:rPr>
              <w:t>（3）具有相关机构颁发的高级现场管理工程师的得10</w:t>
            </w:r>
            <w:r>
              <w:rPr>
                <w:rFonts w:hint="eastAsia" w:asciiTheme="minorEastAsia" w:hAnsiTheme="minorEastAsia" w:eastAsiaTheme="minorEastAsia" w:cstheme="minorEastAsia"/>
                <w:b w:val="0"/>
                <w:bCs/>
                <w:color w:val="auto"/>
                <w:kern w:val="0"/>
                <w:sz w:val="24"/>
                <w:szCs w:val="24"/>
                <w:highlight w:val="none"/>
                <w:u w:val="none"/>
                <w:lang w:eastAsia="zh-CN"/>
              </w:rPr>
              <w:t>分</w:t>
            </w:r>
            <w:r>
              <w:rPr>
                <w:rFonts w:hint="eastAsia" w:asciiTheme="minorEastAsia" w:hAnsiTheme="minorEastAsia" w:eastAsiaTheme="minorEastAsia" w:cstheme="minorEastAsia"/>
                <w:b w:val="0"/>
                <w:bCs/>
                <w:color w:val="auto"/>
                <w:kern w:val="0"/>
                <w:sz w:val="24"/>
                <w:szCs w:val="24"/>
                <w:highlight w:val="none"/>
                <w:u w:val="none"/>
              </w:rPr>
              <w:t>，本项最高得10</w:t>
            </w:r>
            <w:r>
              <w:rPr>
                <w:rFonts w:hint="eastAsia" w:asciiTheme="minorEastAsia" w:hAnsiTheme="minorEastAsia" w:eastAsiaTheme="minorEastAsia" w:cstheme="minorEastAsia"/>
                <w:b w:val="0"/>
                <w:bCs/>
                <w:color w:val="auto"/>
                <w:kern w:val="0"/>
                <w:sz w:val="24"/>
                <w:szCs w:val="24"/>
                <w:highlight w:val="none"/>
                <w:u w:val="none"/>
                <w:lang w:eastAsia="zh-CN"/>
              </w:rPr>
              <w:t>分</w:t>
            </w:r>
            <w:r>
              <w:rPr>
                <w:rFonts w:hint="eastAsia" w:asciiTheme="minorEastAsia" w:hAnsiTheme="minorEastAsia" w:eastAsiaTheme="minorEastAsia" w:cstheme="minorEastAsia"/>
                <w:b w:val="0"/>
                <w:bCs/>
                <w:color w:val="auto"/>
                <w:kern w:val="0"/>
                <w:sz w:val="24"/>
                <w:szCs w:val="24"/>
                <w:highlight w:val="none"/>
                <w:u w:val="none"/>
              </w:rPr>
              <w:t>；</w:t>
            </w:r>
          </w:p>
          <w:p w14:paraId="60EE6526">
            <w:pPr>
              <w:keepNext w:val="0"/>
              <w:keepLines w:val="0"/>
              <w:pageBreakBefore w:val="0"/>
              <w:suppressLineNumbers w:val="0"/>
              <w:kinsoku/>
              <w:overflowPunct/>
              <w:topLinePunct w:val="0"/>
              <w:bidi w:val="0"/>
              <w:adjustRightInd/>
              <w:snapToGrid/>
              <w:spacing w:before="0" w:beforeAutospacing="0" w:after="0" w:afterAutospacing="0" w:line="400" w:lineRule="exact"/>
              <w:ind w:left="0" w:leftChars="0" w:right="0" w:rightChars="0" w:firstLine="0" w:firstLineChars="0"/>
              <w:jc w:val="both"/>
              <w:outlineLvl w:val="9"/>
              <w:rPr>
                <w:rFonts w:hint="eastAsia" w:asciiTheme="minorEastAsia" w:hAnsiTheme="minorEastAsia" w:eastAsiaTheme="minorEastAsia" w:cstheme="minorEastAsia"/>
                <w:b w:val="0"/>
                <w:bCs/>
                <w:color w:val="auto"/>
                <w:kern w:val="0"/>
                <w:sz w:val="24"/>
                <w:szCs w:val="24"/>
                <w:highlight w:val="none"/>
                <w:u w:val="none"/>
                <w:lang w:eastAsia="zh-CN"/>
              </w:rPr>
            </w:pPr>
            <w:r>
              <w:rPr>
                <w:rFonts w:hint="eastAsia" w:asciiTheme="minorEastAsia" w:hAnsiTheme="minorEastAsia" w:eastAsiaTheme="minorEastAsia" w:cstheme="minorEastAsia"/>
                <w:b w:val="0"/>
                <w:bCs/>
                <w:color w:val="auto"/>
                <w:kern w:val="0"/>
                <w:sz w:val="24"/>
                <w:szCs w:val="24"/>
                <w:highlight w:val="none"/>
                <w:u w:val="none"/>
              </w:rPr>
              <w:t>（4）具有</w:t>
            </w:r>
            <w:r>
              <w:rPr>
                <w:rFonts w:hint="eastAsia" w:asciiTheme="minorEastAsia" w:hAnsiTheme="minorEastAsia" w:eastAsiaTheme="minorEastAsia" w:cstheme="minorEastAsia"/>
                <w:b w:val="0"/>
                <w:bCs/>
                <w:color w:val="auto"/>
                <w:kern w:val="44"/>
                <w:sz w:val="24"/>
                <w:szCs w:val="24"/>
                <w:highlight w:val="none"/>
                <w:u w:val="none"/>
                <w:lang w:val="en-US" w:eastAsia="zh-CN"/>
              </w:rPr>
              <w:t>红十字会或急救中心</w:t>
            </w:r>
            <w:r>
              <w:rPr>
                <w:rFonts w:hint="eastAsia" w:asciiTheme="minorEastAsia" w:hAnsiTheme="minorEastAsia" w:eastAsiaTheme="minorEastAsia" w:cstheme="minorEastAsia"/>
                <w:b w:val="0"/>
                <w:bCs/>
                <w:color w:val="auto"/>
                <w:kern w:val="0"/>
                <w:sz w:val="24"/>
                <w:szCs w:val="24"/>
                <w:highlight w:val="none"/>
                <w:u w:val="none"/>
              </w:rPr>
              <w:t>会颁发的初级</w:t>
            </w:r>
            <w:r>
              <w:rPr>
                <w:rFonts w:hint="eastAsia" w:asciiTheme="minorEastAsia" w:hAnsiTheme="minorEastAsia" w:eastAsiaTheme="minorEastAsia" w:cstheme="minorEastAsia"/>
                <w:b w:val="0"/>
                <w:bCs/>
                <w:color w:val="auto"/>
                <w:kern w:val="0"/>
                <w:sz w:val="24"/>
                <w:szCs w:val="24"/>
                <w:highlight w:val="none"/>
                <w:u w:val="none"/>
                <w:lang w:eastAsia="zh-CN"/>
              </w:rPr>
              <w:t>（</w:t>
            </w:r>
            <w:r>
              <w:rPr>
                <w:rFonts w:hint="eastAsia" w:asciiTheme="minorEastAsia" w:hAnsiTheme="minorEastAsia" w:eastAsiaTheme="minorEastAsia" w:cstheme="minorEastAsia"/>
                <w:b w:val="0"/>
                <w:bCs/>
                <w:color w:val="auto"/>
                <w:kern w:val="0"/>
                <w:sz w:val="24"/>
                <w:szCs w:val="24"/>
                <w:highlight w:val="none"/>
                <w:u w:val="none"/>
                <w:lang w:val="en-US" w:eastAsia="zh-CN"/>
              </w:rPr>
              <w:t>或以上</w:t>
            </w:r>
            <w:r>
              <w:rPr>
                <w:rFonts w:hint="eastAsia" w:asciiTheme="minorEastAsia" w:hAnsiTheme="minorEastAsia" w:eastAsiaTheme="minorEastAsia" w:cstheme="minorEastAsia"/>
                <w:b w:val="0"/>
                <w:bCs/>
                <w:color w:val="auto"/>
                <w:kern w:val="0"/>
                <w:sz w:val="24"/>
                <w:szCs w:val="24"/>
                <w:highlight w:val="none"/>
                <w:u w:val="none"/>
                <w:lang w:eastAsia="zh-CN"/>
              </w:rPr>
              <w:t>）</w:t>
            </w:r>
            <w:r>
              <w:rPr>
                <w:rFonts w:hint="eastAsia" w:asciiTheme="minorEastAsia" w:hAnsiTheme="minorEastAsia" w:eastAsiaTheme="minorEastAsia" w:cstheme="minorEastAsia"/>
                <w:b w:val="0"/>
                <w:bCs/>
                <w:color w:val="auto"/>
                <w:kern w:val="0"/>
                <w:sz w:val="24"/>
                <w:szCs w:val="24"/>
                <w:highlight w:val="none"/>
                <w:u w:val="none"/>
              </w:rPr>
              <w:t>救护员证的，得5</w:t>
            </w:r>
            <w:r>
              <w:rPr>
                <w:rFonts w:hint="eastAsia" w:asciiTheme="minorEastAsia" w:hAnsiTheme="minorEastAsia" w:eastAsiaTheme="minorEastAsia" w:cstheme="minorEastAsia"/>
                <w:b w:val="0"/>
                <w:bCs/>
                <w:color w:val="auto"/>
                <w:kern w:val="0"/>
                <w:sz w:val="24"/>
                <w:szCs w:val="24"/>
                <w:highlight w:val="none"/>
                <w:u w:val="none"/>
                <w:lang w:eastAsia="zh-CN"/>
              </w:rPr>
              <w:t>分</w:t>
            </w:r>
          </w:p>
          <w:p w14:paraId="268DE313">
            <w:pPr>
              <w:keepNext w:val="0"/>
              <w:keepLines w:val="0"/>
              <w:pageBreakBefore w:val="0"/>
              <w:suppressLineNumbers w:val="0"/>
              <w:kinsoku/>
              <w:overflowPunct/>
              <w:topLinePunct w:val="0"/>
              <w:bidi w:val="0"/>
              <w:adjustRightInd/>
              <w:snapToGrid/>
              <w:spacing w:before="0" w:beforeAutospacing="0" w:after="0" w:afterAutospacing="0" w:line="400" w:lineRule="exact"/>
              <w:ind w:left="0" w:leftChars="0" w:right="0" w:rightChars="0" w:firstLine="0" w:firstLineChars="0"/>
              <w:jc w:val="both"/>
              <w:outlineLvl w:val="9"/>
              <w:rPr>
                <w:rFonts w:hint="eastAsia" w:asciiTheme="minorEastAsia" w:hAnsiTheme="minorEastAsia" w:eastAsiaTheme="minorEastAsia" w:cstheme="minorEastAsia"/>
                <w:b w:val="0"/>
                <w:bCs/>
                <w:color w:val="auto"/>
                <w:kern w:val="0"/>
                <w:sz w:val="24"/>
                <w:szCs w:val="24"/>
                <w:highlight w:val="none"/>
                <w:u w:val="none"/>
              </w:rPr>
            </w:pPr>
            <w:r>
              <w:rPr>
                <w:rFonts w:hint="eastAsia" w:asciiTheme="minorEastAsia" w:hAnsiTheme="minorEastAsia" w:eastAsiaTheme="minorEastAsia" w:cstheme="minorEastAsia"/>
                <w:b w:val="0"/>
                <w:bCs/>
                <w:color w:val="auto"/>
                <w:kern w:val="0"/>
                <w:sz w:val="24"/>
                <w:szCs w:val="24"/>
                <w:highlight w:val="none"/>
                <w:u w:val="none"/>
              </w:rPr>
              <w:t>（5）具有国家机关（或事业单位）委托的培训服务相关工作经验的，每提供1个得5</w:t>
            </w:r>
            <w:r>
              <w:rPr>
                <w:rFonts w:hint="eastAsia" w:asciiTheme="minorEastAsia" w:hAnsiTheme="minorEastAsia" w:eastAsiaTheme="minorEastAsia" w:cstheme="minorEastAsia"/>
                <w:b w:val="0"/>
                <w:bCs/>
                <w:color w:val="auto"/>
                <w:kern w:val="0"/>
                <w:sz w:val="24"/>
                <w:szCs w:val="24"/>
                <w:highlight w:val="none"/>
                <w:u w:val="none"/>
                <w:lang w:eastAsia="zh-CN"/>
              </w:rPr>
              <w:t>分</w:t>
            </w:r>
            <w:r>
              <w:rPr>
                <w:rFonts w:hint="eastAsia" w:asciiTheme="minorEastAsia" w:hAnsiTheme="minorEastAsia" w:eastAsiaTheme="minorEastAsia" w:cstheme="minorEastAsia"/>
                <w:b w:val="0"/>
                <w:bCs/>
                <w:color w:val="auto"/>
                <w:kern w:val="0"/>
                <w:sz w:val="24"/>
                <w:szCs w:val="24"/>
                <w:highlight w:val="none"/>
                <w:u w:val="none"/>
              </w:rPr>
              <w:t>，本项最高得25</w:t>
            </w:r>
            <w:r>
              <w:rPr>
                <w:rFonts w:hint="eastAsia" w:asciiTheme="minorEastAsia" w:hAnsiTheme="minorEastAsia" w:eastAsiaTheme="minorEastAsia" w:cstheme="minorEastAsia"/>
                <w:b w:val="0"/>
                <w:bCs/>
                <w:color w:val="auto"/>
                <w:kern w:val="0"/>
                <w:sz w:val="24"/>
                <w:szCs w:val="24"/>
                <w:highlight w:val="none"/>
                <w:u w:val="none"/>
                <w:lang w:eastAsia="zh-CN"/>
              </w:rPr>
              <w:t>分</w:t>
            </w:r>
            <w:r>
              <w:rPr>
                <w:rFonts w:hint="eastAsia" w:asciiTheme="minorEastAsia" w:hAnsiTheme="minorEastAsia" w:eastAsiaTheme="minorEastAsia" w:cstheme="minorEastAsia"/>
                <w:b w:val="0"/>
                <w:bCs/>
                <w:color w:val="auto"/>
                <w:kern w:val="0"/>
                <w:sz w:val="24"/>
                <w:szCs w:val="24"/>
                <w:highlight w:val="none"/>
                <w:u w:val="none"/>
              </w:rPr>
              <w:t>。</w:t>
            </w:r>
          </w:p>
          <w:p w14:paraId="072C960E">
            <w:pPr>
              <w:keepNext w:val="0"/>
              <w:keepLines w:val="0"/>
              <w:pageBreakBefore w:val="0"/>
              <w:suppressLineNumbers w:val="0"/>
              <w:kinsoku/>
              <w:overflowPunct/>
              <w:topLinePunct w:val="0"/>
              <w:bidi w:val="0"/>
              <w:adjustRightInd/>
              <w:snapToGrid/>
              <w:spacing w:before="0" w:beforeAutospacing="0" w:after="0" w:afterAutospacing="0" w:line="400" w:lineRule="exact"/>
              <w:ind w:left="0" w:leftChars="0" w:right="0" w:rightChars="0" w:firstLine="0" w:firstLineChars="0"/>
              <w:jc w:val="both"/>
              <w:outlineLvl w:val="9"/>
              <w:rPr>
                <w:rFonts w:hint="eastAsia" w:asciiTheme="minorEastAsia" w:hAnsiTheme="minorEastAsia" w:eastAsiaTheme="minorEastAsia" w:cstheme="minorEastAsia"/>
                <w:b/>
                <w:bCs w:val="0"/>
                <w:color w:val="auto"/>
                <w:kern w:val="0"/>
                <w:sz w:val="24"/>
                <w:szCs w:val="24"/>
                <w:highlight w:val="none"/>
                <w:u w:val="none"/>
              </w:rPr>
            </w:pPr>
            <w:r>
              <w:rPr>
                <w:rFonts w:hint="eastAsia" w:asciiTheme="minorEastAsia" w:hAnsiTheme="minorEastAsia" w:eastAsiaTheme="minorEastAsia" w:cstheme="minorEastAsia"/>
                <w:b/>
                <w:bCs w:val="0"/>
                <w:color w:val="auto"/>
                <w:kern w:val="0"/>
                <w:sz w:val="24"/>
                <w:szCs w:val="24"/>
                <w:highlight w:val="none"/>
                <w:u w:val="none"/>
                <w:lang w:val="en-US" w:eastAsia="zh-CN"/>
              </w:rPr>
              <w:t>2</w:t>
            </w:r>
            <w:r>
              <w:rPr>
                <w:rFonts w:hint="eastAsia" w:asciiTheme="minorEastAsia" w:hAnsiTheme="minorEastAsia" w:eastAsiaTheme="minorEastAsia" w:cstheme="minorEastAsia"/>
                <w:b/>
                <w:bCs w:val="0"/>
                <w:color w:val="auto"/>
                <w:kern w:val="0"/>
                <w:sz w:val="24"/>
                <w:szCs w:val="24"/>
                <w:highlight w:val="none"/>
                <w:u w:val="none"/>
              </w:rPr>
              <w:t>.培训团队成员（仅限</w:t>
            </w:r>
            <w:r>
              <w:rPr>
                <w:rFonts w:hint="eastAsia" w:asciiTheme="minorEastAsia" w:hAnsiTheme="minorEastAsia" w:eastAsiaTheme="minorEastAsia" w:cstheme="minorEastAsia"/>
                <w:b/>
                <w:bCs w:val="0"/>
                <w:color w:val="auto"/>
                <w:kern w:val="0"/>
                <w:sz w:val="24"/>
                <w:szCs w:val="24"/>
                <w:highlight w:val="none"/>
                <w:u w:val="none"/>
                <w:lang w:val="en-US" w:eastAsia="zh-CN"/>
              </w:rPr>
              <w:t>2</w:t>
            </w:r>
            <w:r>
              <w:rPr>
                <w:rFonts w:hint="eastAsia" w:asciiTheme="minorEastAsia" w:hAnsiTheme="minorEastAsia" w:eastAsiaTheme="minorEastAsia" w:cstheme="minorEastAsia"/>
                <w:b/>
                <w:bCs w:val="0"/>
                <w:color w:val="auto"/>
                <w:kern w:val="0"/>
                <w:sz w:val="24"/>
                <w:szCs w:val="24"/>
                <w:highlight w:val="none"/>
                <w:u w:val="none"/>
              </w:rPr>
              <w:t>人，本项最高得40</w:t>
            </w:r>
            <w:r>
              <w:rPr>
                <w:rFonts w:hint="eastAsia" w:asciiTheme="minorEastAsia" w:hAnsiTheme="minorEastAsia" w:eastAsiaTheme="minorEastAsia" w:cstheme="minorEastAsia"/>
                <w:b/>
                <w:bCs w:val="0"/>
                <w:color w:val="auto"/>
                <w:kern w:val="0"/>
                <w:sz w:val="24"/>
                <w:szCs w:val="24"/>
                <w:highlight w:val="none"/>
                <w:u w:val="none"/>
                <w:lang w:eastAsia="zh-CN"/>
              </w:rPr>
              <w:t>分）</w:t>
            </w:r>
            <w:r>
              <w:rPr>
                <w:rFonts w:hint="eastAsia" w:asciiTheme="minorEastAsia" w:hAnsiTheme="minorEastAsia" w:eastAsiaTheme="minorEastAsia" w:cstheme="minorEastAsia"/>
                <w:b/>
                <w:bCs w:val="0"/>
                <w:color w:val="auto"/>
                <w:kern w:val="0"/>
                <w:sz w:val="24"/>
                <w:szCs w:val="24"/>
                <w:highlight w:val="none"/>
                <w:u w:val="none"/>
              </w:rPr>
              <w:t>：</w:t>
            </w:r>
          </w:p>
          <w:p w14:paraId="1A44548E">
            <w:pPr>
              <w:keepNext w:val="0"/>
              <w:keepLines w:val="0"/>
              <w:pageBreakBefore w:val="0"/>
              <w:suppressLineNumbers w:val="0"/>
              <w:kinsoku/>
              <w:overflowPunct/>
              <w:topLinePunct w:val="0"/>
              <w:bidi w:val="0"/>
              <w:adjustRightInd/>
              <w:snapToGrid/>
              <w:spacing w:before="0" w:beforeAutospacing="0" w:after="0" w:afterAutospacing="0" w:line="400" w:lineRule="exact"/>
              <w:ind w:left="0" w:leftChars="0" w:right="0" w:rightChars="0" w:firstLine="0" w:firstLineChars="0"/>
              <w:jc w:val="both"/>
              <w:outlineLvl w:val="9"/>
              <w:rPr>
                <w:rFonts w:hint="eastAsia" w:asciiTheme="minorEastAsia" w:hAnsiTheme="minorEastAsia" w:eastAsiaTheme="minorEastAsia" w:cstheme="minorEastAsia"/>
                <w:b w:val="0"/>
                <w:bCs/>
                <w:color w:val="auto"/>
                <w:kern w:val="0"/>
                <w:sz w:val="24"/>
                <w:szCs w:val="24"/>
                <w:highlight w:val="none"/>
                <w:u w:val="none"/>
                <w:lang w:eastAsia="zh-CN"/>
              </w:rPr>
            </w:pPr>
            <w:r>
              <w:rPr>
                <w:rFonts w:hint="eastAsia" w:asciiTheme="minorEastAsia" w:hAnsiTheme="minorEastAsia" w:eastAsiaTheme="minorEastAsia" w:cstheme="minorEastAsia"/>
                <w:b w:val="0"/>
                <w:bCs/>
                <w:color w:val="auto"/>
                <w:kern w:val="0"/>
                <w:sz w:val="24"/>
                <w:szCs w:val="24"/>
                <w:highlight w:val="none"/>
                <w:u w:val="none"/>
              </w:rPr>
              <w:t>（1）具有相关机构颁发的一级企业人力资源管理师（职业方向：企业培训师）证书的，每提供1人得10</w:t>
            </w:r>
            <w:r>
              <w:rPr>
                <w:rFonts w:hint="eastAsia" w:asciiTheme="minorEastAsia" w:hAnsiTheme="minorEastAsia" w:eastAsiaTheme="minorEastAsia" w:cstheme="minorEastAsia"/>
                <w:b w:val="0"/>
                <w:bCs/>
                <w:color w:val="auto"/>
                <w:kern w:val="0"/>
                <w:sz w:val="24"/>
                <w:szCs w:val="24"/>
                <w:highlight w:val="none"/>
                <w:u w:val="none"/>
                <w:lang w:eastAsia="zh-CN"/>
              </w:rPr>
              <w:t>分</w:t>
            </w:r>
            <w:r>
              <w:rPr>
                <w:rFonts w:hint="eastAsia" w:asciiTheme="minorEastAsia" w:hAnsiTheme="minorEastAsia" w:eastAsiaTheme="minorEastAsia" w:cstheme="minorEastAsia"/>
                <w:b w:val="0"/>
                <w:bCs/>
                <w:color w:val="auto"/>
                <w:kern w:val="0"/>
                <w:sz w:val="24"/>
                <w:szCs w:val="24"/>
                <w:highlight w:val="none"/>
                <w:u w:val="none"/>
              </w:rPr>
              <w:t>，本项最高得20</w:t>
            </w:r>
            <w:r>
              <w:rPr>
                <w:rFonts w:hint="eastAsia" w:asciiTheme="minorEastAsia" w:hAnsiTheme="minorEastAsia" w:eastAsiaTheme="minorEastAsia" w:cstheme="minorEastAsia"/>
                <w:b w:val="0"/>
                <w:bCs/>
                <w:color w:val="auto"/>
                <w:kern w:val="0"/>
                <w:sz w:val="24"/>
                <w:szCs w:val="24"/>
                <w:highlight w:val="none"/>
                <w:u w:val="none"/>
                <w:lang w:eastAsia="zh-CN"/>
              </w:rPr>
              <w:t>分；</w:t>
            </w:r>
          </w:p>
          <w:p w14:paraId="2F1E1E5E">
            <w:pPr>
              <w:keepNext w:val="0"/>
              <w:keepLines w:val="0"/>
              <w:pageBreakBefore w:val="0"/>
              <w:suppressLineNumbers w:val="0"/>
              <w:kinsoku/>
              <w:overflowPunct/>
              <w:topLinePunct w:val="0"/>
              <w:bidi w:val="0"/>
              <w:adjustRightInd/>
              <w:snapToGrid/>
              <w:spacing w:before="0" w:beforeAutospacing="0" w:after="0" w:afterAutospacing="0" w:line="400" w:lineRule="exact"/>
              <w:ind w:left="0" w:leftChars="0" w:right="0" w:rightChars="0" w:firstLine="0" w:firstLineChars="0"/>
              <w:jc w:val="both"/>
              <w:outlineLvl w:val="9"/>
              <w:rPr>
                <w:rFonts w:hint="eastAsia" w:asciiTheme="minorEastAsia" w:hAnsiTheme="minorEastAsia" w:eastAsiaTheme="minorEastAsia" w:cstheme="minorEastAsia"/>
                <w:b w:val="0"/>
                <w:bCs/>
                <w:color w:val="auto"/>
                <w:kern w:val="0"/>
                <w:sz w:val="24"/>
                <w:szCs w:val="24"/>
                <w:highlight w:val="none"/>
                <w:u w:val="none"/>
              </w:rPr>
            </w:pPr>
            <w:r>
              <w:rPr>
                <w:rFonts w:hint="eastAsia" w:asciiTheme="minorEastAsia" w:hAnsiTheme="minorEastAsia" w:eastAsiaTheme="minorEastAsia" w:cstheme="minorEastAsia"/>
                <w:b w:val="0"/>
                <w:bCs/>
                <w:color w:val="auto"/>
                <w:kern w:val="0"/>
                <w:sz w:val="24"/>
                <w:szCs w:val="24"/>
                <w:highlight w:val="none"/>
                <w:u w:val="none"/>
              </w:rPr>
              <w:t>（2）</w:t>
            </w:r>
            <w:r>
              <w:rPr>
                <w:rFonts w:hint="eastAsia" w:asciiTheme="minorEastAsia" w:hAnsiTheme="minorEastAsia" w:eastAsiaTheme="minorEastAsia" w:cstheme="minorEastAsia"/>
                <w:b w:val="0"/>
                <w:bCs/>
                <w:color w:val="auto"/>
                <w:kern w:val="0"/>
                <w:sz w:val="24"/>
                <w:szCs w:val="24"/>
                <w:highlight w:val="none"/>
                <w:u w:val="none"/>
                <w:lang w:val="en-US" w:eastAsia="zh-CN"/>
              </w:rPr>
              <w:t>具有国家机关（</w:t>
            </w:r>
            <w:r>
              <w:rPr>
                <w:rFonts w:hint="eastAsia" w:asciiTheme="minorEastAsia" w:hAnsiTheme="minorEastAsia" w:eastAsiaTheme="minorEastAsia" w:cstheme="minorEastAsia"/>
                <w:b w:val="0"/>
                <w:bCs/>
                <w:color w:val="auto"/>
                <w:kern w:val="0"/>
                <w:sz w:val="24"/>
                <w:szCs w:val="24"/>
                <w:highlight w:val="none"/>
                <w:u w:val="none"/>
              </w:rPr>
              <w:t>或事业单位</w:t>
            </w:r>
            <w:r>
              <w:rPr>
                <w:rFonts w:hint="eastAsia" w:asciiTheme="minorEastAsia" w:hAnsiTheme="minorEastAsia" w:eastAsiaTheme="minorEastAsia" w:cstheme="minorEastAsia"/>
                <w:b w:val="0"/>
                <w:bCs/>
                <w:color w:val="auto"/>
                <w:kern w:val="0"/>
                <w:sz w:val="24"/>
                <w:szCs w:val="24"/>
                <w:highlight w:val="none"/>
                <w:u w:val="none"/>
                <w:lang w:eastAsia="zh-CN"/>
              </w:rPr>
              <w:t>）</w:t>
            </w:r>
            <w:r>
              <w:rPr>
                <w:rFonts w:hint="eastAsia" w:asciiTheme="minorEastAsia" w:hAnsiTheme="minorEastAsia" w:eastAsiaTheme="minorEastAsia" w:cstheme="minorEastAsia"/>
                <w:b w:val="0"/>
                <w:bCs/>
                <w:color w:val="auto"/>
                <w:kern w:val="0"/>
                <w:sz w:val="24"/>
                <w:szCs w:val="24"/>
                <w:highlight w:val="none"/>
                <w:u w:val="none"/>
              </w:rPr>
              <w:t>安保</w:t>
            </w:r>
            <w:r>
              <w:rPr>
                <w:rFonts w:hint="eastAsia" w:asciiTheme="minorEastAsia" w:hAnsiTheme="minorEastAsia" w:eastAsiaTheme="minorEastAsia" w:cstheme="minorEastAsia"/>
                <w:b w:val="0"/>
                <w:bCs/>
                <w:color w:val="auto"/>
                <w:kern w:val="0"/>
                <w:sz w:val="24"/>
                <w:szCs w:val="24"/>
                <w:highlight w:val="none"/>
                <w:u w:val="none"/>
                <w:lang w:eastAsia="zh-CN"/>
              </w:rPr>
              <w:t>（</w:t>
            </w:r>
            <w:r>
              <w:rPr>
                <w:rFonts w:hint="eastAsia" w:asciiTheme="minorEastAsia" w:hAnsiTheme="minorEastAsia" w:eastAsiaTheme="minorEastAsia" w:cstheme="minorEastAsia"/>
                <w:b w:val="0"/>
                <w:bCs/>
                <w:color w:val="auto"/>
                <w:kern w:val="0"/>
                <w:sz w:val="24"/>
                <w:szCs w:val="24"/>
                <w:highlight w:val="none"/>
                <w:u w:val="none"/>
              </w:rPr>
              <w:t>或军事</w:t>
            </w:r>
            <w:r>
              <w:rPr>
                <w:rFonts w:hint="eastAsia" w:asciiTheme="minorEastAsia" w:hAnsiTheme="minorEastAsia" w:eastAsiaTheme="minorEastAsia" w:cstheme="minorEastAsia"/>
                <w:b w:val="0"/>
                <w:bCs/>
                <w:color w:val="auto"/>
                <w:kern w:val="0"/>
                <w:sz w:val="24"/>
                <w:szCs w:val="24"/>
                <w:highlight w:val="none"/>
                <w:u w:val="none"/>
                <w:lang w:eastAsia="zh-CN"/>
              </w:rPr>
              <w:t>）</w:t>
            </w:r>
            <w:r>
              <w:rPr>
                <w:rFonts w:hint="eastAsia" w:asciiTheme="minorEastAsia" w:hAnsiTheme="minorEastAsia" w:eastAsiaTheme="minorEastAsia" w:cstheme="minorEastAsia"/>
                <w:b w:val="0"/>
                <w:bCs/>
                <w:color w:val="auto"/>
                <w:kern w:val="0"/>
                <w:sz w:val="24"/>
                <w:szCs w:val="24"/>
                <w:highlight w:val="none"/>
                <w:u w:val="none"/>
              </w:rPr>
              <w:t>训练类培训服务工作经验，每提供</w:t>
            </w:r>
            <w:r>
              <w:rPr>
                <w:rFonts w:hint="eastAsia" w:asciiTheme="minorEastAsia" w:hAnsiTheme="minorEastAsia" w:eastAsiaTheme="minorEastAsia" w:cstheme="minorEastAsia"/>
                <w:b w:val="0"/>
                <w:bCs/>
                <w:color w:val="auto"/>
                <w:kern w:val="0"/>
                <w:sz w:val="24"/>
                <w:szCs w:val="24"/>
                <w:highlight w:val="none"/>
                <w:u w:val="none"/>
                <w:lang w:val="en-US" w:eastAsia="zh-CN"/>
              </w:rPr>
              <w:t>1</w:t>
            </w:r>
            <w:r>
              <w:rPr>
                <w:rFonts w:hint="eastAsia" w:asciiTheme="minorEastAsia" w:hAnsiTheme="minorEastAsia" w:eastAsiaTheme="minorEastAsia" w:cstheme="minorEastAsia"/>
                <w:b w:val="0"/>
                <w:bCs/>
                <w:color w:val="auto"/>
                <w:kern w:val="0"/>
                <w:sz w:val="24"/>
                <w:szCs w:val="24"/>
                <w:highlight w:val="none"/>
                <w:u w:val="none"/>
              </w:rPr>
              <w:t>人得10</w:t>
            </w:r>
            <w:r>
              <w:rPr>
                <w:rFonts w:hint="eastAsia" w:asciiTheme="minorEastAsia" w:hAnsiTheme="minorEastAsia" w:eastAsiaTheme="minorEastAsia" w:cstheme="minorEastAsia"/>
                <w:b w:val="0"/>
                <w:bCs/>
                <w:color w:val="auto"/>
                <w:kern w:val="0"/>
                <w:sz w:val="24"/>
                <w:szCs w:val="24"/>
                <w:highlight w:val="none"/>
                <w:u w:val="none"/>
                <w:lang w:eastAsia="zh-CN"/>
              </w:rPr>
              <w:t>分</w:t>
            </w:r>
            <w:r>
              <w:rPr>
                <w:rFonts w:hint="eastAsia" w:asciiTheme="minorEastAsia" w:hAnsiTheme="minorEastAsia" w:eastAsiaTheme="minorEastAsia" w:cstheme="minorEastAsia"/>
                <w:b w:val="0"/>
                <w:bCs/>
                <w:color w:val="auto"/>
                <w:kern w:val="0"/>
                <w:sz w:val="24"/>
                <w:szCs w:val="24"/>
                <w:highlight w:val="none"/>
                <w:u w:val="none"/>
              </w:rPr>
              <w:t>，该项最高得20</w:t>
            </w:r>
            <w:r>
              <w:rPr>
                <w:rFonts w:hint="eastAsia" w:asciiTheme="minorEastAsia" w:hAnsiTheme="minorEastAsia" w:eastAsiaTheme="minorEastAsia" w:cstheme="minorEastAsia"/>
                <w:b w:val="0"/>
                <w:bCs/>
                <w:color w:val="auto"/>
                <w:kern w:val="0"/>
                <w:sz w:val="24"/>
                <w:szCs w:val="24"/>
                <w:highlight w:val="none"/>
                <w:u w:val="none"/>
                <w:lang w:eastAsia="zh-CN"/>
              </w:rPr>
              <w:t>分</w:t>
            </w:r>
            <w:r>
              <w:rPr>
                <w:rFonts w:hint="eastAsia" w:asciiTheme="minorEastAsia" w:hAnsiTheme="minorEastAsia" w:eastAsiaTheme="minorEastAsia" w:cstheme="minorEastAsia"/>
                <w:b w:val="0"/>
                <w:bCs/>
                <w:color w:val="auto"/>
                <w:kern w:val="0"/>
                <w:sz w:val="24"/>
                <w:szCs w:val="24"/>
                <w:highlight w:val="none"/>
                <w:u w:val="none"/>
              </w:rPr>
              <w:t>。</w:t>
            </w:r>
          </w:p>
          <w:p w14:paraId="670236B6">
            <w:pPr>
              <w:widowControl/>
              <w:jc w:val="left"/>
              <w:rPr>
                <w:rFonts w:hint="eastAsia" w:asciiTheme="minorEastAsia" w:hAnsiTheme="minorEastAsia" w:eastAsiaTheme="minorEastAsia" w:cstheme="minorEastAsia"/>
                <w:b w:val="0"/>
                <w:bCs/>
                <w:color w:val="auto"/>
                <w:kern w:val="0"/>
                <w:sz w:val="24"/>
                <w:szCs w:val="24"/>
                <w:highlight w:val="none"/>
                <w:u w:val="none"/>
              </w:rPr>
            </w:pPr>
            <w:r>
              <w:rPr>
                <w:rFonts w:hint="eastAsia"/>
                <w:b/>
                <w:bCs/>
                <w:sz w:val="21"/>
                <w:szCs w:val="21"/>
                <w:highlight w:val="none"/>
              </w:rPr>
              <w:t>以上</w:t>
            </w:r>
            <w:r>
              <w:rPr>
                <w:rFonts w:hint="eastAsia"/>
                <w:b/>
                <w:bCs/>
                <w:sz w:val="21"/>
                <w:szCs w:val="21"/>
                <w:highlight w:val="none"/>
                <w:lang w:val="en-US" w:eastAsia="zh-CN"/>
              </w:rPr>
              <w:t>1-2项</w:t>
            </w:r>
            <w:r>
              <w:rPr>
                <w:rFonts w:hint="eastAsia"/>
                <w:b/>
                <w:bCs/>
                <w:sz w:val="21"/>
                <w:szCs w:val="21"/>
                <w:highlight w:val="none"/>
              </w:rPr>
              <w:t>合计最高得100分。同一人匹配多项岗位的不可重复计分</w:t>
            </w:r>
            <w:r>
              <w:rPr>
                <w:rFonts w:hint="eastAsia" w:asciiTheme="minorEastAsia" w:hAnsiTheme="minorEastAsia" w:eastAsiaTheme="minorEastAsia" w:cstheme="minorEastAsia"/>
                <w:b w:val="0"/>
                <w:bCs/>
                <w:color w:val="auto"/>
                <w:kern w:val="0"/>
                <w:sz w:val="24"/>
                <w:szCs w:val="24"/>
                <w:highlight w:val="none"/>
                <w:u w:val="none"/>
              </w:rPr>
              <w:t>。</w:t>
            </w:r>
          </w:p>
          <w:p w14:paraId="50E323C8">
            <w:pPr>
              <w:keepNext w:val="0"/>
              <w:keepLines w:val="0"/>
              <w:pageBreakBefore w:val="0"/>
              <w:suppressLineNumbers w:val="0"/>
              <w:kinsoku/>
              <w:overflowPunct/>
              <w:topLinePunct w:val="0"/>
              <w:bidi w:val="0"/>
              <w:adjustRightInd/>
              <w:snapToGrid/>
              <w:spacing w:before="0" w:beforeAutospacing="0" w:after="0" w:afterAutospacing="0" w:line="400" w:lineRule="exact"/>
              <w:ind w:left="0" w:leftChars="0" w:right="0" w:rightChars="0" w:firstLine="0" w:firstLineChars="0"/>
              <w:jc w:val="both"/>
              <w:outlineLvl w:val="9"/>
              <w:rPr>
                <w:rFonts w:hint="eastAsia" w:asciiTheme="minorEastAsia" w:hAnsiTheme="minorEastAsia" w:eastAsiaTheme="minorEastAsia" w:cstheme="minorEastAsia"/>
                <w:b w:val="0"/>
                <w:bCs/>
                <w:color w:val="auto"/>
                <w:kern w:val="0"/>
                <w:sz w:val="24"/>
                <w:szCs w:val="24"/>
                <w:highlight w:val="none"/>
                <w:u w:val="none"/>
              </w:rPr>
            </w:pPr>
            <w:r>
              <w:rPr>
                <w:rFonts w:hint="eastAsia" w:asciiTheme="minorEastAsia" w:hAnsiTheme="minorEastAsia" w:eastAsiaTheme="minorEastAsia" w:cstheme="minorEastAsia"/>
                <w:b w:val="0"/>
                <w:bCs/>
                <w:color w:val="auto"/>
                <w:kern w:val="0"/>
                <w:sz w:val="24"/>
                <w:szCs w:val="24"/>
                <w:highlight w:val="none"/>
                <w:u w:val="none"/>
                <w:lang w:eastAsia="zh-CN"/>
              </w:rPr>
              <w:t>（二）评分依据：</w:t>
            </w:r>
          </w:p>
          <w:p w14:paraId="59D4ED66">
            <w:pPr>
              <w:keepNext w:val="0"/>
              <w:keepLines w:val="0"/>
              <w:pageBreakBefore w:val="0"/>
              <w:suppressLineNumbers w:val="0"/>
              <w:kinsoku/>
              <w:overflowPunct/>
              <w:topLinePunct w:val="0"/>
              <w:bidi w:val="0"/>
              <w:adjustRightInd/>
              <w:snapToGrid/>
              <w:spacing w:before="0" w:beforeAutospacing="0" w:after="0" w:afterAutospacing="0" w:line="400" w:lineRule="exact"/>
              <w:ind w:left="0" w:leftChars="0" w:right="0" w:rightChars="0" w:firstLine="0" w:firstLineChars="0"/>
              <w:jc w:val="both"/>
              <w:outlineLvl w:val="9"/>
              <w:rPr>
                <w:rFonts w:hint="eastAsia" w:asciiTheme="minorEastAsia" w:hAnsiTheme="minorEastAsia" w:eastAsiaTheme="minorEastAsia" w:cstheme="minorEastAsia"/>
                <w:color w:val="0000FF"/>
                <w:sz w:val="24"/>
                <w:szCs w:val="24"/>
                <w:highlight w:val="none"/>
                <w:u w:val="none"/>
                <w:lang w:val="en-US"/>
              </w:rPr>
            </w:pPr>
            <w:r>
              <w:rPr>
                <w:rFonts w:hint="eastAsia" w:asciiTheme="minorEastAsia" w:hAnsiTheme="minorEastAsia" w:eastAsiaTheme="minorEastAsia" w:cstheme="minorEastAsia"/>
                <w:color w:val="0000FF"/>
                <w:sz w:val="24"/>
                <w:szCs w:val="24"/>
                <w:highlight w:val="none"/>
                <w:u w:val="none"/>
                <w:lang w:val="en-US"/>
              </w:rPr>
              <w:t>1.涉及证书的，提供有效相关证书扫描件</w:t>
            </w:r>
            <w:r>
              <w:rPr>
                <w:rFonts w:hint="eastAsia" w:asciiTheme="minorEastAsia" w:hAnsiTheme="minorEastAsia" w:eastAsiaTheme="minorEastAsia" w:cstheme="minorEastAsia"/>
                <w:color w:val="0000FF"/>
                <w:sz w:val="24"/>
                <w:szCs w:val="24"/>
                <w:highlight w:val="none"/>
                <w:u w:val="none"/>
                <w:lang w:val="en-US" w:eastAsia="zh-CN"/>
              </w:rPr>
              <w:t>：（1）</w:t>
            </w:r>
            <w:r>
              <w:rPr>
                <w:rFonts w:hint="eastAsia" w:asciiTheme="minorEastAsia" w:hAnsiTheme="minorEastAsia" w:eastAsiaTheme="minorEastAsia" w:cstheme="minorEastAsia"/>
                <w:color w:val="0000FF"/>
                <w:sz w:val="24"/>
                <w:szCs w:val="24"/>
                <w:highlight w:val="none"/>
                <w:u w:val="none"/>
                <w:lang w:val="en-US"/>
              </w:rPr>
              <w:t>涉及学历的，</w:t>
            </w:r>
            <w:r>
              <w:rPr>
                <w:rFonts w:hint="eastAsia" w:asciiTheme="minorEastAsia" w:hAnsiTheme="minorEastAsia" w:eastAsiaTheme="minorEastAsia" w:cstheme="minorEastAsia"/>
                <w:color w:val="0000FF"/>
                <w:sz w:val="24"/>
                <w:szCs w:val="24"/>
                <w:highlight w:val="none"/>
                <w:u w:val="none"/>
                <w:lang w:val="en-US" w:eastAsia="zh-CN"/>
              </w:rPr>
              <w:t>还需提供</w:t>
            </w:r>
            <w:r>
              <w:rPr>
                <w:rFonts w:hint="eastAsia" w:asciiTheme="minorEastAsia" w:hAnsiTheme="minorEastAsia" w:eastAsiaTheme="minorEastAsia" w:cstheme="minorEastAsia"/>
                <w:color w:val="0000FF"/>
                <w:sz w:val="24"/>
                <w:szCs w:val="24"/>
                <w:highlight w:val="none"/>
                <w:u w:val="none"/>
                <w:lang w:val="en-US"/>
              </w:rPr>
              <w:t>学信网查询记录截图（如较早颁发的学历证书，学信网无法查询的，可提供毕业院校或教育或人社部门等颁发机构或监管机构等出具的证明，如海外留学（含港澳台人）学历无法通过学信网站查询的，应当提供教育部留学服务中心出具的国外学历认证证书以及教育部留学服务中心官网查询截图。若证明文件为其它语言，必须附中文译文，以中文译文为准）；</w:t>
            </w:r>
          </w:p>
          <w:p w14:paraId="4EAD5254">
            <w:pPr>
              <w:keepNext w:val="0"/>
              <w:keepLines w:val="0"/>
              <w:pageBreakBefore w:val="0"/>
              <w:suppressLineNumbers w:val="0"/>
              <w:kinsoku/>
              <w:overflowPunct/>
              <w:topLinePunct w:val="0"/>
              <w:bidi w:val="0"/>
              <w:adjustRightInd/>
              <w:snapToGrid/>
              <w:spacing w:before="0" w:beforeAutospacing="0" w:after="0" w:afterAutospacing="0" w:line="400" w:lineRule="exact"/>
              <w:ind w:left="0" w:leftChars="0" w:right="0" w:rightChars="0" w:firstLine="0" w:firstLineChars="0"/>
              <w:jc w:val="both"/>
              <w:outlineLvl w:val="9"/>
              <w:rPr>
                <w:rFonts w:hint="eastAsia" w:asciiTheme="minorEastAsia" w:hAnsiTheme="minorEastAsia" w:eastAsiaTheme="minorEastAsia" w:cstheme="minorEastAsia"/>
                <w:color w:val="0000FF"/>
                <w:sz w:val="24"/>
                <w:szCs w:val="24"/>
                <w:highlight w:val="none"/>
                <w:u w:val="none"/>
                <w:lang w:val="en-US"/>
              </w:rPr>
            </w:pPr>
            <w:r>
              <w:rPr>
                <w:rFonts w:hint="eastAsia" w:asciiTheme="minorEastAsia" w:hAnsiTheme="minorEastAsia" w:eastAsiaTheme="minorEastAsia" w:cstheme="minorEastAsia"/>
                <w:color w:val="0000FF"/>
                <w:sz w:val="24"/>
                <w:szCs w:val="24"/>
                <w:highlight w:val="none"/>
                <w:u w:val="none"/>
                <w:lang w:val="en-US"/>
              </w:rPr>
              <w:t>2.如评分项中涉及的证书颁发单位为相关行业协会（或学会）的，则需同时提供证书颁发单位在全国社会组织信用信息公示平台（https://xxgs.chinanpo.mca.gov.cn/gsxt/newList）的信息查询截图（截图需显示发证单位状态为“正常”）；</w:t>
            </w:r>
          </w:p>
          <w:p w14:paraId="17183D36">
            <w:pPr>
              <w:keepNext w:val="0"/>
              <w:keepLines w:val="0"/>
              <w:pageBreakBefore w:val="0"/>
              <w:suppressLineNumbers w:val="0"/>
              <w:kinsoku/>
              <w:overflowPunct/>
              <w:topLinePunct w:val="0"/>
              <w:bidi w:val="0"/>
              <w:adjustRightInd/>
              <w:snapToGrid/>
              <w:spacing w:before="0" w:beforeAutospacing="0" w:after="0" w:afterAutospacing="0" w:line="400" w:lineRule="exact"/>
              <w:ind w:left="0" w:leftChars="0" w:right="0" w:rightChars="0" w:firstLine="0" w:firstLineChars="0"/>
              <w:jc w:val="both"/>
              <w:outlineLvl w:val="9"/>
              <w:rPr>
                <w:rFonts w:hint="eastAsia" w:asciiTheme="minorEastAsia" w:hAnsiTheme="minorEastAsia" w:eastAsiaTheme="minorEastAsia" w:cstheme="minorEastAsia"/>
                <w:color w:val="0000FF"/>
                <w:sz w:val="24"/>
                <w:szCs w:val="24"/>
                <w:highlight w:val="none"/>
                <w:u w:val="none"/>
                <w:lang w:val="en-US"/>
              </w:rPr>
            </w:pPr>
            <w:r>
              <w:rPr>
                <w:rFonts w:hint="eastAsia" w:asciiTheme="minorEastAsia" w:hAnsiTheme="minorEastAsia" w:eastAsiaTheme="minorEastAsia" w:cstheme="minorEastAsia"/>
                <w:color w:val="0000FF"/>
                <w:sz w:val="24"/>
                <w:szCs w:val="24"/>
                <w:highlight w:val="none"/>
                <w:u w:val="none"/>
                <w:lang w:val="en-US"/>
              </w:rPr>
              <w:t>3.涉及项目经验的，提供国家机关或事业单位出具并加盖公章的经验证明（经验计算至投标截止日），证明</w:t>
            </w:r>
            <w:r>
              <w:rPr>
                <w:rFonts w:hint="eastAsia" w:asciiTheme="minorEastAsia" w:hAnsiTheme="minorEastAsia" w:eastAsiaTheme="minorEastAsia" w:cstheme="minorEastAsia"/>
                <w:color w:val="0000FF"/>
                <w:sz w:val="24"/>
                <w:szCs w:val="24"/>
                <w:highlight w:val="none"/>
                <w:u w:val="none"/>
                <w:lang w:val="en-US" w:eastAsia="zh-CN"/>
              </w:rPr>
              <w:t>材料</w:t>
            </w:r>
            <w:r>
              <w:rPr>
                <w:rFonts w:hint="eastAsia" w:asciiTheme="minorEastAsia" w:hAnsiTheme="minorEastAsia" w:eastAsiaTheme="minorEastAsia" w:cstheme="minorEastAsia"/>
                <w:color w:val="0000FF"/>
                <w:sz w:val="24"/>
                <w:szCs w:val="24"/>
                <w:highlight w:val="none"/>
                <w:u w:val="none"/>
                <w:lang w:val="en-US"/>
              </w:rPr>
              <w:t>需体现</w:t>
            </w:r>
            <w:r>
              <w:rPr>
                <w:rFonts w:hint="eastAsia" w:asciiTheme="minorEastAsia" w:hAnsiTheme="minorEastAsia" w:eastAsiaTheme="minorEastAsia" w:cstheme="minorEastAsia"/>
                <w:color w:val="0000FF"/>
                <w:sz w:val="24"/>
                <w:szCs w:val="24"/>
                <w:highlight w:val="none"/>
                <w:u w:val="none"/>
                <w:lang w:val="en-US" w:eastAsia="zh-CN"/>
              </w:rPr>
              <w:t>人员信息</w:t>
            </w:r>
            <w:r>
              <w:rPr>
                <w:rFonts w:hint="eastAsia" w:asciiTheme="minorEastAsia" w:hAnsiTheme="minorEastAsia" w:eastAsiaTheme="minorEastAsia" w:cstheme="minorEastAsia"/>
                <w:color w:val="0000FF"/>
                <w:sz w:val="24"/>
                <w:szCs w:val="24"/>
                <w:highlight w:val="none"/>
                <w:u w:val="none"/>
                <w:lang w:val="en-US"/>
              </w:rPr>
              <w:t>和</w:t>
            </w:r>
            <w:r>
              <w:rPr>
                <w:rFonts w:hint="eastAsia" w:asciiTheme="minorEastAsia" w:hAnsiTheme="minorEastAsia" w:eastAsiaTheme="minorEastAsia" w:cstheme="minorEastAsia"/>
                <w:color w:val="0000FF"/>
                <w:sz w:val="24"/>
                <w:szCs w:val="24"/>
                <w:highlight w:val="none"/>
                <w:u w:val="none"/>
                <w:lang w:val="en-US" w:eastAsia="zh-CN"/>
              </w:rPr>
              <w:t>经验内容</w:t>
            </w:r>
            <w:r>
              <w:rPr>
                <w:rFonts w:hint="eastAsia" w:asciiTheme="minorEastAsia" w:hAnsiTheme="minorEastAsia" w:eastAsiaTheme="minorEastAsia" w:cstheme="minorEastAsia"/>
                <w:color w:val="0000FF"/>
                <w:sz w:val="24"/>
                <w:szCs w:val="24"/>
                <w:highlight w:val="none"/>
                <w:u w:val="none"/>
                <w:lang w:val="en-US"/>
              </w:rPr>
              <w:t>。</w:t>
            </w:r>
          </w:p>
          <w:p w14:paraId="6065431A">
            <w:pPr>
              <w:keepNext w:val="0"/>
              <w:keepLines w:val="0"/>
              <w:pageBreakBefore w:val="0"/>
              <w:suppressLineNumbers w:val="0"/>
              <w:kinsoku/>
              <w:overflowPunct/>
              <w:topLinePunct w:val="0"/>
              <w:bidi w:val="0"/>
              <w:adjustRightInd/>
              <w:snapToGrid/>
              <w:spacing w:before="0" w:beforeAutospacing="0" w:after="0" w:afterAutospacing="0" w:line="400" w:lineRule="exact"/>
              <w:ind w:left="0" w:leftChars="0" w:right="0" w:rightChars="0" w:firstLine="0" w:firstLineChars="0"/>
              <w:jc w:val="both"/>
              <w:outlineLvl w:val="9"/>
              <w:rPr>
                <w:rFonts w:hint="eastAsia" w:asciiTheme="minorEastAsia" w:hAnsiTheme="minorEastAsia" w:eastAsiaTheme="minorEastAsia" w:cstheme="minorEastAsia"/>
                <w:color w:val="0000FF"/>
                <w:sz w:val="24"/>
                <w:szCs w:val="24"/>
                <w:highlight w:val="none"/>
                <w:u w:val="none"/>
                <w:lang w:val="en-US"/>
              </w:rPr>
            </w:pPr>
            <w:r>
              <w:rPr>
                <w:rFonts w:hint="eastAsia" w:asciiTheme="minorEastAsia" w:hAnsiTheme="minorEastAsia" w:eastAsiaTheme="minorEastAsia" w:cstheme="minorEastAsia"/>
                <w:color w:val="0000FF"/>
                <w:sz w:val="24"/>
                <w:szCs w:val="24"/>
                <w:highlight w:val="none"/>
                <w:u w:val="none"/>
                <w:lang w:val="en-US"/>
              </w:rPr>
              <w:t>4.提供项目负责人开标日当月（或前一个月）在本单位缴纳且载有社保部门（或税务部门）公章（或税务部门公章）的社保缴交证明材料（如开标日当月（或前一个月）的社保材料因社保部门（或税务部门）原因暂时无法取得，则可以往前顺延一个月）；成立时间不满1个月的投标人需提供成立时间相关说明材料，并提供承诺函（格式自拟）承诺人员为投标人现有员工。</w:t>
            </w:r>
          </w:p>
          <w:p w14:paraId="398B64A6">
            <w:pPr>
              <w:keepNext w:val="0"/>
              <w:keepLines w:val="0"/>
              <w:pageBreakBefore w:val="0"/>
              <w:suppressLineNumbers w:val="0"/>
              <w:kinsoku/>
              <w:overflowPunct/>
              <w:topLinePunct w:val="0"/>
              <w:bidi w:val="0"/>
              <w:adjustRightInd/>
              <w:snapToGrid/>
              <w:spacing w:before="0" w:beforeAutospacing="0" w:after="0" w:afterAutospacing="0" w:line="400" w:lineRule="exact"/>
              <w:ind w:left="0" w:leftChars="0" w:right="0" w:rightChars="0" w:firstLine="0" w:firstLineChars="0"/>
              <w:jc w:val="both"/>
              <w:outlineLvl w:val="9"/>
              <w:rPr>
                <w:rFonts w:hint="eastAsia" w:asciiTheme="minorEastAsia" w:hAnsiTheme="minorEastAsia" w:eastAsiaTheme="minorEastAsia" w:cstheme="minorEastAsia"/>
                <w:color w:val="auto"/>
                <w:kern w:val="2"/>
                <w:sz w:val="24"/>
                <w:szCs w:val="24"/>
                <w:highlight w:val="none"/>
                <w:u w:val="none"/>
                <w:lang w:val="en-US" w:eastAsia="zh-CN" w:bidi="ar-SA"/>
              </w:rPr>
            </w:pPr>
            <w:r>
              <w:rPr>
                <w:rFonts w:hint="eastAsia" w:asciiTheme="minorEastAsia" w:hAnsiTheme="minorEastAsia" w:eastAsiaTheme="minorEastAsia" w:cstheme="minorEastAsia"/>
                <w:color w:val="0000FF"/>
                <w:sz w:val="24"/>
                <w:szCs w:val="24"/>
                <w:highlight w:val="none"/>
                <w:u w:val="none"/>
                <w:lang w:val="en-US"/>
              </w:rPr>
              <w:t>5.未按要求提供相关证明材料（或相关证明材料无法判断是否符合评分要求）的不计得分</w:t>
            </w:r>
            <w:r>
              <w:rPr>
                <w:rFonts w:hint="eastAsia" w:asciiTheme="minorEastAsia" w:hAnsiTheme="minorEastAsia" w:eastAsiaTheme="minorEastAsia" w:cstheme="minorEastAsia"/>
                <w:color w:val="0000FF"/>
                <w:sz w:val="24"/>
                <w:szCs w:val="24"/>
                <w:highlight w:val="none"/>
                <w:u w:val="none"/>
                <w:lang w:val="en-US" w:eastAsia="zh-CN"/>
              </w:rPr>
              <w:t>。</w:t>
            </w:r>
          </w:p>
        </w:tc>
      </w:tr>
      <w:tr w14:paraId="70F96A3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0" w:type="dxa"/>
            <w:vMerge w:val="restart"/>
            <w:tcBorders>
              <w:top w:val="single" w:color="000000" w:sz="8" w:space="0"/>
              <w:left w:val="single" w:color="000000" w:sz="8" w:space="0"/>
              <w:bottom w:val="single" w:color="000000" w:sz="8" w:space="0"/>
              <w:right w:val="single" w:color="000000" w:sz="8" w:space="0"/>
            </w:tcBorders>
          </w:tcPr>
          <w:p w14:paraId="0DC113BD">
            <w:pPr>
              <w:wordWrap w:val="0"/>
              <w:jc w:val="center"/>
              <w:rPr>
                <w:rFonts w:ascii="宋体" w:hAnsi="宋体" w:cs="宋体"/>
                <w:b/>
                <w:bCs/>
                <w:color w:val="0000FF"/>
                <w:sz w:val="24"/>
              </w:rPr>
            </w:pPr>
            <w:r>
              <w:rPr>
                <w:b/>
                <w:bCs/>
                <w:color w:val="0000FF"/>
              </w:rPr>
              <w:t>3</w:t>
            </w:r>
          </w:p>
        </w:tc>
        <w:tc>
          <w:tcPr>
            <w:tcW w:w="4196" w:type="dxa"/>
            <w:gridSpan w:val="3"/>
            <w:tcBorders>
              <w:top w:val="single" w:color="000000" w:sz="8" w:space="0"/>
              <w:left w:val="single" w:color="000000" w:sz="8" w:space="0"/>
              <w:bottom w:val="single" w:color="000000" w:sz="8" w:space="0"/>
              <w:right w:val="single" w:color="000000" w:sz="8" w:space="0"/>
            </w:tcBorders>
          </w:tcPr>
          <w:p w14:paraId="465DF320">
            <w:pPr>
              <w:wordWrap w:val="0"/>
              <w:jc w:val="center"/>
              <w:rPr>
                <w:rFonts w:ascii="宋体" w:hAnsi="宋体" w:cs="宋体"/>
                <w:b/>
                <w:bCs/>
                <w:color w:val="0000FF"/>
                <w:sz w:val="24"/>
              </w:rPr>
            </w:pPr>
            <w:r>
              <w:rPr>
                <w:b/>
                <w:bCs/>
                <w:color w:val="0000FF"/>
              </w:rPr>
              <w:t>综合实力</w:t>
            </w:r>
          </w:p>
        </w:tc>
        <w:tc>
          <w:tcPr>
            <w:tcW w:w="4196" w:type="dxa"/>
            <w:tcBorders>
              <w:top w:val="single" w:color="000000" w:sz="8" w:space="0"/>
              <w:left w:val="single" w:color="000000" w:sz="8" w:space="0"/>
              <w:bottom w:val="single" w:color="000000" w:sz="8" w:space="0"/>
              <w:right w:val="single" w:color="000000" w:sz="8" w:space="0"/>
            </w:tcBorders>
          </w:tcPr>
          <w:p w14:paraId="64E68F9B">
            <w:pPr>
              <w:wordWrap w:val="0"/>
              <w:jc w:val="center"/>
              <w:rPr>
                <w:rFonts w:hint="default" w:ascii="宋体" w:hAnsi="宋体" w:eastAsia="宋体" w:cs="宋体"/>
                <w:b/>
                <w:bCs/>
                <w:color w:val="0000FF"/>
                <w:sz w:val="24"/>
                <w:lang w:val="en-US" w:eastAsia="zh-CN"/>
              </w:rPr>
            </w:pPr>
            <w:r>
              <w:rPr>
                <w:rFonts w:hint="eastAsia" w:ascii="宋体" w:hAnsi="宋体" w:cs="宋体"/>
                <w:b/>
                <w:bCs/>
                <w:color w:val="0000FF"/>
                <w:sz w:val="24"/>
                <w:lang w:val="en-US" w:eastAsia="zh-CN"/>
              </w:rPr>
              <w:t>25</w:t>
            </w:r>
          </w:p>
        </w:tc>
      </w:tr>
      <w:tr w14:paraId="3E79487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0" w:type="dxa"/>
            <w:vMerge w:val="continue"/>
            <w:tcBorders>
              <w:top w:val="single" w:color="000000" w:sz="8" w:space="0"/>
              <w:left w:val="single" w:color="000000" w:sz="8" w:space="0"/>
              <w:bottom w:val="single" w:color="000000" w:sz="8" w:space="0"/>
              <w:right w:val="single" w:color="000000" w:sz="8" w:space="0"/>
            </w:tcBorders>
            <w:vAlign w:val="center"/>
          </w:tcPr>
          <w:p w14:paraId="037E8469">
            <w:pPr>
              <w:rPr>
                <w:rFonts w:ascii="宋体" w:hAnsi="宋体" w:cs="宋体"/>
                <w:b/>
                <w:bCs/>
                <w:color w:val="0000FF"/>
                <w:sz w:val="24"/>
              </w:rPr>
            </w:pPr>
          </w:p>
        </w:tc>
        <w:tc>
          <w:tcPr>
            <w:tcW w:w="8392" w:type="dxa"/>
            <w:gridSpan w:val="4"/>
            <w:tcBorders>
              <w:top w:val="single" w:color="000000" w:sz="8" w:space="0"/>
              <w:left w:val="single" w:color="000000" w:sz="8" w:space="0"/>
              <w:bottom w:val="single" w:color="000000" w:sz="8" w:space="0"/>
              <w:right w:val="single" w:color="000000" w:sz="8" w:space="0"/>
            </w:tcBorders>
          </w:tcPr>
          <w:p w14:paraId="3A02D6D6">
            <w:pPr>
              <w:wordWrap w:val="0"/>
              <w:rPr>
                <w:rFonts w:ascii="宋体" w:hAnsi="宋体" w:cs="宋体"/>
                <w:szCs w:val="21"/>
              </w:rPr>
            </w:pPr>
          </w:p>
        </w:tc>
      </w:tr>
      <w:tr w14:paraId="7D834B4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0" w:type="dxa"/>
            <w:vMerge w:val="continue"/>
            <w:tcBorders>
              <w:top w:val="single" w:color="000000" w:sz="8" w:space="0"/>
              <w:left w:val="single" w:color="000000" w:sz="8" w:space="0"/>
              <w:bottom w:val="single" w:color="000000" w:sz="8" w:space="0"/>
              <w:right w:val="single" w:color="000000" w:sz="8" w:space="0"/>
            </w:tcBorders>
            <w:shd w:val="clear" w:color="auto" w:fill="E6EFFA"/>
            <w:vAlign w:val="center"/>
          </w:tcPr>
          <w:p w14:paraId="67027B89">
            <w:pPr>
              <w:rPr>
                <w:rFonts w:ascii="宋体" w:hAnsi="宋体" w:cs="宋体"/>
                <w:b/>
                <w:bCs/>
                <w:color w:val="0000FF"/>
                <w:sz w:val="24"/>
              </w:rPr>
            </w:pPr>
          </w:p>
        </w:tc>
        <w:tc>
          <w:tcPr>
            <w:tcW w:w="680" w:type="dxa"/>
            <w:tcBorders>
              <w:top w:val="outset" w:color="000000" w:sz="6" w:space="0"/>
              <w:left w:val="outset" w:color="000000" w:sz="6" w:space="0"/>
              <w:bottom w:val="outset" w:color="000000" w:sz="6" w:space="0"/>
              <w:right w:val="outset" w:color="000000" w:sz="6" w:space="0"/>
            </w:tcBorders>
            <w:shd w:val="clear" w:color="auto" w:fill="E6EFFA"/>
            <w:vAlign w:val="center"/>
          </w:tcPr>
          <w:p w14:paraId="1F6C840C">
            <w:pPr>
              <w:wordWrap w:val="0"/>
              <w:jc w:val="center"/>
              <w:rPr>
                <w:rFonts w:ascii="宋体" w:hAnsi="宋体" w:cs="宋体"/>
                <w:szCs w:val="21"/>
              </w:rPr>
            </w:pPr>
            <w:r>
              <w:rPr>
                <w:szCs w:val="21"/>
              </w:rPr>
              <w:t>序号</w:t>
            </w:r>
          </w:p>
        </w:tc>
        <w:tc>
          <w:tcPr>
            <w:tcW w:w="2835" w:type="dxa"/>
            <w:tcBorders>
              <w:top w:val="outset" w:color="000000" w:sz="6" w:space="0"/>
              <w:left w:val="outset" w:color="000000" w:sz="6" w:space="0"/>
              <w:bottom w:val="outset" w:color="000000" w:sz="6" w:space="0"/>
              <w:right w:val="outset" w:color="000000" w:sz="6" w:space="0"/>
            </w:tcBorders>
            <w:shd w:val="clear" w:color="auto" w:fill="E6EFFA"/>
            <w:vAlign w:val="center"/>
          </w:tcPr>
          <w:p w14:paraId="363AAB71">
            <w:pPr>
              <w:wordWrap w:val="0"/>
              <w:jc w:val="center"/>
              <w:rPr>
                <w:rFonts w:ascii="宋体" w:hAnsi="宋体" w:cs="宋体"/>
                <w:szCs w:val="21"/>
              </w:rPr>
            </w:pPr>
            <w:r>
              <w:rPr>
                <w:szCs w:val="21"/>
              </w:rPr>
              <w:t>评分因素</w:t>
            </w:r>
          </w:p>
        </w:tc>
        <w:tc>
          <w:tcPr>
            <w:tcW w:w="681" w:type="dxa"/>
            <w:tcBorders>
              <w:top w:val="outset" w:color="000000" w:sz="6" w:space="0"/>
              <w:left w:val="outset" w:color="000000" w:sz="6" w:space="0"/>
              <w:bottom w:val="outset" w:color="000000" w:sz="6" w:space="0"/>
              <w:right w:val="outset" w:color="000000" w:sz="6" w:space="0"/>
            </w:tcBorders>
            <w:shd w:val="clear" w:color="auto" w:fill="E6EFFA"/>
            <w:vAlign w:val="center"/>
          </w:tcPr>
          <w:p w14:paraId="3997B650">
            <w:pPr>
              <w:wordWrap w:val="0"/>
              <w:jc w:val="center"/>
              <w:rPr>
                <w:rFonts w:ascii="宋体" w:hAnsi="宋体" w:cs="宋体"/>
                <w:szCs w:val="21"/>
              </w:rPr>
            </w:pPr>
            <w:r>
              <w:rPr>
                <w:szCs w:val="21"/>
              </w:rPr>
              <w:t>权重(</w:t>
            </w:r>
            <w:r>
              <w:rPr>
                <w:rFonts w:hint="eastAsia"/>
                <w:szCs w:val="21"/>
                <w:lang w:val="en-US" w:eastAsia="zh-CN"/>
              </w:rPr>
              <w:t>%</w:t>
            </w:r>
            <w:r>
              <w:rPr>
                <w:szCs w:val="21"/>
              </w:rPr>
              <w:t>)</w:t>
            </w:r>
          </w:p>
        </w:tc>
        <w:tc>
          <w:tcPr>
            <w:tcW w:w="4196" w:type="dxa"/>
            <w:tcBorders>
              <w:top w:val="outset" w:color="000000" w:sz="6" w:space="0"/>
              <w:left w:val="outset" w:color="000000" w:sz="6" w:space="0"/>
              <w:bottom w:val="outset" w:color="000000" w:sz="6" w:space="0"/>
              <w:right w:val="outset" w:color="000000" w:sz="6" w:space="0"/>
            </w:tcBorders>
            <w:shd w:val="clear" w:color="auto" w:fill="E6EFFA"/>
            <w:vAlign w:val="center"/>
          </w:tcPr>
          <w:p w14:paraId="18E580D2">
            <w:pPr>
              <w:wordWrap w:val="0"/>
              <w:jc w:val="center"/>
              <w:rPr>
                <w:rFonts w:ascii="宋体" w:hAnsi="宋体" w:cs="宋体"/>
                <w:szCs w:val="21"/>
              </w:rPr>
            </w:pPr>
            <w:r>
              <w:rPr>
                <w:szCs w:val="21"/>
              </w:rPr>
              <w:t>评分准则</w:t>
            </w:r>
          </w:p>
        </w:tc>
      </w:tr>
      <w:tr w14:paraId="4091D83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0" w:type="dxa"/>
            <w:vMerge w:val="continue"/>
            <w:tcBorders>
              <w:top w:val="single" w:color="000000" w:sz="8" w:space="0"/>
              <w:left w:val="single" w:color="000000" w:sz="8" w:space="0"/>
              <w:bottom w:val="single" w:color="000000" w:sz="8" w:space="0"/>
              <w:right w:val="single" w:color="000000" w:sz="8" w:space="0"/>
            </w:tcBorders>
            <w:vAlign w:val="center"/>
          </w:tcPr>
          <w:p w14:paraId="4C4600BB">
            <w:pPr>
              <w:rPr>
                <w:rFonts w:ascii="宋体" w:hAnsi="宋体" w:cs="宋体"/>
                <w:b/>
                <w:bCs/>
                <w:color w:val="0000FF"/>
                <w:sz w:val="24"/>
              </w:rPr>
            </w:pPr>
          </w:p>
        </w:tc>
        <w:tc>
          <w:tcPr>
            <w:tcW w:w="680" w:type="dxa"/>
            <w:tcBorders>
              <w:top w:val="single" w:color="000000" w:sz="8" w:space="0"/>
              <w:left w:val="single" w:color="000000" w:sz="8" w:space="0"/>
              <w:bottom w:val="single" w:color="000000" w:sz="8" w:space="0"/>
              <w:right w:val="single" w:color="000000" w:sz="8" w:space="0"/>
            </w:tcBorders>
            <w:vAlign w:val="center"/>
          </w:tcPr>
          <w:p w14:paraId="7250160D">
            <w:pPr>
              <w:wordWrap w:val="0"/>
              <w:jc w:val="center"/>
              <w:rPr>
                <w:rFonts w:hint="eastAsia" w:ascii="宋体" w:hAnsi="宋体" w:eastAsia="宋体" w:cs="宋体"/>
                <w:szCs w:val="21"/>
                <w:lang w:val="en-US" w:eastAsia="zh-CN"/>
              </w:rPr>
            </w:pPr>
            <w:r>
              <w:rPr>
                <w:rFonts w:hint="eastAsia" w:ascii="宋体" w:hAnsi="宋体" w:cs="宋体"/>
                <w:szCs w:val="21"/>
                <w:lang w:val="en-US" w:eastAsia="zh-CN"/>
              </w:rPr>
              <w:t>1</w:t>
            </w:r>
          </w:p>
        </w:tc>
        <w:tc>
          <w:tcPr>
            <w:tcW w:w="283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0B90941">
            <w:pPr>
              <w:keepNext w:val="0"/>
              <w:keepLines w:val="0"/>
              <w:pageBreakBefore w:val="0"/>
              <w:suppressLineNumbers w:val="0"/>
              <w:kinsoku/>
              <w:overflowPunct/>
              <w:topLinePunct w:val="0"/>
              <w:bidi w:val="0"/>
              <w:adjustRightInd/>
              <w:snapToGrid/>
              <w:spacing w:before="0" w:beforeAutospacing="0" w:after="0" w:afterAutospacing="0" w:line="400" w:lineRule="exact"/>
              <w:ind w:left="0" w:leftChars="0" w:right="0" w:rightChars="0" w:firstLine="0" w:firstLineChars="0"/>
              <w:jc w:val="center"/>
              <w:outlineLvl w:val="9"/>
              <w:rPr>
                <w:rFonts w:hint="eastAsia" w:asciiTheme="minorEastAsia" w:hAnsiTheme="minorEastAsia" w:eastAsiaTheme="minorEastAsia" w:cstheme="minorEastAsia"/>
                <w:color w:val="auto"/>
                <w:kern w:val="2"/>
                <w:sz w:val="24"/>
                <w:szCs w:val="24"/>
                <w:highlight w:val="none"/>
                <w:u w:val="none"/>
                <w:lang w:val="en-US" w:eastAsia="zh-CN" w:bidi="ar-SA"/>
              </w:rPr>
            </w:pPr>
            <w:r>
              <w:rPr>
                <w:rFonts w:hint="eastAsia" w:asciiTheme="minorEastAsia" w:hAnsiTheme="minorEastAsia" w:eastAsiaTheme="minorEastAsia" w:cstheme="minorEastAsia"/>
                <w:b w:val="0"/>
                <w:bCs/>
                <w:color w:val="auto"/>
                <w:sz w:val="24"/>
                <w:szCs w:val="24"/>
                <w:highlight w:val="none"/>
                <w:u w:val="none"/>
              </w:rPr>
              <w:t>体系认证情况</w:t>
            </w:r>
          </w:p>
        </w:tc>
        <w:tc>
          <w:tcPr>
            <w:tcW w:w="681" w:type="dxa"/>
            <w:tcBorders>
              <w:top w:val="single" w:color="000000" w:sz="8" w:space="0"/>
              <w:left w:val="single" w:color="000000" w:sz="8" w:space="0"/>
              <w:bottom w:val="single" w:color="000000" w:sz="8" w:space="0"/>
              <w:right w:val="single" w:color="000000" w:sz="8" w:space="0"/>
            </w:tcBorders>
            <w:vAlign w:val="center"/>
          </w:tcPr>
          <w:p w14:paraId="109E65DA">
            <w:pPr>
              <w:wordWrap w:val="0"/>
              <w:jc w:val="center"/>
              <w:rPr>
                <w:rFonts w:hint="eastAsia" w:ascii="宋体" w:hAnsi="宋体" w:eastAsia="宋体" w:cs="宋体"/>
                <w:szCs w:val="21"/>
                <w:lang w:val="en-US" w:eastAsia="zh-CN"/>
              </w:rPr>
            </w:pPr>
            <w:r>
              <w:rPr>
                <w:rFonts w:hint="eastAsia" w:ascii="宋体" w:hAnsi="宋体" w:cs="宋体"/>
                <w:szCs w:val="21"/>
                <w:lang w:val="en-US" w:eastAsia="zh-CN"/>
              </w:rPr>
              <w:t>4</w:t>
            </w:r>
          </w:p>
        </w:tc>
        <w:tc>
          <w:tcPr>
            <w:tcW w:w="419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5FB2ADD">
            <w:pPr>
              <w:keepNext w:val="0"/>
              <w:keepLines w:val="0"/>
              <w:pageBreakBefore w:val="0"/>
              <w:widowControl/>
              <w:suppressLineNumbers w:val="0"/>
              <w:kinsoku/>
              <w:wordWrap w:val="0"/>
              <w:overflowPunct/>
              <w:topLinePunct w:val="0"/>
              <w:bidi w:val="0"/>
              <w:adjustRightInd/>
              <w:snapToGrid/>
              <w:spacing w:before="0" w:beforeAutospacing="0" w:after="0" w:afterAutospacing="0" w:line="400" w:lineRule="exact"/>
              <w:ind w:left="0" w:leftChars="0" w:right="0" w:rightChars="0" w:firstLine="0" w:firstLineChars="0"/>
              <w:jc w:val="both"/>
              <w:textAlignment w:val="top"/>
              <w:outlineLvl w:val="9"/>
              <w:rPr>
                <w:rFonts w:hint="eastAsia" w:asciiTheme="minorEastAsia" w:hAnsiTheme="minorEastAsia" w:eastAsiaTheme="minorEastAsia" w:cstheme="minorEastAsia"/>
                <w:b/>
                <w:bCs w:val="0"/>
                <w:color w:val="auto"/>
                <w:kern w:val="0"/>
                <w:sz w:val="24"/>
                <w:szCs w:val="24"/>
                <w:highlight w:val="none"/>
                <w:u w:val="none"/>
                <w:lang w:eastAsia="zh-CN"/>
              </w:rPr>
            </w:pPr>
            <w:r>
              <w:rPr>
                <w:rFonts w:hint="eastAsia" w:asciiTheme="minorEastAsia" w:hAnsiTheme="minorEastAsia" w:eastAsiaTheme="minorEastAsia" w:cstheme="minorEastAsia"/>
                <w:b/>
                <w:bCs w:val="0"/>
                <w:color w:val="auto"/>
                <w:kern w:val="0"/>
                <w:sz w:val="24"/>
                <w:szCs w:val="24"/>
                <w:highlight w:val="none"/>
                <w:u w:val="none"/>
                <w:lang w:eastAsia="zh-CN"/>
              </w:rPr>
              <w:t>（一）评分内容</w:t>
            </w:r>
          </w:p>
          <w:p w14:paraId="038E9348">
            <w:pPr>
              <w:keepNext w:val="0"/>
              <w:keepLines w:val="0"/>
              <w:pageBreakBefore w:val="0"/>
              <w:widowControl/>
              <w:suppressLineNumbers w:val="0"/>
              <w:kinsoku/>
              <w:overflowPunct/>
              <w:topLinePunct w:val="0"/>
              <w:bidi w:val="0"/>
              <w:adjustRightInd/>
              <w:snapToGrid/>
              <w:spacing w:before="0" w:beforeAutospacing="0" w:after="0" w:afterAutospacing="0" w:line="400" w:lineRule="exact"/>
              <w:ind w:left="0" w:leftChars="0" w:right="0" w:rightChars="0" w:firstLine="0" w:firstLineChars="0"/>
              <w:jc w:val="both"/>
              <w:outlineLvl w:val="9"/>
              <w:rPr>
                <w:rFonts w:hint="eastAsia" w:asciiTheme="minorEastAsia" w:hAnsiTheme="minorEastAsia" w:eastAsiaTheme="minorEastAsia" w:cstheme="minorEastAsia"/>
                <w:b w:val="0"/>
                <w:bCs/>
                <w:color w:val="auto"/>
                <w:kern w:val="0"/>
                <w:sz w:val="24"/>
                <w:szCs w:val="24"/>
                <w:highlight w:val="none"/>
                <w:u w:val="none"/>
              </w:rPr>
            </w:pPr>
            <w:r>
              <w:rPr>
                <w:rFonts w:hint="eastAsia" w:asciiTheme="minorEastAsia" w:hAnsiTheme="minorEastAsia" w:eastAsiaTheme="minorEastAsia" w:cstheme="minorEastAsia"/>
                <w:b w:val="0"/>
                <w:bCs/>
                <w:color w:val="auto"/>
                <w:kern w:val="0"/>
                <w:sz w:val="24"/>
                <w:szCs w:val="24"/>
                <w:highlight w:val="none"/>
                <w:u w:val="none"/>
                <w:lang w:val="en-US" w:eastAsia="zh-CN"/>
              </w:rPr>
              <w:t>投标人</w:t>
            </w:r>
            <w:r>
              <w:rPr>
                <w:rFonts w:hint="eastAsia" w:asciiTheme="minorEastAsia" w:hAnsiTheme="minorEastAsia" w:eastAsiaTheme="minorEastAsia" w:cstheme="minorEastAsia"/>
                <w:b w:val="0"/>
                <w:bCs/>
                <w:color w:val="auto"/>
                <w:kern w:val="0"/>
                <w:sz w:val="24"/>
                <w:szCs w:val="24"/>
                <w:highlight w:val="none"/>
                <w:u w:val="none"/>
              </w:rPr>
              <w:t>具有质量管理体系认证证书、环境管理体系认证证书、职业健康安全管理体系认证证书</w:t>
            </w:r>
            <w:r>
              <w:rPr>
                <w:rFonts w:hint="eastAsia" w:asciiTheme="minorEastAsia" w:hAnsiTheme="minorEastAsia" w:eastAsiaTheme="minorEastAsia" w:cstheme="minorEastAsia"/>
                <w:b w:val="0"/>
                <w:bCs/>
                <w:color w:val="auto"/>
                <w:kern w:val="0"/>
                <w:sz w:val="24"/>
                <w:szCs w:val="24"/>
                <w:highlight w:val="none"/>
                <w:u w:val="none"/>
                <w:lang w:val="en-US" w:eastAsia="zh-CN"/>
              </w:rPr>
              <w:t>的</w:t>
            </w:r>
            <w:r>
              <w:rPr>
                <w:rFonts w:hint="eastAsia" w:asciiTheme="minorEastAsia" w:hAnsiTheme="minorEastAsia" w:eastAsiaTheme="minorEastAsia" w:cstheme="minorEastAsia"/>
                <w:b w:val="0"/>
                <w:bCs/>
                <w:color w:val="auto"/>
                <w:kern w:val="0"/>
                <w:sz w:val="24"/>
                <w:szCs w:val="24"/>
                <w:highlight w:val="none"/>
                <w:u w:val="none"/>
              </w:rPr>
              <w:t>，每通过一项有效认证的得</w:t>
            </w:r>
            <w:r>
              <w:rPr>
                <w:rFonts w:hint="eastAsia" w:asciiTheme="minorEastAsia" w:hAnsiTheme="minorEastAsia" w:eastAsiaTheme="minorEastAsia" w:cstheme="minorEastAsia"/>
                <w:b w:val="0"/>
                <w:bCs/>
                <w:color w:val="auto"/>
                <w:kern w:val="0"/>
                <w:sz w:val="24"/>
                <w:szCs w:val="24"/>
                <w:highlight w:val="none"/>
                <w:u w:val="none"/>
                <w:lang w:val="en-US" w:eastAsia="zh-CN"/>
              </w:rPr>
              <w:t>35</w:t>
            </w:r>
            <w:r>
              <w:rPr>
                <w:rFonts w:hint="eastAsia" w:asciiTheme="minorEastAsia" w:hAnsiTheme="minorEastAsia" w:eastAsiaTheme="minorEastAsia" w:cstheme="minorEastAsia"/>
                <w:b w:val="0"/>
                <w:bCs/>
                <w:color w:val="auto"/>
                <w:kern w:val="0"/>
                <w:sz w:val="24"/>
                <w:szCs w:val="24"/>
                <w:highlight w:val="none"/>
                <w:u w:val="none"/>
                <w:lang w:eastAsia="zh-CN"/>
              </w:rPr>
              <w:t>分</w:t>
            </w:r>
            <w:r>
              <w:rPr>
                <w:rFonts w:hint="eastAsia" w:asciiTheme="minorEastAsia" w:hAnsiTheme="minorEastAsia" w:eastAsiaTheme="minorEastAsia" w:cstheme="minorEastAsia"/>
                <w:b w:val="0"/>
                <w:bCs/>
                <w:color w:val="auto"/>
                <w:kern w:val="0"/>
                <w:sz w:val="24"/>
                <w:szCs w:val="24"/>
                <w:highlight w:val="none"/>
                <w:u w:val="none"/>
              </w:rPr>
              <w:t>,最高100</w:t>
            </w:r>
            <w:r>
              <w:rPr>
                <w:rFonts w:hint="eastAsia" w:asciiTheme="minorEastAsia" w:hAnsiTheme="minorEastAsia" w:eastAsiaTheme="minorEastAsia" w:cstheme="minorEastAsia"/>
                <w:b w:val="0"/>
                <w:bCs/>
                <w:color w:val="auto"/>
                <w:kern w:val="0"/>
                <w:sz w:val="24"/>
                <w:szCs w:val="24"/>
                <w:highlight w:val="none"/>
                <w:u w:val="none"/>
                <w:lang w:eastAsia="zh-CN"/>
              </w:rPr>
              <w:t>分</w:t>
            </w:r>
            <w:r>
              <w:rPr>
                <w:rFonts w:hint="eastAsia" w:asciiTheme="minorEastAsia" w:hAnsiTheme="minorEastAsia" w:eastAsiaTheme="minorEastAsia" w:cstheme="minorEastAsia"/>
                <w:b w:val="0"/>
                <w:bCs/>
                <w:color w:val="auto"/>
                <w:kern w:val="0"/>
                <w:sz w:val="24"/>
                <w:szCs w:val="24"/>
                <w:highlight w:val="none"/>
                <w:u w:val="none"/>
              </w:rPr>
              <w:t>。</w:t>
            </w:r>
          </w:p>
          <w:p w14:paraId="1ED71EAF">
            <w:pPr>
              <w:keepNext w:val="0"/>
              <w:keepLines w:val="0"/>
              <w:pageBreakBefore w:val="0"/>
              <w:widowControl/>
              <w:numPr>
                <w:ilvl w:val="0"/>
                <w:numId w:val="0"/>
              </w:numPr>
              <w:suppressLineNumbers w:val="0"/>
              <w:kinsoku/>
              <w:overflowPunct/>
              <w:topLinePunct w:val="0"/>
              <w:bidi w:val="0"/>
              <w:adjustRightInd/>
              <w:snapToGrid/>
              <w:spacing w:before="0" w:beforeAutospacing="0" w:after="0" w:afterAutospacing="0" w:line="400" w:lineRule="exact"/>
              <w:ind w:left="0" w:leftChars="0" w:right="0" w:rightChars="0" w:firstLine="0" w:firstLineChars="0"/>
              <w:jc w:val="both"/>
              <w:outlineLvl w:val="9"/>
              <w:rPr>
                <w:rFonts w:hint="eastAsia" w:asciiTheme="minorEastAsia" w:hAnsiTheme="minorEastAsia" w:eastAsiaTheme="minorEastAsia" w:cstheme="minorEastAsia"/>
                <w:b/>
                <w:bCs/>
                <w:color w:val="auto"/>
                <w:kern w:val="0"/>
                <w:sz w:val="24"/>
                <w:szCs w:val="24"/>
                <w:highlight w:val="none"/>
                <w:u w:val="none"/>
                <w:lang w:eastAsia="zh-CN"/>
              </w:rPr>
            </w:pPr>
            <w:r>
              <w:rPr>
                <w:rFonts w:hint="eastAsia" w:asciiTheme="minorEastAsia" w:hAnsiTheme="minorEastAsia" w:eastAsiaTheme="minorEastAsia" w:cstheme="minorEastAsia"/>
                <w:b/>
                <w:bCs/>
                <w:color w:val="auto"/>
                <w:kern w:val="0"/>
                <w:sz w:val="24"/>
                <w:szCs w:val="24"/>
                <w:highlight w:val="none"/>
                <w:u w:val="none"/>
                <w:lang w:eastAsia="zh-CN"/>
              </w:rPr>
              <w:t>（二）评分依据：</w:t>
            </w:r>
          </w:p>
          <w:p w14:paraId="42930DC5">
            <w:pPr>
              <w:keepNext w:val="0"/>
              <w:keepLines w:val="0"/>
              <w:pageBreakBefore w:val="0"/>
              <w:suppressLineNumbers w:val="0"/>
              <w:kinsoku/>
              <w:overflowPunct/>
              <w:topLinePunct w:val="0"/>
              <w:bidi w:val="0"/>
              <w:adjustRightInd/>
              <w:snapToGrid/>
              <w:spacing w:before="0" w:beforeAutospacing="0" w:after="0" w:afterAutospacing="0" w:line="400" w:lineRule="exact"/>
              <w:ind w:left="0" w:leftChars="0" w:right="0" w:rightChars="0" w:firstLine="0" w:firstLineChars="0"/>
              <w:jc w:val="both"/>
              <w:outlineLvl w:val="9"/>
              <w:rPr>
                <w:rFonts w:hint="eastAsia" w:asciiTheme="minorEastAsia" w:hAnsiTheme="minorEastAsia" w:eastAsiaTheme="minorEastAsia" w:cstheme="minorEastAsia"/>
                <w:bCs/>
                <w:color w:val="auto"/>
                <w:kern w:val="44"/>
                <w:sz w:val="24"/>
                <w:szCs w:val="24"/>
                <w:highlight w:val="none"/>
                <w:u w:val="none"/>
                <w:lang w:val="en-US" w:eastAsia="zh-CN" w:bidi="ar-SA"/>
              </w:rPr>
            </w:pPr>
            <w:r>
              <w:rPr>
                <w:rFonts w:hint="eastAsia" w:ascii="宋体" w:hAnsi="宋体" w:eastAsia="宋体" w:cs="宋体"/>
                <w:color w:val="0000FF"/>
                <w:sz w:val="21"/>
                <w:szCs w:val="21"/>
                <w:highlight w:val="none"/>
              </w:rPr>
              <w:t>1.提供相关认证机构颁发的有效期内的认证证书扫描件</w:t>
            </w:r>
            <w:r>
              <w:rPr>
                <w:rFonts w:hint="eastAsia" w:ascii="宋体" w:hAnsi="宋体" w:eastAsia="宋体" w:cs="宋体"/>
                <w:b/>
                <w:bCs/>
                <w:color w:val="0000FF"/>
                <w:sz w:val="21"/>
                <w:szCs w:val="21"/>
                <w:highlight w:val="none"/>
              </w:rPr>
              <w:t>（如认证证书注明年审要求的，必须按规定年审且证书在有效期内；如未注明年审要求的，证书必须在有效期内）</w:t>
            </w:r>
            <w:r>
              <w:rPr>
                <w:rFonts w:hint="eastAsia" w:ascii="宋体" w:hAnsi="宋体" w:eastAsia="宋体" w:cs="宋体"/>
                <w:color w:val="0000FF"/>
                <w:sz w:val="21"/>
                <w:szCs w:val="21"/>
                <w:highlight w:val="none"/>
              </w:rPr>
              <w:t>及国家认监委网站【全国认证认可信息公共服务平台（//cx.cnca.cn）】查询截图（截图需显示证书状态为有效）。</w:t>
            </w:r>
            <w:r>
              <w:rPr>
                <w:rFonts w:hint="eastAsia" w:ascii="宋体" w:hAnsi="宋体" w:eastAsia="宋体" w:cs="宋体"/>
                <w:color w:val="0000FF"/>
                <w:sz w:val="21"/>
                <w:szCs w:val="21"/>
                <w:highlight w:val="none"/>
              </w:rPr>
              <w:br w:type="textWrapping"/>
            </w:r>
            <w:r>
              <w:rPr>
                <w:rFonts w:hint="eastAsia" w:ascii="宋体" w:hAnsi="宋体" w:eastAsia="宋体" w:cs="宋体"/>
                <w:color w:val="0000FF"/>
                <w:sz w:val="21"/>
                <w:szCs w:val="21"/>
                <w:highlight w:val="none"/>
              </w:rPr>
              <w:t>说明：①证书与查询信息截图必须同时提供，缺一不可。未同时提供的不得分，后果由投标人自行承担。②投标人应确保认证证书在开标当天仍处于有效状态，并对所提供的证书及查询截图的真实性负责，如出现与事实不符的情形，视同隐瞒真实情况，提供虚假资料，将依法承担相应的法律责任。③质疑投诉处理中对证书是否有效的认定，以国家认监委网站【全国认证认可信息公共服务平台（//cx.cnca.cn）】结果为准。</w:t>
            </w:r>
            <w:r>
              <w:rPr>
                <w:rFonts w:hint="eastAsia" w:ascii="宋体" w:hAnsi="宋体" w:eastAsia="宋体" w:cs="宋体"/>
                <w:color w:val="0000FF"/>
                <w:sz w:val="21"/>
                <w:szCs w:val="21"/>
                <w:highlight w:val="none"/>
              </w:rPr>
              <w:br w:type="textWrapping"/>
            </w:r>
            <w:r>
              <w:rPr>
                <w:rFonts w:hint="eastAsia" w:ascii="宋体" w:hAnsi="宋体" w:eastAsia="宋体" w:cs="宋体"/>
                <w:color w:val="0000FF"/>
                <w:sz w:val="21"/>
                <w:szCs w:val="21"/>
                <w:highlight w:val="none"/>
              </w:rPr>
              <w:t>2.未按要求提供相关证明材料（或相关证明材料无法判断是否符合评分要求）的不计得分。</w:t>
            </w:r>
            <w:r>
              <w:rPr>
                <w:rFonts w:hint="eastAsia" w:ascii="宋体" w:hAnsi="宋体" w:eastAsia="宋体" w:cs="宋体"/>
                <w:color w:val="0000FF"/>
                <w:sz w:val="21"/>
                <w:szCs w:val="21"/>
                <w:highlight w:val="none"/>
              </w:rPr>
              <w:br w:type="textWrapping"/>
            </w:r>
            <w:r>
              <w:rPr>
                <w:rFonts w:hint="eastAsia" w:ascii="宋体" w:hAnsi="宋体" w:eastAsia="宋体" w:cs="宋体"/>
                <w:color w:val="0000FF"/>
                <w:sz w:val="21"/>
                <w:szCs w:val="21"/>
                <w:highlight w:val="none"/>
              </w:rPr>
              <w:t>3.如投标人为新成立企业且成立时间不足证书申请时间的，或投标人处于以上证书申请阶段尚未过试运行的，提供加盖投标人公章的情况说明视为满足要求。</w:t>
            </w:r>
          </w:p>
        </w:tc>
      </w:tr>
      <w:tr w14:paraId="63BCF22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0" w:type="dxa"/>
            <w:vMerge w:val="continue"/>
            <w:tcBorders>
              <w:top w:val="single" w:color="000000" w:sz="8" w:space="0"/>
              <w:left w:val="single" w:color="000000" w:sz="8" w:space="0"/>
              <w:bottom w:val="single" w:color="000000" w:sz="8" w:space="0"/>
              <w:right w:val="single" w:color="000000" w:sz="8" w:space="0"/>
            </w:tcBorders>
            <w:vAlign w:val="center"/>
          </w:tcPr>
          <w:p w14:paraId="040CB8BA">
            <w:pPr>
              <w:rPr>
                <w:rFonts w:ascii="宋体" w:hAnsi="宋体" w:cs="宋体"/>
                <w:b/>
                <w:bCs/>
                <w:color w:val="0000FF"/>
                <w:sz w:val="24"/>
              </w:rPr>
            </w:pPr>
          </w:p>
        </w:tc>
        <w:tc>
          <w:tcPr>
            <w:tcW w:w="680" w:type="dxa"/>
            <w:tcBorders>
              <w:top w:val="single" w:color="000000" w:sz="8" w:space="0"/>
              <w:left w:val="single" w:color="000000" w:sz="8" w:space="0"/>
              <w:bottom w:val="single" w:color="000000" w:sz="8" w:space="0"/>
              <w:right w:val="single" w:color="000000" w:sz="8" w:space="0"/>
            </w:tcBorders>
            <w:vAlign w:val="center"/>
          </w:tcPr>
          <w:p w14:paraId="7F1EEC68">
            <w:pPr>
              <w:wordWrap w:val="0"/>
              <w:jc w:val="center"/>
              <w:rPr>
                <w:rFonts w:hint="eastAsia" w:ascii="宋体" w:hAnsi="宋体" w:eastAsia="宋体" w:cs="宋体"/>
                <w:szCs w:val="21"/>
                <w:lang w:val="en-US" w:eastAsia="zh-CN"/>
              </w:rPr>
            </w:pPr>
            <w:r>
              <w:rPr>
                <w:rFonts w:hint="eastAsia" w:ascii="宋体" w:hAnsi="宋体" w:cs="宋体"/>
                <w:szCs w:val="21"/>
                <w:lang w:val="en-US" w:eastAsia="zh-CN"/>
              </w:rPr>
              <w:t>2</w:t>
            </w:r>
          </w:p>
        </w:tc>
        <w:tc>
          <w:tcPr>
            <w:tcW w:w="283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5FE27CE">
            <w:pPr>
              <w:keepNext w:val="0"/>
              <w:keepLines w:val="0"/>
              <w:pageBreakBefore w:val="0"/>
              <w:suppressLineNumbers w:val="0"/>
              <w:kinsoku/>
              <w:overflowPunct/>
              <w:topLinePunct w:val="0"/>
              <w:bidi w:val="0"/>
              <w:adjustRightInd/>
              <w:snapToGrid/>
              <w:spacing w:before="0" w:beforeAutospacing="0" w:after="0" w:afterAutospacing="0" w:line="400" w:lineRule="exact"/>
              <w:ind w:left="0" w:leftChars="0" w:right="0" w:rightChars="0" w:firstLine="0" w:firstLineChars="0"/>
              <w:jc w:val="center"/>
              <w:outlineLvl w:val="9"/>
              <w:rPr>
                <w:rFonts w:hint="eastAsia" w:asciiTheme="minorEastAsia" w:hAnsiTheme="minorEastAsia" w:eastAsiaTheme="minorEastAsia" w:cstheme="minorEastAsia"/>
                <w:color w:val="auto"/>
                <w:kern w:val="2"/>
                <w:sz w:val="24"/>
                <w:szCs w:val="24"/>
                <w:highlight w:val="none"/>
                <w:u w:val="none"/>
                <w:lang w:val="en-US" w:eastAsia="zh-CN" w:bidi="ar-SA"/>
              </w:rPr>
            </w:pPr>
            <w:r>
              <w:rPr>
                <w:rFonts w:hint="eastAsia" w:asciiTheme="minorEastAsia" w:hAnsiTheme="minorEastAsia" w:eastAsiaTheme="minorEastAsia" w:cstheme="minorEastAsia"/>
                <w:b w:val="0"/>
                <w:bCs/>
                <w:color w:val="auto"/>
                <w:sz w:val="24"/>
                <w:szCs w:val="24"/>
                <w:highlight w:val="none"/>
                <w:u w:val="none"/>
              </w:rPr>
              <w:t>投标人同类项目经验情况</w:t>
            </w:r>
          </w:p>
        </w:tc>
        <w:tc>
          <w:tcPr>
            <w:tcW w:w="681" w:type="dxa"/>
            <w:tcBorders>
              <w:top w:val="single" w:color="000000" w:sz="8" w:space="0"/>
              <w:left w:val="single" w:color="000000" w:sz="8" w:space="0"/>
              <w:bottom w:val="single" w:color="000000" w:sz="8" w:space="0"/>
              <w:right w:val="single" w:color="000000" w:sz="8" w:space="0"/>
            </w:tcBorders>
            <w:vAlign w:val="center"/>
          </w:tcPr>
          <w:p w14:paraId="22265BBA">
            <w:pPr>
              <w:wordWrap w:val="0"/>
              <w:jc w:val="center"/>
              <w:rPr>
                <w:rFonts w:hint="default" w:ascii="宋体" w:hAnsi="宋体" w:eastAsia="宋体" w:cs="宋体"/>
                <w:szCs w:val="21"/>
                <w:lang w:val="en-US" w:eastAsia="zh-CN"/>
              </w:rPr>
            </w:pPr>
            <w:r>
              <w:rPr>
                <w:rFonts w:hint="eastAsia" w:ascii="宋体" w:hAnsi="宋体" w:cs="宋体"/>
                <w:szCs w:val="21"/>
                <w:lang w:val="en-US" w:eastAsia="zh-CN"/>
              </w:rPr>
              <w:t>13</w:t>
            </w:r>
          </w:p>
        </w:tc>
        <w:tc>
          <w:tcPr>
            <w:tcW w:w="419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105CBD8">
            <w:pPr>
              <w:keepNext w:val="0"/>
              <w:keepLines w:val="0"/>
              <w:pageBreakBefore w:val="0"/>
              <w:suppressLineNumbers w:val="0"/>
              <w:kinsoku/>
              <w:overflowPunct/>
              <w:topLinePunct w:val="0"/>
              <w:bidi w:val="0"/>
              <w:adjustRightInd/>
              <w:snapToGrid/>
              <w:spacing w:before="0" w:beforeAutospacing="0" w:after="0" w:afterAutospacing="0" w:line="400" w:lineRule="exact"/>
              <w:ind w:left="0" w:leftChars="0" w:right="0" w:rightChars="0" w:firstLine="0" w:firstLineChars="0"/>
              <w:jc w:val="both"/>
              <w:outlineLvl w:val="9"/>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eastAsia="zh-CN"/>
              </w:rPr>
              <w:t>（一）评分内容</w:t>
            </w:r>
            <w:r>
              <w:rPr>
                <w:rFonts w:hint="eastAsia" w:asciiTheme="minorEastAsia" w:hAnsiTheme="minorEastAsia" w:eastAsiaTheme="minorEastAsia" w:cstheme="minorEastAsia"/>
                <w:color w:val="auto"/>
                <w:highlight w:val="none"/>
              </w:rPr>
              <w:t>：</w:t>
            </w:r>
          </w:p>
          <w:p w14:paraId="273DE5A3">
            <w:pPr>
              <w:keepNext w:val="0"/>
              <w:keepLines w:val="0"/>
              <w:pageBreakBefore w:val="0"/>
              <w:suppressLineNumbers w:val="0"/>
              <w:kinsoku/>
              <w:overflowPunct/>
              <w:topLinePunct w:val="0"/>
              <w:bidi w:val="0"/>
              <w:adjustRightInd/>
              <w:snapToGrid/>
              <w:spacing w:before="0" w:beforeAutospacing="0" w:after="0" w:afterAutospacing="0" w:line="400" w:lineRule="exact"/>
              <w:ind w:left="0" w:leftChars="0" w:right="0" w:rightChars="0" w:firstLine="0" w:firstLineChars="0"/>
              <w:jc w:val="both"/>
              <w:outlineLvl w:val="9"/>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投标单位2023年1月1日以来（以合同履约日期为准）：</w:t>
            </w:r>
          </w:p>
          <w:p w14:paraId="3FDEFF99">
            <w:pPr>
              <w:keepNext w:val="0"/>
              <w:keepLines w:val="0"/>
              <w:pageBreakBefore w:val="0"/>
              <w:suppressLineNumbers w:val="0"/>
              <w:kinsoku/>
              <w:overflowPunct/>
              <w:topLinePunct w:val="0"/>
              <w:bidi w:val="0"/>
              <w:adjustRightInd/>
              <w:snapToGrid/>
              <w:spacing w:before="0" w:beforeAutospacing="0" w:after="0" w:afterAutospacing="0" w:line="400" w:lineRule="exact"/>
              <w:ind w:left="0" w:leftChars="0" w:right="0" w:rightChars="0" w:firstLine="0" w:firstLineChars="0"/>
              <w:jc w:val="both"/>
              <w:outlineLvl w:val="9"/>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具有国家机关</w:t>
            </w:r>
            <w:r>
              <w:rPr>
                <w:rFonts w:hint="eastAsia" w:asciiTheme="minorEastAsia" w:hAnsiTheme="minorEastAsia" w:eastAsiaTheme="minorEastAsia" w:cstheme="minorEastAsia"/>
                <w:color w:val="auto"/>
                <w:highlight w:val="none"/>
                <w:lang w:eastAsia="zh-CN"/>
              </w:rPr>
              <w:t>（</w:t>
            </w:r>
            <w:r>
              <w:rPr>
                <w:rFonts w:hint="eastAsia" w:asciiTheme="minorEastAsia" w:hAnsiTheme="minorEastAsia" w:eastAsiaTheme="minorEastAsia" w:cstheme="minorEastAsia"/>
                <w:color w:val="auto"/>
                <w:highlight w:val="none"/>
              </w:rPr>
              <w:t>或事业单位</w:t>
            </w:r>
            <w:r>
              <w:rPr>
                <w:rFonts w:hint="eastAsia" w:asciiTheme="minorEastAsia" w:hAnsiTheme="minorEastAsia" w:eastAsiaTheme="minorEastAsia" w:cstheme="minorEastAsia"/>
                <w:color w:val="auto"/>
                <w:highlight w:val="none"/>
                <w:lang w:eastAsia="zh-CN"/>
              </w:rPr>
              <w:t>）</w:t>
            </w:r>
            <w:r>
              <w:rPr>
                <w:rFonts w:hint="eastAsia" w:asciiTheme="minorEastAsia" w:hAnsiTheme="minorEastAsia" w:eastAsiaTheme="minorEastAsia" w:cstheme="minorEastAsia"/>
                <w:color w:val="auto"/>
                <w:highlight w:val="none"/>
              </w:rPr>
              <w:t>委托的合同履约期限为12个月（或1年）或以上的公园（或广场）类安保或保安服务项目经验，且服务评价为满意或优秀或优或良好或良的(履约中出具</w:t>
            </w:r>
            <w:r>
              <w:rPr>
                <w:rFonts w:hint="eastAsia" w:asciiTheme="minorEastAsia" w:hAnsiTheme="minorEastAsia" w:eastAsiaTheme="minorEastAsia" w:cstheme="minorEastAsia"/>
                <w:color w:val="auto"/>
                <w:highlight w:val="none"/>
                <w:lang w:val="en-US" w:eastAsia="zh-CN"/>
              </w:rPr>
              <w:t>的履约评价</w:t>
            </w:r>
            <w:r>
              <w:rPr>
                <w:rFonts w:hint="eastAsia" w:asciiTheme="minorEastAsia" w:hAnsiTheme="minorEastAsia" w:eastAsiaTheme="minorEastAsia" w:cstheme="minorEastAsia"/>
                <w:color w:val="auto"/>
                <w:highlight w:val="none"/>
              </w:rPr>
              <w:t>即可，如服务评价证明不能反映上述评价内容的不得分)：</w:t>
            </w:r>
          </w:p>
          <w:p w14:paraId="7F822B0D">
            <w:pPr>
              <w:keepNext w:val="0"/>
              <w:keepLines w:val="0"/>
              <w:pageBreakBefore w:val="0"/>
              <w:numPr>
                <w:ilvl w:val="0"/>
                <w:numId w:val="0"/>
              </w:numPr>
              <w:suppressLineNumbers w:val="0"/>
              <w:kinsoku/>
              <w:overflowPunct/>
              <w:topLinePunct w:val="0"/>
              <w:bidi w:val="0"/>
              <w:adjustRightInd/>
              <w:snapToGrid/>
              <w:spacing w:before="0" w:beforeAutospacing="0" w:after="0" w:afterAutospacing="0" w:line="400" w:lineRule="exact"/>
              <w:ind w:left="0" w:leftChars="0" w:right="0" w:rightChars="0" w:firstLine="0" w:firstLineChars="0"/>
              <w:jc w:val="both"/>
              <w:outlineLvl w:val="9"/>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1、单个合同约定服务（安保或保安）场地面积≥100万平方米的，得100分；</w:t>
            </w:r>
          </w:p>
          <w:p w14:paraId="75AB1D93">
            <w:pPr>
              <w:keepNext w:val="0"/>
              <w:keepLines w:val="0"/>
              <w:pageBreakBefore w:val="0"/>
              <w:numPr>
                <w:ilvl w:val="0"/>
                <w:numId w:val="0"/>
              </w:numPr>
              <w:suppressLineNumbers w:val="0"/>
              <w:kinsoku/>
              <w:overflowPunct/>
              <w:topLinePunct w:val="0"/>
              <w:bidi w:val="0"/>
              <w:adjustRightInd/>
              <w:snapToGrid/>
              <w:spacing w:before="0" w:beforeAutospacing="0" w:after="0" w:afterAutospacing="0" w:line="400" w:lineRule="exact"/>
              <w:ind w:left="0" w:leftChars="0" w:right="0" w:rightChars="0" w:firstLine="0" w:firstLineChars="0"/>
              <w:jc w:val="both"/>
              <w:outlineLvl w:val="9"/>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2、50万平方米≤单个合同约定服务（安保或保安）场地面积＜100万平方米的，得60分；</w:t>
            </w:r>
          </w:p>
          <w:p w14:paraId="7122E711">
            <w:pPr>
              <w:keepNext w:val="0"/>
              <w:keepLines w:val="0"/>
              <w:pageBreakBefore w:val="0"/>
              <w:numPr>
                <w:ilvl w:val="0"/>
                <w:numId w:val="0"/>
              </w:numPr>
              <w:suppressLineNumbers w:val="0"/>
              <w:kinsoku/>
              <w:overflowPunct/>
              <w:topLinePunct w:val="0"/>
              <w:bidi w:val="0"/>
              <w:adjustRightInd/>
              <w:snapToGrid/>
              <w:spacing w:before="0" w:beforeAutospacing="0" w:after="0" w:afterAutospacing="0" w:line="400" w:lineRule="exact"/>
              <w:ind w:left="0" w:leftChars="0" w:right="0" w:rightChars="0" w:firstLine="0" w:firstLineChars="0"/>
              <w:jc w:val="both"/>
              <w:outlineLvl w:val="9"/>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3、20万平方米≤单个合同约定服务（安保或保安）场地面积＜50万平方米的，得40分；</w:t>
            </w:r>
          </w:p>
          <w:p w14:paraId="4CEF993E">
            <w:pPr>
              <w:keepNext w:val="0"/>
              <w:keepLines w:val="0"/>
              <w:pageBreakBefore w:val="0"/>
              <w:numPr>
                <w:ilvl w:val="0"/>
                <w:numId w:val="0"/>
              </w:numPr>
              <w:suppressLineNumbers w:val="0"/>
              <w:kinsoku/>
              <w:overflowPunct/>
              <w:topLinePunct w:val="0"/>
              <w:bidi w:val="0"/>
              <w:adjustRightInd/>
              <w:snapToGrid/>
              <w:spacing w:before="0" w:beforeAutospacing="0" w:after="0" w:afterAutospacing="0" w:line="400" w:lineRule="exact"/>
              <w:ind w:left="0" w:leftChars="0" w:right="0" w:rightChars="0" w:firstLine="0" w:firstLineChars="0"/>
              <w:jc w:val="both"/>
              <w:outlineLvl w:val="9"/>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4、单个合同约定服务（安保或保安）场地面积＜20万平方米的不得分。</w:t>
            </w:r>
          </w:p>
          <w:p w14:paraId="0552B1D0">
            <w:pPr>
              <w:keepNext w:val="0"/>
              <w:keepLines w:val="0"/>
              <w:pageBreakBefore w:val="0"/>
              <w:numPr>
                <w:ilvl w:val="0"/>
                <w:numId w:val="0"/>
              </w:numPr>
              <w:suppressLineNumbers w:val="0"/>
              <w:kinsoku/>
              <w:overflowPunct/>
              <w:topLinePunct w:val="0"/>
              <w:bidi w:val="0"/>
              <w:adjustRightInd/>
              <w:snapToGrid/>
              <w:spacing w:before="0" w:beforeAutospacing="0" w:after="0" w:afterAutospacing="0" w:line="400" w:lineRule="exact"/>
              <w:ind w:leftChars="0" w:right="0" w:rightChars="0"/>
              <w:jc w:val="both"/>
              <w:outlineLvl w:val="9"/>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rPr>
              <w:t>以上1-4项得分不累计，以最高得分计算，最高得100分</w:t>
            </w:r>
            <w:r>
              <w:rPr>
                <w:rFonts w:hint="eastAsia" w:asciiTheme="minorEastAsia" w:hAnsiTheme="minorEastAsia" w:eastAsiaTheme="minorEastAsia" w:cstheme="minorEastAsia"/>
                <w:color w:val="auto"/>
                <w:highlight w:val="none"/>
                <w:lang w:eastAsia="zh-CN"/>
              </w:rPr>
              <w:t>。</w:t>
            </w:r>
          </w:p>
          <w:p w14:paraId="2351EBFA">
            <w:pPr>
              <w:keepNext w:val="0"/>
              <w:keepLines w:val="0"/>
              <w:pageBreakBefore w:val="0"/>
              <w:suppressLineNumbers w:val="0"/>
              <w:kinsoku/>
              <w:overflowPunct/>
              <w:topLinePunct w:val="0"/>
              <w:bidi w:val="0"/>
              <w:adjustRightInd/>
              <w:snapToGrid/>
              <w:spacing w:before="0" w:beforeAutospacing="0" w:after="0" w:afterAutospacing="0" w:line="400" w:lineRule="exact"/>
              <w:ind w:left="0" w:leftChars="0" w:right="0" w:rightChars="0" w:firstLine="0" w:firstLineChars="0"/>
              <w:jc w:val="both"/>
              <w:outlineLvl w:val="9"/>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eastAsia="zh-CN"/>
              </w:rPr>
              <w:t>（二）评分依据：</w:t>
            </w:r>
          </w:p>
          <w:p w14:paraId="1D1E2CA8">
            <w:pPr>
              <w:keepNext w:val="0"/>
              <w:keepLines w:val="0"/>
              <w:pageBreakBefore w:val="0"/>
              <w:suppressLineNumbers w:val="0"/>
              <w:kinsoku/>
              <w:overflowPunct/>
              <w:topLinePunct w:val="0"/>
              <w:bidi w:val="0"/>
              <w:adjustRightInd/>
              <w:snapToGrid/>
              <w:spacing w:before="0" w:beforeAutospacing="0" w:after="0" w:afterAutospacing="0" w:line="400" w:lineRule="exact"/>
              <w:ind w:left="0" w:leftChars="0" w:right="0" w:rightChars="0" w:firstLine="0" w:firstLineChars="0"/>
              <w:jc w:val="both"/>
              <w:outlineLvl w:val="9"/>
              <w:rPr>
                <w:rFonts w:hint="eastAsia" w:asciiTheme="minorEastAsia" w:hAnsiTheme="minorEastAsia" w:eastAsiaTheme="minorEastAsia" w:cstheme="minorEastAsia"/>
                <w:color w:val="0000FF"/>
                <w:highlight w:val="none"/>
              </w:rPr>
            </w:pPr>
            <w:r>
              <w:rPr>
                <w:rFonts w:hint="eastAsia" w:asciiTheme="minorEastAsia" w:hAnsiTheme="minorEastAsia" w:eastAsiaTheme="minorEastAsia" w:cstheme="minorEastAsia"/>
                <w:color w:val="0000FF"/>
                <w:highlight w:val="none"/>
              </w:rPr>
              <w:t>1、同时提供：①</w:t>
            </w:r>
            <w:r>
              <w:rPr>
                <w:rFonts w:hint="eastAsia" w:hAnsi="宋体" w:cs="宋体"/>
                <w:color w:val="0000FF"/>
                <w:sz w:val="21"/>
                <w:szCs w:val="21"/>
                <w:highlight w:val="none"/>
              </w:rPr>
              <w:t>提供合同甲方（或被服务单位）出具的履约中</w:t>
            </w:r>
            <w:r>
              <w:rPr>
                <w:rFonts w:hint="eastAsia" w:hAnsi="宋体" w:cs="宋体"/>
                <w:color w:val="0000FF"/>
                <w:sz w:val="21"/>
                <w:szCs w:val="21"/>
                <w:highlight w:val="none"/>
                <w:lang w:val="en-US" w:eastAsia="zh-CN"/>
              </w:rPr>
              <w:t>或</w:t>
            </w:r>
            <w:r>
              <w:rPr>
                <w:rFonts w:hint="eastAsia" w:hAnsi="宋体" w:cs="宋体"/>
                <w:color w:val="0000FF"/>
                <w:sz w:val="21"/>
                <w:szCs w:val="21"/>
                <w:highlight w:val="none"/>
              </w:rPr>
              <w:t>投标时已履约完毕，</w:t>
            </w:r>
            <w:r>
              <w:rPr>
                <w:rFonts w:hint="eastAsia" w:hAnsi="宋体" w:cs="宋体"/>
                <w:color w:val="0000FF"/>
                <w:sz w:val="21"/>
                <w:szCs w:val="21"/>
                <w:highlight w:val="none"/>
                <w:lang w:val="en-US" w:eastAsia="zh-CN"/>
              </w:rPr>
              <w:t>的</w:t>
            </w:r>
            <w:r>
              <w:rPr>
                <w:rFonts w:hint="eastAsia" w:hAnsi="宋体" w:cs="宋体"/>
                <w:color w:val="0000FF"/>
                <w:sz w:val="21"/>
                <w:szCs w:val="21"/>
                <w:highlight w:val="none"/>
              </w:rPr>
              <w:t>加盖公章（或业务章）履约评价证明文件</w:t>
            </w:r>
            <w:r>
              <w:rPr>
                <w:rFonts w:hint="eastAsia" w:asciiTheme="minorEastAsia" w:hAnsiTheme="minorEastAsia" w:eastAsiaTheme="minorEastAsia" w:cstheme="minorEastAsia"/>
                <w:color w:val="0000FF"/>
                <w:highlight w:val="none"/>
              </w:rPr>
              <w:t>；②项目经验合同关键页扫描件</w:t>
            </w:r>
            <w:r>
              <w:rPr>
                <w:rFonts w:hint="eastAsia" w:ascii="宋体" w:hAnsi="宋体" w:eastAsia="宋体" w:cs="宋体"/>
                <w:color w:val="0000FF"/>
                <w:sz w:val="21"/>
                <w:szCs w:val="21"/>
                <w:highlight w:val="none"/>
              </w:rPr>
              <w:t>（包括但不限于合同双方的单位名称、合同项目名称、项目内容、合同双方的落款盖章、签订日期等）</w:t>
            </w:r>
            <w:r>
              <w:rPr>
                <w:rFonts w:hint="eastAsia" w:ascii="宋体" w:hAnsi="宋体" w:eastAsia="宋体" w:cs="宋体"/>
                <w:color w:val="0000FF"/>
                <w:sz w:val="21"/>
                <w:szCs w:val="21"/>
                <w:highlight w:val="none"/>
                <w:lang w:eastAsia="zh-CN"/>
              </w:rPr>
              <w:t>，</w:t>
            </w:r>
            <w:r>
              <w:rPr>
                <w:rFonts w:hint="eastAsia" w:asciiTheme="minorEastAsia" w:hAnsiTheme="minorEastAsia" w:eastAsiaTheme="minorEastAsia" w:cstheme="minorEastAsia"/>
                <w:color w:val="0000FF"/>
                <w:highlight w:val="none"/>
              </w:rPr>
              <w:t>合同需能判断合同约定服务（安保或保安）场地面积，如合同关键页无法判断合同约定服务（安保或保安）场地面积的，需同时提供合同采购单位出具并盖章的其他证明文件；</w:t>
            </w:r>
          </w:p>
          <w:p w14:paraId="0A5FDEE5">
            <w:pPr>
              <w:keepNext w:val="0"/>
              <w:keepLines w:val="0"/>
              <w:pageBreakBefore w:val="0"/>
              <w:suppressLineNumbers w:val="0"/>
              <w:kinsoku/>
              <w:overflowPunct/>
              <w:topLinePunct w:val="0"/>
              <w:bidi w:val="0"/>
              <w:adjustRightInd/>
              <w:snapToGrid/>
              <w:spacing w:before="0" w:beforeAutospacing="0" w:after="0" w:afterAutospacing="0" w:line="400" w:lineRule="exact"/>
              <w:ind w:left="0" w:leftChars="0" w:right="0" w:rightChars="0" w:firstLine="0" w:firstLineChars="0"/>
              <w:jc w:val="both"/>
              <w:outlineLvl w:val="9"/>
              <w:rPr>
                <w:rFonts w:hint="eastAsia" w:asciiTheme="minorEastAsia" w:hAnsiTheme="minorEastAsia" w:eastAsiaTheme="minorEastAsia" w:cstheme="minorEastAsia"/>
                <w:color w:val="0000FF"/>
                <w:highlight w:val="none"/>
              </w:rPr>
            </w:pPr>
            <w:r>
              <w:rPr>
                <w:rFonts w:hint="eastAsia" w:asciiTheme="minorEastAsia" w:hAnsiTheme="minorEastAsia" w:eastAsiaTheme="minorEastAsia" w:cstheme="minorEastAsia"/>
                <w:color w:val="0000FF"/>
                <w:highlight w:val="none"/>
              </w:rPr>
              <w:t>2、同一项目续签合同的不重复计分；每个项目须单独开具评价证明。如涉及到需要判断是否为同一项目续签的情形，如项目名称相同、出具评价证明单位相同的，投标单位应提供能判别为不属同一项目续签的相关证明材料（如中标通知书或能反映不属同一项目续签的合同关键页），如不能判别，评标委员会有权对投标单位作出不利判断。项目名称相同、出具服务评价证明单位相同，但是经过重新组织招标、招标编号不同的，不属同一项目续签；</w:t>
            </w:r>
          </w:p>
          <w:p w14:paraId="36035E9B">
            <w:pPr>
              <w:keepNext w:val="0"/>
              <w:keepLines w:val="0"/>
              <w:pageBreakBefore w:val="0"/>
              <w:suppressLineNumbers w:val="0"/>
              <w:kinsoku/>
              <w:overflowPunct/>
              <w:topLinePunct w:val="0"/>
              <w:bidi w:val="0"/>
              <w:adjustRightInd/>
              <w:snapToGrid/>
              <w:spacing w:before="0" w:beforeAutospacing="0" w:after="0" w:afterAutospacing="0" w:line="400" w:lineRule="exact"/>
              <w:ind w:left="0" w:leftChars="0" w:right="0" w:rightChars="0" w:firstLine="0" w:firstLineChars="0"/>
              <w:jc w:val="both"/>
              <w:outlineLvl w:val="9"/>
              <w:rPr>
                <w:rFonts w:hint="eastAsia" w:asciiTheme="minorEastAsia" w:hAnsiTheme="minorEastAsia" w:eastAsiaTheme="minorEastAsia" w:cstheme="minorEastAsia"/>
                <w:color w:val="auto"/>
                <w:kern w:val="2"/>
                <w:sz w:val="24"/>
                <w:szCs w:val="24"/>
                <w:highlight w:val="none"/>
                <w:u w:val="none"/>
                <w:lang w:val="en-US" w:eastAsia="zh-CN" w:bidi="ar-SA"/>
              </w:rPr>
            </w:pPr>
            <w:r>
              <w:rPr>
                <w:rFonts w:hint="eastAsia" w:asciiTheme="minorEastAsia" w:hAnsiTheme="minorEastAsia" w:eastAsiaTheme="minorEastAsia" w:cstheme="minorEastAsia"/>
                <w:color w:val="0000FF"/>
                <w:highlight w:val="none"/>
              </w:rPr>
              <w:t>3、未按要求提供相关证明材料（或相关证明材料无法判断是否符合评分要求）的不计得分</w:t>
            </w:r>
          </w:p>
        </w:tc>
      </w:tr>
      <w:tr w14:paraId="5AF091B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0" w:type="dxa"/>
            <w:vMerge w:val="continue"/>
            <w:tcBorders>
              <w:top w:val="single" w:color="000000" w:sz="8" w:space="0"/>
              <w:left w:val="single" w:color="000000" w:sz="8" w:space="0"/>
              <w:bottom w:val="single" w:color="000000" w:sz="8" w:space="0"/>
              <w:right w:val="single" w:color="000000" w:sz="8" w:space="0"/>
            </w:tcBorders>
            <w:vAlign w:val="center"/>
          </w:tcPr>
          <w:p w14:paraId="1888FBB5">
            <w:pPr>
              <w:rPr>
                <w:rFonts w:ascii="宋体" w:hAnsi="宋体" w:cs="宋体"/>
                <w:b/>
                <w:bCs/>
                <w:color w:val="0000FF"/>
                <w:sz w:val="24"/>
              </w:rPr>
            </w:pPr>
          </w:p>
        </w:tc>
        <w:tc>
          <w:tcPr>
            <w:tcW w:w="680" w:type="dxa"/>
            <w:tcBorders>
              <w:top w:val="single" w:color="000000" w:sz="8" w:space="0"/>
              <w:left w:val="single" w:color="000000" w:sz="8" w:space="0"/>
              <w:bottom w:val="single" w:color="000000" w:sz="8" w:space="0"/>
              <w:right w:val="single" w:color="000000" w:sz="8" w:space="0"/>
            </w:tcBorders>
            <w:vAlign w:val="center"/>
          </w:tcPr>
          <w:p w14:paraId="1D62F9E8">
            <w:pPr>
              <w:wordWrap w:val="0"/>
              <w:jc w:val="center"/>
              <w:rPr>
                <w:rFonts w:hint="eastAsia" w:ascii="宋体" w:hAnsi="宋体" w:eastAsia="宋体" w:cs="宋体"/>
                <w:szCs w:val="21"/>
                <w:lang w:val="en-US" w:eastAsia="zh-CN"/>
              </w:rPr>
            </w:pPr>
            <w:r>
              <w:rPr>
                <w:rFonts w:hint="eastAsia" w:ascii="宋体" w:hAnsi="宋体" w:cs="宋体"/>
                <w:szCs w:val="21"/>
                <w:lang w:val="en-US" w:eastAsia="zh-CN"/>
              </w:rPr>
              <w:t>3</w:t>
            </w:r>
          </w:p>
        </w:tc>
        <w:tc>
          <w:tcPr>
            <w:tcW w:w="283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7DB1AD2">
            <w:pPr>
              <w:keepNext w:val="0"/>
              <w:keepLines w:val="0"/>
              <w:pageBreakBefore w:val="0"/>
              <w:suppressLineNumbers w:val="0"/>
              <w:kinsoku/>
              <w:overflowPunct/>
              <w:topLinePunct w:val="0"/>
              <w:bidi w:val="0"/>
              <w:adjustRightInd/>
              <w:snapToGrid/>
              <w:spacing w:before="0" w:beforeAutospacing="0" w:after="0" w:afterAutospacing="0" w:line="400" w:lineRule="exact"/>
              <w:ind w:left="0" w:leftChars="0" w:right="0" w:rightChars="0" w:firstLine="0" w:firstLineChars="0"/>
              <w:jc w:val="center"/>
              <w:outlineLvl w:val="9"/>
              <w:rPr>
                <w:rFonts w:hint="eastAsia" w:asciiTheme="minorEastAsia" w:hAnsiTheme="minorEastAsia" w:eastAsiaTheme="minorEastAsia" w:cstheme="minorEastAsia"/>
                <w:bCs/>
                <w:color w:val="auto"/>
                <w:kern w:val="2"/>
                <w:sz w:val="24"/>
                <w:szCs w:val="24"/>
                <w:highlight w:val="none"/>
                <w:u w:val="none"/>
                <w:lang w:val="en-US" w:eastAsia="zh-CN" w:bidi="ar-SA"/>
              </w:rPr>
            </w:pPr>
            <w:r>
              <w:rPr>
                <w:rFonts w:hint="eastAsia" w:asciiTheme="minorEastAsia" w:hAnsiTheme="minorEastAsia" w:eastAsiaTheme="minorEastAsia" w:cstheme="minorEastAsia"/>
                <w:b w:val="0"/>
                <w:bCs/>
                <w:color w:val="auto"/>
                <w:kern w:val="0"/>
                <w:sz w:val="24"/>
                <w:szCs w:val="24"/>
                <w:highlight w:val="none"/>
                <w:u w:val="none"/>
              </w:rPr>
              <w:t>应急维稳处突及反恐能力评价</w:t>
            </w:r>
          </w:p>
        </w:tc>
        <w:tc>
          <w:tcPr>
            <w:tcW w:w="681" w:type="dxa"/>
            <w:tcBorders>
              <w:top w:val="single" w:color="000000" w:sz="8" w:space="0"/>
              <w:left w:val="single" w:color="000000" w:sz="8" w:space="0"/>
              <w:bottom w:val="single" w:color="000000" w:sz="8" w:space="0"/>
              <w:right w:val="single" w:color="000000" w:sz="8" w:space="0"/>
            </w:tcBorders>
            <w:vAlign w:val="center"/>
          </w:tcPr>
          <w:p w14:paraId="77657745">
            <w:pPr>
              <w:wordWrap w:val="0"/>
              <w:jc w:val="center"/>
              <w:rPr>
                <w:rFonts w:hint="eastAsia" w:ascii="宋体" w:hAnsi="宋体" w:eastAsia="宋体" w:cs="宋体"/>
                <w:szCs w:val="21"/>
                <w:lang w:val="en-US" w:eastAsia="zh-CN"/>
              </w:rPr>
            </w:pPr>
            <w:r>
              <w:rPr>
                <w:rFonts w:hint="eastAsia" w:ascii="宋体" w:hAnsi="宋体" w:cs="宋体"/>
                <w:szCs w:val="21"/>
                <w:lang w:val="en-US" w:eastAsia="zh-CN"/>
              </w:rPr>
              <w:t>6</w:t>
            </w:r>
          </w:p>
        </w:tc>
        <w:tc>
          <w:tcPr>
            <w:tcW w:w="419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D82FA9C">
            <w:pPr>
              <w:keepNext w:val="0"/>
              <w:keepLines w:val="0"/>
              <w:pageBreakBefore w:val="0"/>
              <w:suppressLineNumbers w:val="0"/>
              <w:kinsoku/>
              <w:overflowPunct/>
              <w:topLinePunct w:val="0"/>
              <w:bidi w:val="0"/>
              <w:adjustRightInd/>
              <w:snapToGrid/>
              <w:spacing w:before="0" w:beforeAutospacing="0" w:after="0" w:afterAutospacing="0" w:line="400" w:lineRule="exact"/>
              <w:ind w:left="0" w:leftChars="0" w:right="0" w:rightChars="0" w:firstLine="0" w:firstLineChars="0"/>
              <w:jc w:val="both"/>
              <w:outlineLvl w:val="9"/>
              <w:rPr>
                <w:rFonts w:hint="eastAsia" w:ascii="宋体" w:hAnsi="宋体" w:eastAsia="宋体" w:cs="宋体"/>
                <w:b/>
                <w:bCs w:val="0"/>
                <w:color w:val="auto"/>
                <w:kern w:val="0"/>
                <w:sz w:val="24"/>
                <w:szCs w:val="24"/>
                <w:highlight w:val="none"/>
                <w:u w:val="none"/>
                <w:lang w:eastAsia="zh-CN"/>
              </w:rPr>
            </w:pPr>
            <w:r>
              <w:rPr>
                <w:rFonts w:hint="eastAsia" w:ascii="宋体" w:hAnsi="宋体" w:eastAsia="宋体" w:cs="宋体"/>
                <w:b/>
                <w:bCs w:val="0"/>
                <w:color w:val="auto"/>
                <w:kern w:val="0"/>
                <w:sz w:val="24"/>
                <w:szCs w:val="24"/>
                <w:highlight w:val="none"/>
                <w:u w:val="none"/>
                <w:lang w:eastAsia="zh-CN"/>
              </w:rPr>
              <w:t>（一）评分内容：</w:t>
            </w:r>
          </w:p>
          <w:p w14:paraId="74C623C3">
            <w:pPr>
              <w:keepNext w:val="0"/>
              <w:keepLines w:val="0"/>
              <w:pageBreakBefore w:val="0"/>
              <w:suppressLineNumbers w:val="0"/>
              <w:kinsoku/>
              <w:overflowPunct/>
              <w:topLinePunct w:val="0"/>
              <w:bidi w:val="0"/>
              <w:adjustRightInd/>
              <w:snapToGrid/>
              <w:spacing w:before="0" w:beforeAutospacing="0" w:after="0" w:afterAutospacing="0" w:line="400" w:lineRule="exact"/>
              <w:ind w:left="0" w:leftChars="0" w:right="0" w:rightChars="0" w:firstLine="0" w:firstLineChars="0"/>
              <w:jc w:val="both"/>
              <w:outlineLvl w:val="9"/>
              <w:rPr>
                <w:rFonts w:hint="eastAsia" w:ascii="宋体" w:hAnsi="宋体" w:eastAsia="宋体" w:cs="宋体"/>
                <w:b w:val="0"/>
                <w:bCs/>
                <w:color w:val="auto"/>
                <w:kern w:val="0"/>
                <w:sz w:val="24"/>
                <w:szCs w:val="24"/>
                <w:highlight w:val="none"/>
                <w:u w:val="none"/>
              </w:rPr>
            </w:pPr>
            <w:r>
              <w:rPr>
                <w:rFonts w:hint="eastAsia" w:ascii="宋体" w:hAnsi="宋体" w:eastAsia="宋体" w:cs="宋体"/>
                <w:b w:val="0"/>
                <w:bCs/>
                <w:color w:val="auto"/>
                <w:kern w:val="0"/>
                <w:sz w:val="24"/>
                <w:szCs w:val="24"/>
                <w:highlight w:val="none"/>
                <w:u w:val="none"/>
              </w:rPr>
              <w:t>1、投标单位建立有县级（含市辖区级）或以上的应急维稳处突（反恐）队伍得100</w:t>
            </w:r>
            <w:r>
              <w:rPr>
                <w:rFonts w:hint="eastAsia" w:ascii="宋体" w:hAnsi="宋体" w:cs="宋体"/>
                <w:b w:val="0"/>
                <w:bCs/>
                <w:color w:val="auto"/>
                <w:kern w:val="0"/>
                <w:sz w:val="24"/>
                <w:szCs w:val="24"/>
                <w:highlight w:val="none"/>
                <w:u w:val="none"/>
                <w:lang w:eastAsia="zh-CN"/>
              </w:rPr>
              <w:t>分</w:t>
            </w:r>
            <w:r>
              <w:rPr>
                <w:rFonts w:hint="eastAsia" w:ascii="宋体" w:hAnsi="宋体" w:eastAsia="宋体" w:cs="宋体"/>
                <w:b w:val="0"/>
                <w:bCs/>
                <w:color w:val="auto"/>
                <w:kern w:val="0"/>
                <w:sz w:val="24"/>
                <w:szCs w:val="24"/>
                <w:highlight w:val="none"/>
                <w:u w:val="none"/>
              </w:rPr>
              <w:t>。</w:t>
            </w:r>
          </w:p>
          <w:p w14:paraId="7CDCE1C3">
            <w:pPr>
              <w:keepNext w:val="0"/>
              <w:keepLines w:val="0"/>
              <w:pageBreakBefore w:val="0"/>
              <w:suppressLineNumbers w:val="0"/>
              <w:kinsoku/>
              <w:overflowPunct/>
              <w:topLinePunct w:val="0"/>
              <w:bidi w:val="0"/>
              <w:adjustRightInd/>
              <w:snapToGrid/>
              <w:spacing w:before="0" w:beforeAutospacing="0" w:after="0" w:afterAutospacing="0" w:line="400" w:lineRule="exact"/>
              <w:ind w:left="0" w:leftChars="0" w:right="0" w:rightChars="0" w:firstLine="0" w:firstLineChars="0"/>
              <w:jc w:val="both"/>
              <w:outlineLvl w:val="9"/>
              <w:rPr>
                <w:rFonts w:hint="eastAsia" w:ascii="宋体" w:hAnsi="宋体" w:eastAsia="宋体" w:cs="宋体"/>
                <w:b w:val="0"/>
                <w:bCs/>
                <w:color w:val="auto"/>
                <w:kern w:val="0"/>
                <w:sz w:val="24"/>
                <w:szCs w:val="24"/>
                <w:highlight w:val="none"/>
                <w:u w:val="none"/>
              </w:rPr>
            </w:pPr>
            <w:r>
              <w:rPr>
                <w:rFonts w:hint="eastAsia" w:ascii="宋体" w:hAnsi="宋体" w:eastAsia="宋体" w:cs="宋体"/>
                <w:b w:val="0"/>
                <w:bCs/>
                <w:color w:val="auto"/>
                <w:kern w:val="0"/>
                <w:sz w:val="24"/>
                <w:szCs w:val="24"/>
                <w:highlight w:val="none"/>
                <w:u w:val="none"/>
              </w:rPr>
              <w:t>2、投标单位承诺中标后组建县级（含市辖区级）或以上的应急维稳处突（反恐）队伍得50</w:t>
            </w:r>
            <w:r>
              <w:rPr>
                <w:rFonts w:hint="eastAsia" w:ascii="宋体" w:hAnsi="宋体" w:cs="宋体"/>
                <w:b w:val="0"/>
                <w:bCs/>
                <w:color w:val="auto"/>
                <w:kern w:val="0"/>
                <w:sz w:val="24"/>
                <w:szCs w:val="24"/>
                <w:highlight w:val="none"/>
                <w:u w:val="none"/>
                <w:lang w:eastAsia="zh-CN"/>
              </w:rPr>
              <w:t>分</w:t>
            </w:r>
            <w:r>
              <w:rPr>
                <w:rFonts w:hint="eastAsia" w:ascii="宋体" w:hAnsi="宋体" w:eastAsia="宋体" w:cs="宋体"/>
                <w:b w:val="0"/>
                <w:bCs/>
                <w:color w:val="auto"/>
                <w:kern w:val="0"/>
                <w:sz w:val="24"/>
                <w:szCs w:val="24"/>
                <w:highlight w:val="none"/>
                <w:u w:val="none"/>
              </w:rPr>
              <w:t>。</w:t>
            </w:r>
          </w:p>
          <w:p w14:paraId="65FE0B10">
            <w:pPr>
              <w:keepNext w:val="0"/>
              <w:keepLines w:val="0"/>
              <w:pageBreakBefore w:val="0"/>
              <w:suppressLineNumbers w:val="0"/>
              <w:kinsoku/>
              <w:overflowPunct/>
              <w:topLinePunct w:val="0"/>
              <w:bidi w:val="0"/>
              <w:adjustRightInd/>
              <w:snapToGrid/>
              <w:spacing w:before="0" w:beforeAutospacing="0" w:after="0" w:afterAutospacing="0" w:line="400" w:lineRule="exact"/>
              <w:ind w:left="0" w:leftChars="0" w:right="0" w:rightChars="0" w:firstLine="0" w:firstLineChars="0"/>
              <w:jc w:val="both"/>
              <w:outlineLvl w:val="9"/>
              <w:rPr>
                <w:rFonts w:hint="eastAsia" w:ascii="宋体" w:hAnsi="宋体" w:eastAsia="宋体" w:cs="宋体"/>
                <w:b w:val="0"/>
                <w:bCs/>
                <w:color w:val="auto"/>
                <w:kern w:val="0"/>
                <w:sz w:val="24"/>
                <w:szCs w:val="24"/>
                <w:highlight w:val="none"/>
                <w:u w:val="none"/>
              </w:rPr>
            </w:pPr>
            <w:r>
              <w:rPr>
                <w:rFonts w:hint="eastAsia" w:ascii="宋体" w:hAnsi="宋体" w:eastAsia="宋体" w:cs="宋体"/>
                <w:b w:val="0"/>
                <w:bCs/>
                <w:color w:val="auto"/>
                <w:kern w:val="0"/>
                <w:sz w:val="24"/>
                <w:szCs w:val="24"/>
                <w:highlight w:val="none"/>
                <w:u w:val="none"/>
              </w:rPr>
              <w:t>本项最高得100</w:t>
            </w:r>
            <w:r>
              <w:rPr>
                <w:rFonts w:hint="eastAsia" w:ascii="宋体" w:hAnsi="宋体" w:cs="宋体"/>
                <w:b w:val="0"/>
                <w:bCs/>
                <w:color w:val="auto"/>
                <w:kern w:val="0"/>
                <w:sz w:val="24"/>
                <w:szCs w:val="24"/>
                <w:highlight w:val="none"/>
                <w:u w:val="none"/>
                <w:lang w:eastAsia="zh-CN"/>
              </w:rPr>
              <w:t>分</w:t>
            </w:r>
            <w:r>
              <w:rPr>
                <w:rFonts w:hint="eastAsia" w:ascii="宋体" w:hAnsi="宋体" w:eastAsia="宋体" w:cs="宋体"/>
                <w:b w:val="0"/>
                <w:bCs/>
                <w:color w:val="auto"/>
                <w:kern w:val="0"/>
                <w:sz w:val="24"/>
                <w:szCs w:val="24"/>
                <w:highlight w:val="none"/>
                <w:u w:val="none"/>
              </w:rPr>
              <w:t>，多个队伍不重复计分，按最高分计取。</w:t>
            </w:r>
          </w:p>
          <w:p w14:paraId="386FC05E">
            <w:pPr>
              <w:keepNext w:val="0"/>
              <w:keepLines w:val="0"/>
              <w:pageBreakBefore w:val="0"/>
              <w:suppressLineNumbers w:val="0"/>
              <w:kinsoku/>
              <w:overflowPunct/>
              <w:topLinePunct w:val="0"/>
              <w:bidi w:val="0"/>
              <w:adjustRightInd/>
              <w:snapToGrid/>
              <w:spacing w:before="0" w:beforeAutospacing="0" w:after="0" w:afterAutospacing="0" w:line="400" w:lineRule="exact"/>
              <w:ind w:left="0" w:leftChars="0" w:right="0" w:rightChars="0" w:firstLine="0" w:firstLineChars="0"/>
              <w:jc w:val="both"/>
              <w:outlineLvl w:val="9"/>
              <w:rPr>
                <w:rFonts w:hint="eastAsia" w:ascii="宋体" w:hAnsi="宋体" w:eastAsia="宋体" w:cs="宋体"/>
                <w:b/>
                <w:bCs w:val="0"/>
                <w:color w:val="auto"/>
                <w:kern w:val="0"/>
                <w:sz w:val="24"/>
                <w:szCs w:val="24"/>
                <w:highlight w:val="none"/>
                <w:u w:val="none"/>
                <w:lang w:eastAsia="zh-CN"/>
              </w:rPr>
            </w:pPr>
            <w:r>
              <w:rPr>
                <w:rFonts w:hint="eastAsia" w:ascii="宋体" w:hAnsi="宋体" w:eastAsia="宋体" w:cs="宋体"/>
                <w:b/>
                <w:bCs w:val="0"/>
                <w:color w:val="auto"/>
                <w:kern w:val="0"/>
                <w:sz w:val="24"/>
                <w:szCs w:val="24"/>
                <w:highlight w:val="none"/>
                <w:u w:val="none"/>
                <w:lang w:eastAsia="zh-CN"/>
              </w:rPr>
              <w:t>（二）评分依据：</w:t>
            </w:r>
          </w:p>
          <w:p w14:paraId="1C31AD8E">
            <w:pPr>
              <w:keepNext w:val="0"/>
              <w:keepLines w:val="0"/>
              <w:pageBreakBefore w:val="0"/>
              <w:suppressLineNumbers w:val="0"/>
              <w:kinsoku/>
              <w:overflowPunct/>
              <w:topLinePunct w:val="0"/>
              <w:bidi w:val="0"/>
              <w:adjustRightInd/>
              <w:snapToGrid/>
              <w:spacing w:before="0" w:beforeAutospacing="0" w:after="0" w:afterAutospacing="0" w:line="400" w:lineRule="exact"/>
              <w:ind w:left="0" w:leftChars="0" w:right="0" w:rightChars="0" w:firstLine="0" w:firstLineChars="0"/>
              <w:jc w:val="both"/>
              <w:outlineLvl w:val="9"/>
              <w:rPr>
                <w:rFonts w:hint="eastAsia" w:asciiTheme="minorEastAsia" w:hAnsiTheme="minorEastAsia" w:eastAsiaTheme="minorEastAsia" w:cstheme="minorEastAsia"/>
                <w:color w:val="0000FF"/>
                <w:highlight w:val="none"/>
              </w:rPr>
            </w:pPr>
            <w:r>
              <w:rPr>
                <w:rFonts w:hint="eastAsia" w:asciiTheme="minorEastAsia" w:hAnsiTheme="minorEastAsia" w:eastAsiaTheme="minorEastAsia" w:cstheme="minorEastAsia"/>
                <w:color w:val="0000FF"/>
                <w:highlight w:val="none"/>
              </w:rPr>
              <w:t>1、提供县级（含市辖区级）或以上的公安机关出具的应急维稳处突（反恐）队伍证明文件（证明材料里应反映队伍人数及集中驻扎情况）扫描件；</w:t>
            </w:r>
          </w:p>
          <w:p w14:paraId="09E128A4">
            <w:pPr>
              <w:keepNext w:val="0"/>
              <w:keepLines w:val="0"/>
              <w:pageBreakBefore w:val="0"/>
              <w:suppressLineNumbers w:val="0"/>
              <w:kinsoku/>
              <w:overflowPunct/>
              <w:topLinePunct w:val="0"/>
              <w:bidi w:val="0"/>
              <w:adjustRightInd/>
              <w:snapToGrid/>
              <w:spacing w:before="0" w:beforeAutospacing="0" w:after="0" w:afterAutospacing="0" w:line="400" w:lineRule="exact"/>
              <w:ind w:left="0" w:leftChars="0" w:right="0" w:rightChars="0" w:firstLine="0" w:firstLineChars="0"/>
              <w:jc w:val="both"/>
              <w:outlineLvl w:val="9"/>
              <w:rPr>
                <w:rFonts w:hint="eastAsia" w:asciiTheme="minorEastAsia" w:hAnsiTheme="minorEastAsia" w:eastAsiaTheme="minorEastAsia" w:cstheme="minorEastAsia"/>
                <w:color w:val="0000FF"/>
                <w:highlight w:val="none"/>
              </w:rPr>
            </w:pPr>
            <w:r>
              <w:rPr>
                <w:rFonts w:hint="eastAsia" w:asciiTheme="minorEastAsia" w:hAnsiTheme="minorEastAsia" w:eastAsiaTheme="minorEastAsia" w:cstheme="minorEastAsia"/>
                <w:color w:val="0000FF"/>
                <w:highlight w:val="none"/>
              </w:rPr>
              <w:t>2、提供承诺函（格式自拟），承诺函或承诺函内容需体现中标后组建县级（含市辖区级）或以上的应急维稳处突（反恐）队伍要求，否则不得分；</w:t>
            </w:r>
          </w:p>
          <w:p w14:paraId="675B6056">
            <w:pPr>
              <w:keepNext w:val="0"/>
              <w:keepLines w:val="0"/>
              <w:pageBreakBefore w:val="0"/>
              <w:suppressLineNumbers w:val="0"/>
              <w:kinsoku/>
              <w:overflowPunct/>
              <w:topLinePunct w:val="0"/>
              <w:bidi w:val="0"/>
              <w:adjustRightInd/>
              <w:snapToGrid/>
              <w:spacing w:before="0" w:beforeAutospacing="0" w:after="0" w:afterAutospacing="0" w:line="400" w:lineRule="exact"/>
              <w:ind w:left="0" w:leftChars="0" w:right="0" w:rightChars="0" w:firstLine="0" w:firstLineChars="0"/>
              <w:jc w:val="both"/>
              <w:outlineLvl w:val="9"/>
              <w:rPr>
                <w:rFonts w:hint="eastAsia" w:asciiTheme="minorEastAsia" w:hAnsiTheme="minorEastAsia" w:eastAsiaTheme="minorEastAsia" w:cstheme="minorEastAsia"/>
                <w:color w:val="auto"/>
                <w:kern w:val="2"/>
                <w:sz w:val="24"/>
                <w:szCs w:val="24"/>
                <w:highlight w:val="none"/>
                <w:u w:val="none"/>
                <w:lang w:val="en-US" w:eastAsia="zh-CN" w:bidi="ar-SA"/>
              </w:rPr>
            </w:pPr>
            <w:r>
              <w:rPr>
                <w:rFonts w:hint="eastAsia" w:asciiTheme="minorEastAsia" w:hAnsiTheme="minorEastAsia" w:eastAsiaTheme="minorEastAsia" w:cstheme="minorEastAsia"/>
                <w:color w:val="0000FF"/>
                <w:highlight w:val="none"/>
              </w:rPr>
              <w:t>3、未按要求提供相关证明材料（或相关证明材料无法判断是否符合评分要求）的不计得分</w:t>
            </w:r>
          </w:p>
        </w:tc>
      </w:tr>
      <w:tr w14:paraId="00FE911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0" w:type="dxa"/>
            <w:vMerge w:val="continue"/>
            <w:tcBorders>
              <w:top w:val="single" w:color="000000" w:sz="8" w:space="0"/>
              <w:left w:val="single" w:color="000000" w:sz="8" w:space="0"/>
              <w:bottom w:val="single" w:color="000000" w:sz="8" w:space="0"/>
              <w:right w:val="single" w:color="000000" w:sz="8" w:space="0"/>
            </w:tcBorders>
            <w:vAlign w:val="center"/>
          </w:tcPr>
          <w:p w14:paraId="2A927AFB">
            <w:pPr>
              <w:rPr>
                <w:rFonts w:ascii="宋体" w:hAnsi="宋体" w:cs="宋体"/>
                <w:b/>
                <w:bCs/>
                <w:color w:val="0000FF"/>
                <w:sz w:val="24"/>
              </w:rPr>
            </w:pPr>
          </w:p>
        </w:tc>
        <w:tc>
          <w:tcPr>
            <w:tcW w:w="680" w:type="dxa"/>
            <w:tcBorders>
              <w:top w:val="single" w:color="000000" w:sz="8" w:space="0"/>
              <w:left w:val="single" w:color="000000" w:sz="8" w:space="0"/>
              <w:bottom w:val="single" w:color="000000" w:sz="8" w:space="0"/>
              <w:right w:val="single" w:color="000000" w:sz="8" w:space="0"/>
            </w:tcBorders>
            <w:vAlign w:val="center"/>
          </w:tcPr>
          <w:p w14:paraId="25E1C30C">
            <w:pPr>
              <w:wordWrap w:val="0"/>
              <w:jc w:val="center"/>
              <w:rPr>
                <w:rFonts w:hint="eastAsia" w:ascii="宋体" w:hAnsi="宋体" w:eastAsia="宋体" w:cs="宋体"/>
                <w:szCs w:val="21"/>
                <w:lang w:val="en-US" w:eastAsia="zh-CN"/>
              </w:rPr>
            </w:pPr>
            <w:r>
              <w:rPr>
                <w:rFonts w:hint="eastAsia" w:ascii="宋体" w:hAnsi="宋体" w:cs="宋体"/>
                <w:szCs w:val="21"/>
                <w:lang w:val="en-US" w:eastAsia="zh-CN"/>
              </w:rPr>
              <w:t>4</w:t>
            </w:r>
          </w:p>
        </w:tc>
        <w:tc>
          <w:tcPr>
            <w:tcW w:w="283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9C5B893">
            <w:pPr>
              <w:keepNext w:val="0"/>
              <w:keepLines w:val="0"/>
              <w:pageBreakBefore w:val="0"/>
              <w:suppressLineNumbers w:val="0"/>
              <w:kinsoku/>
              <w:overflowPunct/>
              <w:topLinePunct w:val="0"/>
              <w:bidi w:val="0"/>
              <w:adjustRightInd/>
              <w:snapToGrid/>
              <w:spacing w:before="0" w:beforeAutospacing="0" w:after="0" w:afterAutospacing="0" w:line="400" w:lineRule="exact"/>
              <w:ind w:left="0" w:leftChars="0" w:right="0" w:rightChars="0" w:firstLine="0" w:firstLineChars="0"/>
              <w:jc w:val="center"/>
              <w:outlineLvl w:val="9"/>
              <w:rPr>
                <w:rFonts w:hint="eastAsia" w:asciiTheme="minorEastAsia" w:hAnsiTheme="minorEastAsia" w:eastAsiaTheme="minorEastAsia" w:cstheme="minorEastAsia"/>
                <w:color w:val="auto"/>
                <w:kern w:val="2"/>
                <w:sz w:val="24"/>
                <w:szCs w:val="24"/>
                <w:highlight w:val="none"/>
                <w:u w:val="none"/>
                <w:lang w:val="en-US" w:eastAsia="zh-CN" w:bidi="ar-SA"/>
              </w:rPr>
            </w:pPr>
            <w:r>
              <w:rPr>
                <w:rFonts w:hint="eastAsia" w:asciiTheme="minorEastAsia" w:hAnsiTheme="minorEastAsia" w:eastAsiaTheme="minorEastAsia" w:cstheme="minorEastAsia"/>
                <w:b w:val="0"/>
                <w:bCs/>
                <w:color w:val="auto"/>
                <w:sz w:val="24"/>
                <w:szCs w:val="24"/>
                <w:highlight w:val="none"/>
                <w:u w:val="none"/>
              </w:rPr>
              <w:t>投标</w:t>
            </w:r>
            <w:r>
              <w:rPr>
                <w:rFonts w:hint="eastAsia" w:asciiTheme="minorEastAsia" w:hAnsiTheme="minorEastAsia" w:eastAsiaTheme="minorEastAsia" w:cstheme="minorEastAsia"/>
                <w:b w:val="0"/>
                <w:bCs/>
                <w:color w:val="auto"/>
                <w:sz w:val="24"/>
                <w:szCs w:val="24"/>
                <w:highlight w:val="none"/>
                <w:u w:val="none"/>
                <w:lang w:eastAsia="zh-CN"/>
              </w:rPr>
              <w:t>人</w:t>
            </w:r>
            <w:r>
              <w:rPr>
                <w:rFonts w:hint="eastAsia" w:asciiTheme="minorEastAsia" w:hAnsiTheme="minorEastAsia" w:eastAsiaTheme="minorEastAsia" w:cstheme="minorEastAsia"/>
                <w:b w:val="0"/>
                <w:bCs/>
                <w:color w:val="auto"/>
                <w:sz w:val="24"/>
                <w:szCs w:val="24"/>
                <w:highlight w:val="none"/>
                <w:u w:val="none"/>
              </w:rPr>
              <w:t>荣誉情况评价</w:t>
            </w:r>
          </w:p>
        </w:tc>
        <w:tc>
          <w:tcPr>
            <w:tcW w:w="681" w:type="dxa"/>
            <w:tcBorders>
              <w:top w:val="single" w:color="000000" w:sz="8" w:space="0"/>
              <w:left w:val="single" w:color="000000" w:sz="8" w:space="0"/>
              <w:bottom w:val="single" w:color="000000" w:sz="8" w:space="0"/>
              <w:right w:val="single" w:color="000000" w:sz="8" w:space="0"/>
            </w:tcBorders>
            <w:vAlign w:val="center"/>
          </w:tcPr>
          <w:p w14:paraId="022869F6">
            <w:pPr>
              <w:wordWrap w:val="0"/>
              <w:jc w:val="center"/>
              <w:rPr>
                <w:rFonts w:hint="eastAsia" w:ascii="宋体" w:hAnsi="宋体" w:eastAsia="宋体" w:cs="宋体"/>
                <w:szCs w:val="21"/>
                <w:lang w:val="en-US" w:eastAsia="zh-CN"/>
              </w:rPr>
            </w:pPr>
            <w:r>
              <w:rPr>
                <w:rFonts w:hint="eastAsia" w:ascii="宋体" w:hAnsi="宋体" w:cs="宋体"/>
                <w:szCs w:val="21"/>
                <w:lang w:val="en-US" w:eastAsia="zh-CN"/>
              </w:rPr>
              <w:t>2</w:t>
            </w:r>
          </w:p>
        </w:tc>
        <w:tc>
          <w:tcPr>
            <w:tcW w:w="419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BD40359">
            <w:pPr>
              <w:keepNext w:val="0"/>
              <w:keepLines w:val="0"/>
              <w:pageBreakBefore w:val="0"/>
              <w:suppressLineNumbers w:val="0"/>
              <w:kinsoku/>
              <w:overflowPunct/>
              <w:topLinePunct w:val="0"/>
              <w:bidi w:val="0"/>
              <w:adjustRightInd/>
              <w:snapToGrid/>
              <w:spacing w:before="0" w:beforeAutospacing="0" w:after="0" w:afterAutospacing="0" w:line="400" w:lineRule="exact"/>
              <w:ind w:left="0" w:leftChars="0" w:right="0" w:rightChars="0" w:firstLine="0" w:firstLineChars="0"/>
              <w:jc w:val="both"/>
              <w:outlineLvl w:val="9"/>
              <w:rPr>
                <w:rFonts w:hint="eastAsia" w:ascii="宋体" w:hAnsi="宋体" w:eastAsia="宋体" w:cs="宋体"/>
                <w:b/>
                <w:bCs w:val="0"/>
                <w:color w:val="auto"/>
                <w:kern w:val="0"/>
                <w:sz w:val="24"/>
                <w:szCs w:val="24"/>
                <w:highlight w:val="none"/>
                <w:u w:val="none"/>
              </w:rPr>
            </w:pPr>
            <w:r>
              <w:rPr>
                <w:rFonts w:hint="eastAsia" w:ascii="宋体" w:hAnsi="宋体" w:cs="宋体"/>
                <w:b/>
                <w:bCs w:val="0"/>
                <w:color w:val="auto"/>
                <w:kern w:val="0"/>
                <w:sz w:val="24"/>
                <w:szCs w:val="24"/>
                <w:highlight w:val="none"/>
                <w:u w:val="none"/>
                <w:lang w:eastAsia="zh-CN"/>
              </w:rPr>
              <w:t>（一）评分内容</w:t>
            </w:r>
          </w:p>
          <w:p w14:paraId="4F326AF4">
            <w:pPr>
              <w:keepNext w:val="0"/>
              <w:keepLines w:val="0"/>
              <w:pageBreakBefore w:val="0"/>
              <w:suppressLineNumbers w:val="0"/>
              <w:kinsoku/>
              <w:overflowPunct/>
              <w:topLinePunct w:val="0"/>
              <w:bidi w:val="0"/>
              <w:adjustRightInd/>
              <w:snapToGrid/>
              <w:spacing w:before="0" w:beforeAutospacing="0" w:after="0" w:afterAutospacing="0" w:line="400" w:lineRule="exact"/>
              <w:ind w:left="0" w:leftChars="0" w:right="0" w:rightChars="0" w:firstLine="0" w:firstLineChars="0"/>
              <w:jc w:val="both"/>
              <w:outlineLvl w:val="9"/>
              <w:rPr>
                <w:rFonts w:hint="eastAsia" w:ascii="宋体" w:hAnsi="宋体" w:eastAsia="宋体" w:cs="宋体"/>
                <w:b w:val="0"/>
                <w:bCs/>
                <w:color w:val="auto"/>
                <w:kern w:val="0"/>
                <w:sz w:val="24"/>
                <w:szCs w:val="24"/>
                <w:highlight w:val="none"/>
                <w:u w:val="none"/>
              </w:rPr>
            </w:pPr>
            <w:r>
              <w:rPr>
                <w:rFonts w:hint="eastAsia" w:ascii="宋体" w:hAnsi="宋体" w:eastAsia="宋体" w:cs="宋体"/>
                <w:b w:val="0"/>
                <w:bCs/>
                <w:color w:val="auto"/>
                <w:kern w:val="0"/>
                <w:sz w:val="24"/>
                <w:szCs w:val="24"/>
                <w:highlight w:val="none"/>
                <w:u w:val="none"/>
              </w:rPr>
              <w:t>投标人获得国家机关</w:t>
            </w:r>
            <w:r>
              <w:rPr>
                <w:rFonts w:hint="eastAsia" w:ascii="宋体" w:hAnsi="宋体" w:cs="宋体"/>
                <w:b w:val="0"/>
                <w:bCs/>
                <w:color w:val="auto"/>
                <w:kern w:val="0"/>
                <w:sz w:val="24"/>
                <w:szCs w:val="24"/>
                <w:highlight w:val="none"/>
                <w:u w:val="none"/>
                <w:lang w:eastAsia="zh-CN"/>
              </w:rPr>
              <w:t>（</w:t>
            </w:r>
            <w:r>
              <w:rPr>
                <w:rFonts w:hint="eastAsia" w:ascii="宋体" w:hAnsi="宋体" w:eastAsia="宋体" w:cs="宋体"/>
                <w:b w:val="0"/>
                <w:bCs/>
                <w:color w:val="auto"/>
                <w:kern w:val="0"/>
                <w:sz w:val="24"/>
                <w:szCs w:val="24"/>
                <w:highlight w:val="none"/>
                <w:u w:val="none"/>
              </w:rPr>
              <w:t>或事业单位</w:t>
            </w:r>
            <w:r>
              <w:rPr>
                <w:rFonts w:hint="eastAsia" w:ascii="宋体" w:hAnsi="宋体" w:cs="宋体"/>
                <w:b w:val="0"/>
                <w:bCs/>
                <w:color w:val="auto"/>
                <w:kern w:val="0"/>
                <w:sz w:val="24"/>
                <w:szCs w:val="24"/>
                <w:highlight w:val="none"/>
                <w:u w:val="none"/>
                <w:lang w:eastAsia="zh-CN"/>
              </w:rPr>
              <w:t>）</w:t>
            </w:r>
            <w:r>
              <w:rPr>
                <w:rFonts w:hint="eastAsia" w:ascii="宋体" w:hAnsi="宋体" w:eastAsia="宋体" w:cs="宋体"/>
                <w:b w:val="0"/>
                <w:bCs/>
                <w:color w:val="auto"/>
                <w:kern w:val="0"/>
                <w:sz w:val="24"/>
                <w:szCs w:val="24"/>
                <w:highlight w:val="none"/>
                <w:u w:val="none"/>
              </w:rPr>
              <w:t>颁发的保安类或安保类相关先进荣誉的：</w:t>
            </w:r>
          </w:p>
          <w:p w14:paraId="63148C50">
            <w:pPr>
              <w:keepNext w:val="0"/>
              <w:keepLines w:val="0"/>
              <w:pageBreakBefore w:val="0"/>
              <w:suppressLineNumbers w:val="0"/>
              <w:kinsoku/>
              <w:overflowPunct/>
              <w:topLinePunct w:val="0"/>
              <w:bidi w:val="0"/>
              <w:adjustRightInd/>
              <w:snapToGrid/>
              <w:spacing w:before="0" w:beforeAutospacing="0" w:after="0" w:afterAutospacing="0" w:line="400" w:lineRule="exact"/>
              <w:ind w:left="0" w:leftChars="0" w:right="0" w:rightChars="0" w:firstLine="0" w:firstLineChars="0"/>
              <w:jc w:val="both"/>
              <w:outlineLvl w:val="9"/>
              <w:rPr>
                <w:rFonts w:hint="eastAsia" w:ascii="宋体" w:hAnsi="宋体" w:eastAsia="宋体" w:cs="宋体"/>
                <w:b w:val="0"/>
                <w:bCs/>
                <w:color w:val="auto"/>
                <w:kern w:val="0"/>
                <w:sz w:val="24"/>
                <w:szCs w:val="24"/>
                <w:highlight w:val="none"/>
                <w:u w:val="none"/>
              </w:rPr>
            </w:pPr>
            <w:r>
              <w:rPr>
                <w:rFonts w:hint="eastAsia" w:ascii="宋体" w:hAnsi="宋体" w:eastAsia="宋体" w:cs="宋体"/>
                <w:b w:val="0"/>
                <w:bCs/>
                <w:color w:val="auto"/>
                <w:kern w:val="0"/>
                <w:sz w:val="24"/>
                <w:szCs w:val="24"/>
                <w:highlight w:val="none"/>
                <w:u w:val="none"/>
              </w:rPr>
              <w:t>1.获得过国家级保安类或安保类相关先进荣誉的，得100</w:t>
            </w:r>
            <w:r>
              <w:rPr>
                <w:rFonts w:hint="eastAsia" w:ascii="宋体" w:hAnsi="宋体" w:cs="宋体"/>
                <w:b w:val="0"/>
                <w:bCs/>
                <w:color w:val="auto"/>
                <w:kern w:val="0"/>
                <w:sz w:val="24"/>
                <w:szCs w:val="24"/>
                <w:highlight w:val="none"/>
                <w:u w:val="none"/>
                <w:lang w:eastAsia="zh-CN"/>
              </w:rPr>
              <w:t>分</w:t>
            </w:r>
            <w:r>
              <w:rPr>
                <w:rFonts w:hint="eastAsia" w:ascii="宋体" w:hAnsi="宋体" w:eastAsia="宋体" w:cs="宋体"/>
                <w:b w:val="0"/>
                <w:bCs/>
                <w:color w:val="auto"/>
                <w:kern w:val="0"/>
                <w:sz w:val="24"/>
                <w:szCs w:val="24"/>
                <w:highlight w:val="none"/>
                <w:u w:val="none"/>
              </w:rPr>
              <w:t>；</w:t>
            </w:r>
          </w:p>
          <w:p w14:paraId="62274271">
            <w:pPr>
              <w:keepNext w:val="0"/>
              <w:keepLines w:val="0"/>
              <w:pageBreakBefore w:val="0"/>
              <w:suppressLineNumbers w:val="0"/>
              <w:kinsoku/>
              <w:overflowPunct/>
              <w:topLinePunct w:val="0"/>
              <w:bidi w:val="0"/>
              <w:adjustRightInd/>
              <w:snapToGrid/>
              <w:spacing w:before="0" w:beforeAutospacing="0" w:after="0" w:afterAutospacing="0" w:line="400" w:lineRule="exact"/>
              <w:ind w:left="0" w:leftChars="0" w:right="0" w:rightChars="0" w:firstLine="0" w:firstLineChars="0"/>
              <w:jc w:val="both"/>
              <w:outlineLvl w:val="9"/>
              <w:rPr>
                <w:rFonts w:hint="eastAsia" w:ascii="宋体" w:hAnsi="宋体" w:eastAsia="宋体" w:cs="宋体"/>
                <w:b w:val="0"/>
                <w:bCs/>
                <w:color w:val="auto"/>
                <w:kern w:val="0"/>
                <w:sz w:val="24"/>
                <w:szCs w:val="24"/>
                <w:highlight w:val="none"/>
                <w:u w:val="none"/>
              </w:rPr>
            </w:pPr>
            <w:r>
              <w:rPr>
                <w:rFonts w:hint="eastAsia" w:ascii="宋体" w:hAnsi="宋体" w:eastAsia="宋体" w:cs="宋体"/>
                <w:b w:val="0"/>
                <w:bCs/>
                <w:color w:val="auto"/>
                <w:kern w:val="0"/>
                <w:sz w:val="24"/>
                <w:szCs w:val="24"/>
                <w:highlight w:val="none"/>
                <w:u w:val="none"/>
              </w:rPr>
              <w:t>2.获得过省级（不含副省级）保安类或安保类相关先进荣誉的，得50</w:t>
            </w:r>
            <w:r>
              <w:rPr>
                <w:rFonts w:hint="eastAsia" w:ascii="宋体" w:hAnsi="宋体" w:cs="宋体"/>
                <w:b w:val="0"/>
                <w:bCs/>
                <w:color w:val="auto"/>
                <w:kern w:val="0"/>
                <w:sz w:val="24"/>
                <w:szCs w:val="24"/>
                <w:highlight w:val="none"/>
                <w:u w:val="none"/>
                <w:lang w:eastAsia="zh-CN"/>
              </w:rPr>
              <w:t>分</w:t>
            </w:r>
            <w:r>
              <w:rPr>
                <w:rFonts w:hint="eastAsia" w:ascii="宋体" w:hAnsi="宋体" w:eastAsia="宋体" w:cs="宋体"/>
                <w:b w:val="0"/>
                <w:bCs/>
                <w:color w:val="auto"/>
                <w:kern w:val="0"/>
                <w:sz w:val="24"/>
                <w:szCs w:val="24"/>
                <w:highlight w:val="none"/>
                <w:u w:val="none"/>
              </w:rPr>
              <w:t>；</w:t>
            </w:r>
          </w:p>
          <w:p w14:paraId="37FF0714">
            <w:pPr>
              <w:keepNext w:val="0"/>
              <w:keepLines w:val="0"/>
              <w:pageBreakBefore w:val="0"/>
              <w:suppressLineNumbers w:val="0"/>
              <w:kinsoku/>
              <w:overflowPunct/>
              <w:topLinePunct w:val="0"/>
              <w:bidi w:val="0"/>
              <w:adjustRightInd/>
              <w:snapToGrid/>
              <w:spacing w:before="0" w:beforeAutospacing="0" w:after="0" w:afterAutospacing="0" w:line="400" w:lineRule="exact"/>
              <w:ind w:left="0" w:leftChars="0" w:right="0" w:rightChars="0" w:firstLine="0" w:firstLineChars="0"/>
              <w:jc w:val="both"/>
              <w:outlineLvl w:val="9"/>
              <w:rPr>
                <w:rFonts w:hint="eastAsia" w:ascii="宋体" w:hAnsi="宋体" w:eastAsia="宋体" w:cs="宋体"/>
                <w:b w:val="0"/>
                <w:bCs/>
                <w:color w:val="auto"/>
                <w:kern w:val="0"/>
                <w:sz w:val="24"/>
                <w:szCs w:val="24"/>
                <w:highlight w:val="none"/>
                <w:u w:val="none"/>
              </w:rPr>
            </w:pPr>
            <w:r>
              <w:rPr>
                <w:rFonts w:hint="eastAsia" w:ascii="宋体" w:hAnsi="宋体" w:eastAsia="宋体" w:cs="宋体"/>
                <w:b w:val="0"/>
                <w:bCs/>
                <w:color w:val="auto"/>
                <w:kern w:val="0"/>
                <w:sz w:val="24"/>
                <w:szCs w:val="24"/>
                <w:highlight w:val="none"/>
                <w:u w:val="none"/>
              </w:rPr>
              <w:t>3.获得过市级（含副省级）保安类或安保类相关先进荣誉的，得30</w:t>
            </w:r>
            <w:r>
              <w:rPr>
                <w:rFonts w:hint="eastAsia" w:ascii="宋体" w:hAnsi="宋体" w:cs="宋体"/>
                <w:b w:val="0"/>
                <w:bCs/>
                <w:color w:val="auto"/>
                <w:kern w:val="0"/>
                <w:sz w:val="24"/>
                <w:szCs w:val="24"/>
                <w:highlight w:val="none"/>
                <w:u w:val="none"/>
                <w:lang w:eastAsia="zh-CN"/>
              </w:rPr>
              <w:t>分</w:t>
            </w:r>
            <w:r>
              <w:rPr>
                <w:rFonts w:hint="eastAsia" w:ascii="宋体" w:hAnsi="宋体" w:eastAsia="宋体" w:cs="宋体"/>
                <w:b w:val="0"/>
                <w:bCs/>
                <w:color w:val="auto"/>
                <w:kern w:val="0"/>
                <w:sz w:val="24"/>
                <w:szCs w:val="24"/>
                <w:highlight w:val="none"/>
                <w:u w:val="none"/>
              </w:rPr>
              <w:t>；</w:t>
            </w:r>
          </w:p>
          <w:p w14:paraId="45310E7A">
            <w:pPr>
              <w:keepNext w:val="0"/>
              <w:keepLines w:val="0"/>
              <w:pageBreakBefore w:val="0"/>
              <w:suppressLineNumbers w:val="0"/>
              <w:kinsoku/>
              <w:overflowPunct/>
              <w:topLinePunct w:val="0"/>
              <w:bidi w:val="0"/>
              <w:adjustRightInd/>
              <w:snapToGrid/>
              <w:spacing w:before="0" w:beforeAutospacing="0" w:after="0" w:afterAutospacing="0" w:line="400" w:lineRule="exact"/>
              <w:ind w:left="0" w:leftChars="0" w:right="0" w:rightChars="0" w:firstLine="0" w:firstLineChars="0"/>
              <w:jc w:val="both"/>
              <w:outlineLvl w:val="9"/>
              <w:rPr>
                <w:rFonts w:hint="eastAsia" w:ascii="宋体" w:hAnsi="宋体" w:eastAsia="宋体" w:cs="宋体"/>
                <w:b w:val="0"/>
                <w:bCs/>
                <w:color w:val="auto"/>
                <w:kern w:val="0"/>
                <w:sz w:val="24"/>
                <w:szCs w:val="24"/>
                <w:highlight w:val="none"/>
                <w:u w:val="none"/>
              </w:rPr>
            </w:pPr>
            <w:r>
              <w:rPr>
                <w:rFonts w:hint="eastAsia" w:ascii="宋体" w:hAnsi="宋体" w:eastAsia="宋体" w:cs="宋体"/>
                <w:b w:val="0"/>
                <w:bCs/>
                <w:color w:val="auto"/>
                <w:kern w:val="0"/>
                <w:sz w:val="24"/>
                <w:szCs w:val="24"/>
                <w:highlight w:val="none"/>
                <w:u w:val="none"/>
              </w:rPr>
              <w:t>4.其余不得分。</w:t>
            </w:r>
          </w:p>
          <w:p w14:paraId="413AA732">
            <w:pPr>
              <w:keepNext w:val="0"/>
              <w:keepLines w:val="0"/>
              <w:pageBreakBefore w:val="0"/>
              <w:suppressLineNumbers w:val="0"/>
              <w:kinsoku/>
              <w:overflowPunct/>
              <w:topLinePunct w:val="0"/>
              <w:bidi w:val="0"/>
              <w:adjustRightInd/>
              <w:snapToGrid/>
              <w:spacing w:before="0" w:beforeAutospacing="0" w:after="0" w:afterAutospacing="0" w:line="400" w:lineRule="exact"/>
              <w:ind w:left="0" w:leftChars="0" w:right="0" w:rightChars="0" w:firstLine="0" w:firstLineChars="0"/>
              <w:jc w:val="both"/>
              <w:outlineLvl w:val="9"/>
              <w:rPr>
                <w:rFonts w:hint="eastAsia" w:ascii="宋体" w:hAnsi="宋体" w:eastAsia="宋体" w:cs="宋体"/>
                <w:b w:val="0"/>
                <w:bCs/>
                <w:color w:val="auto"/>
                <w:kern w:val="0"/>
                <w:sz w:val="24"/>
                <w:szCs w:val="24"/>
                <w:highlight w:val="none"/>
                <w:u w:val="none"/>
              </w:rPr>
            </w:pPr>
            <w:r>
              <w:rPr>
                <w:rFonts w:hint="eastAsia" w:ascii="宋体" w:hAnsi="宋体" w:eastAsia="宋体" w:cs="宋体"/>
                <w:b w:val="0"/>
                <w:bCs/>
                <w:color w:val="auto"/>
                <w:kern w:val="0"/>
                <w:sz w:val="24"/>
                <w:szCs w:val="24"/>
                <w:highlight w:val="none"/>
                <w:u w:val="none"/>
              </w:rPr>
              <w:t>本项最高得100</w:t>
            </w:r>
            <w:r>
              <w:rPr>
                <w:rFonts w:hint="eastAsia" w:ascii="宋体" w:hAnsi="宋体" w:cs="宋体"/>
                <w:b w:val="0"/>
                <w:bCs/>
                <w:color w:val="auto"/>
                <w:kern w:val="0"/>
                <w:sz w:val="24"/>
                <w:szCs w:val="24"/>
                <w:highlight w:val="none"/>
                <w:u w:val="none"/>
                <w:lang w:eastAsia="zh-CN"/>
              </w:rPr>
              <w:t>分</w:t>
            </w:r>
            <w:r>
              <w:rPr>
                <w:rFonts w:hint="eastAsia" w:ascii="宋体" w:hAnsi="宋体" w:eastAsia="宋体" w:cs="宋体"/>
                <w:b w:val="0"/>
                <w:bCs/>
                <w:color w:val="auto"/>
                <w:kern w:val="0"/>
                <w:sz w:val="24"/>
                <w:szCs w:val="24"/>
                <w:highlight w:val="none"/>
                <w:u w:val="none"/>
              </w:rPr>
              <w:t>；多个荣誉不重复计分，以获得的最高荣誉计分。</w:t>
            </w:r>
          </w:p>
          <w:p w14:paraId="2A782E1F">
            <w:pPr>
              <w:keepNext w:val="0"/>
              <w:keepLines w:val="0"/>
              <w:pageBreakBefore w:val="0"/>
              <w:suppressLineNumbers w:val="0"/>
              <w:kinsoku/>
              <w:overflowPunct/>
              <w:topLinePunct w:val="0"/>
              <w:bidi w:val="0"/>
              <w:adjustRightInd/>
              <w:snapToGrid/>
              <w:spacing w:before="0" w:beforeAutospacing="0" w:after="0" w:afterAutospacing="0" w:line="400" w:lineRule="exact"/>
              <w:ind w:left="0" w:leftChars="0" w:right="0" w:rightChars="0" w:firstLine="0" w:firstLineChars="0"/>
              <w:jc w:val="both"/>
              <w:outlineLvl w:val="9"/>
              <w:rPr>
                <w:rFonts w:hint="eastAsia" w:ascii="宋体" w:hAnsi="宋体" w:eastAsia="宋体" w:cs="宋体"/>
                <w:b/>
                <w:bCs w:val="0"/>
                <w:color w:val="auto"/>
                <w:kern w:val="0"/>
                <w:sz w:val="24"/>
                <w:szCs w:val="24"/>
                <w:highlight w:val="none"/>
                <w:u w:val="none"/>
              </w:rPr>
            </w:pPr>
            <w:r>
              <w:rPr>
                <w:rFonts w:hint="eastAsia" w:ascii="宋体" w:hAnsi="宋体" w:cs="宋体"/>
                <w:b/>
                <w:bCs w:val="0"/>
                <w:color w:val="auto"/>
                <w:kern w:val="0"/>
                <w:sz w:val="24"/>
                <w:szCs w:val="24"/>
                <w:highlight w:val="none"/>
                <w:u w:val="none"/>
                <w:lang w:eastAsia="zh-CN"/>
              </w:rPr>
              <w:t>（二）评分依据：</w:t>
            </w:r>
          </w:p>
          <w:p w14:paraId="76F6609C">
            <w:pPr>
              <w:keepNext w:val="0"/>
              <w:keepLines w:val="0"/>
              <w:pageBreakBefore w:val="0"/>
              <w:suppressLineNumbers w:val="0"/>
              <w:kinsoku/>
              <w:overflowPunct/>
              <w:topLinePunct w:val="0"/>
              <w:bidi w:val="0"/>
              <w:adjustRightInd/>
              <w:snapToGrid/>
              <w:spacing w:before="0" w:beforeAutospacing="0" w:after="0" w:afterAutospacing="0" w:line="400" w:lineRule="exact"/>
              <w:ind w:left="0" w:leftChars="0" w:right="0" w:rightChars="0" w:firstLine="0" w:firstLineChars="0"/>
              <w:jc w:val="both"/>
              <w:outlineLvl w:val="9"/>
              <w:rPr>
                <w:rFonts w:hint="eastAsia" w:ascii="宋体" w:hAnsi="宋体" w:eastAsia="宋体" w:cs="宋体"/>
                <w:b w:val="0"/>
                <w:bCs/>
                <w:color w:val="0000FF"/>
                <w:kern w:val="0"/>
                <w:sz w:val="24"/>
                <w:szCs w:val="24"/>
                <w:highlight w:val="none"/>
                <w:u w:val="none"/>
              </w:rPr>
            </w:pPr>
            <w:r>
              <w:rPr>
                <w:rFonts w:hint="eastAsia" w:ascii="宋体" w:hAnsi="宋体" w:eastAsia="宋体" w:cs="宋体"/>
                <w:b w:val="0"/>
                <w:bCs/>
                <w:color w:val="0000FF"/>
                <w:kern w:val="0"/>
                <w:sz w:val="24"/>
                <w:szCs w:val="24"/>
                <w:highlight w:val="none"/>
                <w:u w:val="none"/>
              </w:rPr>
              <w:t xml:space="preserve">需提供相关荣誉证书材料（材料须能体现获奖人为投标人）扫描件，未按要求提供相关材料或扫描件不清晰导致无法识别的不计得分。 </w:t>
            </w:r>
          </w:p>
          <w:p w14:paraId="684A69E0">
            <w:pPr>
              <w:keepNext w:val="0"/>
              <w:keepLines w:val="0"/>
              <w:pageBreakBefore w:val="0"/>
              <w:suppressLineNumbers w:val="0"/>
              <w:kinsoku/>
              <w:overflowPunct/>
              <w:topLinePunct w:val="0"/>
              <w:bidi w:val="0"/>
              <w:adjustRightInd/>
              <w:snapToGrid/>
              <w:spacing w:before="0" w:beforeAutospacing="0" w:after="0" w:afterAutospacing="0" w:line="400" w:lineRule="exact"/>
              <w:ind w:left="0" w:leftChars="0" w:right="0" w:rightChars="0" w:firstLine="0" w:firstLineChars="0"/>
              <w:jc w:val="both"/>
              <w:outlineLvl w:val="9"/>
              <w:rPr>
                <w:rFonts w:hint="eastAsia" w:asciiTheme="minorEastAsia" w:hAnsiTheme="minorEastAsia" w:eastAsiaTheme="minorEastAsia" w:cstheme="minorEastAsia"/>
                <w:b/>
                <w:color w:val="auto"/>
                <w:kern w:val="2"/>
                <w:sz w:val="24"/>
                <w:szCs w:val="24"/>
                <w:highlight w:val="none"/>
                <w:u w:val="none"/>
                <w:lang w:val="en-US" w:eastAsia="zh-CN" w:bidi="ar-SA"/>
              </w:rPr>
            </w:pPr>
            <w:r>
              <w:rPr>
                <w:rFonts w:hint="eastAsia" w:ascii="宋体" w:hAnsi="宋体" w:eastAsia="宋体" w:cs="宋体"/>
                <w:b w:val="0"/>
                <w:bCs/>
                <w:color w:val="0000FF"/>
                <w:kern w:val="0"/>
                <w:sz w:val="24"/>
                <w:szCs w:val="24"/>
                <w:highlight w:val="none"/>
                <w:u w:val="none"/>
              </w:rPr>
              <w:t>注：国家级荣誉要求颁发单位为国务院及其直属的国家机关（或事业单位）；省级荣誉要求颁发单位为省政府及其直属的国家机关（或事业单位）；市级（包括副省级别）荣誉要求颁发单位为市政府及其直属的国家机关（或事业单位）。</w:t>
            </w:r>
          </w:p>
        </w:tc>
      </w:tr>
      <w:tr w14:paraId="156E9E6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0" w:type="dxa"/>
            <w:vMerge w:val="restart"/>
            <w:tcBorders>
              <w:top w:val="single" w:color="000000" w:sz="8" w:space="0"/>
              <w:left w:val="single" w:color="000000" w:sz="8" w:space="0"/>
              <w:bottom w:val="single" w:color="000000" w:sz="8" w:space="0"/>
              <w:right w:val="single" w:color="000000" w:sz="8" w:space="0"/>
            </w:tcBorders>
          </w:tcPr>
          <w:p w14:paraId="082DECED">
            <w:pPr>
              <w:wordWrap w:val="0"/>
              <w:jc w:val="center"/>
              <w:rPr>
                <w:rFonts w:ascii="宋体" w:hAnsi="宋体" w:cs="宋体"/>
                <w:b/>
                <w:bCs/>
                <w:color w:val="0000FF"/>
                <w:sz w:val="24"/>
              </w:rPr>
            </w:pPr>
            <w:r>
              <w:rPr>
                <w:b/>
                <w:bCs/>
                <w:color w:val="0000FF"/>
              </w:rPr>
              <w:t>4</w:t>
            </w:r>
          </w:p>
        </w:tc>
        <w:tc>
          <w:tcPr>
            <w:tcW w:w="4196" w:type="dxa"/>
            <w:gridSpan w:val="3"/>
            <w:tcBorders>
              <w:top w:val="single" w:color="000000" w:sz="8" w:space="0"/>
              <w:left w:val="single" w:color="000000" w:sz="8" w:space="0"/>
              <w:bottom w:val="single" w:color="000000" w:sz="8" w:space="0"/>
              <w:right w:val="single" w:color="000000" w:sz="8" w:space="0"/>
            </w:tcBorders>
          </w:tcPr>
          <w:p w14:paraId="47AD76DC">
            <w:pPr>
              <w:wordWrap w:val="0"/>
              <w:jc w:val="center"/>
              <w:rPr>
                <w:rFonts w:ascii="宋体" w:hAnsi="宋体" w:cs="宋体"/>
                <w:b/>
                <w:bCs/>
                <w:color w:val="0000FF"/>
                <w:sz w:val="24"/>
              </w:rPr>
            </w:pPr>
            <w:r>
              <w:rPr>
                <w:b/>
                <w:bCs/>
                <w:color w:val="0000FF"/>
              </w:rPr>
              <w:t>诚信情况</w:t>
            </w:r>
          </w:p>
        </w:tc>
        <w:tc>
          <w:tcPr>
            <w:tcW w:w="4196" w:type="dxa"/>
            <w:tcBorders>
              <w:top w:val="single" w:color="000000" w:sz="8" w:space="0"/>
              <w:left w:val="single" w:color="000000" w:sz="8" w:space="0"/>
              <w:bottom w:val="single" w:color="000000" w:sz="8" w:space="0"/>
              <w:right w:val="single" w:color="000000" w:sz="8" w:space="0"/>
            </w:tcBorders>
          </w:tcPr>
          <w:p w14:paraId="0A86C20B">
            <w:pPr>
              <w:wordWrap w:val="0"/>
              <w:jc w:val="center"/>
              <w:rPr>
                <w:rFonts w:ascii="宋体" w:hAnsi="宋体" w:cs="宋体"/>
                <w:b/>
                <w:bCs/>
                <w:color w:val="0000FF"/>
                <w:sz w:val="24"/>
              </w:rPr>
            </w:pPr>
            <w:r>
              <w:rPr>
                <w:b/>
                <w:bCs/>
                <w:color w:val="0000FF"/>
              </w:rPr>
              <w:t>5</w:t>
            </w:r>
          </w:p>
        </w:tc>
      </w:tr>
      <w:tr w14:paraId="47EB9D2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0" w:type="dxa"/>
            <w:vMerge w:val="continue"/>
            <w:tcBorders>
              <w:top w:val="single" w:color="000000" w:sz="8" w:space="0"/>
              <w:left w:val="single" w:color="000000" w:sz="8" w:space="0"/>
              <w:bottom w:val="single" w:color="000000" w:sz="8" w:space="0"/>
              <w:right w:val="single" w:color="000000" w:sz="8" w:space="0"/>
            </w:tcBorders>
            <w:vAlign w:val="center"/>
          </w:tcPr>
          <w:p w14:paraId="772EE626">
            <w:pPr>
              <w:rPr>
                <w:rFonts w:ascii="宋体" w:hAnsi="宋体" w:cs="宋体"/>
                <w:b/>
                <w:bCs/>
                <w:color w:val="0000FF"/>
                <w:sz w:val="24"/>
              </w:rPr>
            </w:pPr>
          </w:p>
        </w:tc>
        <w:tc>
          <w:tcPr>
            <w:tcW w:w="8392" w:type="dxa"/>
            <w:gridSpan w:val="4"/>
            <w:tcBorders>
              <w:top w:val="single" w:color="000000" w:sz="8" w:space="0"/>
              <w:left w:val="single" w:color="000000" w:sz="8" w:space="0"/>
              <w:bottom w:val="single" w:color="000000" w:sz="8" w:space="0"/>
              <w:right w:val="single" w:color="000000" w:sz="8" w:space="0"/>
            </w:tcBorders>
          </w:tcPr>
          <w:p w14:paraId="2A3570F5">
            <w:pPr>
              <w:wordWrap w:val="0"/>
              <w:rPr>
                <w:rFonts w:ascii="宋体" w:hAnsi="宋体" w:cs="宋体"/>
                <w:szCs w:val="21"/>
              </w:rPr>
            </w:pPr>
          </w:p>
        </w:tc>
      </w:tr>
      <w:tr w14:paraId="24B7C3E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0" w:type="dxa"/>
            <w:vMerge w:val="continue"/>
            <w:tcBorders>
              <w:top w:val="single" w:color="000000" w:sz="8" w:space="0"/>
              <w:left w:val="single" w:color="000000" w:sz="8" w:space="0"/>
              <w:bottom w:val="single" w:color="000000" w:sz="8" w:space="0"/>
              <w:right w:val="single" w:color="000000" w:sz="8" w:space="0"/>
            </w:tcBorders>
            <w:shd w:val="clear" w:color="auto" w:fill="E6EFFA"/>
            <w:vAlign w:val="center"/>
          </w:tcPr>
          <w:p w14:paraId="5C6A29B9">
            <w:pPr>
              <w:rPr>
                <w:rFonts w:ascii="宋体" w:hAnsi="宋体" w:cs="宋体"/>
                <w:b/>
                <w:bCs/>
                <w:color w:val="0000FF"/>
                <w:sz w:val="24"/>
              </w:rPr>
            </w:pPr>
          </w:p>
        </w:tc>
        <w:tc>
          <w:tcPr>
            <w:tcW w:w="680" w:type="dxa"/>
            <w:tcBorders>
              <w:top w:val="outset" w:color="000000" w:sz="6" w:space="0"/>
              <w:left w:val="outset" w:color="000000" w:sz="6" w:space="0"/>
              <w:bottom w:val="outset" w:color="000000" w:sz="6" w:space="0"/>
              <w:right w:val="outset" w:color="000000" w:sz="6" w:space="0"/>
            </w:tcBorders>
            <w:shd w:val="clear" w:color="auto" w:fill="E6EFFA"/>
            <w:vAlign w:val="center"/>
          </w:tcPr>
          <w:p w14:paraId="698C2E82">
            <w:pPr>
              <w:wordWrap w:val="0"/>
              <w:jc w:val="center"/>
              <w:rPr>
                <w:rFonts w:ascii="宋体" w:hAnsi="宋体" w:cs="宋体"/>
                <w:szCs w:val="21"/>
              </w:rPr>
            </w:pPr>
            <w:r>
              <w:rPr>
                <w:szCs w:val="21"/>
              </w:rPr>
              <w:t>序号</w:t>
            </w:r>
          </w:p>
        </w:tc>
        <w:tc>
          <w:tcPr>
            <w:tcW w:w="2835" w:type="dxa"/>
            <w:tcBorders>
              <w:top w:val="outset" w:color="000000" w:sz="6" w:space="0"/>
              <w:left w:val="outset" w:color="000000" w:sz="6" w:space="0"/>
              <w:bottom w:val="outset" w:color="000000" w:sz="6" w:space="0"/>
              <w:right w:val="outset" w:color="000000" w:sz="6" w:space="0"/>
            </w:tcBorders>
            <w:shd w:val="clear" w:color="auto" w:fill="E6EFFA"/>
            <w:vAlign w:val="center"/>
          </w:tcPr>
          <w:p w14:paraId="437EA59A">
            <w:pPr>
              <w:wordWrap w:val="0"/>
              <w:jc w:val="center"/>
              <w:rPr>
                <w:rFonts w:ascii="宋体" w:hAnsi="宋体" w:cs="宋体"/>
                <w:szCs w:val="21"/>
              </w:rPr>
            </w:pPr>
            <w:r>
              <w:rPr>
                <w:szCs w:val="21"/>
              </w:rPr>
              <w:t>评分因素</w:t>
            </w:r>
          </w:p>
        </w:tc>
        <w:tc>
          <w:tcPr>
            <w:tcW w:w="681" w:type="dxa"/>
            <w:tcBorders>
              <w:top w:val="outset" w:color="000000" w:sz="6" w:space="0"/>
              <w:left w:val="outset" w:color="000000" w:sz="6" w:space="0"/>
              <w:bottom w:val="outset" w:color="000000" w:sz="6" w:space="0"/>
              <w:right w:val="outset" w:color="000000" w:sz="6" w:space="0"/>
            </w:tcBorders>
            <w:shd w:val="clear" w:color="auto" w:fill="E6EFFA"/>
            <w:vAlign w:val="center"/>
          </w:tcPr>
          <w:p w14:paraId="59F50270">
            <w:pPr>
              <w:wordWrap w:val="0"/>
              <w:jc w:val="center"/>
              <w:rPr>
                <w:rFonts w:ascii="宋体" w:hAnsi="宋体" w:cs="宋体"/>
                <w:szCs w:val="21"/>
              </w:rPr>
            </w:pPr>
            <w:r>
              <w:rPr>
                <w:szCs w:val="21"/>
              </w:rPr>
              <w:t>权重(</w:t>
            </w:r>
            <w:r>
              <w:rPr>
                <w:rFonts w:hint="eastAsia"/>
                <w:szCs w:val="21"/>
                <w:lang w:eastAsia="zh-CN"/>
              </w:rPr>
              <w:t>分</w:t>
            </w:r>
            <w:r>
              <w:rPr>
                <w:szCs w:val="21"/>
              </w:rPr>
              <w:t>)</w:t>
            </w:r>
          </w:p>
        </w:tc>
        <w:tc>
          <w:tcPr>
            <w:tcW w:w="4196" w:type="dxa"/>
            <w:tcBorders>
              <w:top w:val="outset" w:color="000000" w:sz="6" w:space="0"/>
              <w:left w:val="outset" w:color="000000" w:sz="6" w:space="0"/>
              <w:bottom w:val="outset" w:color="000000" w:sz="6" w:space="0"/>
              <w:right w:val="outset" w:color="000000" w:sz="6" w:space="0"/>
            </w:tcBorders>
            <w:shd w:val="clear" w:color="auto" w:fill="E6EFFA"/>
            <w:vAlign w:val="center"/>
          </w:tcPr>
          <w:p w14:paraId="301E700C">
            <w:pPr>
              <w:wordWrap w:val="0"/>
              <w:jc w:val="center"/>
              <w:rPr>
                <w:rFonts w:ascii="宋体" w:hAnsi="宋体" w:cs="宋体"/>
                <w:szCs w:val="21"/>
              </w:rPr>
            </w:pPr>
            <w:r>
              <w:rPr>
                <w:szCs w:val="21"/>
              </w:rPr>
              <w:t>评分准则</w:t>
            </w:r>
          </w:p>
        </w:tc>
      </w:tr>
      <w:tr w14:paraId="011B0B3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0" w:type="dxa"/>
            <w:vMerge w:val="continue"/>
            <w:tcBorders>
              <w:top w:val="single" w:color="000000" w:sz="8" w:space="0"/>
              <w:left w:val="single" w:color="000000" w:sz="8" w:space="0"/>
              <w:bottom w:val="single" w:color="000000" w:sz="8" w:space="0"/>
              <w:right w:val="single" w:color="000000" w:sz="8" w:space="0"/>
            </w:tcBorders>
            <w:vAlign w:val="center"/>
          </w:tcPr>
          <w:p w14:paraId="0C385FF0">
            <w:pPr>
              <w:rPr>
                <w:rFonts w:ascii="宋体" w:hAnsi="宋体" w:cs="宋体"/>
                <w:b/>
                <w:bCs/>
                <w:color w:val="0000FF"/>
                <w:sz w:val="24"/>
              </w:rPr>
            </w:pPr>
          </w:p>
        </w:tc>
        <w:tc>
          <w:tcPr>
            <w:tcW w:w="680" w:type="dxa"/>
            <w:tcBorders>
              <w:top w:val="single" w:color="000000" w:sz="8" w:space="0"/>
              <w:left w:val="single" w:color="000000" w:sz="8" w:space="0"/>
              <w:bottom w:val="single" w:color="000000" w:sz="8" w:space="0"/>
              <w:right w:val="single" w:color="000000" w:sz="8" w:space="0"/>
            </w:tcBorders>
            <w:vAlign w:val="center"/>
          </w:tcPr>
          <w:p w14:paraId="1C6588A8">
            <w:pPr>
              <w:wordWrap w:val="0"/>
              <w:jc w:val="center"/>
              <w:rPr>
                <w:rFonts w:ascii="宋体" w:hAnsi="宋体" w:cs="宋体"/>
                <w:szCs w:val="21"/>
              </w:rPr>
            </w:pPr>
            <w:r>
              <w:rPr>
                <w:szCs w:val="21"/>
              </w:rPr>
              <w:t>1</w:t>
            </w:r>
          </w:p>
        </w:tc>
        <w:tc>
          <w:tcPr>
            <w:tcW w:w="2835" w:type="dxa"/>
            <w:tcBorders>
              <w:top w:val="single" w:color="000000" w:sz="8" w:space="0"/>
              <w:left w:val="single" w:color="000000" w:sz="8" w:space="0"/>
              <w:bottom w:val="single" w:color="000000" w:sz="8" w:space="0"/>
              <w:right w:val="single" w:color="000000" w:sz="8" w:space="0"/>
            </w:tcBorders>
            <w:vAlign w:val="center"/>
          </w:tcPr>
          <w:p w14:paraId="6DD70368">
            <w:pPr>
              <w:wordWrap w:val="0"/>
              <w:jc w:val="center"/>
              <w:rPr>
                <w:rFonts w:ascii="宋体" w:hAnsi="宋体" w:cs="宋体"/>
                <w:szCs w:val="21"/>
              </w:rPr>
            </w:pPr>
            <w:r>
              <w:rPr>
                <w:szCs w:val="21"/>
              </w:rPr>
              <w:t>诚信情况</w:t>
            </w:r>
          </w:p>
        </w:tc>
        <w:tc>
          <w:tcPr>
            <w:tcW w:w="681" w:type="dxa"/>
            <w:tcBorders>
              <w:top w:val="single" w:color="000000" w:sz="8" w:space="0"/>
              <w:left w:val="single" w:color="000000" w:sz="8" w:space="0"/>
              <w:bottom w:val="single" w:color="000000" w:sz="8" w:space="0"/>
              <w:right w:val="single" w:color="000000" w:sz="8" w:space="0"/>
            </w:tcBorders>
            <w:vAlign w:val="center"/>
          </w:tcPr>
          <w:p w14:paraId="1880E24A">
            <w:pPr>
              <w:widowControl/>
              <w:wordWrap w:val="0"/>
              <w:jc w:val="center"/>
              <w:textAlignment w:val="top"/>
              <w:rPr>
                <w:rFonts w:ascii="宋体" w:hAnsi="宋体" w:cs="宋体"/>
                <w:szCs w:val="21"/>
              </w:rPr>
            </w:pPr>
            <w:r>
              <w:rPr>
                <w:rFonts w:hint="eastAsia"/>
              </w:rPr>
              <w:t>5</w:t>
            </w:r>
          </w:p>
        </w:tc>
        <w:tc>
          <w:tcPr>
            <w:tcW w:w="4196" w:type="dxa"/>
            <w:tcBorders>
              <w:top w:val="single" w:color="000000" w:sz="8" w:space="0"/>
              <w:left w:val="single" w:color="000000" w:sz="8" w:space="0"/>
              <w:bottom w:val="single" w:color="000000" w:sz="8" w:space="0"/>
              <w:right w:val="single" w:color="000000" w:sz="8" w:space="0"/>
            </w:tcBorders>
          </w:tcPr>
          <w:p w14:paraId="5373BF9C">
            <w:pPr>
              <w:pStyle w:val="19"/>
              <w:wordWrap w:val="0"/>
              <w:spacing w:line="240" w:lineRule="auto"/>
              <w:ind w:firstLine="420" w:firstLineChars="200"/>
              <w:rPr>
                <w:rFonts w:hint="eastAsia" w:asciiTheme="minorEastAsia" w:hAnsiTheme="minorEastAsia" w:eastAsiaTheme="minorEastAsia" w:cstheme="minorEastAsia"/>
                <w:b w:val="0"/>
                <w:bCs w:val="0"/>
                <w:sz w:val="21"/>
                <w:szCs w:val="21"/>
              </w:rPr>
            </w:pPr>
            <w:r>
              <w:rPr>
                <w:rFonts w:hint="eastAsia" w:asciiTheme="minorEastAsia" w:hAnsiTheme="minorEastAsia" w:eastAsiaTheme="minorEastAsia" w:cstheme="minorEastAsia"/>
                <w:b w:val="0"/>
                <w:bCs w:val="0"/>
                <w:sz w:val="21"/>
                <w:szCs w:val="21"/>
              </w:rPr>
              <w:t>投标人存在《深圳市财政局政府采购供应商信用信息管理办法》（深财规〔2023〕3号）列明的一般行政处罚信息、一般违法失信记录信息的，本项不得分，不存在上述情形的本项得100分。投标人无需提供任何证明材料，评标过程中由工作人员向评审委员会提供</w:t>
            </w:r>
            <w:r>
              <w:rPr>
                <w:rFonts w:hint="eastAsia" w:asciiTheme="minorEastAsia" w:hAnsiTheme="minorEastAsia" w:eastAsiaTheme="minorEastAsia" w:cstheme="minorEastAsia"/>
                <w:b w:val="0"/>
                <w:bCs w:val="0"/>
                <w:sz w:val="21"/>
                <w:szCs w:val="21"/>
                <w:lang w:val="en-US" w:eastAsia="zh-CN"/>
              </w:rPr>
              <w:t>有关</w:t>
            </w:r>
            <w:r>
              <w:rPr>
                <w:rFonts w:hint="eastAsia" w:asciiTheme="minorEastAsia" w:hAnsiTheme="minorEastAsia" w:eastAsiaTheme="minorEastAsia" w:cstheme="minorEastAsia"/>
                <w:b w:val="0"/>
                <w:bCs w:val="0"/>
                <w:sz w:val="21"/>
                <w:szCs w:val="21"/>
              </w:rPr>
              <w:t>供应商诚信查询结果。</w:t>
            </w:r>
          </w:p>
          <w:p w14:paraId="0B736B95">
            <w:pPr>
              <w:pStyle w:val="19"/>
              <w:wordWrap w:val="0"/>
              <w:spacing w:line="240" w:lineRule="auto"/>
              <w:ind w:firstLine="420" w:firstLineChars="200"/>
              <w:rPr>
                <w:rFonts w:ascii="宋体" w:hAnsi="宋体" w:cs="宋体"/>
                <w:szCs w:val="21"/>
              </w:rPr>
            </w:pPr>
            <w:r>
              <w:rPr>
                <w:rFonts w:hint="eastAsia" w:asciiTheme="minorEastAsia" w:hAnsiTheme="minorEastAsia" w:eastAsiaTheme="minorEastAsia" w:cstheme="minorEastAsia"/>
                <w:b w:val="0"/>
                <w:bCs w:val="0"/>
                <w:sz w:val="21"/>
                <w:szCs w:val="21"/>
                <w:lang w:val="en-US" w:eastAsia="zh-CN"/>
              </w:rPr>
              <w:t>查询渠道：通过“信用中国”（www.creditchina.gov.cn，下载信用信息报告）、“中国政府采购网”（www.ccgp.gov.cn）、“深圳市政府采购监管网”（http://zfcg.sz.gov.cn）以及深圳市、区财政部门认可的“供应商诚信档案库”查询供应商信用信息，信用信息以开标当日的查询结果为准。</w:t>
            </w:r>
          </w:p>
        </w:tc>
      </w:tr>
    </w:tbl>
    <w:p w14:paraId="571588B6">
      <w:pPr>
        <w:rPr>
          <w:rFonts w:ascii="宋体" w:hAnsi="宋体"/>
          <w:sz w:val="24"/>
        </w:rPr>
      </w:pPr>
    </w:p>
    <w:p w14:paraId="7773F392">
      <w:pPr>
        <w:sectPr>
          <w:pgSz w:w="11907" w:h="16840"/>
          <w:pgMar w:top="1440" w:right="1417" w:bottom="1440" w:left="1417" w:header="851" w:footer="992" w:gutter="0"/>
          <w:cols w:space="425" w:num="1"/>
          <w:titlePg/>
          <w:docGrid w:linePitch="462" w:charSpace="0"/>
        </w:sectPr>
      </w:pPr>
    </w:p>
    <w:p w14:paraId="1CAAB794">
      <w:pPr>
        <w:jc w:val="center"/>
        <w:rPr>
          <w:rFonts w:hint="eastAsia"/>
          <w:b/>
          <w:sz w:val="120"/>
          <w:szCs w:val="120"/>
        </w:rPr>
      </w:pPr>
    </w:p>
    <w:p w14:paraId="504271D4">
      <w:pPr>
        <w:jc w:val="center"/>
        <w:rPr>
          <w:rFonts w:hint="eastAsia"/>
          <w:b/>
          <w:sz w:val="120"/>
          <w:szCs w:val="120"/>
        </w:rPr>
      </w:pPr>
    </w:p>
    <w:p w14:paraId="08DD02CE">
      <w:pPr>
        <w:jc w:val="center"/>
        <w:rPr>
          <w:rFonts w:hint="eastAsia"/>
          <w:b/>
          <w:sz w:val="120"/>
          <w:szCs w:val="120"/>
        </w:rPr>
      </w:pPr>
    </w:p>
    <w:p w14:paraId="2E0E793C">
      <w:pPr>
        <w:jc w:val="center"/>
        <w:rPr>
          <w:b/>
          <w:sz w:val="120"/>
          <w:szCs w:val="120"/>
        </w:rPr>
      </w:pPr>
      <w:r>
        <w:rPr>
          <w:rFonts w:hint="eastAsia"/>
          <w:b/>
          <w:sz w:val="120"/>
          <w:szCs w:val="120"/>
        </w:rPr>
        <w:t>政府采购</w:t>
      </w:r>
    </w:p>
    <w:p w14:paraId="40811AF4">
      <w:pPr>
        <w:jc w:val="center"/>
        <w:rPr>
          <w:b/>
          <w:sz w:val="120"/>
          <w:szCs w:val="120"/>
        </w:rPr>
      </w:pPr>
      <w:r>
        <w:rPr>
          <w:rFonts w:hint="eastAsia"/>
          <w:b/>
          <w:sz w:val="120"/>
          <w:szCs w:val="120"/>
        </w:rPr>
        <w:t>招标文件</w:t>
      </w:r>
    </w:p>
    <w:p w14:paraId="6D642841">
      <w:pPr>
        <w:jc w:val="center"/>
        <w:rPr>
          <w:b/>
          <w:sz w:val="52"/>
          <w:szCs w:val="52"/>
        </w:rPr>
      </w:pPr>
      <w:r>
        <w:rPr>
          <w:rFonts w:hint="eastAsia"/>
          <w:b/>
          <w:sz w:val="52"/>
          <w:szCs w:val="52"/>
        </w:rPr>
        <w:t>（服务类）</w:t>
      </w:r>
    </w:p>
    <w:p w14:paraId="23DEE9C8">
      <w:pPr>
        <w:jc w:val="center"/>
        <w:rPr>
          <w:b/>
          <w:sz w:val="44"/>
          <w:szCs w:val="44"/>
        </w:rPr>
      </w:pPr>
    </w:p>
    <w:p w14:paraId="11F47C80">
      <w:pPr>
        <w:jc w:val="center"/>
        <w:rPr>
          <w:b/>
          <w:sz w:val="44"/>
          <w:szCs w:val="44"/>
        </w:rPr>
      </w:pPr>
    </w:p>
    <w:p w14:paraId="2FA66676">
      <w:pPr>
        <w:jc w:val="center"/>
        <w:rPr>
          <w:b/>
          <w:sz w:val="44"/>
          <w:szCs w:val="44"/>
        </w:rPr>
      </w:pPr>
    </w:p>
    <w:p w14:paraId="29FF1BFC">
      <w:pPr>
        <w:jc w:val="center"/>
        <w:rPr>
          <w:b/>
          <w:sz w:val="44"/>
          <w:szCs w:val="44"/>
        </w:rPr>
      </w:pPr>
    </w:p>
    <w:p w14:paraId="71C14ECB">
      <w:pPr>
        <w:jc w:val="center"/>
        <w:rPr>
          <w:b/>
          <w:sz w:val="44"/>
          <w:szCs w:val="44"/>
        </w:rPr>
      </w:pPr>
    </w:p>
    <w:p w14:paraId="3A095264">
      <w:pPr>
        <w:jc w:val="center"/>
        <w:rPr>
          <w:b/>
          <w:sz w:val="44"/>
          <w:szCs w:val="44"/>
        </w:rPr>
      </w:pPr>
    </w:p>
    <w:p w14:paraId="59B8BB7B">
      <w:pPr>
        <w:jc w:val="center"/>
        <w:rPr>
          <w:b/>
          <w:sz w:val="44"/>
          <w:szCs w:val="44"/>
        </w:rPr>
      </w:pPr>
    </w:p>
    <w:p w14:paraId="3D4FAA1D">
      <w:pPr>
        <w:jc w:val="center"/>
        <w:rPr>
          <w:b/>
          <w:sz w:val="44"/>
          <w:szCs w:val="44"/>
        </w:rPr>
      </w:pPr>
    </w:p>
    <w:p w14:paraId="74EF654E">
      <w:pPr>
        <w:jc w:val="center"/>
        <w:rPr>
          <w:b/>
          <w:sz w:val="44"/>
          <w:szCs w:val="44"/>
        </w:rPr>
      </w:pPr>
      <w:bookmarkStart w:id="0" w:name="_Hlk71465316"/>
      <w:r>
        <w:rPr>
          <w:rFonts w:hint="eastAsia"/>
          <w:b/>
          <w:sz w:val="44"/>
          <w:szCs w:val="44"/>
        </w:rPr>
        <w:t>深圳公共资源交易中心</w:t>
      </w:r>
    </w:p>
    <w:p w14:paraId="527F7630">
      <w:pPr>
        <w:jc w:val="center"/>
        <w:rPr>
          <w:sz w:val="28"/>
          <w:szCs w:val="28"/>
        </w:rPr>
      </w:pPr>
      <w:r>
        <w:rPr>
          <w:rFonts w:hint="eastAsia"/>
          <w:b/>
          <w:sz w:val="28"/>
          <w:szCs w:val="28"/>
        </w:rPr>
        <w:t>（</w:t>
      </w:r>
      <w:r>
        <w:rPr>
          <w:b/>
          <w:sz w:val="28"/>
          <w:szCs w:val="28"/>
        </w:rPr>
        <w:t>20</w:t>
      </w:r>
      <w:r>
        <w:rPr>
          <w:rFonts w:hint="eastAsia"/>
          <w:b/>
          <w:sz w:val="28"/>
          <w:szCs w:val="28"/>
        </w:rPr>
        <w:t>2</w:t>
      </w:r>
      <w:r>
        <w:rPr>
          <w:rFonts w:hint="eastAsia"/>
          <w:b/>
          <w:sz w:val="28"/>
          <w:szCs w:val="28"/>
          <w:lang w:val="en-US" w:eastAsia="zh-CN"/>
        </w:rPr>
        <w:t>6</w:t>
      </w:r>
      <w:r>
        <w:rPr>
          <w:rFonts w:hint="eastAsia"/>
          <w:b/>
          <w:sz w:val="28"/>
          <w:szCs w:val="28"/>
        </w:rPr>
        <w:t>）</w:t>
      </w:r>
      <w:bookmarkEnd w:id="0"/>
    </w:p>
    <w:p w14:paraId="4327A943">
      <w:pPr>
        <w:ind w:firstLine="420" w:firstLineChars="200"/>
        <w:rPr>
          <w:rFonts w:hint="eastAsia"/>
        </w:rPr>
      </w:pPr>
      <w:r>
        <w:br w:type="page"/>
      </w:r>
    </w:p>
    <w:p w14:paraId="1C3A1415">
      <w:pPr>
        <w:pStyle w:val="3"/>
      </w:pPr>
      <w:r>
        <w:rPr>
          <w:rFonts w:hint="eastAsia"/>
        </w:rPr>
        <w:t>目   录</w:t>
      </w:r>
    </w:p>
    <w:p w14:paraId="34424A71">
      <w:pPr>
        <w:outlineLvl w:val="9"/>
        <w:rPr>
          <w:b/>
          <w:sz w:val="24"/>
        </w:rPr>
      </w:pPr>
      <w:r>
        <w:rPr>
          <w:rFonts w:hint="eastAsia"/>
          <w:b/>
          <w:sz w:val="24"/>
        </w:rPr>
        <w:t>第一册  专用条款</w:t>
      </w:r>
    </w:p>
    <w:p w14:paraId="29E5C231">
      <w:pPr>
        <w:ind w:firstLine="960" w:firstLineChars="400"/>
        <w:rPr>
          <w:sz w:val="24"/>
        </w:rPr>
      </w:pPr>
      <w:r>
        <w:rPr>
          <w:rFonts w:hint="eastAsia"/>
          <w:sz w:val="24"/>
        </w:rPr>
        <w:t>关键信息</w:t>
      </w:r>
    </w:p>
    <w:p w14:paraId="1C831174">
      <w:pPr>
        <w:ind w:left="630" w:leftChars="300" w:firstLine="630" w:firstLineChars="300"/>
        <w:rPr>
          <w:rFonts w:ascii="宋体" w:hAnsi="宋体"/>
          <w:szCs w:val="21"/>
        </w:rPr>
      </w:pPr>
      <w:r>
        <w:rPr>
          <w:rFonts w:hint="eastAsia" w:ascii="宋体" w:hAnsi="宋体"/>
          <w:szCs w:val="21"/>
        </w:rPr>
        <w:t>第一章  招标公告</w:t>
      </w:r>
    </w:p>
    <w:p w14:paraId="76DDA5AE">
      <w:pPr>
        <w:ind w:left="630" w:leftChars="300" w:firstLine="630" w:firstLineChars="300"/>
        <w:rPr>
          <w:rFonts w:ascii="宋体" w:hAnsi="宋体"/>
          <w:szCs w:val="21"/>
        </w:rPr>
      </w:pPr>
      <w:r>
        <w:rPr>
          <w:rFonts w:hint="eastAsia" w:ascii="宋体" w:hAnsi="宋体"/>
          <w:szCs w:val="21"/>
        </w:rPr>
        <w:t xml:space="preserve">第二章  </w:t>
      </w:r>
      <w:bookmarkStart w:id="1" w:name="_Hlk71994379"/>
      <w:r>
        <w:rPr>
          <w:rFonts w:hint="eastAsia" w:ascii="宋体" w:hAnsi="宋体"/>
          <w:szCs w:val="21"/>
        </w:rPr>
        <w:t>对通用条款的补充内容及其他关键信息</w:t>
      </w:r>
      <w:bookmarkEnd w:id="1"/>
    </w:p>
    <w:p w14:paraId="266FCD0C">
      <w:pPr>
        <w:ind w:left="630" w:leftChars="300" w:firstLine="630" w:firstLineChars="300"/>
        <w:rPr>
          <w:rFonts w:ascii="宋体" w:hAnsi="宋体"/>
          <w:szCs w:val="21"/>
        </w:rPr>
      </w:pPr>
      <w:r>
        <w:rPr>
          <w:rFonts w:hint="eastAsia" w:ascii="宋体" w:hAnsi="宋体"/>
          <w:szCs w:val="21"/>
        </w:rPr>
        <w:t xml:space="preserve">第三章 </w:t>
      </w:r>
      <w:r>
        <w:rPr>
          <w:rFonts w:ascii="宋体" w:hAnsi="宋体"/>
          <w:szCs w:val="21"/>
        </w:rPr>
        <w:t xml:space="preserve"> </w:t>
      </w:r>
      <w:r>
        <w:rPr>
          <w:rFonts w:hint="eastAsia" w:ascii="宋体" w:hAnsi="宋体"/>
          <w:szCs w:val="21"/>
        </w:rPr>
        <w:t>用户需求书</w:t>
      </w:r>
    </w:p>
    <w:p w14:paraId="2B567C91">
      <w:pPr>
        <w:ind w:left="630" w:leftChars="300" w:firstLine="630" w:firstLineChars="300"/>
        <w:rPr>
          <w:rFonts w:ascii="宋体" w:hAnsi="宋体"/>
          <w:szCs w:val="21"/>
        </w:rPr>
      </w:pPr>
      <w:r>
        <w:rPr>
          <w:rFonts w:hint="eastAsia" w:ascii="宋体" w:hAnsi="宋体"/>
          <w:szCs w:val="21"/>
        </w:rPr>
        <w:t xml:space="preserve">第四章 </w:t>
      </w:r>
      <w:r>
        <w:rPr>
          <w:rFonts w:ascii="宋体" w:hAnsi="宋体"/>
          <w:szCs w:val="21"/>
        </w:rPr>
        <w:t xml:space="preserve"> </w:t>
      </w:r>
      <w:r>
        <w:rPr>
          <w:rFonts w:hint="eastAsia" w:ascii="宋体" w:hAnsi="宋体"/>
          <w:szCs w:val="21"/>
        </w:rPr>
        <w:t>投标文件组成要求及格式</w:t>
      </w:r>
    </w:p>
    <w:p w14:paraId="1A022161">
      <w:pPr>
        <w:ind w:left="630" w:leftChars="300" w:firstLine="630" w:firstLineChars="300"/>
        <w:rPr>
          <w:rFonts w:ascii="宋体" w:hAnsi="宋体"/>
          <w:szCs w:val="21"/>
        </w:rPr>
      </w:pPr>
      <w:r>
        <w:rPr>
          <w:rFonts w:hint="eastAsia" w:ascii="宋体" w:hAnsi="宋体"/>
          <w:szCs w:val="21"/>
        </w:rPr>
        <w:t>第五章  合同条款及格式</w:t>
      </w:r>
    </w:p>
    <w:p w14:paraId="3FC19843">
      <w:pPr>
        <w:rPr>
          <w:b/>
          <w:sz w:val="24"/>
        </w:rPr>
      </w:pPr>
    </w:p>
    <w:p w14:paraId="7780DACB">
      <w:pPr>
        <w:outlineLvl w:val="9"/>
        <w:rPr>
          <w:b/>
          <w:sz w:val="24"/>
        </w:rPr>
      </w:pPr>
      <w:r>
        <w:rPr>
          <w:rFonts w:hint="eastAsia"/>
          <w:b/>
          <w:sz w:val="24"/>
        </w:rPr>
        <w:t>第二册  通用条款</w:t>
      </w:r>
    </w:p>
    <w:p w14:paraId="21E20E90">
      <w:pPr>
        <w:ind w:left="630" w:leftChars="300" w:firstLine="411" w:firstLineChars="196"/>
        <w:rPr>
          <w:rFonts w:ascii="宋体" w:hAnsi="宋体"/>
          <w:szCs w:val="21"/>
        </w:rPr>
      </w:pPr>
      <w:r>
        <w:rPr>
          <w:rFonts w:hint="eastAsia" w:ascii="宋体" w:hAnsi="宋体"/>
          <w:szCs w:val="21"/>
        </w:rPr>
        <w:t>第一章  总则</w:t>
      </w:r>
    </w:p>
    <w:p w14:paraId="46F82DCD">
      <w:pPr>
        <w:ind w:left="630" w:leftChars="300" w:firstLine="411" w:firstLineChars="196"/>
        <w:rPr>
          <w:rFonts w:ascii="宋体" w:hAnsi="宋体"/>
          <w:szCs w:val="21"/>
        </w:rPr>
      </w:pPr>
      <w:r>
        <w:rPr>
          <w:rFonts w:hint="eastAsia" w:ascii="宋体" w:hAnsi="宋体"/>
          <w:szCs w:val="21"/>
        </w:rPr>
        <w:t>第二章  招标文件</w:t>
      </w:r>
    </w:p>
    <w:p w14:paraId="31DB84A6">
      <w:pPr>
        <w:ind w:left="630" w:leftChars="300" w:firstLine="411" w:firstLineChars="196"/>
        <w:rPr>
          <w:rFonts w:ascii="宋体" w:hAnsi="宋体"/>
          <w:szCs w:val="21"/>
        </w:rPr>
      </w:pPr>
      <w:r>
        <w:rPr>
          <w:rFonts w:hint="eastAsia" w:ascii="宋体" w:hAnsi="宋体"/>
          <w:szCs w:val="21"/>
        </w:rPr>
        <w:t>第三章  投标文件的编制</w:t>
      </w:r>
    </w:p>
    <w:p w14:paraId="32E93570">
      <w:pPr>
        <w:ind w:left="630" w:leftChars="300" w:firstLine="411" w:firstLineChars="196"/>
        <w:rPr>
          <w:rFonts w:ascii="宋体" w:hAnsi="宋体"/>
          <w:szCs w:val="21"/>
        </w:rPr>
      </w:pPr>
      <w:r>
        <w:rPr>
          <w:rFonts w:hint="eastAsia" w:ascii="宋体" w:hAnsi="宋体"/>
          <w:szCs w:val="21"/>
        </w:rPr>
        <w:t>第四章  投标文件的递交</w:t>
      </w:r>
    </w:p>
    <w:p w14:paraId="22E40283">
      <w:pPr>
        <w:ind w:left="630" w:leftChars="300" w:firstLine="411" w:firstLineChars="196"/>
        <w:rPr>
          <w:rFonts w:ascii="宋体" w:hAnsi="宋体"/>
          <w:szCs w:val="21"/>
        </w:rPr>
      </w:pPr>
      <w:r>
        <w:rPr>
          <w:rFonts w:hint="eastAsia" w:ascii="宋体" w:hAnsi="宋体"/>
          <w:szCs w:val="21"/>
        </w:rPr>
        <w:t>第五章  开标</w:t>
      </w:r>
    </w:p>
    <w:p w14:paraId="13BCA95E">
      <w:pPr>
        <w:ind w:left="630" w:leftChars="300" w:firstLine="411" w:firstLineChars="196"/>
        <w:rPr>
          <w:rFonts w:ascii="宋体" w:hAnsi="宋体"/>
          <w:szCs w:val="21"/>
        </w:rPr>
      </w:pPr>
      <w:r>
        <w:rPr>
          <w:rFonts w:hint="eastAsia" w:ascii="宋体" w:hAnsi="宋体"/>
          <w:szCs w:val="21"/>
        </w:rPr>
        <w:t>第六章  评审要求</w:t>
      </w:r>
    </w:p>
    <w:p w14:paraId="1AF94936">
      <w:pPr>
        <w:ind w:left="630" w:leftChars="300" w:firstLine="411" w:firstLineChars="196"/>
        <w:rPr>
          <w:rFonts w:ascii="宋体" w:hAnsi="宋体"/>
          <w:szCs w:val="21"/>
        </w:rPr>
      </w:pPr>
      <w:r>
        <w:rPr>
          <w:rFonts w:hint="eastAsia" w:ascii="宋体" w:hAnsi="宋体"/>
          <w:szCs w:val="21"/>
        </w:rPr>
        <w:t>第七章  评审程序及评审方法</w:t>
      </w:r>
    </w:p>
    <w:p w14:paraId="041BD850">
      <w:pPr>
        <w:ind w:left="630" w:leftChars="300" w:firstLine="411" w:firstLineChars="196"/>
        <w:rPr>
          <w:rFonts w:ascii="宋体" w:hAnsi="宋体"/>
          <w:szCs w:val="21"/>
        </w:rPr>
      </w:pPr>
      <w:r>
        <w:rPr>
          <w:rFonts w:hint="eastAsia" w:ascii="宋体" w:hAnsi="宋体"/>
          <w:szCs w:val="21"/>
        </w:rPr>
        <w:t>第八章  定标及公示</w:t>
      </w:r>
    </w:p>
    <w:p w14:paraId="0CDA6925">
      <w:pPr>
        <w:ind w:left="630" w:leftChars="300" w:firstLine="411" w:firstLineChars="196"/>
        <w:rPr>
          <w:rFonts w:ascii="宋体" w:hAnsi="宋体"/>
          <w:szCs w:val="21"/>
        </w:rPr>
      </w:pPr>
      <w:r>
        <w:rPr>
          <w:rFonts w:hint="eastAsia" w:ascii="宋体" w:hAnsi="宋体"/>
          <w:szCs w:val="21"/>
        </w:rPr>
        <w:t>第九章  公开招标失败的后续处理</w:t>
      </w:r>
    </w:p>
    <w:p w14:paraId="4705E7C7">
      <w:pPr>
        <w:ind w:left="630" w:leftChars="300" w:firstLine="411" w:firstLineChars="196"/>
        <w:rPr>
          <w:rFonts w:ascii="宋体" w:hAnsi="宋体"/>
          <w:szCs w:val="21"/>
        </w:rPr>
      </w:pPr>
      <w:r>
        <w:rPr>
          <w:rFonts w:hint="eastAsia" w:ascii="宋体" w:hAnsi="宋体"/>
          <w:szCs w:val="21"/>
        </w:rPr>
        <w:t>第十章  合同的授予与备案</w:t>
      </w:r>
    </w:p>
    <w:p w14:paraId="146A3DAA">
      <w:pPr>
        <w:ind w:firstLine="1050" w:firstLineChars="500"/>
        <w:outlineLvl w:val="9"/>
        <w:rPr>
          <w:b/>
          <w:sz w:val="24"/>
        </w:rPr>
      </w:pPr>
      <w:r>
        <w:rPr>
          <w:rFonts w:hint="eastAsia" w:ascii="宋体" w:hAnsi="宋体"/>
          <w:szCs w:val="21"/>
        </w:rPr>
        <w:t>第十一章  质疑处理</w:t>
      </w:r>
    </w:p>
    <w:p w14:paraId="78526A0A">
      <w:pPr>
        <w:spacing w:line="360" w:lineRule="auto"/>
        <w:ind w:firstLine="420" w:firstLineChars="200"/>
        <w:jc w:val="left"/>
        <w:rPr>
          <w:rFonts w:ascii="宋体" w:hAnsi="宋体"/>
          <w:szCs w:val="21"/>
        </w:rPr>
      </w:pPr>
    </w:p>
    <w:p w14:paraId="75E4E3D3">
      <w:pPr>
        <w:pStyle w:val="3"/>
        <w:rPr>
          <w:sz w:val="24"/>
        </w:rPr>
      </w:pPr>
      <w:r>
        <w:br w:type="page"/>
      </w:r>
      <w:bookmarkStart w:id="2" w:name="bt投标人须知"/>
      <w:bookmarkEnd w:id="2"/>
      <w:bookmarkStart w:id="3" w:name="bt其他资料2"/>
      <w:bookmarkEnd w:id="3"/>
      <w:bookmarkStart w:id="4" w:name="bt开标一览表"/>
      <w:bookmarkEnd w:id="4"/>
      <w:bookmarkStart w:id="5" w:name="bt投标人情况介绍"/>
      <w:bookmarkEnd w:id="5"/>
      <w:bookmarkStart w:id="6" w:name="bt合同条款"/>
      <w:bookmarkEnd w:id="6"/>
      <w:bookmarkStart w:id="7" w:name="bt投标文件签署授权委托书"/>
      <w:bookmarkEnd w:id="7"/>
      <w:bookmarkStart w:id="8" w:name="bt本工程承诺书"/>
      <w:bookmarkEnd w:id="8"/>
      <w:bookmarkStart w:id="9" w:name="bt合同格式"/>
      <w:bookmarkEnd w:id="9"/>
      <w:bookmarkStart w:id="10" w:name="bt投标报价汇总表"/>
      <w:bookmarkEnd w:id="10"/>
      <w:bookmarkStart w:id="11" w:name="bt投标函"/>
      <w:bookmarkEnd w:id="11"/>
      <w:bookmarkStart w:id="12" w:name="bt项目管理班子配备情况"/>
      <w:bookmarkEnd w:id="12"/>
      <w:bookmarkStart w:id="13" w:name="bt技术标投标文件格式"/>
      <w:bookmarkEnd w:id="13"/>
      <w:bookmarkStart w:id="14" w:name="bt说明"/>
      <w:bookmarkEnd w:id="14"/>
      <w:bookmarkStart w:id="15" w:name="bt其他资料由投标人自定"/>
      <w:bookmarkEnd w:id="15"/>
      <w:bookmarkStart w:id="16" w:name="合同格式"/>
      <w:bookmarkEnd w:id="16"/>
      <w:bookmarkStart w:id="17" w:name="bt商务标投标文件格式"/>
      <w:bookmarkEnd w:id="17"/>
      <w:bookmarkStart w:id="18" w:name="bt合同条款及格式"/>
      <w:bookmarkEnd w:id="18"/>
      <w:r>
        <w:rPr>
          <w:rFonts w:hint="eastAsia"/>
        </w:rPr>
        <w:t>第一册</w:t>
      </w:r>
      <w:r>
        <w:rPr>
          <w:rFonts w:hint="eastAsia"/>
          <w:lang w:val="en-US" w:eastAsia="zh-CN"/>
        </w:rPr>
        <w:t xml:space="preserve">  </w:t>
      </w:r>
      <w:r>
        <w:rPr>
          <w:rFonts w:hint="eastAsia"/>
        </w:rPr>
        <w:t>专用条款</w:t>
      </w:r>
    </w:p>
    <w:p w14:paraId="28C563B6">
      <w:pPr>
        <w:pStyle w:val="5"/>
        <w:rPr>
          <w:rFonts w:hint="eastAsia"/>
          <w:sz w:val="28"/>
          <w:szCs w:val="28"/>
        </w:rPr>
      </w:pPr>
      <w:r>
        <w:rPr>
          <w:rFonts w:hint="eastAsia"/>
          <w:sz w:val="28"/>
          <w:szCs w:val="28"/>
        </w:rPr>
        <w:t>第一章  招标公告</w:t>
      </w:r>
    </w:p>
    <w:tbl>
      <w:tblPr>
        <w:tblStyle w:val="42"/>
        <w:tblW w:w="8193" w:type="dxa"/>
        <w:jc w:val="center"/>
        <w:tblCellSpacing w:w="0" w:type="dxa"/>
        <w:tblLayout w:type="fixed"/>
        <w:tblCellMar>
          <w:top w:w="0" w:type="dxa"/>
          <w:left w:w="0" w:type="dxa"/>
          <w:bottom w:w="0" w:type="dxa"/>
          <w:right w:w="0" w:type="dxa"/>
        </w:tblCellMar>
      </w:tblPr>
      <w:tblGrid>
        <w:gridCol w:w="8193"/>
      </w:tblGrid>
      <w:tr w14:paraId="1B87E044">
        <w:tblPrEx>
          <w:tblCellMar>
            <w:top w:w="0" w:type="dxa"/>
            <w:left w:w="0" w:type="dxa"/>
            <w:bottom w:w="0" w:type="dxa"/>
            <w:right w:w="0" w:type="dxa"/>
          </w:tblCellMar>
        </w:tblPrEx>
        <w:trPr>
          <w:tblCellSpacing w:w="0" w:type="dxa"/>
          <w:jc w:val="center"/>
        </w:trPr>
        <w:tc>
          <w:tcPr>
            <w:tcW w:w="8193" w:type="dxa"/>
            <w:vAlign w:val="center"/>
          </w:tcPr>
          <w:tbl>
            <w:tblPr>
              <w:tblStyle w:val="42"/>
              <w:tblW w:w="8147" w:type="dxa"/>
              <w:jc w:val="center"/>
              <w:tblCellSpacing w:w="0" w:type="dxa"/>
              <w:tblLayout w:type="fixed"/>
              <w:tblCellMar>
                <w:top w:w="30" w:type="dxa"/>
                <w:left w:w="30" w:type="dxa"/>
                <w:bottom w:w="30" w:type="dxa"/>
                <w:right w:w="30" w:type="dxa"/>
              </w:tblCellMar>
            </w:tblPr>
            <w:tblGrid>
              <w:gridCol w:w="8147"/>
            </w:tblGrid>
            <w:tr w14:paraId="624897A0">
              <w:trPr>
                <w:tblCellSpacing w:w="0" w:type="dxa"/>
                <w:jc w:val="center"/>
              </w:trPr>
              <w:tc>
                <w:tcPr>
                  <w:tcW w:w="8147" w:type="dxa"/>
                </w:tcPr>
                <w:p w14:paraId="4A16F474">
                  <w:pPr>
                    <w:spacing w:line="360" w:lineRule="auto"/>
                    <w:rPr>
                      <w:rFonts w:ascii="宋体" w:hAnsi="宋体" w:cs="宋体"/>
                      <w:b/>
                      <w:bCs/>
                      <w:kern w:val="0"/>
                      <w:szCs w:val="21"/>
                    </w:rPr>
                  </w:pPr>
                  <w:r>
                    <w:rPr>
                      <w:rFonts w:hint="eastAsia" w:ascii="宋体" w:hAnsi="宋体" w:cs="宋体"/>
                      <w:b/>
                      <w:bCs/>
                      <w:kern w:val="0"/>
                      <w:szCs w:val="21"/>
                    </w:rPr>
                    <w:t>申请人的资格要求：</w:t>
                  </w:r>
                </w:p>
                <w:p w14:paraId="616DD5A3">
                  <w:pPr>
                    <w:ind w:firstLine="420" w:firstLineChars="200"/>
                    <w:rPr>
                      <w:rFonts w:hint="eastAsia" w:ascii="宋体" w:hAnsi="宋体" w:eastAsia="宋体" w:cs="宋体"/>
                      <w:kern w:val="0"/>
                      <w:szCs w:val="21"/>
                      <w:lang w:eastAsia="zh-CN"/>
                    </w:rPr>
                  </w:pPr>
                  <w:r>
                    <w:rPr>
                      <w:rFonts w:hint="eastAsia" w:ascii="宋体" w:hAnsi="宋体" w:cs="宋体"/>
                      <w:kern w:val="0"/>
                      <w:szCs w:val="21"/>
                    </w:rPr>
                    <w:t>1</w:t>
                  </w:r>
                  <w:r>
                    <w:rPr>
                      <w:rFonts w:ascii="宋体" w:hAnsi="宋体" w:cs="宋体"/>
                      <w:kern w:val="0"/>
                      <w:szCs w:val="21"/>
                    </w:rPr>
                    <w:t>.</w:t>
                  </w:r>
                  <w:bookmarkStart w:id="19" w:name="_Hlk72162904"/>
                  <w:r>
                    <w:rPr>
                      <w:rFonts w:hint="eastAsia" w:ascii="宋体" w:hAnsi="宋体" w:cs="宋体"/>
                      <w:kern w:val="0"/>
                      <w:szCs w:val="21"/>
                    </w:rPr>
                    <w:t>具有独立承担民事责任的能力（提供营业执照或事业单位法人证书等证明资料扫描件，原件备查，分支机构参与投标的，须同时提供分支机构营业执照、其总公司的营业执照及总公司授权文件且授权书载明其民事责任由总公司承担）</w:t>
                  </w:r>
                  <w:bookmarkEnd w:id="19"/>
                  <w:r>
                    <w:rPr>
                      <w:rFonts w:hint="eastAsia" w:eastAsia="宋体"/>
                      <w:lang w:eastAsia="zh-CN"/>
                    </w:rPr>
                    <w:t>；</w:t>
                  </w:r>
                </w:p>
                <w:p w14:paraId="6CD0F0A8">
                  <w:pPr>
                    <w:ind w:firstLine="420" w:firstLineChars="200"/>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2.本项目不接受联合体投标（由供应商在《政府采购投标及履约承诺函》中作出声明）；</w:t>
                  </w:r>
                </w:p>
                <w:p w14:paraId="334D8D9C">
                  <w:pPr>
                    <w:ind w:firstLine="420" w:firstLineChars="200"/>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3</w:t>
                  </w:r>
                  <w:r>
                    <w:rPr>
                      <w:rFonts w:ascii="宋体" w:hAnsi="宋体" w:cs="宋体"/>
                      <w:color w:val="000000" w:themeColor="text1"/>
                      <w:kern w:val="0"/>
                      <w:szCs w:val="21"/>
                      <w14:textFill>
                        <w14:solidFill>
                          <w14:schemeClr w14:val="tx1"/>
                        </w14:solidFill>
                      </w14:textFill>
                    </w:rPr>
                    <w:t>.</w:t>
                  </w:r>
                  <w:r>
                    <w:rPr>
                      <w:rFonts w:hint="eastAsia" w:ascii="宋体" w:hAnsi="宋体" w:cs="宋体"/>
                      <w:color w:val="000000" w:themeColor="text1"/>
                      <w:kern w:val="0"/>
                      <w:szCs w:val="21"/>
                      <w14:textFill>
                        <w14:solidFill>
                          <w14:schemeClr w14:val="tx1"/>
                        </w14:solidFill>
                      </w14:textFill>
                    </w:rPr>
                    <w:t>参与本项目政府采购活动时不存在被有关部门禁止参与政府采购活动且在有效期内的情况（由供应商在《政府采购投标及履约承诺函》中作出声明）；</w:t>
                  </w:r>
                </w:p>
                <w:p w14:paraId="7B709CB9">
                  <w:pPr>
                    <w:ind w:firstLine="420" w:firstLineChars="200"/>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lang w:val="en-US" w:eastAsia="zh-CN"/>
                      <w14:textFill>
                        <w14:solidFill>
                          <w14:schemeClr w14:val="tx1"/>
                        </w14:solidFill>
                      </w14:textFill>
                    </w:rPr>
                    <w:t>4</w:t>
                  </w:r>
                  <w:r>
                    <w:rPr>
                      <w:rFonts w:ascii="宋体" w:hAnsi="宋体" w:cs="宋体"/>
                      <w:color w:val="000000" w:themeColor="text1"/>
                      <w:kern w:val="0"/>
                      <w:szCs w:val="21"/>
                      <w14:textFill>
                        <w14:solidFill>
                          <w14:schemeClr w14:val="tx1"/>
                        </w14:solidFill>
                      </w14:textFill>
                    </w:rPr>
                    <w:t>.</w:t>
                  </w:r>
                  <w:r>
                    <w:rPr>
                      <w:rFonts w:hint="eastAsia" w:ascii="宋体" w:hAnsi="宋体" w:cs="宋体"/>
                      <w:color w:val="000000" w:themeColor="text1"/>
                      <w:kern w:val="0"/>
                      <w:szCs w:val="21"/>
                      <w14:textFill>
                        <w14:solidFill>
                          <w14:schemeClr w14:val="tx1"/>
                        </w14:solidFill>
                      </w14:textFill>
                    </w:rPr>
                    <w:t>具备《中华人民共和国政府采购法》第二十二条第一款的条件（由供应商在《政府采购投标及履约承诺函》中作出声明）；</w:t>
                  </w:r>
                </w:p>
                <w:p w14:paraId="6FF103C6">
                  <w:pPr>
                    <w:ind w:firstLine="420" w:firstLineChars="200"/>
                    <w:rPr>
                      <w:rFonts w:hint="eastAsia" w:ascii="宋体" w:hAnsi="宋体" w:cs="宋体"/>
                      <w:color w:val="000000" w:themeColor="text1"/>
                      <w:kern w:val="0"/>
                      <w:szCs w:val="21"/>
                      <w:lang w:val="en-US" w:eastAsia="zh-CN"/>
                      <w14:textFill>
                        <w14:solidFill>
                          <w14:schemeClr w14:val="tx1"/>
                        </w14:solidFill>
                      </w14:textFill>
                    </w:rPr>
                  </w:pPr>
                  <w:r>
                    <w:rPr>
                      <w:rFonts w:hint="eastAsia" w:ascii="宋体" w:hAnsi="宋体" w:cs="宋体"/>
                      <w:color w:val="000000" w:themeColor="text1"/>
                      <w:kern w:val="0"/>
                      <w:szCs w:val="21"/>
                      <w:lang w:val="en-US" w:eastAsia="zh-CN"/>
                      <w14:textFill>
                        <w14:solidFill>
                          <w14:schemeClr w14:val="tx1"/>
                        </w14:solidFill>
                      </w14:textFill>
                    </w:rPr>
                    <w:t>5</w:t>
                  </w:r>
                  <w:r>
                    <w:rPr>
                      <w:rFonts w:ascii="宋体" w:hAnsi="宋体" w:cs="宋体"/>
                      <w:color w:val="000000" w:themeColor="text1"/>
                      <w:kern w:val="0"/>
                      <w:szCs w:val="21"/>
                      <w14:textFill>
                        <w14:solidFill>
                          <w14:schemeClr w14:val="tx1"/>
                        </w14:solidFill>
                      </w14:textFill>
                    </w:rPr>
                    <w:t>.</w:t>
                  </w:r>
                  <w:r>
                    <w:rPr>
                      <w:rFonts w:hint="eastAsia" w:ascii="宋体" w:hAnsi="宋体" w:cs="宋体"/>
                      <w:color w:val="000000" w:themeColor="text1"/>
                      <w:kern w:val="0"/>
                      <w:szCs w:val="21"/>
                      <w14:textFill>
                        <w14:solidFill>
                          <w14:schemeClr w14:val="tx1"/>
                        </w14:solidFill>
                      </w14:textFill>
                    </w:rPr>
                    <w:t>未被列入失信被执行人、重大税收违法案件当事人名单、政府采购严重违法失信行为记录名单（由供应商在《政府采购投标及履约承诺函》中作出声明）</w:t>
                  </w:r>
                  <w:r>
                    <w:rPr>
                      <w:rFonts w:hint="eastAsia" w:ascii="宋体" w:hAnsi="宋体" w:cs="宋体"/>
                      <w:color w:val="000000" w:themeColor="text1"/>
                      <w:kern w:val="0"/>
                      <w:szCs w:val="21"/>
                      <w:lang w:val="en-US" w:eastAsia="zh-CN"/>
                      <w14:textFill>
                        <w14:solidFill>
                          <w14:schemeClr w14:val="tx1"/>
                        </w14:solidFill>
                      </w14:textFill>
                    </w:rPr>
                    <w:t>；</w:t>
                  </w:r>
                </w:p>
                <w:p w14:paraId="7AFD80A0">
                  <w:pPr>
                    <w:ind w:firstLine="420" w:firstLineChars="200"/>
                    <w:rPr>
                      <w:rFonts w:hint="default" w:ascii="宋体" w:hAnsi="宋体" w:cs="宋体"/>
                      <w:color w:val="000000" w:themeColor="text1"/>
                      <w:kern w:val="0"/>
                      <w:szCs w:val="21"/>
                      <w:lang w:val="en-US" w:eastAsia="zh-CN"/>
                      <w14:textFill>
                        <w14:solidFill>
                          <w14:schemeClr w14:val="tx1"/>
                        </w14:solidFill>
                      </w14:textFill>
                    </w:rPr>
                  </w:pPr>
                  <w:r>
                    <w:rPr>
                      <w:rFonts w:hint="eastAsia" w:ascii="宋体" w:hAnsi="宋体" w:cs="宋体"/>
                      <w:color w:val="000000" w:themeColor="text1"/>
                      <w:kern w:val="0"/>
                      <w:szCs w:val="21"/>
                      <w:lang w:val="en-US" w:eastAsia="zh-CN"/>
                      <w14:textFill>
                        <w14:solidFill>
                          <w14:schemeClr w14:val="tx1"/>
                        </w14:solidFill>
                      </w14:textFill>
                    </w:rPr>
                    <w:t>6.不存在《深圳市财政局政府采购供应商信用信息管理办法》（深财规〔2023〕3号）列明的严重违法失信行为</w:t>
                  </w:r>
                  <w:r>
                    <w:rPr>
                      <w:rFonts w:hint="eastAsia" w:ascii="宋体" w:hAnsi="宋体" w:cs="宋体"/>
                      <w:color w:val="000000" w:themeColor="text1"/>
                      <w:kern w:val="0"/>
                      <w:szCs w:val="21"/>
                      <w14:textFill>
                        <w14:solidFill>
                          <w14:schemeClr w14:val="tx1"/>
                        </w14:solidFill>
                      </w14:textFill>
                    </w:rPr>
                    <w:t>（由供应商在《政府采购投标及履约承诺函》中作出声明）</w:t>
                  </w:r>
                  <w:r>
                    <w:rPr>
                      <w:rFonts w:hint="eastAsia" w:ascii="宋体" w:hAnsi="宋体" w:cs="宋体"/>
                      <w:color w:val="000000" w:themeColor="text1"/>
                      <w:kern w:val="0"/>
                      <w:szCs w:val="21"/>
                      <w:lang w:eastAsia="zh-CN"/>
                      <w14:textFill>
                        <w14:solidFill>
                          <w14:schemeClr w14:val="tx1"/>
                        </w14:solidFill>
                      </w14:textFill>
                    </w:rPr>
                    <w:t>；</w:t>
                  </w:r>
                </w:p>
                <w:p w14:paraId="0C13199D">
                  <w:pPr>
                    <w:ind w:firstLine="420" w:firstLineChars="200"/>
                    <w:rPr>
                      <w:rFonts w:hint="eastAsia" w:ascii="宋体" w:hAnsi="宋体" w:cs="宋体"/>
                      <w:color w:val="000000" w:themeColor="text1"/>
                      <w:kern w:val="0"/>
                      <w:szCs w:val="21"/>
                      <w:lang w:val="en-US" w:eastAsia="zh-CN"/>
                      <w14:textFill>
                        <w14:solidFill>
                          <w14:schemeClr w14:val="tx1"/>
                        </w14:solidFill>
                      </w14:textFill>
                    </w:rPr>
                  </w:pPr>
                  <w:r>
                    <w:rPr>
                      <w:rFonts w:hint="eastAsia" w:ascii="宋体" w:hAnsi="宋体" w:cs="宋体"/>
                      <w:color w:val="000000" w:themeColor="text1"/>
                      <w:kern w:val="0"/>
                      <w:szCs w:val="21"/>
                      <w:lang w:val="en-US" w:eastAsia="zh-CN"/>
                      <w14:textFill>
                        <w14:solidFill>
                          <w14:schemeClr w14:val="tx1"/>
                        </w14:solidFill>
                      </w14:textFill>
                    </w:rPr>
                    <w:t>7</w:t>
                  </w:r>
                  <w:r>
                    <w:rPr>
                      <w:rFonts w:hint="eastAsia" w:ascii="宋体" w:hAnsi="宋体" w:cs="宋体"/>
                      <w:color w:val="000000" w:themeColor="text1"/>
                      <w:kern w:val="0"/>
                      <w:szCs w:val="21"/>
                      <w14:textFill>
                        <w14:solidFill>
                          <w14:schemeClr w14:val="tx1"/>
                        </w14:solidFill>
                      </w14:textFill>
                    </w:rPr>
                    <w:t>.为采购项目提供整体设计、规范编制或者项目管理、监理、检测等服务的供应商，不得再参加该采购项目的其他采购活动（由供应商在《政府采购投标及履约承诺函》中作出声明）</w:t>
                  </w:r>
                  <w:r>
                    <w:rPr>
                      <w:rFonts w:hint="eastAsia" w:ascii="宋体" w:hAnsi="宋体" w:cs="宋体"/>
                      <w:color w:val="000000" w:themeColor="text1"/>
                      <w:kern w:val="0"/>
                      <w:szCs w:val="21"/>
                      <w:lang w:val="en-US" w:eastAsia="zh-CN"/>
                      <w14:textFill>
                        <w14:solidFill>
                          <w14:schemeClr w14:val="tx1"/>
                        </w14:solidFill>
                      </w14:textFill>
                    </w:rPr>
                    <w:t>；</w:t>
                  </w:r>
                </w:p>
                <w:p w14:paraId="7CFC36BE">
                  <w:pPr>
                    <w:pStyle w:val="201"/>
                    <w:ind w:firstLine="420" w:firstLineChars="200"/>
                    <w:rPr>
                      <w:rFonts w:hint="default"/>
                      <w:color w:val="000000" w:themeColor="text1"/>
                      <w:lang w:val="en-US" w:eastAsia="zh-CN"/>
                      <w14:textFill>
                        <w14:solidFill>
                          <w14:schemeClr w14:val="tx1"/>
                        </w14:solidFill>
                      </w14:textFill>
                    </w:rPr>
                  </w:pPr>
                  <w:r>
                    <w:rPr>
                      <w:rFonts w:hint="eastAsia" w:ascii="宋体" w:hAnsi="宋体" w:eastAsia="宋体" w:cs="宋体"/>
                      <w:color w:val="000000" w:themeColor="text1"/>
                      <w:kern w:val="0"/>
                      <w:sz w:val="21"/>
                      <w:szCs w:val="21"/>
                      <w:lang w:val="en-US" w:eastAsia="zh-CN" w:bidi="ar-SA"/>
                      <w14:textFill>
                        <w14:solidFill>
                          <w14:schemeClr w14:val="tx1"/>
                        </w14:solidFill>
                      </w14:textFill>
                    </w:rPr>
                    <w:t>8.不同供应商的法定代表人、主要经营负责人、项目投标授权代表人、项目负责人、主要技术人员不得为同一人、属同一单位或者在同一单位缴纳社会保险；不同投标供应商的投标文件不得由同一单位或者同一人编制；单位负责人为同一人或者存在直接控股、管理关系的不同供应商，不得参加本项目政府采购活动（由供应商填写《供应商基本情况表》相关信息）</w:t>
                  </w:r>
                </w:p>
                <w:p w14:paraId="68A6131B">
                  <w:pPr>
                    <w:pStyle w:val="201"/>
                    <w:ind w:firstLine="420" w:firstLineChars="200"/>
                  </w:pPr>
                  <w:r>
                    <w:rPr>
                      <w:rFonts w:hint="eastAsia"/>
                    </w:rPr>
                    <w:t>9.本项目</w:t>
                  </w:r>
                  <w:r>
                    <w:rPr>
                      <w:rFonts w:hint="eastAsia"/>
                      <w:lang w:val="en-US" w:eastAsia="zh-CN"/>
                    </w:rPr>
                    <w:t>不</w:t>
                  </w:r>
                  <w:r>
                    <w:rPr>
                      <w:rFonts w:hint="eastAsia"/>
                    </w:rPr>
                    <w:t>专门面向中小企业采购</w:t>
                  </w:r>
                  <w:r>
                    <w:rPr>
                      <w:rFonts w:hint="eastAsia"/>
                      <w:lang w:eastAsia="zh-CN"/>
                    </w:rPr>
                    <w:t>。</w:t>
                  </w:r>
                </w:p>
                <w:p w14:paraId="0B734AD0">
                  <w:pPr>
                    <w:ind w:firstLine="420" w:firstLineChars="200"/>
                    <w:rPr>
                      <w:rFonts w:hint="eastAsia" w:ascii="宋体" w:hAnsi="宋体" w:cs="宋体"/>
                      <w:color w:val="FF0000"/>
                      <w:kern w:val="0"/>
                      <w:szCs w:val="21"/>
                      <w:highlight w:val="yellow"/>
                      <w:lang w:val="en-US" w:eastAsia="zh-CN"/>
                    </w:rPr>
                  </w:pPr>
                  <w:r>
                    <w:rPr>
                      <w:rFonts w:hint="eastAsia" w:ascii="宋体" w:hAnsi="宋体" w:cs="宋体"/>
                      <w:color w:val="FF0000"/>
                      <w:kern w:val="0"/>
                      <w:szCs w:val="21"/>
                      <w:highlight w:val="yellow"/>
                      <w:lang w:val="en-US" w:eastAsia="zh-CN"/>
                    </w:rPr>
                    <w:t>10.投标人必须具备公安机关颁发的《保安服务许可证》（提供《保安服务许可证》扫描件）：</w:t>
                  </w:r>
                </w:p>
                <w:p w14:paraId="5FB3FAEA">
                  <w:pPr>
                    <w:ind w:firstLine="420" w:firstLineChars="200"/>
                    <w:rPr>
                      <w:rFonts w:hint="eastAsia" w:ascii="宋体" w:hAnsi="宋体" w:cs="宋体"/>
                      <w:color w:val="FF0000"/>
                      <w:kern w:val="0"/>
                      <w:szCs w:val="21"/>
                      <w:highlight w:val="yellow"/>
                      <w:lang w:val="en-US" w:eastAsia="zh-CN"/>
                    </w:rPr>
                  </w:pPr>
                  <w:r>
                    <w:rPr>
                      <w:rFonts w:hint="eastAsia" w:ascii="宋体" w:hAnsi="宋体" w:cs="宋体"/>
                      <w:color w:val="FF0000"/>
                      <w:kern w:val="0"/>
                      <w:szCs w:val="21"/>
                      <w:highlight w:val="yellow"/>
                      <w:lang w:val="en-US" w:eastAsia="zh-CN"/>
                    </w:rPr>
                    <w:t>①如为分公司参与投标的，需同时提供分公司所在地公安机关颁发的设立（成立）分公司相关备案证明材料以及总公司的《保安服务许可证》；（提供相关备案证明材料及《保安服务许可证》扫描件） ；</w:t>
                  </w:r>
                </w:p>
                <w:p w14:paraId="7BE9F8E9">
                  <w:pPr>
                    <w:ind w:firstLine="420" w:firstLineChars="200"/>
                  </w:pPr>
                  <w:r>
                    <w:rPr>
                      <w:rFonts w:hint="eastAsia" w:ascii="宋体" w:hAnsi="宋体" w:cs="宋体"/>
                      <w:color w:val="FF0000"/>
                      <w:kern w:val="0"/>
                      <w:szCs w:val="21"/>
                      <w:highlight w:val="yellow"/>
                      <w:lang w:val="en-US" w:eastAsia="zh-CN"/>
                    </w:rPr>
                    <w:t>②如营业执照载明的住所（或经营场所）非深圳市范围内的供应商，还须同时承诺中标后合同履行前向深圳市公安机关进行项目备案（提供承诺函，格式自拟）。</w:t>
                  </w:r>
                </w:p>
                <w:p w14:paraId="00A0BA1C">
                  <w:pPr>
                    <w:keepNext w:val="0"/>
                    <w:keepLines w:val="0"/>
                    <w:pageBreakBefore w:val="0"/>
                    <w:widowControl w:val="0"/>
                    <w:kinsoku/>
                    <w:wordWrap w:val="0"/>
                    <w:overflowPunct/>
                    <w:topLinePunct w:val="0"/>
                    <w:autoSpaceDE/>
                    <w:autoSpaceDN/>
                    <w:bidi w:val="0"/>
                    <w:adjustRightInd/>
                    <w:snapToGrid/>
                    <w:ind w:firstLine="420" w:firstLineChars="200"/>
                    <w:textAlignment w:val="auto"/>
                    <w:rPr>
                      <w:rFonts w:ascii="宋体" w:hAnsi="宋体" w:cs="宋体"/>
                      <w:kern w:val="0"/>
                      <w:szCs w:val="21"/>
                    </w:rPr>
                  </w:pPr>
                  <w:r>
                    <w:rPr>
                      <w:rFonts w:hint="eastAsia" w:ascii="宋体" w:hAnsi="宋体" w:cs="宋体"/>
                      <w:kern w:val="0"/>
                      <w:szCs w:val="21"/>
                    </w:rPr>
                    <w:t>注：（1）“信用中国”（www.creditchina.gov.cn</w:t>
                  </w:r>
                  <w:r>
                    <w:rPr>
                      <w:rFonts w:hint="eastAsia" w:ascii="宋体" w:hAnsi="宋体" w:cs="宋体"/>
                      <w:kern w:val="0"/>
                      <w:szCs w:val="21"/>
                      <w:lang w:eastAsia="zh-CN"/>
                    </w:rPr>
                    <w:t>，</w:t>
                  </w:r>
                  <w:r>
                    <w:rPr>
                      <w:rFonts w:hint="eastAsia" w:ascii="宋体" w:hAnsi="宋体" w:cs="宋体"/>
                      <w:kern w:val="0"/>
                      <w:szCs w:val="21"/>
                      <w:lang w:val="en-US" w:eastAsia="zh-CN"/>
                    </w:rPr>
                    <w:t>查询</w:t>
                  </w:r>
                  <w:r>
                    <w:rPr>
                      <w:rFonts w:hint="eastAsia" w:ascii="宋体" w:hAnsi="宋体" w:cs="宋体"/>
                      <w:kern w:val="0"/>
                      <w:szCs w:val="21"/>
                    </w:rPr>
                    <w:t>“信用服务”栏的“重大税收违法失信主体”“失信被执行人”</w:t>
                  </w:r>
                  <w:r>
                    <w:rPr>
                      <w:rFonts w:hint="eastAsia" w:ascii="宋体" w:hAnsi="宋体" w:cs="宋体"/>
                      <w:kern w:val="0"/>
                      <w:szCs w:val="21"/>
                      <w:lang w:val="en-US" w:eastAsia="zh-CN"/>
                    </w:rPr>
                    <w:t>或者下载信用信息报告）</w:t>
                  </w:r>
                  <w:r>
                    <w:rPr>
                      <w:rFonts w:hint="eastAsia" w:ascii="宋体" w:hAnsi="宋体" w:cs="宋体"/>
                      <w:kern w:val="0"/>
                      <w:szCs w:val="21"/>
                    </w:rPr>
                    <w:t>，“中国政府采购网”（www.ccgp.gov.cn）中的“政府采购严重违法失信行为记录名单”，“深圳市政府采购监管网”（http://zfcg.sz.gov.cn）</w:t>
                  </w:r>
                  <w:r>
                    <w:rPr>
                      <w:rFonts w:hint="eastAsia" w:asciiTheme="minorEastAsia" w:hAnsiTheme="minorEastAsia" w:eastAsiaTheme="minorEastAsia" w:cstheme="minorEastAsia"/>
                      <w:b w:val="0"/>
                      <w:bCs w:val="0"/>
                      <w:sz w:val="21"/>
                      <w:szCs w:val="21"/>
                      <w:lang w:val="en-US" w:eastAsia="zh-CN"/>
                    </w:rPr>
                    <w:t>以及深圳市、区财政部门认可的“供应商诚信档案库”</w:t>
                  </w:r>
                  <w:r>
                    <w:rPr>
                      <w:rFonts w:hint="eastAsia" w:ascii="宋体" w:hAnsi="宋体" w:cs="宋体"/>
                      <w:kern w:val="0"/>
                      <w:szCs w:val="21"/>
                    </w:rPr>
                    <w:t>为供应商信用信息的查询渠道，相关信息以开标当日的查询结果为准；</w:t>
                  </w:r>
                </w:p>
                <w:p w14:paraId="64CC0209">
                  <w:pPr>
                    <w:ind w:firstLine="420" w:firstLineChars="200"/>
                    <w:rPr>
                      <w:rFonts w:ascii="宋体" w:hAnsi="宋体"/>
                    </w:rPr>
                  </w:pPr>
                  <w:r>
                    <w:rPr>
                      <w:rFonts w:hint="eastAsia" w:ascii="宋体" w:hAnsi="宋体"/>
                    </w:rPr>
                    <w:t>（2）供应商投标（上传投标文件）必须先行办理注册手续，具体请按照本公告“六、其他补充事宜</w:t>
                  </w:r>
                  <w:r>
                    <w:rPr>
                      <w:rFonts w:ascii="宋体" w:hAnsi="宋体"/>
                    </w:rPr>
                    <w:t>”</w:t>
                  </w:r>
                  <w:r>
                    <w:rPr>
                      <w:rFonts w:hint="eastAsia" w:ascii="宋体" w:hAnsi="宋体"/>
                    </w:rPr>
                    <w:t>相关内容指引办理。</w:t>
                  </w:r>
                </w:p>
                <w:p w14:paraId="03EBA120">
                  <w:pPr>
                    <w:spacing w:beforeAutospacing="1" w:afterAutospacing="1"/>
                    <w:ind w:firstLine="442" w:firstLineChars="200"/>
                    <w:rPr>
                      <w:rFonts w:ascii="宋体" w:hAnsi="宋体" w:cs="宋体"/>
                      <w:sz w:val="24"/>
                    </w:rPr>
                  </w:pPr>
                  <w:r>
                    <w:rPr>
                      <w:rFonts w:hint="eastAsia"/>
                      <w:b/>
                      <w:sz w:val="22"/>
                      <w:szCs w:val="18"/>
                      <w:highlight w:val="none"/>
                    </w:rPr>
                    <w:t>完整公告内容详见：深圳公共资源交易网（</w:t>
                  </w:r>
                  <w:r>
                    <w:rPr>
                      <w:b/>
                      <w:sz w:val="22"/>
                      <w:szCs w:val="18"/>
                      <w:highlight w:val="none"/>
                    </w:rPr>
                    <w:t>https://www.szggzy.com</w:t>
                  </w:r>
                  <w:r>
                    <w:rPr>
                      <w:rFonts w:hint="eastAsia"/>
                      <w:b/>
                      <w:sz w:val="22"/>
                      <w:szCs w:val="18"/>
                      <w:highlight w:val="none"/>
                    </w:rPr>
                    <w:t>）</w:t>
                  </w:r>
                </w:p>
              </w:tc>
            </w:tr>
          </w:tbl>
          <w:p w14:paraId="7C8917E1">
            <w:pPr>
              <w:rPr>
                <w:rFonts w:ascii="宋体" w:hAnsi="宋体" w:cs="宋体"/>
                <w:sz w:val="24"/>
              </w:rPr>
            </w:pPr>
          </w:p>
        </w:tc>
      </w:tr>
    </w:tbl>
    <w:p w14:paraId="0999F887">
      <w:r>
        <w:br w:type="page"/>
      </w:r>
    </w:p>
    <w:p w14:paraId="621AD028">
      <w:pPr>
        <w:pStyle w:val="5"/>
        <w:rPr>
          <w:sz w:val="28"/>
          <w:szCs w:val="28"/>
        </w:rPr>
      </w:pPr>
      <w:r>
        <w:rPr>
          <w:rFonts w:hint="eastAsia"/>
          <w:sz w:val="28"/>
          <w:szCs w:val="28"/>
        </w:rPr>
        <w:t>第二章 对通用条款的补充内容及其他关键信息</w:t>
      </w:r>
    </w:p>
    <w:p w14:paraId="243C77D9">
      <w:pPr>
        <w:pStyle w:val="5"/>
        <w:spacing w:before="120" w:beforeLines="50" w:after="120" w:afterLines="50"/>
        <w:rPr>
          <w:sz w:val="28"/>
          <w:szCs w:val="28"/>
        </w:rPr>
      </w:pPr>
      <w:bookmarkStart w:id="20" w:name="_Toc60631620"/>
      <w:bookmarkStart w:id="21" w:name="_Toc73517639"/>
      <w:bookmarkStart w:id="22" w:name="_Toc60560625"/>
      <w:bookmarkStart w:id="23" w:name="_Toc73518117"/>
      <w:bookmarkStart w:id="24" w:name="_Toc73521635"/>
      <w:bookmarkStart w:id="25" w:name="_Toc100052364"/>
      <w:bookmarkStart w:id="26" w:name="_Toc101074876"/>
      <w:bookmarkStart w:id="27" w:name="_Toc73521547"/>
      <w:r>
        <w:rPr>
          <w:rFonts w:hint="eastAsia"/>
          <w:szCs w:val="24"/>
        </w:rPr>
        <w:t>一、对通用条款的补充内容</w:t>
      </w:r>
      <w:bookmarkEnd w:id="20"/>
      <w:bookmarkEnd w:id="21"/>
      <w:bookmarkEnd w:id="22"/>
      <w:bookmarkEnd w:id="23"/>
      <w:bookmarkEnd w:id="24"/>
      <w:bookmarkEnd w:id="25"/>
      <w:bookmarkEnd w:id="26"/>
      <w:bookmarkEnd w:id="27"/>
    </w:p>
    <w:tbl>
      <w:tblPr>
        <w:tblStyle w:val="42"/>
        <w:tblW w:w="8367"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978"/>
        <w:gridCol w:w="2409"/>
        <w:gridCol w:w="4980"/>
      </w:tblGrid>
      <w:tr w14:paraId="216E39F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14:paraId="4E65E139">
            <w:pPr>
              <w:jc w:val="center"/>
              <w:rPr>
                <w:rFonts w:ascii="宋体" w:hAnsi="宋体"/>
                <w:b/>
                <w:bCs/>
              </w:rPr>
            </w:pPr>
            <w:r>
              <w:rPr>
                <w:rFonts w:hint="eastAsia" w:ascii="宋体" w:hAnsi="宋体"/>
                <w:b/>
                <w:bCs/>
              </w:rPr>
              <w:t>通用条款序号</w:t>
            </w:r>
          </w:p>
        </w:tc>
        <w:tc>
          <w:tcPr>
            <w:tcW w:w="2409" w:type="dxa"/>
            <w:vAlign w:val="center"/>
          </w:tcPr>
          <w:p w14:paraId="11CE5807">
            <w:pPr>
              <w:jc w:val="center"/>
              <w:rPr>
                <w:rFonts w:ascii="宋体" w:hAnsi="宋体"/>
                <w:b/>
                <w:bCs/>
              </w:rPr>
            </w:pPr>
            <w:r>
              <w:rPr>
                <w:rFonts w:hint="eastAsia" w:ascii="宋体" w:hAnsi="宋体"/>
                <w:b/>
                <w:bCs/>
              </w:rPr>
              <w:t>涉及事项</w:t>
            </w:r>
          </w:p>
        </w:tc>
        <w:tc>
          <w:tcPr>
            <w:tcW w:w="4980" w:type="dxa"/>
            <w:vAlign w:val="center"/>
          </w:tcPr>
          <w:p w14:paraId="102BD002">
            <w:pPr>
              <w:jc w:val="center"/>
              <w:rPr>
                <w:rFonts w:ascii="宋体" w:hAnsi="宋体"/>
                <w:b/>
                <w:bCs/>
              </w:rPr>
            </w:pPr>
            <w:r>
              <w:rPr>
                <w:rFonts w:hint="eastAsia" w:ascii="宋体" w:hAnsi="宋体"/>
                <w:b/>
                <w:bCs/>
              </w:rPr>
              <w:t xml:space="preserve">具 </w:t>
            </w:r>
            <w:r>
              <w:rPr>
                <w:rFonts w:ascii="宋体" w:hAnsi="宋体"/>
                <w:b/>
                <w:bCs/>
              </w:rPr>
              <w:t xml:space="preserve"> </w:t>
            </w:r>
            <w:r>
              <w:rPr>
                <w:rFonts w:hint="eastAsia" w:ascii="宋体" w:hAnsi="宋体"/>
                <w:b/>
                <w:bCs/>
              </w:rPr>
              <w:t xml:space="preserve">体 </w:t>
            </w:r>
            <w:r>
              <w:rPr>
                <w:rFonts w:ascii="宋体" w:hAnsi="宋体"/>
                <w:b/>
                <w:bCs/>
              </w:rPr>
              <w:t xml:space="preserve"> </w:t>
            </w:r>
            <w:r>
              <w:rPr>
                <w:rFonts w:hint="eastAsia" w:ascii="宋体" w:hAnsi="宋体"/>
                <w:b/>
                <w:bCs/>
              </w:rPr>
              <w:t xml:space="preserve">补 </w:t>
            </w:r>
            <w:r>
              <w:rPr>
                <w:rFonts w:ascii="宋体" w:hAnsi="宋体"/>
                <w:b/>
                <w:bCs/>
              </w:rPr>
              <w:t xml:space="preserve"> </w:t>
            </w:r>
            <w:r>
              <w:rPr>
                <w:rFonts w:hint="eastAsia" w:ascii="宋体" w:hAnsi="宋体"/>
                <w:b/>
                <w:bCs/>
              </w:rPr>
              <w:t xml:space="preserve">充 </w:t>
            </w:r>
            <w:r>
              <w:rPr>
                <w:rFonts w:ascii="宋体" w:hAnsi="宋体"/>
                <w:b/>
                <w:bCs/>
              </w:rPr>
              <w:t xml:space="preserve"> </w:t>
            </w:r>
            <w:r>
              <w:rPr>
                <w:rFonts w:hint="eastAsia" w:ascii="宋体" w:hAnsi="宋体"/>
                <w:b/>
                <w:bCs/>
              </w:rPr>
              <w:t xml:space="preserve">内 </w:t>
            </w:r>
            <w:r>
              <w:rPr>
                <w:rFonts w:ascii="宋体" w:hAnsi="宋体"/>
                <w:b/>
                <w:bCs/>
              </w:rPr>
              <w:t xml:space="preserve"> </w:t>
            </w:r>
            <w:r>
              <w:rPr>
                <w:rFonts w:hint="eastAsia" w:ascii="宋体" w:hAnsi="宋体"/>
                <w:b/>
                <w:bCs/>
              </w:rPr>
              <w:t>容</w:t>
            </w:r>
          </w:p>
        </w:tc>
      </w:tr>
      <w:tr w14:paraId="590A05E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14:paraId="73BB43B6">
            <w:pPr>
              <w:jc w:val="center"/>
              <w:rPr>
                <w:rFonts w:ascii="宋体" w:hAnsi="宋体"/>
              </w:rPr>
            </w:pPr>
            <w:r>
              <w:rPr>
                <w:rFonts w:hint="eastAsia" w:ascii="宋体" w:hAnsi="宋体"/>
              </w:rPr>
              <w:t>3</w:t>
            </w:r>
            <w:r>
              <w:rPr>
                <w:rFonts w:ascii="宋体" w:hAnsi="宋体"/>
              </w:rPr>
              <w:t>.1</w:t>
            </w:r>
          </w:p>
        </w:tc>
        <w:tc>
          <w:tcPr>
            <w:tcW w:w="2409" w:type="dxa"/>
            <w:vAlign w:val="center"/>
          </w:tcPr>
          <w:p w14:paraId="62729E9D">
            <w:pPr>
              <w:jc w:val="center"/>
            </w:pPr>
            <w:r>
              <w:rPr>
                <w:rFonts w:hint="eastAsia"/>
              </w:rPr>
              <w:t>采购人</w:t>
            </w:r>
          </w:p>
        </w:tc>
        <w:tc>
          <w:tcPr>
            <w:tcW w:w="4980" w:type="dxa"/>
            <w:vAlign w:val="center"/>
          </w:tcPr>
          <w:p w14:paraId="0D8572C6">
            <w:pPr>
              <w:jc w:val="center"/>
              <w:rPr>
                <w:rFonts w:ascii="宋体" w:hAnsi="宋体"/>
              </w:rPr>
            </w:pPr>
            <w:r>
              <w:rPr>
                <w:rFonts w:hint="eastAsia" w:ascii="宋体" w:hAnsi="宋体" w:eastAsia="宋体" w:cs="Arial"/>
                <w:b/>
                <w:szCs w:val="21"/>
              </w:rPr>
              <w:t>深圳市宝安区公园管理中心</w:t>
            </w:r>
          </w:p>
        </w:tc>
      </w:tr>
      <w:tr w14:paraId="21917D5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14:paraId="4F6B702D">
            <w:pPr>
              <w:jc w:val="center"/>
              <w:rPr>
                <w:rFonts w:ascii="宋体" w:hAnsi="宋体"/>
              </w:rPr>
            </w:pPr>
            <w:r>
              <w:rPr>
                <w:rFonts w:hint="eastAsia" w:ascii="宋体" w:hAnsi="宋体"/>
              </w:rPr>
              <w:t>3</w:t>
            </w:r>
            <w:r>
              <w:rPr>
                <w:rFonts w:ascii="宋体" w:hAnsi="宋体"/>
              </w:rPr>
              <w:t>.2</w:t>
            </w:r>
          </w:p>
        </w:tc>
        <w:tc>
          <w:tcPr>
            <w:tcW w:w="2409" w:type="dxa"/>
            <w:vAlign w:val="center"/>
          </w:tcPr>
          <w:p w14:paraId="5EFE245C">
            <w:pPr>
              <w:jc w:val="center"/>
              <w:rPr>
                <w:rFonts w:ascii="宋体" w:hAnsi="宋体"/>
                <w:highlight w:val="none"/>
              </w:rPr>
            </w:pPr>
            <w:r>
              <w:rPr>
                <w:rFonts w:hint="eastAsia" w:ascii="宋体" w:hAnsi="宋体"/>
                <w:highlight w:val="none"/>
              </w:rPr>
              <w:t>政府集中采购机构</w:t>
            </w:r>
          </w:p>
        </w:tc>
        <w:tc>
          <w:tcPr>
            <w:tcW w:w="4980" w:type="dxa"/>
            <w:vAlign w:val="center"/>
          </w:tcPr>
          <w:p w14:paraId="518D5B22">
            <w:pPr>
              <w:jc w:val="center"/>
              <w:rPr>
                <w:rFonts w:hint="eastAsia" w:ascii="宋体" w:hAnsi="宋体"/>
                <w:highlight w:val="none"/>
              </w:rPr>
            </w:pPr>
            <w:r>
              <w:rPr>
                <w:rFonts w:hint="eastAsia" w:ascii="宋体" w:hAnsi="宋体"/>
                <w:highlight w:val="none"/>
              </w:rPr>
              <w:t>深圳公共资源交易中心</w:t>
            </w:r>
          </w:p>
          <w:p w14:paraId="3AC44EE4">
            <w:pPr>
              <w:jc w:val="center"/>
              <w:rPr>
                <w:rFonts w:ascii="宋体" w:hAnsi="宋体"/>
                <w:highlight w:val="none"/>
              </w:rPr>
            </w:pPr>
            <w:r>
              <w:rPr>
                <w:rFonts w:hint="eastAsia" w:ascii="宋体" w:hAnsi="宋体"/>
                <w:highlight w:val="none"/>
              </w:rPr>
              <w:t>（深圳交易集团有限公司</w:t>
            </w:r>
            <w:r>
              <w:rPr>
                <w:rFonts w:hint="eastAsia" w:ascii="宋体" w:hAnsi="宋体"/>
                <w:highlight w:val="none"/>
                <w:lang w:val="en-US" w:eastAsia="zh-CN"/>
              </w:rPr>
              <w:t>宝安</w:t>
            </w:r>
            <w:r>
              <w:rPr>
                <w:rFonts w:hint="eastAsia" w:ascii="宋体" w:hAnsi="宋体"/>
                <w:highlight w:val="none"/>
              </w:rPr>
              <w:t>分公司）</w:t>
            </w:r>
          </w:p>
        </w:tc>
      </w:tr>
      <w:tr w14:paraId="31A85DB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14:paraId="40B91629">
            <w:pPr>
              <w:jc w:val="center"/>
              <w:rPr>
                <w:rFonts w:ascii="宋体" w:hAnsi="宋体"/>
              </w:rPr>
            </w:pPr>
            <w:r>
              <w:rPr>
                <w:rFonts w:hint="eastAsia" w:ascii="宋体" w:hAnsi="宋体"/>
              </w:rPr>
              <w:t>9</w:t>
            </w:r>
          </w:p>
        </w:tc>
        <w:tc>
          <w:tcPr>
            <w:tcW w:w="2409" w:type="dxa"/>
            <w:vAlign w:val="center"/>
          </w:tcPr>
          <w:p w14:paraId="6401CEC1">
            <w:pPr>
              <w:jc w:val="center"/>
              <w:rPr>
                <w:rFonts w:ascii="宋体" w:hAnsi="宋体"/>
              </w:rPr>
            </w:pPr>
            <w:r>
              <w:rPr>
                <w:rFonts w:hint="eastAsia" w:ascii="宋体" w:hAnsi="宋体"/>
              </w:rPr>
              <w:t>踏勘现场</w:t>
            </w:r>
          </w:p>
        </w:tc>
        <w:tc>
          <w:tcPr>
            <w:tcW w:w="4980" w:type="dxa"/>
            <w:vAlign w:val="center"/>
          </w:tcPr>
          <w:p w14:paraId="02D4DD75">
            <w:pPr>
              <w:jc w:val="center"/>
              <w:rPr>
                <w:rFonts w:hint="eastAsia" w:ascii="宋体" w:hAnsi="宋体" w:eastAsia="宋体"/>
                <w:lang w:eastAsia="zh-CN"/>
              </w:rPr>
            </w:pPr>
            <w:r>
              <w:rPr>
                <w:rFonts w:hint="eastAsia"/>
                <w:lang w:val="en-US" w:eastAsia="zh-CN"/>
              </w:rPr>
              <w:t>不</w:t>
            </w:r>
            <w:r>
              <w:rPr>
                <w:rFonts w:hint="default"/>
                <w:lang w:val="en-US" w:eastAsia="zh-CN"/>
              </w:rPr>
              <w:t>组织</w:t>
            </w:r>
          </w:p>
        </w:tc>
      </w:tr>
      <w:tr w14:paraId="62DA41F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PrEx>
        <w:trPr>
          <w:cantSplit/>
          <w:trHeight w:val="20" w:hRule="atLeast"/>
          <w:jc w:val="center"/>
        </w:trPr>
        <w:tc>
          <w:tcPr>
            <w:tcW w:w="978" w:type="dxa"/>
            <w:vAlign w:val="center"/>
          </w:tcPr>
          <w:p w14:paraId="51CE76DF">
            <w:pPr>
              <w:jc w:val="center"/>
              <w:rPr>
                <w:rFonts w:ascii="宋体" w:hAnsi="宋体"/>
              </w:rPr>
            </w:pPr>
            <w:r>
              <w:rPr>
                <w:rFonts w:hint="eastAsia" w:ascii="宋体" w:hAnsi="宋体"/>
              </w:rPr>
              <w:t>1</w:t>
            </w:r>
            <w:r>
              <w:rPr>
                <w:rFonts w:ascii="宋体" w:hAnsi="宋体"/>
              </w:rPr>
              <w:t>0</w:t>
            </w:r>
          </w:p>
        </w:tc>
        <w:tc>
          <w:tcPr>
            <w:tcW w:w="2409" w:type="dxa"/>
            <w:vAlign w:val="center"/>
          </w:tcPr>
          <w:p w14:paraId="3F2CFAB6">
            <w:pPr>
              <w:jc w:val="center"/>
              <w:rPr>
                <w:rFonts w:ascii="宋体" w:hAnsi="宋体"/>
              </w:rPr>
            </w:pPr>
            <w:r>
              <w:rPr>
                <w:rFonts w:hint="eastAsia" w:ascii="宋体" w:hAnsi="宋体"/>
              </w:rPr>
              <w:t>标前会议</w:t>
            </w:r>
          </w:p>
        </w:tc>
        <w:tc>
          <w:tcPr>
            <w:tcW w:w="4980" w:type="dxa"/>
            <w:vAlign w:val="center"/>
          </w:tcPr>
          <w:p w14:paraId="1936D42D">
            <w:pPr>
              <w:jc w:val="center"/>
              <w:rPr>
                <w:rFonts w:ascii="宋体" w:hAnsi="宋体"/>
              </w:rPr>
            </w:pPr>
            <w:r>
              <w:rPr>
                <w:rFonts w:hint="eastAsia" w:ascii="宋体" w:hAnsi="宋体"/>
                <w:lang w:val="en-US" w:eastAsia="zh-CN"/>
              </w:rPr>
              <w:t>不组织</w:t>
            </w:r>
          </w:p>
        </w:tc>
      </w:tr>
      <w:tr w14:paraId="0A6A8D2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14:paraId="3C024DCF">
            <w:pPr>
              <w:jc w:val="center"/>
              <w:rPr>
                <w:rFonts w:ascii="宋体" w:hAnsi="宋体"/>
              </w:rPr>
            </w:pPr>
            <w:r>
              <w:rPr>
                <w:rFonts w:hint="eastAsia" w:ascii="宋体" w:hAnsi="宋体"/>
              </w:rPr>
              <w:t>1</w:t>
            </w:r>
            <w:r>
              <w:rPr>
                <w:rFonts w:ascii="宋体" w:hAnsi="宋体"/>
              </w:rPr>
              <w:t>2</w:t>
            </w:r>
            <w:r>
              <w:rPr>
                <w:rFonts w:hint="eastAsia" w:ascii="宋体" w:hAnsi="宋体"/>
              </w:rPr>
              <w:t>/1</w:t>
            </w:r>
            <w:r>
              <w:rPr>
                <w:rFonts w:ascii="宋体" w:hAnsi="宋体"/>
              </w:rPr>
              <w:t>3</w:t>
            </w:r>
          </w:p>
        </w:tc>
        <w:tc>
          <w:tcPr>
            <w:tcW w:w="2409" w:type="dxa"/>
            <w:vAlign w:val="center"/>
          </w:tcPr>
          <w:p w14:paraId="32FF5FAA">
            <w:pPr>
              <w:jc w:val="center"/>
              <w:rPr>
                <w:rFonts w:ascii="宋体" w:hAnsi="宋体"/>
                <w:highlight w:val="none"/>
              </w:rPr>
            </w:pPr>
            <w:r>
              <w:rPr>
                <w:rFonts w:hint="eastAsia" w:ascii="宋体" w:hAnsi="宋体"/>
                <w:highlight w:val="none"/>
              </w:rPr>
              <w:t>招标文件的澄清和修改</w:t>
            </w:r>
          </w:p>
        </w:tc>
        <w:tc>
          <w:tcPr>
            <w:tcW w:w="4980" w:type="dxa"/>
            <w:shd w:val="clear" w:color="auto" w:fill="auto"/>
            <w:vAlign w:val="center"/>
          </w:tcPr>
          <w:p w14:paraId="220B4224">
            <w:pPr>
              <w:jc w:val="center"/>
              <w:rPr>
                <w:rFonts w:ascii="宋体" w:hAnsi="宋体" w:eastAsia="宋体" w:cs="Times New Roman"/>
                <w:kern w:val="2"/>
                <w:sz w:val="21"/>
                <w:szCs w:val="24"/>
                <w:highlight w:val="none"/>
                <w:lang w:val="en-US" w:eastAsia="zh-CN" w:bidi="ar-SA"/>
              </w:rPr>
            </w:pPr>
            <w:r>
              <w:rPr>
                <w:rFonts w:hint="eastAsia" w:ascii="宋体" w:hAnsi="宋体"/>
                <w:highlight w:val="none"/>
              </w:rPr>
              <w:t>投标截止日三日前，投标人有义务在招标期间在政府集中采购机构网站浏览与本项目有关的澄清和修改信息</w:t>
            </w:r>
          </w:p>
        </w:tc>
      </w:tr>
      <w:tr w14:paraId="620FAB8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14:paraId="39F78F95">
            <w:pPr>
              <w:jc w:val="center"/>
              <w:rPr>
                <w:rFonts w:ascii="宋体" w:hAnsi="宋体"/>
              </w:rPr>
            </w:pPr>
            <w:r>
              <w:rPr>
                <w:rFonts w:hint="eastAsia" w:ascii="宋体" w:hAnsi="宋体"/>
              </w:rPr>
              <w:t>2</w:t>
            </w:r>
            <w:r>
              <w:rPr>
                <w:rFonts w:ascii="宋体" w:hAnsi="宋体"/>
              </w:rPr>
              <w:t>0</w:t>
            </w:r>
          </w:p>
        </w:tc>
        <w:tc>
          <w:tcPr>
            <w:tcW w:w="2409" w:type="dxa"/>
            <w:vAlign w:val="center"/>
          </w:tcPr>
          <w:p w14:paraId="5A03DFD8">
            <w:pPr>
              <w:jc w:val="center"/>
              <w:rPr>
                <w:rFonts w:ascii="宋体" w:hAnsi="宋体"/>
                <w:highlight w:val="none"/>
              </w:rPr>
            </w:pPr>
            <w:r>
              <w:rPr>
                <w:rFonts w:hint="eastAsia" w:ascii="宋体" w:hAnsi="宋体"/>
                <w:highlight w:val="none"/>
              </w:rPr>
              <w:t>投标有效期</w:t>
            </w:r>
          </w:p>
        </w:tc>
        <w:tc>
          <w:tcPr>
            <w:tcW w:w="4980" w:type="dxa"/>
            <w:shd w:val="clear" w:color="auto" w:fill="auto"/>
            <w:vAlign w:val="center"/>
          </w:tcPr>
          <w:p w14:paraId="30BFF304">
            <w:pPr>
              <w:jc w:val="center"/>
              <w:rPr>
                <w:rFonts w:ascii="宋体" w:hAnsi="宋体" w:eastAsia="宋体" w:cs="Times New Roman"/>
                <w:kern w:val="2"/>
                <w:sz w:val="21"/>
                <w:szCs w:val="24"/>
                <w:highlight w:val="none"/>
                <w:lang w:val="en-US" w:eastAsia="zh-CN" w:bidi="ar-SA"/>
              </w:rPr>
            </w:pPr>
            <w:r>
              <w:rPr>
                <w:rFonts w:hint="eastAsia" w:asciiTheme="minorEastAsia" w:hAnsiTheme="minorEastAsia" w:eastAsiaTheme="minorEastAsia"/>
                <w:highlight w:val="none"/>
              </w:rPr>
              <w:t>120个日历日</w:t>
            </w:r>
          </w:p>
        </w:tc>
      </w:tr>
      <w:tr w14:paraId="473CDD4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14:paraId="5A8BFAC4">
            <w:pPr>
              <w:jc w:val="center"/>
              <w:rPr>
                <w:rFonts w:ascii="宋体" w:hAnsi="宋体"/>
              </w:rPr>
            </w:pPr>
            <w:r>
              <w:rPr>
                <w:rFonts w:hint="eastAsia" w:ascii="宋体" w:hAnsi="宋体"/>
              </w:rPr>
              <w:t>2</w:t>
            </w:r>
            <w:r>
              <w:rPr>
                <w:rFonts w:ascii="宋体" w:hAnsi="宋体"/>
              </w:rPr>
              <w:t>2</w:t>
            </w:r>
          </w:p>
        </w:tc>
        <w:tc>
          <w:tcPr>
            <w:tcW w:w="2409" w:type="dxa"/>
            <w:vAlign w:val="center"/>
          </w:tcPr>
          <w:p w14:paraId="46BC8373">
            <w:pPr>
              <w:jc w:val="center"/>
              <w:rPr>
                <w:rFonts w:ascii="宋体" w:hAnsi="宋体"/>
                <w:highlight w:val="none"/>
              </w:rPr>
            </w:pPr>
            <w:r>
              <w:rPr>
                <w:rFonts w:hint="eastAsia" w:ascii="宋体" w:hAnsi="宋体"/>
                <w:highlight w:val="none"/>
              </w:rPr>
              <w:t>投标人的替代方案</w:t>
            </w:r>
          </w:p>
        </w:tc>
        <w:tc>
          <w:tcPr>
            <w:tcW w:w="4980" w:type="dxa"/>
            <w:shd w:val="clear" w:color="auto" w:fill="auto"/>
            <w:vAlign w:val="center"/>
          </w:tcPr>
          <w:p w14:paraId="70C409F6">
            <w:pPr>
              <w:jc w:val="center"/>
              <w:rPr>
                <w:rFonts w:ascii="宋体" w:hAnsi="宋体" w:eastAsia="宋体" w:cs="Times New Roman"/>
                <w:kern w:val="2"/>
                <w:sz w:val="21"/>
                <w:szCs w:val="24"/>
                <w:highlight w:val="none"/>
                <w:lang w:val="en-US" w:eastAsia="zh-CN" w:bidi="ar-SA"/>
              </w:rPr>
            </w:pPr>
            <w:r>
              <w:rPr>
                <w:rFonts w:hint="eastAsia" w:asciiTheme="minorEastAsia" w:hAnsiTheme="minorEastAsia" w:eastAsiaTheme="minorEastAsia"/>
                <w:highlight w:val="none"/>
              </w:rPr>
              <w:t>不接受</w:t>
            </w:r>
          </w:p>
        </w:tc>
      </w:tr>
      <w:tr w14:paraId="3DEEA72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14:paraId="6A6752A6">
            <w:pPr>
              <w:jc w:val="center"/>
              <w:rPr>
                <w:rFonts w:ascii="宋体" w:hAnsi="宋体"/>
              </w:rPr>
            </w:pPr>
            <w:r>
              <w:rPr>
                <w:rFonts w:hint="eastAsia" w:ascii="宋体" w:hAnsi="宋体"/>
              </w:rPr>
              <w:t>2</w:t>
            </w:r>
            <w:r>
              <w:rPr>
                <w:rFonts w:ascii="宋体" w:hAnsi="宋体"/>
              </w:rPr>
              <w:t>5</w:t>
            </w:r>
          </w:p>
        </w:tc>
        <w:tc>
          <w:tcPr>
            <w:tcW w:w="2409" w:type="dxa"/>
            <w:vAlign w:val="center"/>
          </w:tcPr>
          <w:p w14:paraId="026542C9">
            <w:pPr>
              <w:jc w:val="center"/>
              <w:rPr>
                <w:rFonts w:ascii="宋体" w:hAnsi="宋体"/>
                <w:highlight w:val="none"/>
              </w:rPr>
            </w:pPr>
            <w:r>
              <w:rPr>
                <w:rFonts w:hint="eastAsia" w:ascii="宋体" w:hAnsi="宋体"/>
                <w:highlight w:val="none"/>
              </w:rPr>
              <w:t>投标文件的大小</w:t>
            </w:r>
          </w:p>
        </w:tc>
        <w:tc>
          <w:tcPr>
            <w:tcW w:w="4980" w:type="dxa"/>
            <w:shd w:val="clear" w:color="auto" w:fill="auto"/>
            <w:vAlign w:val="center"/>
          </w:tcPr>
          <w:p w14:paraId="2D253339">
            <w:pPr>
              <w:jc w:val="center"/>
              <w:rPr>
                <w:rFonts w:ascii="宋体" w:hAnsi="宋体" w:eastAsia="宋体" w:cs="Times New Roman"/>
                <w:kern w:val="2"/>
                <w:sz w:val="21"/>
                <w:szCs w:val="24"/>
                <w:highlight w:val="none"/>
                <w:lang w:val="en-US" w:eastAsia="zh-CN" w:bidi="ar-SA"/>
              </w:rPr>
            </w:pPr>
            <w:r>
              <w:rPr>
                <w:rFonts w:hint="eastAsia" w:ascii="宋体" w:hAnsi="宋体"/>
                <w:highlight w:val="none"/>
              </w:rPr>
              <w:t>电子投标文件大小不得超过250MB</w:t>
            </w:r>
          </w:p>
        </w:tc>
      </w:tr>
      <w:tr w14:paraId="4EF2CFB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14:paraId="48BFCDB4">
            <w:pPr>
              <w:jc w:val="center"/>
              <w:rPr>
                <w:rFonts w:ascii="宋体" w:hAnsi="宋体"/>
              </w:rPr>
            </w:pPr>
            <w:r>
              <w:rPr>
                <w:rFonts w:hint="eastAsia" w:ascii="宋体" w:hAnsi="宋体"/>
              </w:rPr>
              <w:t>2</w:t>
            </w:r>
            <w:r>
              <w:rPr>
                <w:rFonts w:ascii="宋体" w:hAnsi="宋体"/>
              </w:rPr>
              <w:t>6</w:t>
            </w:r>
          </w:p>
        </w:tc>
        <w:tc>
          <w:tcPr>
            <w:tcW w:w="2409" w:type="dxa"/>
            <w:vAlign w:val="center"/>
          </w:tcPr>
          <w:p w14:paraId="52530E4A">
            <w:pPr>
              <w:jc w:val="center"/>
              <w:rPr>
                <w:rFonts w:ascii="宋体" w:hAnsi="宋体"/>
              </w:rPr>
            </w:pPr>
            <w:bookmarkStart w:id="28" w:name="_Hlk71664860"/>
            <w:r>
              <w:rPr>
                <w:rFonts w:hint="eastAsia" w:ascii="宋体" w:hAnsi="宋体"/>
              </w:rPr>
              <w:t>样品、现场演示、方案讲解</w:t>
            </w:r>
            <w:bookmarkEnd w:id="28"/>
          </w:p>
        </w:tc>
        <w:tc>
          <w:tcPr>
            <w:tcW w:w="4980" w:type="dxa"/>
            <w:vAlign w:val="center"/>
          </w:tcPr>
          <w:p w14:paraId="6210E6AF">
            <w:pPr>
              <w:jc w:val="center"/>
              <w:rPr>
                <w:rFonts w:ascii="宋体" w:hAnsi="宋体"/>
              </w:rPr>
            </w:pPr>
            <w:r>
              <w:rPr>
                <w:rFonts w:hint="eastAsia"/>
              </w:rPr>
              <w:t>如有样品、演示、方案讲解，具体安排见第三章 用户需求书相关要求</w:t>
            </w:r>
          </w:p>
        </w:tc>
      </w:tr>
      <w:tr w14:paraId="09CFF30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14:paraId="10F1C77C">
            <w:pPr>
              <w:jc w:val="center"/>
              <w:rPr>
                <w:rFonts w:ascii="宋体" w:hAnsi="宋体"/>
              </w:rPr>
            </w:pPr>
            <w:r>
              <w:rPr>
                <w:rFonts w:hint="eastAsia" w:ascii="宋体" w:hAnsi="宋体"/>
              </w:rPr>
              <w:t>3</w:t>
            </w:r>
            <w:r>
              <w:rPr>
                <w:rFonts w:ascii="宋体" w:hAnsi="宋体"/>
              </w:rPr>
              <w:t>7</w:t>
            </w:r>
          </w:p>
        </w:tc>
        <w:tc>
          <w:tcPr>
            <w:tcW w:w="2409" w:type="dxa"/>
            <w:vAlign w:val="center"/>
          </w:tcPr>
          <w:p w14:paraId="619755E3">
            <w:pPr>
              <w:jc w:val="center"/>
              <w:rPr>
                <w:rFonts w:ascii="宋体" w:hAnsi="宋体"/>
                <w:highlight w:val="none"/>
              </w:rPr>
            </w:pPr>
            <w:r>
              <w:rPr>
                <w:rFonts w:hint="eastAsia" w:ascii="宋体" w:hAnsi="宋体"/>
                <w:highlight w:val="none"/>
              </w:rPr>
              <w:t>评审方法</w:t>
            </w:r>
          </w:p>
        </w:tc>
        <w:tc>
          <w:tcPr>
            <w:tcW w:w="4980" w:type="dxa"/>
            <w:vAlign w:val="center"/>
          </w:tcPr>
          <w:p w14:paraId="0928D3AD">
            <w:pPr>
              <w:jc w:val="left"/>
              <w:rPr>
                <w:rFonts w:asciiTheme="minorEastAsia" w:hAnsiTheme="minorEastAsia" w:eastAsiaTheme="minorEastAsia"/>
                <w:highlight w:val="none"/>
              </w:rPr>
            </w:pPr>
            <w:r>
              <w:rPr>
                <w:rFonts w:hint="eastAsia" w:asciiTheme="minorEastAsia" w:hAnsiTheme="minorEastAsia" w:eastAsiaTheme="minorEastAsia"/>
                <w:highlight w:val="none"/>
              </w:rPr>
              <w:t>□ 最低价法</w:t>
            </w:r>
          </w:p>
          <w:p w14:paraId="2E1D8E20">
            <w:pPr>
              <w:jc w:val="left"/>
              <w:rPr>
                <w:rFonts w:ascii="宋体" w:hAnsi="宋体"/>
                <w:highlight w:val="none"/>
              </w:rPr>
            </w:pPr>
            <w:r>
              <w:rPr>
                <w:rFonts w:hint="eastAsia" w:ascii="MS Gothic" w:hAnsi="MS Gothic" w:cs="MS Gothic"/>
                <w:highlight w:val="none"/>
                <w:lang w:eastAsia="zh-CN"/>
              </w:rPr>
              <w:t>☑</w:t>
            </w:r>
            <w:r>
              <w:rPr>
                <w:rFonts w:hint="eastAsia" w:asciiTheme="minorEastAsia" w:hAnsiTheme="minorEastAsia" w:eastAsiaTheme="minorEastAsia"/>
                <w:highlight w:val="none"/>
              </w:rPr>
              <w:t xml:space="preserve"> 综合评分法</w:t>
            </w:r>
          </w:p>
        </w:tc>
      </w:tr>
      <w:tr w14:paraId="607276D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14:paraId="447DB6B8">
            <w:pPr>
              <w:jc w:val="center"/>
              <w:rPr>
                <w:rFonts w:ascii="宋体" w:hAnsi="宋体"/>
              </w:rPr>
            </w:pPr>
            <w:r>
              <w:rPr>
                <w:rFonts w:hint="eastAsia" w:ascii="宋体" w:hAnsi="宋体"/>
              </w:rPr>
              <w:t>3</w:t>
            </w:r>
            <w:r>
              <w:rPr>
                <w:rFonts w:ascii="宋体" w:hAnsi="宋体"/>
              </w:rPr>
              <w:t>8</w:t>
            </w:r>
          </w:p>
        </w:tc>
        <w:tc>
          <w:tcPr>
            <w:tcW w:w="2409" w:type="dxa"/>
            <w:vAlign w:val="center"/>
          </w:tcPr>
          <w:p w14:paraId="3F1DD90B">
            <w:pPr>
              <w:jc w:val="center"/>
              <w:rPr>
                <w:rFonts w:ascii="宋体" w:hAnsi="宋体"/>
                <w:highlight w:val="none"/>
              </w:rPr>
            </w:pPr>
            <w:r>
              <w:rPr>
                <w:rFonts w:hint="eastAsia" w:ascii="宋体" w:hAnsi="宋体"/>
                <w:highlight w:val="none"/>
              </w:rPr>
              <w:t>是否为评定分离</w:t>
            </w:r>
          </w:p>
        </w:tc>
        <w:tc>
          <w:tcPr>
            <w:tcW w:w="4980" w:type="dxa"/>
            <w:vAlign w:val="center"/>
          </w:tcPr>
          <w:p w14:paraId="2515E1B6">
            <w:pPr>
              <w:jc w:val="left"/>
              <w:rPr>
                <w:rFonts w:hint="eastAsia" w:asciiTheme="minorEastAsia" w:hAnsiTheme="minorEastAsia" w:eastAsiaTheme="minorEastAsia"/>
                <w:highlight w:val="none"/>
                <w:lang w:val="en-US" w:eastAsia="zh-CN"/>
              </w:rPr>
            </w:pPr>
            <w:r>
              <w:rPr>
                <w:rFonts w:hint="eastAsia" w:asciiTheme="minorEastAsia" w:hAnsiTheme="minorEastAsia" w:eastAsiaTheme="minorEastAsia"/>
                <w:highlight w:val="none"/>
                <w:lang w:eastAsia="zh-CN"/>
              </w:rPr>
              <w:t>□</w:t>
            </w:r>
            <w:r>
              <w:rPr>
                <w:rFonts w:hint="eastAsia" w:asciiTheme="minorEastAsia" w:hAnsiTheme="minorEastAsia" w:eastAsiaTheme="minorEastAsia"/>
                <w:highlight w:val="none"/>
              </w:rPr>
              <w:t xml:space="preserve"> 非评定分离</w:t>
            </w:r>
            <w:r>
              <w:rPr>
                <w:rFonts w:hint="eastAsia" w:asciiTheme="minorEastAsia" w:hAnsiTheme="minorEastAsia" w:eastAsiaTheme="minorEastAsia"/>
                <w:highlight w:val="none"/>
                <w:lang w:eastAsia="zh-CN"/>
              </w:rPr>
              <w:t>。</w:t>
            </w:r>
          </w:p>
          <w:p w14:paraId="2963352A">
            <w:pPr>
              <w:rPr>
                <w:rFonts w:hint="eastAsia" w:eastAsia="宋体"/>
                <w:highlight w:val="none"/>
                <w:lang w:eastAsia="zh-CN"/>
              </w:rPr>
            </w:pPr>
            <w:r>
              <w:rPr>
                <w:rFonts w:hint="eastAsia" w:asciiTheme="minorEastAsia" w:hAnsiTheme="minorEastAsia" w:eastAsiaTheme="minorEastAsia"/>
                <w:highlight w:val="none"/>
                <w:lang w:eastAsia="zh-CN"/>
              </w:rPr>
              <w:t>☑</w:t>
            </w:r>
            <w:r>
              <w:rPr>
                <w:rFonts w:hint="eastAsia" w:asciiTheme="minorEastAsia" w:hAnsiTheme="minorEastAsia" w:eastAsiaTheme="minorEastAsia"/>
                <w:highlight w:val="none"/>
              </w:rPr>
              <w:t xml:space="preserve"> 评定分离</w:t>
            </w:r>
            <w:r>
              <w:rPr>
                <w:rFonts w:hint="eastAsia"/>
                <w:lang w:eastAsia="zh-CN"/>
              </w:rPr>
              <w:t>，</w:t>
            </w:r>
          </w:p>
          <w:p w14:paraId="7B3631DB">
            <w:pPr>
              <w:jc w:val="left"/>
              <w:rPr>
                <w:rFonts w:ascii="宋体" w:hAnsi="宋体"/>
                <w:highlight w:val="none"/>
              </w:rPr>
            </w:pPr>
            <w:r>
              <w:rPr>
                <w:rFonts w:hint="eastAsia" w:asciiTheme="minorEastAsia" w:hAnsiTheme="minorEastAsia" w:eastAsiaTheme="minorEastAsia"/>
                <w:highlight w:val="none"/>
              </w:rPr>
              <w:t>本项目推荐的候选中标供应商不进行排名，且中标（成交）结果信息公示内容仅公示候选中标供应商名单，不公示得分和排名。</w:t>
            </w:r>
          </w:p>
        </w:tc>
      </w:tr>
      <w:tr w14:paraId="6AF86E0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14:paraId="08CD3A0E">
            <w:pPr>
              <w:jc w:val="center"/>
              <w:rPr>
                <w:rFonts w:ascii="宋体" w:hAnsi="宋体"/>
              </w:rPr>
            </w:pPr>
            <w:r>
              <w:rPr>
                <w:rFonts w:hint="eastAsia" w:ascii="宋体" w:hAnsi="宋体"/>
              </w:rPr>
              <w:t>4</w:t>
            </w:r>
            <w:r>
              <w:rPr>
                <w:rFonts w:ascii="宋体" w:hAnsi="宋体"/>
              </w:rPr>
              <w:t>6</w:t>
            </w:r>
          </w:p>
        </w:tc>
        <w:tc>
          <w:tcPr>
            <w:tcW w:w="2409" w:type="dxa"/>
            <w:vAlign w:val="center"/>
          </w:tcPr>
          <w:p w14:paraId="44AD6308">
            <w:pPr>
              <w:jc w:val="center"/>
              <w:rPr>
                <w:rFonts w:ascii="宋体" w:hAnsi="宋体"/>
                <w:highlight w:val="none"/>
              </w:rPr>
            </w:pPr>
            <w:r>
              <w:rPr>
                <w:rFonts w:hint="eastAsia" w:ascii="宋体" w:hAnsi="宋体"/>
                <w:highlight w:val="none"/>
              </w:rPr>
              <w:t>履约担保</w:t>
            </w:r>
          </w:p>
        </w:tc>
        <w:tc>
          <w:tcPr>
            <w:tcW w:w="4980" w:type="dxa"/>
            <w:vAlign w:val="center"/>
          </w:tcPr>
          <w:p w14:paraId="6FB7CD25">
            <w:pPr>
              <w:jc w:val="left"/>
              <w:rPr>
                <w:rFonts w:hint="eastAsia" w:ascii="宋体" w:hAnsi="宋体"/>
                <w:highlight w:val="none"/>
              </w:rPr>
            </w:pPr>
            <w:r>
              <w:rPr>
                <w:rFonts w:hint="eastAsia" w:ascii="宋体" w:hAnsi="宋体"/>
                <w:highlight w:val="none"/>
                <w:lang w:eastAsia="zh-CN"/>
              </w:rPr>
              <w:t>□</w:t>
            </w:r>
            <w:r>
              <w:rPr>
                <w:rFonts w:hint="eastAsia" w:ascii="宋体" w:hAnsi="宋体"/>
                <w:highlight w:val="none"/>
              </w:rPr>
              <w:t xml:space="preserve"> 不需要</w:t>
            </w:r>
          </w:p>
          <w:p w14:paraId="1FD171CE">
            <w:pPr>
              <w:jc w:val="left"/>
              <w:rPr>
                <w:rFonts w:hint="eastAsia" w:ascii="宋体" w:hAnsi="宋体"/>
                <w:highlight w:val="yellow"/>
              </w:rPr>
            </w:pPr>
            <w:r>
              <w:rPr>
                <w:rFonts w:hint="eastAsia" w:ascii="宋体" w:hAnsi="宋体"/>
                <w:highlight w:val="none"/>
                <w:lang w:eastAsia="zh-CN"/>
              </w:rPr>
              <w:t>☑</w:t>
            </w:r>
            <w:r>
              <w:rPr>
                <w:rFonts w:hint="eastAsia" w:ascii="宋体" w:hAnsi="宋体"/>
                <w:highlight w:val="none"/>
              </w:rPr>
              <w:t xml:space="preserve"> </w:t>
            </w:r>
            <w:r>
              <w:rPr>
                <w:rFonts w:hint="eastAsia" w:ascii="宋体" w:hAnsi="宋体"/>
                <w:highlight w:val="yellow"/>
              </w:rPr>
              <w:t>需要，自签订合同日起30天内，中标单位须向采购单位以非现金的方式（建议提供由银行出具的履约保函）提交履约保证金（金额为合同总价款5%的），作为履行合同的保证金，保障合同的顺畅稳定履约，直至合同终止。若中标单位未按要求提履约保证金，采购单位有权按合同约定追究中标单位的违约责任。中标单位服务期满，服务全部移交完毕并经采购单位考核验收后30个日历天内，采购单位将履约保证金予以退还；因中标单位原因导致合同被解除的，中标单位除承担相关违约责任外，采购单位有权将履约保证金提取至采购单位指定账户。</w:t>
            </w:r>
          </w:p>
          <w:p w14:paraId="2699F8B0">
            <w:pPr>
              <w:jc w:val="left"/>
              <w:rPr>
                <w:rFonts w:hint="eastAsia" w:ascii="宋体" w:hAnsi="宋体"/>
                <w:highlight w:val="yellow"/>
              </w:rPr>
            </w:pPr>
            <w:r>
              <w:rPr>
                <w:rFonts w:hint="eastAsia" w:ascii="宋体" w:hAnsi="宋体"/>
                <w:highlight w:val="yellow"/>
                <w:lang w:val="en-US" w:eastAsia="zh-CN"/>
              </w:rPr>
              <w:t>1.</w:t>
            </w:r>
            <w:r>
              <w:rPr>
                <w:rFonts w:hint="eastAsia" w:ascii="宋体" w:hAnsi="宋体"/>
                <w:highlight w:val="yellow"/>
              </w:rPr>
              <w:t>合同期满、管理任务完成，验收移交、并安置好员工后，招标人无息退回履约保证金。</w:t>
            </w:r>
          </w:p>
          <w:p w14:paraId="2948FE7E">
            <w:pPr>
              <w:jc w:val="left"/>
              <w:rPr>
                <w:rFonts w:hint="eastAsia" w:ascii="宋体" w:hAnsi="宋体"/>
                <w:highlight w:val="yellow"/>
              </w:rPr>
            </w:pPr>
            <w:r>
              <w:rPr>
                <w:rFonts w:hint="eastAsia" w:ascii="宋体" w:hAnsi="宋体"/>
                <w:highlight w:val="yellow"/>
                <w:lang w:val="en-US" w:eastAsia="zh-CN"/>
              </w:rPr>
              <w:t>2.</w:t>
            </w:r>
            <w:r>
              <w:rPr>
                <w:rFonts w:hint="eastAsia" w:ascii="宋体" w:hAnsi="宋体"/>
                <w:highlight w:val="yellow"/>
              </w:rPr>
              <w:t>投标单位未严格履行合同，按期保质保量完成服务，除承担相关责任外，采购单位有权没收全部合同履约保证金。</w:t>
            </w:r>
          </w:p>
          <w:p w14:paraId="2A2889A5">
            <w:pPr>
              <w:jc w:val="left"/>
              <w:rPr>
                <w:rFonts w:hint="eastAsia" w:ascii="宋体" w:hAnsi="宋体"/>
                <w:highlight w:val="yellow"/>
              </w:rPr>
            </w:pPr>
            <w:r>
              <w:rPr>
                <w:rFonts w:hint="eastAsia" w:ascii="宋体" w:hAnsi="宋体"/>
                <w:highlight w:val="yellow"/>
              </w:rPr>
              <w:t>3.在发生履约保证金被支取的情况时，中标单位应在10天内补足履约保函。未补足的，采购单位有权废除中标单位中标结果或单方解除合同，并由主管部门按有关规定予以处罚。</w:t>
            </w:r>
          </w:p>
          <w:p w14:paraId="436563FC">
            <w:pPr>
              <w:jc w:val="left"/>
              <w:rPr>
                <w:rFonts w:hint="eastAsia" w:ascii="宋体" w:hAnsi="宋体"/>
                <w:highlight w:val="yellow"/>
              </w:rPr>
            </w:pPr>
            <w:r>
              <w:rPr>
                <w:rFonts w:hint="eastAsia" w:ascii="宋体" w:hAnsi="宋体"/>
                <w:highlight w:val="yellow"/>
                <w:lang w:val="en-US" w:eastAsia="zh-CN"/>
              </w:rPr>
              <w:t>4.</w:t>
            </w:r>
            <w:r>
              <w:rPr>
                <w:rFonts w:hint="eastAsia" w:ascii="宋体" w:hAnsi="宋体"/>
                <w:highlight w:val="yellow"/>
              </w:rPr>
              <w:t>当发生支取履约保证金时，中标单位应配合采购单位办理履约保证金的支取事宜，如履约保证金无法支取或支取金额不足以支付相关费用的，中标单位应支付、补足上述费用。</w:t>
            </w:r>
          </w:p>
          <w:p w14:paraId="4B59AAF2">
            <w:pPr>
              <w:pStyle w:val="2"/>
              <w:ind w:firstLine="0"/>
            </w:pPr>
            <w:r>
              <w:rPr>
                <w:rFonts w:hint="eastAsia" w:ascii="宋体" w:hAnsi="宋体"/>
                <w:highlight w:val="yellow"/>
                <w:lang w:val="en-US" w:eastAsia="zh-CN"/>
              </w:rPr>
              <w:t>5.</w:t>
            </w:r>
            <w:r>
              <w:rPr>
                <w:rFonts w:hint="eastAsia" w:ascii="宋体" w:hAnsi="宋体"/>
                <w:highlight w:val="yellow"/>
              </w:rPr>
              <w:t>采购人逾期退还履约保证金的，向中标人每日偿付履约保证金的0.1‰的利息。因中标人原因而未能达到本项目验收标准或验收不通过的，履约保证金不予退还。</w:t>
            </w:r>
          </w:p>
        </w:tc>
      </w:tr>
    </w:tbl>
    <w:p w14:paraId="0812DACC">
      <w:pPr>
        <w:rPr>
          <w:b/>
        </w:rPr>
      </w:pPr>
      <w:r>
        <w:rPr>
          <w:rFonts w:hint="eastAsia"/>
          <w:szCs w:val="21"/>
        </w:rPr>
        <w:t>备注：本表是通用条款相关条款的补充和明确，如与通用条款内容相冲突的，以本表为准。</w:t>
      </w:r>
    </w:p>
    <w:p w14:paraId="21A3C58F">
      <w:pPr>
        <w:rPr>
          <w:b/>
        </w:rPr>
      </w:pPr>
    </w:p>
    <w:p w14:paraId="6E0915CE">
      <w:pPr>
        <w:pStyle w:val="5"/>
        <w:spacing w:before="120" w:beforeLines="50" w:after="120" w:afterLines="50"/>
        <w:rPr>
          <w:szCs w:val="24"/>
        </w:rPr>
      </w:pPr>
      <w:r>
        <w:rPr>
          <w:rFonts w:hint="eastAsia"/>
          <w:szCs w:val="24"/>
        </w:rPr>
        <w:t>二、其他关键信息</w:t>
      </w:r>
    </w:p>
    <w:p w14:paraId="0755111A">
      <w:pPr>
        <w:ind w:firstLine="422" w:firstLineChars="200"/>
        <w:rPr>
          <w:b/>
          <w:bCs/>
        </w:rPr>
      </w:pPr>
      <w:r>
        <w:rPr>
          <w:rFonts w:hint="eastAsia"/>
          <w:b/>
          <w:bCs/>
        </w:rPr>
        <w:t>（一）与“对通用条款的补充内容”章节相关的事项</w:t>
      </w:r>
    </w:p>
    <w:p w14:paraId="6101345D">
      <w:pPr>
        <w:spacing w:line="276" w:lineRule="auto"/>
        <w:ind w:firstLine="422" w:firstLineChars="200"/>
        <w:jc w:val="left"/>
        <w:rPr>
          <w:rFonts w:asciiTheme="minorEastAsia" w:hAnsiTheme="minorEastAsia" w:eastAsiaTheme="minorEastAsia"/>
          <w:b/>
          <w:kern w:val="0"/>
          <w:szCs w:val="20"/>
        </w:rPr>
      </w:pPr>
      <w:bookmarkStart w:id="29" w:name="_Hlk72579465"/>
      <w:r>
        <w:rPr>
          <w:rFonts w:hint="eastAsia" w:asciiTheme="minorEastAsia" w:hAnsiTheme="minorEastAsia" w:eastAsiaTheme="minorEastAsia"/>
          <w:b/>
          <w:kern w:val="0"/>
          <w:szCs w:val="20"/>
          <w:lang w:eastAsia="zh-CN"/>
        </w:rPr>
        <w:t>1.</w:t>
      </w:r>
      <w:r>
        <w:rPr>
          <w:rFonts w:hint="eastAsia" w:asciiTheme="minorEastAsia" w:hAnsiTheme="minorEastAsia" w:eastAsiaTheme="minorEastAsia"/>
          <w:b/>
          <w:kern w:val="0"/>
          <w:szCs w:val="20"/>
        </w:rPr>
        <w:t>评标定标信息</w:t>
      </w:r>
    </w:p>
    <w:p w14:paraId="6C5F05CD">
      <w:pPr>
        <w:pStyle w:val="36"/>
      </w:pPr>
    </w:p>
    <w:p w14:paraId="6D6715DD">
      <w:pPr>
        <w:jc w:val="center"/>
        <w:rPr>
          <w:b/>
        </w:rPr>
      </w:pPr>
      <w:r>
        <w:rPr>
          <w:rFonts w:hint="eastAsia"/>
          <w:b/>
        </w:rPr>
        <w:t>评定分离项目</w:t>
      </w:r>
    </w:p>
    <w:tbl>
      <w:tblPr>
        <w:tblStyle w:val="43"/>
        <w:tblW w:w="852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32"/>
        <w:gridCol w:w="4397"/>
      </w:tblGrid>
      <w:tr w14:paraId="4C6AC0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32" w:type="dxa"/>
          </w:tcPr>
          <w:p w14:paraId="253B8E92">
            <w:pPr>
              <w:jc w:val="center"/>
            </w:pPr>
            <w:r>
              <w:rPr>
                <w:rFonts w:hint="eastAsia"/>
              </w:rPr>
              <w:t>评标方法</w:t>
            </w:r>
          </w:p>
        </w:tc>
        <w:tc>
          <w:tcPr>
            <w:tcW w:w="4397" w:type="dxa"/>
          </w:tcPr>
          <w:p w14:paraId="4B82EF5F">
            <w:pPr>
              <w:jc w:val="center"/>
            </w:pPr>
            <w:r>
              <w:rPr>
                <w:rFonts w:hint="eastAsia"/>
              </w:rPr>
              <w:t>综合评分法</w:t>
            </w:r>
          </w:p>
        </w:tc>
      </w:tr>
      <w:tr w14:paraId="30E4AC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32" w:type="dxa"/>
          </w:tcPr>
          <w:p w14:paraId="5CCDB1EB">
            <w:pPr>
              <w:jc w:val="center"/>
            </w:pPr>
            <w:r>
              <w:rPr>
                <w:rFonts w:hint="eastAsia"/>
              </w:rPr>
              <w:t>定标方法</w:t>
            </w:r>
          </w:p>
        </w:tc>
        <w:tc>
          <w:tcPr>
            <w:tcW w:w="4397" w:type="dxa"/>
          </w:tcPr>
          <w:p w14:paraId="12329646">
            <w:pPr>
              <w:jc w:val="center"/>
            </w:pPr>
            <w:r>
              <w:rPr>
                <w:rFonts w:hint="eastAsia"/>
              </w:rPr>
              <w:t>自定法</w:t>
            </w:r>
          </w:p>
        </w:tc>
      </w:tr>
      <w:tr w14:paraId="182F81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32" w:type="dxa"/>
          </w:tcPr>
          <w:p w14:paraId="17EA55F6">
            <w:pPr>
              <w:jc w:val="center"/>
            </w:pPr>
            <w:r>
              <w:rPr>
                <w:rFonts w:hint="eastAsia"/>
              </w:rPr>
              <w:t>推荐候选中标供应商家数</w:t>
            </w:r>
          </w:p>
        </w:tc>
        <w:tc>
          <w:tcPr>
            <w:tcW w:w="4397" w:type="dxa"/>
          </w:tcPr>
          <w:p w14:paraId="03294038">
            <w:pPr>
              <w:jc w:val="center"/>
            </w:pPr>
            <w:r>
              <w:rPr>
                <w:rFonts w:hint="eastAsia"/>
              </w:rPr>
              <w:t>3</w:t>
            </w:r>
          </w:p>
        </w:tc>
      </w:tr>
      <w:tr w14:paraId="79F6C4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32" w:type="dxa"/>
          </w:tcPr>
          <w:p w14:paraId="4BD110E5">
            <w:pPr>
              <w:jc w:val="center"/>
            </w:pPr>
            <w:r>
              <w:rPr>
                <w:rFonts w:hint="eastAsia"/>
              </w:rPr>
              <w:t>中标供应商家数</w:t>
            </w:r>
          </w:p>
        </w:tc>
        <w:tc>
          <w:tcPr>
            <w:tcW w:w="4397" w:type="dxa"/>
          </w:tcPr>
          <w:p w14:paraId="2147139E">
            <w:pPr>
              <w:jc w:val="center"/>
            </w:pPr>
            <w:r>
              <w:rPr>
                <w:rFonts w:hint="eastAsia"/>
              </w:rPr>
              <w:t>1</w:t>
            </w:r>
          </w:p>
        </w:tc>
      </w:tr>
      <w:bookmarkEnd w:id="29"/>
    </w:tbl>
    <w:p w14:paraId="41A1E2A9">
      <w:pPr>
        <w:ind w:firstLine="422" w:firstLineChars="200"/>
        <w:rPr>
          <w:rFonts w:ascii="宋体" w:hAnsi="宋体"/>
          <w:b/>
        </w:rPr>
      </w:pPr>
    </w:p>
    <w:p w14:paraId="1515C352">
      <w:pPr>
        <w:ind w:firstLine="422" w:firstLineChars="200"/>
        <w:rPr>
          <w:rFonts w:hint="default" w:eastAsia="宋体"/>
          <w:b/>
          <w:lang w:val="en-US" w:eastAsia="zh-CN"/>
        </w:rPr>
      </w:pPr>
      <w:r>
        <w:rPr>
          <w:rFonts w:hint="eastAsia"/>
          <w:b/>
        </w:rPr>
        <w:t>（二）</w:t>
      </w:r>
      <w:r>
        <w:rPr>
          <w:rFonts w:hint="eastAsia"/>
          <w:b/>
          <w:lang w:val="en-US" w:eastAsia="zh-CN"/>
        </w:rPr>
        <w:t>政府采购政策的有关事项说明</w:t>
      </w:r>
    </w:p>
    <w:p w14:paraId="51B0AB95">
      <w:pPr>
        <w:ind w:firstLine="422" w:firstLineChars="200"/>
        <w:rPr>
          <w:rFonts w:hint="default" w:eastAsia="宋体"/>
          <w:b/>
          <w:bCs/>
          <w:lang w:val="en-US" w:eastAsia="zh-CN"/>
        </w:rPr>
      </w:pPr>
      <w:r>
        <w:rPr>
          <w:rFonts w:hint="eastAsia"/>
          <w:b/>
          <w:bCs/>
          <w:lang w:eastAsia="zh-CN"/>
        </w:rPr>
        <w:t>1.</w:t>
      </w:r>
      <w:r>
        <w:rPr>
          <w:rFonts w:hint="eastAsia"/>
          <w:b/>
          <w:bCs/>
          <w:lang w:val="en-US" w:eastAsia="zh-CN"/>
        </w:rPr>
        <w:t>关于享受中小企业扶持</w:t>
      </w:r>
      <w:r>
        <w:rPr>
          <w:rFonts w:hint="eastAsia"/>
          <w:b/>
          <w:bCs/>
        </w:rPr>
        <w:t>政策的主体</w:t>
      </w:r>
      <w:r>
        <w:rPr>
          <w:rFonts w:hint="eastAsia"/>
          <w:b/>
          <w:bCs/>
          <w:lang w:eastAsia="zh-CN"/>
        </w:rPr>
        <w:t>、</w:t>
      </w:r>
      <w:r>
        <w:rPr>
          <w:rFonts w:hint="eastAsia"/>
          <w:b/>
          <w:bCs/>
        </w:rPr>
        <w:t>价格扣除比例</w:t>
      </w:r>
      <w:r>
        <w:rPr>
          <w:rFonts w:hint="eastAsia"/>
          <w:b/>
          <w:bCs/>
          <w:lang w:val="en-US" w:eastAsia="zh-CN"/>
        </w:rPr>
        <w:t>及采购标的所属行业等事项的说明</w:t>
      </w:r>
    </w:p>
    <w:p w14:paraId="51565806">
      <w:pPr>
        <w:ind w:firstLine="630" w:firstLineChars="300"/>
        <w:rPr>
          <w:rFonts w:hint="eastAsia"/>
          <w:lang w:val="en-US" w:eastAsia="zh-CN"/>
        </w:rPr>
      </w:pPr>
      <w:r>
        <w:rPr>
          <w:rFonts w:hint="eastAsia"/>
          <w:lang w:eastAsia="zh-CN"/>
        </w:rPr>
        <w:t>（</w:t>
      </w:r>
      <w:r>
        <w:rPr>
          <w:rFonts w:hint="eastAsia"/>
          <w:lang w:val="en-US" w:eastAsia="zh-CN"/>
        </w:rPr>
        <w:t>1</w:t>
      </w:r>
      <w:r>
        <w:rPr>
          <w:rFonts w:hint="eastAsia"/>
          <w:lang w:eastAsia="zh-CN"/>
        </w:rPr>
        <w:t>）</w:t>
      </w:r>
      <w:r>
        <w:rPr>
          <w:rFonts w:hint="eastAsia"/>
          <w:lang w:val="en-US" w:eastAsia="zh-CN"/>
        </w:rPr>
        <w:t>适用主体：中型企业、小型、微型企业（</w:t>
      </w:r>
      <w:r>
        <w:rPr>
          <w:rFonts w:hint="eastAsia" w:ascii="Times New Roman" w:hAnsi="Times New Roman" w:eastAsia="宋体" w:cs="Times New Roman"/>
          <w:i w:val="0"/>
          <w:iCs w:val="0"/>
          <w:caps w:val="0"/>
          <w:spacing w:val="0"/>
          <w:sz w:val="21"/>
          <w:szCs w:val="24"/>
          <w:shd w:val="clear" w:color="auto" w:fill="auto"/>
        </w:rPr>
        <w:t>残疾人福利性单位视同小型、微型企业</w:t>
      </w:r>
      <w:r>
        <w:rPr>
          <w:rFonts w:hint="eastAsia" w:cs="Times New Roman"/>
          <w:i w:val="0"/>
          <w:iCs w:val="0"/>
          <w:caps w:val="0"/>
          <w:spacing w:val="0"/>
          <w:sz w:val="21"/>
          <w:szCs w:val="24"/>
          <w:shd w:val="clear" w:color="auto" w:fill="auto"/>
          <w:lang w:eastAsia="zh-CN"/>
        </w:rPr>
        <w:t>；</w:t>
      </w:r>
      <w:r>
        <w:rPr>
          <w:rFonts w:hint="eastAsia" w:ascii="Times New Roman" w:hAnsi="Times New Roman" w:eastAsia="宋体" w:cs="Times New Roman"/>
          <w:i w:val="0"/>
          <w:iCs w:val="0"/>
          <w:caps w:val="0"/>
          <w:spacing w:val="0"/>
          <w:sz w:val="21"/>
          <w:szCs w:val="24"/>
          <w:shd w:val="clear" w:color="auto" w:fill="auto"/>
        </w:rPr>
        <w:t>监狱企业视同小型、微型企业</w:t>
      </w:r>
      <w:r>
        <w:rPr>
          <w:rFonts w:hint="eastAsia"/>
          <w:lang w:val="en-US" w:eastAsia="zh-CN"/>
        </w:rPr>
        <w:t>）。接受联合体的项目，供应商以联合体形式参加政府采购活动，联合体各方均为中小企业的，联合体视同中小企业。其中，联合体各方均为小微企业的，联合体视同小微企业。</w:t>
      </w:r>
    </w:p>
    <w:p w14:paraId="2BCED37B">
      <w:pPr>
        <w:ind w:firstLine="420" w:firstLineChars="200"/>
        <w:rPr>
          <w:rFonts w:hint="eastAsia"/>
        </w:rPr>
      </w:pPr>
      <w:r>
        <w:rPr>
          <w:rFonts w:hint="eastAsia"/>
          <w:lang w:val="en-US" w:eastAsia="zh-CN"/>
        </w:rPr>
        <w:t>备注：</w:t>
      </w:r>
      <w:r>
        <w:rPr>
          <w:rFonts w:hint="eastAsia"/>
        </w:rPr>
        <w:t>(</w:t>
      </w:r>
      <w:r>
        <w:rPr>
          <w:rFonts w:hint="eastAsia"/>
          <w:lang w:val="en-US" w:eastAsia="zh-CN"/>
        </w:rPr>
        <w:t>a</w:t>
      </w:r>
      <w:r>
        <w:t>)</w:t>
      </w:r>
      <w:r>
        <w:rPr>
          <w:rFonts w:hint="eastAsia"/>
        </w:rPr>
        <w:t>中小企业是指在中华人民共和国境内依法设立，依据国务院批准的中小企业划分标准确定的中型企业、小型企业、微型企业，但与大企业的负责人为同一人，或者与大企业存在直接控股、管理关系的除外；符合中小企业划分标准的个体工商户，在政府采购活动中视同中小企业；(</w:t>
      </w:r>
      <w:r>
        <w:t>b</w:t>
      </w:r>
      <w:r>
        <w:rPr>
          <w:rFonts w:hint="eastAsia" w:ascii="Calibri" w:hAnsi="Calibri" w:eastAsia="宋体" w:cs="Times New Roman"/>
          <w:sz w:val="21"/>
          <w:szCs w:val="22"/>
        </w:rPr>
        <w:t>在货物采购项目中，货物由中小企业制造，即货物由中小企业生产且使用该中小企业商号或者注册商标</w:t>
      </w:r>
      <w:r>
        <w:rPr>
          <w:rFonts w:hint="eastAsia" w:cs="Times New Roman"/>
          <w:sz w:val="21"/>
          <w:szCs w:val="22"/>
          <w:lang w:eastAsia="zh-CN"/>
        </w:rPr>
        <w:t>（</w:t>
      </w:r>
      <w:r>
        <w:rPr>
          <w:rFonts w:hint="eastAsia" w:cs="Times New Roman"/>
          <w:sz w:val="21"/>
          <w:szCs w:val="22"/>
          <w:lang w:val="en-US" w:eastAsia="zh-CN"/>
        </w:rPr>
        <w:t>供应商提供的货物既有中小企业制造货物，也有大型企业制造货物的，不享受中小企业扶持政策）</w:t>
      </w:r>
      <w:r>
        <w:rPr>
          <w:rFonts w:hint="eastAsia" w:ascii="Calibri" w:hAnsi="Calibri" w:eastAsia="宋体" w:cs="Times New Roman"/>
          <w:sz w:val="21"/>
          <w:szCs w:val="22"/>
        </w:rPr>
        <w:t>；在工程采购项目中，工程由中小企业承建，即工程施工单位为中小企业</w:t>
      </w:r>
      <w:r>
        <w:rPr>
          <w:rFonts w:hint="eastAsia" w:cs="Times New Roman"/>
          <w:sz w:val="21"/>
          <w:szCs w:val="22"/>
          <w:lang w:eastAsia="zh-CN"/>
        </w:rPr>
        <w:t>；</w:t>
      </w:r>
      <w:r>
        <w:rPr>
          <w:rFonts w:hint="eastAsia" w:cs="Times New Roman"/>
          <w:sz w:val="21"/>
          <w:szCs w:val="22"/>
          <w:lang w:val="en-US" w:eastAsia="zh-CN"/>
        </w:rPr>
        <w:t>在服务采购项目中，服务由中小企业承接，即提供服务的人员为中小企业依照《中华人民共和国劳动合同法》订立劳动合同的从业人员。</w:t>
      </w:r>
    </w:p>
    <w:p w14:paraId="2A6734E9">
      <w:pPr>
        <w:ind w:firstLine="630" w:firstLineChars="300"/>
        <w:rPr>
          <w:rFonts w:hint="default" w:eastAsia="宋体"/>
          <w:lang w:val="en-US" w:eastAsia="zh-CN"/>
        </w:rPr>
      </w:pPr>
      <w:r>
        <w:rPr>
          <w:rFonts w:hint="eastAsia"/>
          <w:lang w:eastAsia="zh-CN"/>
        </w:rPr>
        <w:t>（</w:t>
      </w:r>
      <w:r>
        <w:rPr>
          <w:rFonts w:hint="eastAsia"/>
          <w:lang w:val="en-US" w:eastAsia="zh-CN"/>
        </w:rPr>
        <w:t>2</w:t>
      </w:r>
      <w:r>
        <w:rPr>
          <w:rFonts w:hint="eastAsia"/>
          <w:lang w:eastAsia="zh-CN"/>
        </w:rPr>
        <w:t>）</w:t>
      </w:r>
      <w:r>
        <w:rPr>
          <w:rFonts w:hint="eastAsia"/>
          <w:lang w:val="en-US" w:eastAsia="zh-CN"/>
        </w:rPr>
        <w:t>预留份额专门面向中小企业采购的项目，不再执行价格扣除比例。</w:t>
      </w:r>
    </w:p>
    <w:p w14:paraId="16257351">
      <w:pPr>
        <w:ind w:firstLine="630" w:firstLineChars="300"/>
      </w:pPr>
      <w:r>
        <w:rPr>
          <w:rFonts w:hint="eastAsia"/>
          <w:lang w:eastAsia="zh-CN"/>
        </w:rPr>
        <w:t>（</w:t>
      </w:r>
      <w:r>
        <w:rPr>
          <w:rFonts w:hint="eastAsia"/>
          <w:lang w:val="en-US" w:eastAsia="zh-CN"/>
        </w:rPr>
        <w:t>3</w:t>
      </w:r>
      <w:r>
        <w:rPr>
          <w:rFonts w:hint="eastAsia"/>
          <w:lang w:eastAsia="zh-CN"/>
        </w:rPr>
        <w:t>）未预留份额</w:t>
      </w:r>
      <w:r>
        <w:rPr>
          <w:rFonts w:hint="eastAsia" w:ascii="Times New Roman" w:eastAsia="宋体"/>
          <w:lang w:val="en-US" w:eastAsia="zh-CN"/>
        </w:rPr>
        <w:t>专门面向中小企业采购的项目，</w:t>
      </w:r>
      <w:r>
        <w:rPr>
          <w:rFonts w:hint="eastAsia"/>
          <w:lang w:val="en-US" w:eastAsia="zh-CN"/>
        </w:rPr>
        <w:t>应</w:t>
      </w:r>
      <w:r>
        <w:rPr>
          <w:rFonts w:hint="eastAsia" w:ascii="Times New Roman" w:eastAsia="宋体"/>
          <w:lang w:val="en-US" w:eastAsia="zh-CN"/>
        </w:rPr>
        <w:t>执行价格扣除比例</w:t>
      </w:r>
      <w:r>
        <w:rPr>
          <w:rFonts w:hint="eastAsia"/>
          <w:lang w:val="en-US" w:eastAsia="zh-CN"/>
        </w:rPr>
        <w:t>：供应商</w:t>
      </w:r>
      <w:r>
        <w:rPr>
          <w:rFonts w:hint="eastAsia"/>
        </w:rPr>
        <w:t>提供的服务</w:t>
      </w:r>
      <w:r>
        <w:rPr>
          <w:rFonts w:hint="eastAsia"/>
          <w:b/>
          <w:bCs/>
          <w:color w:val="FF0000"/>
        </w:rPr>
        <w:t>全部由</w:t>
      </w:r>
      <w:r>
        <w:rPr>
          <w:rFonts w:hint="eastAsia"/>
          <w:b/>
          <w:bCs/>
          <w:color w:val="FF0000"/>
          <w:lang w:val="en-US" w:eastAsia="zh-CN"/>
        </w:rPr>
        <w:t>小型、微型企业</w:t>
      </w:r>
      <w:r>
        <w:rPr>
          <w:rFonts w:hint="eastAsia"/>
          <w:b/>
          <w:bCs/>
          <w:color w:val="FF0000"/>
        </w:rPr>
        <w:t>承接</w:t>
      </w:r>
      <w:r>
        <w:rPr>
          <w:rFonts w:hint="eastAsia"/>
        </w:rPr>
        <w:t>，则对其投标总价给予</w:t>
      </w:r>
      <w:r>
        <w:rPr>
          <w:b/>
          <w:bCs/>
          <w:color w:val="FF0000"/>
          <w:u w:val="single"/>
        </w:rPr>
        <w:t xml:space="preserve"> </w:t>
      </w:r>
      <w:r>
        <w:rPr>
          <w:rFonts w:hint="eastAsia"/>
          <w:b/>
          <w:bCs/>
          <w:color w:val="FF0000"/>
          <w:u w:val="single"/>
          <w:lang w:val="en-US" w:eastAsia="zh-CN"/>
        </w:rPr>
        <w:t xml:space="preserve">10  </w:t>
      </w:r>
      <w:r>
        <w:rPr>
          <w:b/>
          <w:bCs/>
          <w:color w:val="FF0000"/>
          <w:u w:val="none"/>
        </w:rPr>
        <w:t>%</w:t>
      </w:r>
      <w:r>
        <w:rPr>
          <w:rFonts w:hint="eastAsia"/>
          <w:color w:val="000000" w:themeColor="text1"/>
          <w:u w:val="none"/>
          <w:lang w:eastAsia="zh-CN"/>
          <w14:textFill>
            <w14:solidFill>
              <w14:schemeClr w14:val="tx1"/>
            </w14:solidFill>
          </w14:textFill>
        </w:rPr>
        <w:t>（</w:t>
      </w:r>
      <w:r>
        <w:rPr>
          <w:rFonts w:hint="eastAsia"/>
          <w:color w:val="000000" w:themeColor="text1"/>
          <w:u w:val="none"/>
          <w:lang w:val="en-US" w:eastAsia="zh-CN"/>
          <w14:textFill>
            <w14:solidFill>
              <w14:schemeClr w14:val="tx1"/>
            </w14:solidFill>
          </w14:textFill>
        </w:rPr>
        <w:t>10%~20%</w:t>
      </w:r>
      <w:r>
        <w:rPr>
          <w:rFonts w:hint="eastAsia"/>
          <w:color w:val="000000" w:themeColor="text1"/>
          <w:u w:val="none"/>
          <w:lang w:eastAsia="zh-CN"/>
          <w14:textFill>
            <w14:solidFill>
              <w14:schemeClr w14:val="tx1"/>
            </w14:solidFill>
          </w14:textFill>
        </w:rPr>
        <w:t>）</w:t>
      </w:r>
      <w:r>
        <w:rPr>
          <w:rFonts w:hint="eastAsia"/>
        </w:rPr>
        <w:t>的扣除，用扣除后的价格参与评审。</w:t>
      </w:r>
    </w:p>
    <w:p w14:paraId="5D3AA348">
      <w:pPr>
        <w:ind w:firstLine="630" w:firstLineChars="300"/>
      </w:pPr>
      <w:r>
        <w:rPr>
          <w:rFonts w:hint="eastAsia"/>
          <w:lang w:eastAsia="zh-CN"/>
        </w:rPr>
        <w:t>（</w:t>
      </w:r>
      <w:r>
        <w:rPr>
          <w:rFonts w:hint="eastAsia"/>
          <w:lang w:val="en-US" w:eastAsia="zh-CN"/>
        </w:rPr>
        <w:t>4</w:t>
      </w:r>
      <w:r>
        <w:rPr>
          <w:rFonts w:hint="eastAsia"/>
          <w:lang w:eastAsia="zh-CN"/>
        </w:rPr>
        <w:t>）</w:t>
      </w:r>
      <w:r>
        <w:rPr>
          <w:rFonts w:hint="eastAsia" w:asciiTheme="minorEastAsia" w:hAnsiTheme="minorEastAsia" w:eastAsiaTheme="minorEastAsia" w:cstheme="minorEastAsia"/>
          <w:sz w:val="21"/>
          <w:szCs w:val="21"/>
        </w:rPr>
        <w:t>中小企业参加政府采购活动，应当按照国务院批准的《中小企业划型标准规定》（工信部联企业〔2011〕300号）、《金融业企业划型标准规定》（银发〔2015〕309号）和《财政部 工业和信息化部关于印发〈政府采购促进中小企业发展管理办法〉的通知》（财库〔2020〕46号）的规定，出具《中小企业声明函》，</w:t>
      </w:r>
      <w:r>
        <w:rPr>
          <w:rFonts w:ascii="宋体" w:hAnsi="宋体" w:eastAsia="宋体" w:cs="宋体"/>
          <w:b/>
          <w:bCs/>
          <w:color w:val="FF0000"/>
          <w:sz w:val="21"/>
          <w:szCs w:val="21"/>
        </w:rPr>
        <w:t>《中小企业声明函》中相关企业</w:t>
      </w:r>
      <w:r>
        <w:rPr>
          <w:rFonts w:hint="eastAsia" w:ascii="宋体" w:hAnsi="宋体" w:cs="宋体"/>
          <w:b/>
          <w:bCs/>
          <w:color w:val="FF0000"/>
          <w:sz w:val="21"/>
          <w:szCs w:val="21"/>
          <w:lang w:eastAsia="zh-CN"/>
        </w:rPr>
        <w:t>（服务承接商）</w:t>
      </w:r>
      <w:r>
        <w:rPr>
          <w:rFonts w:ascii="宋体" w:hAnsi="宋体" w:eastAsia="宋体" w:cs="宋体"/>
          <w:b/>
          <w:bCs/>
          <w:color w:val="FF0000"/>
          <w:sz w:val="21"/>
          <w:szCs w:val="21"/>
        </w:rPr>
        <w:t>所属行业应当与采购标的所属行业相一致</w:t>
      </w:r>
      <w:r>
        <w:rPr>
          <w:rFonts w:hint="eastAsia" w:eastAsia="宋体"/>
          <w:b/>
          <w:bCs/>
          <w:color w:val="FF0000"/>
          <w:lang w:eastAsia="zh-CN"/>
        </w:rPr>
        <w:t>，</w:t>
      </w:r>
      <w:r>
        <w:rPr>
          <w:rFonts w:hint="eastAsia"/>
          <w:b/>
          <w:bCs/>
          <w:color w:val="FF0000"/>
        </w:rPr>
        <w:t>标的所属行业</w:t>
      </w:r>
      <w:r>
        <w:rPr>
          <w:rFonts w:hint="eastAsia" w:ascii="Times New Roman" w:eastAsia="宋体"/>
          <w:b/>
          <w:bCs/>
          <w:color w:val="FF0000"/>
          <w:lang w:val="en-US" w:eastAsia="zh-CN"/>
        </w:rPr>
        <w:t>以招标文件第一册第三章用户需求书“</w:t>
      </w:r>
      <w:r>
        <w:rPr>
          <w:rFonts w:hint="eastAsia"/>
          <w:b/>
          <w:bCs/>
          <w:color w:val="FF0000"/>
          <w:lang w:val="en-US" w:eastAsia="zh-CN"/>
        </w:rPr>
        <w:t>服务需求</w:t>
      </w:r>
      <w:r>
        <w:rPr>
          <w:rFonts w:hint="eastAsia" w:ascii="Times New Roman" w:eastAsia="宋体"/>
          <w:b/>
          <w:bCs/>
          <w:color w:val="FF0000"/>
          <w:lang w:val="en-US" w:eastAsia="zh-CN"/>
        </w:rPr>
        <w:t>明细”的“标的所属行业”一栏为准</w:t>
      </w:r>
      <w:r>
        <w:rPr>
          <w:rFonts w:ascii="宋体" w:hAnsi="宋体" w:eastAsia="宋体" w:cs="宋体"/>
          <w:b/>
          <w:bCs/>
          <w:color w:val="FF0000"/>
          <w:sz w:val="21"/>
          <w:szCs w:val="21"/>
        </w:rPr>
        <w:t>。</w:t>
      </w:r>
    </w:p>
    <w:p w14:paraId="6A593AF3">
      <w:pPr>
        <w:ind w:firstLine="630" w:firstLineChars="300"/>
      </w:pP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sz w:val="21"/>
          <w:szCs w:val="21"/>
          <w:lang w:val="en-US" w:eastAsia="zh-CN"/>
        </w:rPr>
        <w:t>5</w:t>
      </w: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sz w:val="21"/>
          <w:szCs w:val="21"/>
          <w:lang w:val="en-US" w:eastAsia="zh-CN"/>
        </w:rPr>
        <w:t>中型企业、</w:t>
      </w:r>
      <w:r>
        <w:rPr>
          <w:rFonts w:hint="eastAsia" w:asciiTheme="minorEastAsia" w:hAnsiTheme="minorEastAsia" w:eastAsiaTheme="minorEastAsia" w:cstheme="minorEastAsia"/>
          <w:sz w:val="21"/>
          <w:szCs w:val="21"/>
        </w:rPr>
        <w:t>小型、微型企业为优惠主体的认定资料为《中小企业声明函》</w:t>
      </w:r>
      <w:r>
        <w:rPr>
          <w:rFonts w:hint="eastAsia" w:asciiTheme="minorEastAsia" w:hAnsiTheme="minorEastAsia" w:eastAsiaTheme="minorEastAsia" w:cstheme="minorEastAsia"/>
          <w:sz w:val="21"/>
          <w:szCs w:val="21"/>
          <w:lang w:eastAsia="zh-CN"/>
        </w:rPr>
        <w:t>；</w:t>
      </w:r>
      <w:r>
        <w:rPr>
          <w:rFonts w:hint="eastAsia" w:asciiTheme="minorEastAsia" w:hAnsiTheme="minorEastAsia" w:eastAsiaTheme="minorEastAsia" w:cstheme="minorEastAsia"/>
          <w:sz w:val="21"/>
          <w:szCs w:val="21"/>
        </w:rPr>
        <w:t>残疾人福利性单位为优惠主体的认定资料为《残疾人福利性单</w:t>
      </w:r>
      <w:r>
        <w:rPr>
          <w:rFonts w:hint="eastAsia"/>
        </w:rPr>
        <w:t>位声明函》；监狱企业为优惠主体的认定资料为省级以上监狱管理局、戒毒管理局出具的监狱企业证明文件。声明函样式见本招标文件第一册专用条款“第四章  投标文件组成要求及格式”中“</w:t>
      </w:r>
      <w:r>
        <w:rPr>
          <w:rFonts w:hint="eastAsia"/>
          <w:lang w:val="en-US" w:eastAsia="zh-CN"/>
        </w:rPr>
        <w:t>三</w:t>
      </w:r>
      <w:r>
        <w:rPr>
          <w:rFonts w:hint="eastAsia"/>
        </w:rPr>
        <w:t>、投标人情况及资格证明文件”章节提供的格式）。</w:t>
      </w:r>
    </w:p>
    <w:p w14:paraId="37185907">
      <w:pPr>
        <w:ind w:firstLine="630" w:firstLineChars="300"/>
        <w:rPr>
          <w:color w:val="FF0000"/>
        </w:rPr>
      </w:pPr>
      <w:r>
        <w:rPr>
          <w:rFonts w:hint="eastAsia"/>
        </w:rPr>
        <w:t>（</w:t>
      </w:r>
      <w:r>
        <w:rPr>
          <w:rFonts w:hint="eastAsia"/>
          <w:lang w:val="en-US" w:eastAsia="zh-CN"/>
        </w:rPr>
        <w:t>6</w:t>
      </w:r>
      <w:r>
        <w:rPr>
          <w:rFonts w:hint="eastAsia"/>
        </w:rPr>
        <w:t>）依据</w:t>
      </w:r>
      <w:r>
        <w:rPr>
          <w:rFonts w:hint="eastAsia"/>
          <w:lang w:eastAsia="zh-CN"/>
        </w:rPr>
        <w:t>《</w:t>
      </w:r>
      <w:r>
        <w:rPr>
          <w:rFonts w:hint="eastAsia" w:asciiTheme="minorEastAsia" w:hAnsiTheme="minorEastAsia" w:eastAsiaTheme="minorEastAsia" w:cstheme="minorEastAsia"/>
          <w:sz w:val="21"/>
          <w:szCs w:val="21"/>
        </w:rPr>
        <w:t>政府采购促进中小企业发展管理办法</w:t>
      </w:r>
      <w:r>
        <w:rPr>
          <w:rFonts w:hint="eastAsia" w:asciiTheme="minorEastAsia" w:hAnsiTheme="minorEastAsia" w:eastAsiaTheme="minorEastAsia" w:cstheme="minorEastAsia"/>
          <w:sz w:val="21"/>
          <w:szCs w:val="21"/>
          <w:lang w:eastAsia="zh-CN"/>
        </w:rPr>
        <w:t>》</w:t>
      </w:r>
      <w:r>
        <w:rPr>
          <w:rFonts w:hint="eastAsia"/>
        </w:rPr>
        <w:t>规定享受扶持政策获得政府采购合同的，小微企业不得将合同分包给大中型企业，中型企业不得将合同分包给大型企业</w:t>
      </w:r>
      <w:r>
        <w:rPr>
          <w:rFonts w:hint="eastAsia"/>
          <w:lang w:eastAsia="zh-CN"/>
        </w:rPr>
        <w:t>。</w:t>
      </w:r>
    </w:p>
    <w:p w14:paraId="2DDC00E8">
      <w:pPr>
        <w:ind w:firstLine="422" w:firstLineChars="200"/>
        <w:rPr>
          <w:rFonts w:hint="default" w:eastAsia="宋体"/>
          <w:b/>
          <w:bCs/>
          <w:lang w:val="en-US" w:eastAsia="zh-CN"/>
        </w:rPr>
      </w:pPr>
      <w:r>
        <w:rPr>
          <w:rFonts w:hint="eastAsia"/>
          <w:b/>
          <w:bCs/>
          <w:lang w:val="en-US" w:eastAsia="zh-CN"/>
        </w:rPr>
        <w:t>2.关于享受对本国产品的政府采购支持政策</w:t>
      </w:r>
      <w:r>
        <w:rPr>
          <w:rFonts w:hint="eastAsia"/>
          <w:b/>
          <w:bCs/>
        </w:rPr>
        <w:t>的主体</w:t>
      </w:r>
      <w:r>
        <w:rPr>
          <w:rFonts w:hint="eastAsia"/>
          <w:b/>
          <w:bCs/>
          <w:lang w:eastAsia="zh-CN"/>
        </w:rPr>
        <w:t>、</w:t>
      </w:r>
      <w:r>
        <w:rPr>
          <w:rFonts w:hint="eastAsia"/>
          <w:b/>
          <w:bCs/>
        </w:rPr>
        <w:t>价格扣除比例</w:t>
      </w:r>
      <w:r>
        <w:rPr>
          <w:rFonts w:hint="eastAsia"/>
          <w:b/>
          <w:bCs/>
          <w:lang w:val="en-US" w:eastAsia="zh-CN"/>
        </w:rPr>
        <w:t>等事项的说明</w:t>
      </w:r>
      <w:r>
        <w:rPr>
          <w:rFonts w:hint="eastAsia"/>
          <w:b/>
          <w:bCs/>
          <w:highlight w:val="yellow"/>
          <w:lang w:val="en-US" w:eastAsia="zh-CN"/>
        </w:rPr>
        <w:t>（本项目不适用）</w:t>
      </w:r>
    </w:p>
    <w:p w14:paraId="56995E4A">
      <w:pPr>
        <w:ind w:firstLine="420" w:firstLineChars="200"/>
        <w:rPr>
          <w:rFonts w:hint="eastAsia" w:ascii="Times New Roman" w:hAnsi="Times New Roman" w:eastAsia="宋体" w:cs="Times New Roman"/>
          <w:kern w:val="2"/>
          <w:sz w:val="21"/>
          <w:szCs w:val="24"/>
          <w:lang w:val="en-US" w:eastAsia="zh-CN" w:bidi="ar-SA"/>
        </w:rPr>
      </w:pPr>
      <w:r>
        <w:rPr>
          <w:rFonts w:hint="eastAsia" w:ascii="Times New Roman" w:hAnsi="Times New Roman" w:eastAsia="宋体" w:cs="Times New Roman"/>
          <w:kern w:val="2"/>
          <w:sz w:val="21"/>
          <w:szCs w:val="24"/>
          <w:lang w:val="en-US" w:eastAsia="zh-CN" w:bidi="ar-SA"/>
        </w:rPr>
        <w:t>（1）</w:t>
      </w:r>
      <w:r>
        <w:rPr>
          <w:rFonts w:hint="eastAsia" w:cs="Times New Roman"/>
          <w:kern w:val="2"/>
          <w:sz w:val="21"/>
          <w:szCs w:val="24"/>
          <w:lang w:val="en-US" w:eastAsia="zh-CN" w:bidi="ar-SA"/>
        </w:rPr>
        <w:t>适用主体：</w:t>
      </w:r>
      <w:r>
        <w:rPr>
          <w:rFonts w:hint="eastAsia" w:ascii="Times New Roman" w:hAnsi="Times New Roman" w:eastAsia="宋体" w:cs="Times New Roman"/>
          <w:kern w:val="2"/>
          <w:sz w:val="21"/>
          <w:szCs w:val="24"/>
          <w:lang w:val="en-US" w:eastAsia="zh-CN" w:bidi="ar-SA"/>
        </w:rPr>
        <w:t>国有企业、民营企业、外资企业等各类经营主体平等享受对本国产品的政府采购支持政策</w:t>
      </w:r>
      <w:r>
        <w:rPr>
          <w:rFonts w:hint="eastAsia" w:cs="Times New Roman"/>
          <w:kern w:val="2"/>
          <w:sz w:val="21"/>
          <w:szCs w:val="24"/>
          <w:lang w:val="en-US" w:eastAsia="zh-CN" w:bidi="ar-SA"/>
        </w:rPr>
        <w:t>。</w:t>
      </w:r>
    </w:p>
    <w:p w14:paraId="716DD769">
      <w:pPr>
        <w:pStyle w:val="201"/>
        <w:ind w:firstLine="420" w:firstLineChars="200"/>
        <w:rPr>
          <w:rFonts w:hint="eastAsia" w:ascii="Times New Roman" w:hAnsi="Times New Roman" w:cs="Times New Roman"/>
          <w:kern w:val="2"/>
          <w:sz w:val="21"/>
          <w:szCs w:val="24"/>
          <w:lang w:val="en-US" w:eastAsia="zh-CN" w:bidi="ar-SA"/>
        </w:rPr>
      </w:pPr>
      <w:r>
        <w:rPr>
          <w:rFonts w:hint="eastAsia" w:ascii="Times New Roman" w:hAnsi="Times New Roman" w:cs="Times New Roman"/>
          <w:kern w:val="2"/>
          <w:sz w:val="21"/>
          <w:szCs w:val="24"/>
          <w:lang w:val="en-US" w:eastAsia="zh-CN" w:bidi="ar-SA"/>
        </w:rPr>
        <w:t>（2）适用范围：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31F85311">
      <w:pPr>
        <w:pStyle w:val="201"/>
        <w:ind w:firstLine="420" w:firstLineChars="200"/>
        <w:rPr>
          <w:rFonts w:hint="eastAsia" w:ascii="Times New Roman" w:hAnsi="Times New Roman" w:cs="Times New Roman"/>
          <w:kern w:val="2"/>
          <w:sz w:val="21"/>
          <w:szCs w:val="24"/>
          <w:lang w:val="en-US" w:eastAsia="zh-CN" w:bidi="ar-SA"/>
        </w:rPr>
      </w:pPr>
      <w:r>
        <w:rPr>
          <w:rFonts w:hint="eastAsia" w:ascii="Times New Roman" w:hAnsi="Times New Roman" w:cs="Times New Roman"/>
          <w:kern w:val="2"/>
          <w:sz w:val="21"/>
          <w:szCs w:val="24"/>
          <w:lang w:val="en-US" w:eastAsia="zh-CN" w:bidi="ar-SA"/>
        </w:rPr>
        <w:t>（3）价格扣除：政府采购活动中既有本国产品又有非本国产品参与竞争的，依法对本国产品给予价格评审优惠，</w:t>
      </w:r>
      <w:r>
        <w:rPr>
          <w:rFonts w:hint="eastAsia" w:ascii="Times New Roman" w:hAnsi="Times New Roman" w:cs="Times New Roman"/>
          <w:b/>
          <w:bCs/>
          <w:color w:val="FF0000"/>
          <w:kern w:val="2"/>
          <w:sz w:val="21"/>
          <w:szCs w:val="24"/>
          <w:lang w:val="en-US" w:eastAsia="zh-CN" w:bidi="ar-SA"/>
        </w:rPr>
        <w:t>对本国产品的报价给予20%的价格扣除</w:t>
      </w:r>
      <w:r>
        <w:rPr>
          <w:rFonts w:hint="eastAsia" w:ascii="Times New Roman" w:hAnsi="Times New Roman" w:cs="Times New Roman"/>
          <w:b w:val="0"/>
          <w:bCs w:val="0"/>
          <w:color w:val="000000" w:themeColor="text1"/>
          <w:kern w:val="2"/>
          <w:sz w:val="21"/>
          <w:szCs w:val="24"/>
          <w:lang w:val="en-US" w:eastAsia="zh-CN" w:bidi="ar-SA"/>
          <w14:textFill>
            <w14:solidFill>
              <w14:schemeClr w14:val="tx1"/>
            </w14:solidFill>
          </w14:textFill>
        </w:rPr>
        <w:t>，</w:t>
      </w:r>
      <w:r>
        <w:rPr>
          <w:rFonts w:hint="eastAsia" w:ascii="Times New Roman" w:hAnsi="Times New Roman" w:cs="Times New Roman"/>
          <w:kern w:val="2"/>
          <w:sz w:val="21"/>
          <w:szCs w:val="24"/>
          <w:lang w:val="en-US" w:eastAsia="zh-CN" w:bidi="ar-SA"/>
        </w:rPr>
        <w:t>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w:t>
      </w:r>
      <w:r>
        <w:rPr>
          <w:rFonts w:hint="eastAsia" w:ascii="Times New Roman" w:hAnsi="Times New Roman" w:cs="Times New Roman"/>
          <w:b/>
          <w:bCs/>
          <w:color w:val="FF0000"/>
          <w:kern w:val="2"/>
          <w:sz w:val="21"/>
          <w:szCs w:val="24"/>
          <w:lang w:val="en-US" w:eastAsia="zh-CN" w:bidi="ar-SA"/>
        </w:rPr>
        <w:t>总报价给予20%的价格扣除</w:t>
      </w:r>
      <w:r>
        <w:rPr>
          <w:rFonts w:hint="eastAsia" w:ascii="Times New Roman" w:hAnsi="Times New Roman" w:cs="Times New Roman"/>
          <w:kern w:val="2"/>
          <w:sz w:val="21"/>
          <w:szCs w:val="24"/>
          <w:lang w:val="en-US" w:eastAsia="zh-CN" w:bidi="ar-SA"/>
        </w:rPr>
        <w:t>，用扣除后的价格参与评审。</w:t>
      </w:r>
    </w:p>
    <w:p w14:paraId="14F0F385">
      <w:pPr>
        <w:pStyle w:val="201"/>
        <w:ind w:firstLine="420" w:firstLineChars="200"/>
        <w:rPr>
          <w:rFonts w:hint="eastAsia"/>
        </w:rPr>
      </w:pPr>
      <w:r>
        <w:rPr>
          <w:rFonts w:hint="eastAsia" w:ascii="Times New Roman" w:hAnsi="Times New Roman" w:cs="Times New Roman"/>
          <w:kern w:val="2"/>
          <w:sz w:val="21"/>
          <w:szCs w:val="24"/>
          <w:lang w:val="en-US" w:eastAsia="zh-CN" w:bidi="ar-SA"/>
        </w:rPr>
        <w:t>（4）供应商</w:t>
      </w:r>
      <w:r>
        <w:rPr>
          <w:rFonts w:hint="eastAsia" w:ascii="Times New Roman" w:hAnsi="Times New Roman" w:eastAsia="宋体" w:cs="Times New Roman"/>
          <w:i w:val="0"/>
          <w:iCs w:val="0"/>
          <w:caps w:val="0"/>
          <w:spacing w:val="0"/>
          <w:sz w:val="21"/>
          <w:szCs w:val="24"/>
          <w:shd w:val="clear" w:color="auto" w:fill="auto"/>
        </w:rPr>
        <w:t>出具符合要求的《关于符合本国产品标准的声明函》或财政部会同有关部门规定的有关证明文件，该产品视为本国产品</w:t>
      </w:r>
      <w:r>
        <w:rPr>
          <w:rFonts w:hint="eastAsia" w:ascii="Times New Roman" w:hAnsi="Times New Roman" w:cs="Times New Roman"/>
          <w:i w:val="0"/>
          <w:iCs w:val="0"/>
          <w:caps w:val="0"/>
          <w:spacing w:val="0"/>
          <w:sz w:val="21"/>
          <w:szCs w:val="24"/>
          <w:shd w:val="clear" w:color="auto" w:fill="auto"/>
          <w:lang w:eastAsia="zh-CN"/>
        </w:rPr>
        <w:t>。</w:t>
      </w:r>
      <w:r>
        <w:rPr>
          <w:rFonts w:hint="eastAsia"/>
        </w:rPr>
        <w:t>声明函样式见本招标文件第一册专用条款“第四章  投标文件组成要求及格式”中“</w:t>
      </w:r>
      <w:r>
        <w:rPr>
          <w:rFonts w:hint="eastAsia"/>
          <w:lang w:val="en-US" w:eastAsia="zh-CN"/>
        </w:rPr>
        <w:t>三</w:t>
      </w:r>
      <w:r>
        <w:rPr>
          <w:rFonts w:hint="eastAsia"/>
        </w:rPr>
        <w:t>、投标人情况及资格证明文件”章节提供的格式）。</w:t>
      </w:r>
    </w:p>
    <w:p w14:paraId="5B1B6597">
      <w:pPr>
        <w:pStyle w:val="201"/>
        <w:ind w:firstLine="422" w:firstLineChars="200"/>
        <w:rPr>
          <w:rFonts w:hint="eastAsia"/>
          <w:b/>
          <w:bCs/>
          <w:lang w:val="en-US" w:eastAsia="zh-CN"/>
        </w:rPr>
      </w:pPr>
      <w:r>
        <w:rPr>
          <w:rFonts w:hint="eastAsia"/>
          <w:b/>
          <w:bCs/>
          <w:lang w:val="en-US" w:eastAsia="zh-CN"/>
        </w:rPr>
        <w:t>3.关于同时满足中小企业扶持政策和对本国产品的支持政策的事项说明</w:t>
      </w:r>
      <w:r>
        <w:rPr>
          <w:rFonts w:hint="eastAsia"/>
          <w:b/>
          <w:bCs/>
          <w:highlight w:val="yellow"/>
          <w:lang w:val="en-US" w:eastAsia="zh-CN"/>
        </w:rPr>
        <w:t>（本项目不适用）</w:t>
      </w:r>
    </w:p>
    <w:p w14:paraId="14C2E151">
      <w:pPr>
        <w:pStyle w:val="201"/>
        <w:ind w:firstLine="422" w:firstLineChars="200"/>
        <w:rPr>
          <w:rFonts w:hint="default" w:ascii="Times New Roman" w:hAnsi="Times New Roman" w:cs="Times New Roman"/>
          <w:b w:val="0"/>
          <w:bCs w:val="0"/>
          <w:color w:val="auto"/>
          <w:kern w:val="2"/>
          <w:sz w:val="21"/>
          <w:szCs w:val="24"/>
          <w:lang w:val="en-US" w:eastAsia="zh-CN" w:bidi="ar-SA"/>
        </w:rPr>
      </w:pPr>
      <w:r>
        <w:rPr>
          <w:rFonts w:hint="eastAsia" w:ascii="Times New Roman" w:hAnsi="Times New Roman" w:cs="Times New Roman"/>
          <w:b/>
          <w:bCs/>
          <w:color w:val="FF0000"/>
          <w:kern w:val="2"/>
          <w:sz w:val="21"/>
          <w:szCs w:val="24"/>
          <w:lang w:val="en-US" w:eastAsia="zh-CN" w:bidi="ar-SA"/>
        </w:rPr>
        <w:t>本国产品政策实施后，政府采购活动中既有本国产品又有非本国产品参与竞争的，依法对本国产品给予价格评审优惠，对本国产品的报价给予20%的价格扣除</w:t>
      </w:r>
      <w:r>
        <w:rPr>
          <w:rFonts w:hint="eastAsia" w:ascii="Times New Roman" w:hAnsi="Times New Roman" w:cs="Times New Roman"/>
          <w:b w:val="0"/>
          <w:bCs w:val="0"/>
          <w:color w:val="auto"/>
          <w:kern w:val="2"/>
          <w:sz w:val="21"/>
          <w:szCs w:val="24"/>
          <w:lang w:val="en-US" w:eastAsia="zh-CN" w:bidi="ar-SA"/>
        </w:rPr>
        <w:t>，用扣除后的价格参与评审。</w:t>
      </w:r>
      <w:r>
        <w:rPr>
          <w:rFonts w:hint="eastAsia" w:ascii="Times New Roman" w:hAnsi="Times New Roman" w:cs="Times New Roman"/>
          <w:b/>
          <w:bCs/>
          <w:color w:val="FF0000"/>
          <w:kern w:val="2"/>
          <w:sz w:val="21"/>
          <w:szCs w:val="24"/>
          <w:lang w:val="en-US" w:eastAsia="zh-CN" w:bidi="ar-SA"/>
        </w:rPr>
        <w:t>同时，若提供本国产品的供应商也符合政府采购支持中小企业政策，也按规定给与价格评审优惠。需要说明的是，相关价格评审扣除优惠，都应该在供应商报价基础上计算。</w:t>
      </w:r>
      <w:r>
        <w:rPr>
          <w:rFonts w:hint="eastAsia" w:ascii="Times New Roman" w:hAnsi="Times New Roman" w:cs="Times New Roman"/>
          <w:b w:val="0"/>
          <w:bCs w:val="0"/>
          <w:color w:val="auto"/>
          <w:kern w:val="2"/>
          <w:sz w:val="21"/>
          <w:szCs w:val="24"/>
          <w:lang w:val="en-US" w:eastAsia="zh-CN" w:bidi="ar-SA"/>
        </w:rPr>
        <w:t>例如：某一供应商的产品报价100元，其提供的产品符合本国产品标准，同时按照采购文件规定也享受对小微企业的10%的价格扣除优惠。则对其报价按规定进行两次扣除，用扣除后的价格参与评审。其参与评审的价格为100-100x20%-100x10%=70元。具体情形如下：</w:t>
      </w:r>
    </w:p>
    <w:p w14:paraId="68F522AC">
      <w:pPr>
        <w:pStyle w:val="201"/>
        <w:ind w:firstLine="420" w:firstLineChars="200"/>
        <w:rPr>
          <w:rFonts w:hint="default" w:ascii="Times New Roman" w:hAnsi="Times New Roman" w:cs="Times New Roman"/>
          <w:kern w:val="2"/>
          <w:sz w:val="21"/>
          <w:szCs w:val="24"/>
          <w:lang w:val="en-US" w:eastAsia="zh-CN" w:bidi="ar-SA"/>
        </w:rPr>
      </w:pPr>
      <w:r>
        <w:rPr>
          <w:rFonts w:hint="eastAsia" w:ascii="Times New Roman" w:hAnsi="Times New Roman" w:cs="Times New Roman"/>
          <w:kern w:val="2"/>
          <w:sz w:val="21"/>
          <w:szCs w:val="24"/>
          <w:lang w:val="en-US" w:eastAsia="zh-CN" w:bidi="ar-SA"/>
        </w:rPr>
        <w:t>（1）预留份额专门面向中小企业采购的项目，不再享受小微企业价格扣除优惠。若供应商所投货物同时满足对本国产品的支持政策的规定，应享受该政策20%价格扣除优惠；</w:t>
      </w:r>
    </w:p>
    <w:p w14:paraId="3823D4FD">
      <w:pPr>
        <w:pStyle w:val="201"/>
        <w:ind w:firstLine="420" w:firstLineChars="200"/>
        <w:rPr>
          <w:rFonts w:hint="default" w:ascii="Times New Roman" w:hAnsi="Times New Roman" w:cs="Times New Roman"/>
          <w:kern w:val="2"/>
          <w:sz w:val="21"/>
          <w:szCs w:val="24"/>
          <w:lang w:val="en-US" w:eastAsia="zh-CN" w:bidi="ar-SA"/>
        </w:rPr>
      </w:pPr>
      <w:r>
        <w:rPr>
          <w:rFonts w:hint="eastAsia" w:ascii="Times New Roman" w:hAnsi="Times New Roman" w:cs="Times New Roman"/>
          <w:kern w:val="2"/>
          <w:sz w:val="21"/>
          <w:szCs w:val="24"/>
          <w:lang w:val="en-US" w:eastAsia="zh-CN" w:bidi="ar-SA"/>
        </w:rPr>
        <w:t>（2）未预留份额专门面向中小企业采购的项目，供应商同时满足小微企业和所投产品符合本国产品支持政策规定的，应同时对该供应商投标总报价给予多项价格扣除优惠，用扣除后的价格参与评审。</w:t>
      </w:r>
    </w:p>
    <w:p w14:paraId="7B9122EE">
      <w:pPr>
        <w:pStyle w:val="201"/>
        <w:ind w:firstLine="422" w:firstLineChars="200"/>
        <w:rPr>
          <w:rFonts w:hint="default"/>
          <w:b/>
          <w:bCs/>
          <w:lang w:val="en-US" w:eastAsia="zh-CN"/>
        </w:rPr>
      </w:pPr>
      <w:r>
        <w:rPr>
          <w:rFonts w:hint="eastAsia"/>
          <w:b/>
          <w:bCs/>
          <w:lang w:val="en-US" w:eastAsia="zh-CN"/>
        </w:rPr>
        <w:t>4.</w:t>
      </w:r>
      <w:r>
        <w:rPr>
          <w:rFonts w:hint="default"/>
          <w:b/>
          <w:bCs/>
          <w:lang w:val="en-US" w:eastAsia="zh-CN"/>
        </w:rPr>
        <w:t>上述支持政策不改变最终中标</w:t>
      </w:r>
      <w:r>
        <w:rPr>
          <w:rFonts w:hint="eastAsia"/>
          <w:b/>
          <w:bCs/>
          <w:lang w:val="en-US" w:eastAsia="zh-CN"/>
        </w:rPr>
        <w:t>（</w:t>
      </w:r>
      <w:r>
        <w:rPr>
          <w:rFonts w:hint="default"/>
          <w:b/>
          <w:bCs/>
          <w:lang w:val="en-US" w:eastAsia="zh-CN"/>
        </w:rPr>
        <w:t>成交</w:t>
      </w:r>
      <w:r>
        <w:rPr>
          <w:rFonts w:hint="eastAsia"/>
          <w:b/>
          <w:bCs/>
          <w:lang w:val="en-US" w:eastAsia="zh-CN"/>
        </w:rPr>
        <w:t>）</w:t>
      </w:r>
      <w:r>
        <w:rPr>
          <w:rFonts w:hint="default"/>
          <w:b/>
          <w:bCs/>
          <w:lang w:val="en-US" w:eastAsia="zh-CN"/>
        </w:rPr>
        <w:t>价格，政府采购合同仍按照中标</w:t>
      </w:r>
      <w:r>
        <w:rPr>
          <w:rFonts w:hint="eastAsia"/>
          <w:b/>
          <w:bCs/>
          <w:lang w:val="en-US" w:eastAsia="zh-CN"/>
        </w:rPr>
        <w:t>（</w:t>
      </w:r>
      <w:r>
        <w:rPr>
          <w:rFonts w:hint="default"/>
          <w:b/>
          <w:bCs/>
          <w:lang w:val="en-US" w:eastAsia="zh-CN"/>
        </w:rPr>
        <w:t>成交</w:t>
      </w:r>
      <w:r>
        <w:rPr>
          <w:rFonts w:hint="eastAsia"/>
          <w:b/>
          <w:bCs/>
          <w:lang w:val="en-US" w:eastAsia="zh-CN"/>
        </w:rPr>
        <w:t>）</w:t>
      </w:r>
      <w:r>
        <w:rPr>
          <w:rFonts w:hint="default"/>
          <w:b/>
          <w:bCs/>
          <w:lang w:val="en-US" w:eastAsia="zh-CN"/>
        </w:rPr>
        <w:t>供应商的报价签订。</w:t>
      </w:r>
    </w:p>
    <w:p w14:paraId="3537EDE7">
      <w:pPr>
        <w:ind w:firstLine="422" w:firstLineChars="200"/>
        <w:rPr>
          <w:rFonts w:hint="eastAsia"/>
          <w:b/>
        </w:rPr>
      </w:pPr>
    </w:p>
    <w:p w14:paraId="591FB57A">
      <w:pPr>
        <w:ind w:firstLine="422" w:firstLineChars="200"/>
        <w:rPr>
          <w:rFonts w:hint="eastAsia" w:eastAsia="宋体"/>
          <w:b/>
          <w:bCs/>
          <w:lang w:eastAsia="zh-CN"/>
        </w:rPr>
      </w:pPr>
      <w:r>
        <w:rPr>
          <w:rFonts w:hint="eastAsia"/>
          <w:b/>
        </w:rPr>
        <w:t>（</w:t>
      </w:r>
      <w:r>
        <w:rPr>
          <w:rFonts w:hint="eastAsia"/>
          <w:b/>
          <w:lang w:val="en-US" w:eastAsia="zh-CN"/>
        </w:rPr>
        <w:t>三</w:t>
      </w:r>
      <w:r>
        <w:rPr>
          <w:rFonts w:hint="eastAsia"/>
          <w:b/>
        </w:rPr>
        <w:t>）</w:t>
      </w:r>
      <w:r>
        <w:rPr>
          <w:rFonts w:hint="eastAsia"/>
          <w:b/>
          <w:lang w:val="en-US" w:eastAsia="zh-CN"/>
        </w:rPr>
        <w:t>代理服务费</w:t>
      </w:r>
    </w:p>
    <w:p w14:paraId="6BADD2C3">
      <w:pPr>
        <w:ind w:firstLine="420" w:firstLineChars="200"/>
        <w:rPr>
          <w:rFonts w:hint="eastAsia"/>
          <w:b/>
          <w:bCs/>
          <w:lang w:val="en-US" w:eastAsia="zh-CN"/>
        </w:rPr>
      </w:pPr>
      <w:r>
        <w:rPr>
          <w:rFonts w:hint="eastAsia" w:ascii="Wingdings" w:hAnsi="Wingdings" w:eastAsia="Wingdings" w:cs="Wingdings"/>
          <w:b/>
          <w:bCs/>
        </w:rPr>
        <w:t>¨</w:t>
      </w:r>
      <w:r>
        <w:rPr>
          <w:rFonts w:hint="eastAsia" w:ascii="Times New Roman" w:eastAsia="宋体"/>
          <w:b/>
          <w:bCs/>
          <w:lang w:val="en-US" w:eastAsia="zh-CN"/>
        </w:rPr>
        <w:t>本项目不向中标（成交）供应商收取代理服务费。</w:t>
      </w:r>
    </w:p>
    <w:p w14:paraId="655607BA">
      <w:pPr>
        <w:ind w:firstLine="420" w:firstLineChars="200"/>
        <w:rPr>
          <w:rFonts w:hint="eastAsia"/>
          <w:b/>
          <w:bCs/>
          <w:lang w:val="en-US" w:eastAsia="zh-CN"/>
        </w:rPr>
      </w:pPr>
      <w:r>
        <w:rPr>
          <w:rFonts w:hint="eastAsia" w:ascii="Wingdings" w:hAnsi="Wingdings" w:eastAsia="Wingdings" w:cs="Wingdings"/>
          <w:b/>
          <w:bCs/>
        </w:rPr>
        <w:sym w:font="Wingdings" w:char="00FE"/>
      </w:r>
      <w:r>
        <w:rPr>
          <w:rFonts w:hint="eastAsia" w:ascii="Times New Roman" w:eastAsia="宋体"/>
          <w:b/>
          <w:bCs/>
          <w:lang w:val="en-US" w:eastAsia="zh-CN"/>
        </w:rPr>
        <w:t>本项目为代理服务项目，将向中标（成交）供应商收取代理服务费。</w:t>
      </w:r>
    </w:p>
    <w:p w14:paraId="12E15CF9">
      <w:pPr>
        <w:ind w:firstLine="420" w:firstLineChars="200"/>
      </w:pPr>
      <w:r>
        <w:rPr>
          <w:rFonts w:hint="eastAsia"/>
        </w:rPr>
        <w:t>中标</w:t>
      </w:r>
      <w:r>
        <w:rPr>
          <w:rFonts w:hint="eastAsia" w:eastAsia="宋体"/>
          <w:lang w:eastAsia="zh-CN"/>
        </w:rPr>
        <w:t>（</w:t>
      </w:r>
      <w:r>
        <w:rPr>
          <w:rFonts w:hint="eastAsia" w:ascii="Times New Roman" w:eastAsia="宋体"/>
          <w:lang w:val="en-US" w:eastAsia="zh-CN"/>
        </w:rPr>
        <w:t>成交</w:t>
      </w:r>
      <w:r>
        <w:rPr>
          <w:rFonts w:hint="eastAsia" w:eastAsia="宋体"/>
          <w:lang w:eastAsia="zh-CN"/>
        </w:rPr>
        <w:t>）</w:t>
      </w:r>
      <w:r>
        <w:rPr>
          <w:rFonts w:hint="eastAsia"/>
        </w:rPr>
        <w:t>供应商应在中标（成交)结果公示结束之日的次日起7个工作日内向深圳公共资源交易中心（深圳交易集团有限公司</w:t>
      </w:r>
      <w:r>
        <w:rPr>
          <w:rFonts w:hint="eastAsia"/>
          <w:lang w:val="en-US" w:eastAsia="zh-CN"/>
        </w:rPr>
        <w:t>宝安</w:t>
      </w:r>
      <w:r>
        <w:rPr>
          <w:rFonts w:hint="eastAsia"/>
        </w:rPr>
        <w:t>分公司）交纳代理服务费。若因中标</w:t>
      </w:r>
      <w:r>
        <w:rPr>
          <w:rFonts w:hint="eastAsia" w:eastAsia="宋体"/>
          <w:lang w:eastAsia="zh-CN"/>
        </w:rPr>
        <w:t>（</w:t>
      </w:r>
      <w:r>
        <w:rPr>
          <w:rFonts w:hint="eastAsia" w:ascii="Times New Roman" w:eastAsia="宋体"/>
          <w:lang w:val="en-US" w:eastAsia="zh-CN"/>
        </w:rPr>
        <w:t>成交</w:t>
      </w:r>
      <w:r>
        <w:rPr>
          <w:rFonts w:hint="eastAsia" w:eastAsia="宋体"/>
          <w:lang w:eastAsia="zh-CN"/>
        </w:rPr>
        <w:t>）</w:t>
      </w:r>
      <w:r>
        <w:rPr>
          <w:rFonts w:hint="eastAsia"/>
        </w:rPr>
        <w:t>供应商交纳代理服务费所产生的时间影响到合同签订的，由中标</w:t>
      </w:r>
      <w:r>
        <w:rPr>
          <w:rFonts w:hint="eastAsia" w:eastAsia="宋体"/>
          <w:lang w:eastAsia="zh-CN"/>
        </w:rPr>
        <w:t>（</w:t>
      </w:r>
      <w:r>
        <w:rPr>
          <w:rFonts w:hint="eastAsia" w:ascii="Times New Roman" w:eastAsia="宋体"/>
          <w:lang w:val="en-US" w:eastAsia="zh-CN"/>
        </w:rPr>
        <w:t>成交</w:t>
      </w:r>
      <w:r>
        <w:rPr>
          <w:rFonts w:hint="eastAsia" w:eastAsia="宋体"/>
          <w:lang w:eastAsia="zh-CN"/>
        </w:rPr>
        <w:t>）</w:t>
      </w:r>
      <w:r>
        <w:rPr>
          <w:rFonts w:hint="eastAsia"/>
        </w:rPr>
        <w:t>供应商自行承担责任。代理服务费标准参照</w:t>
      </w:r>
      <w:r>
        <w:rPr>
          <w:rFonts w:hint="eastAsia" w:ascii="Times New Roman" w:eastAsia="宋体"/>
          <w:lang w:val="en-US" w:eastAsia="zh-CN"/>
        </w:rPr>
        <w:t>下列</w:t>
      </w:r>
      <w:r>
        <w:rPr>
          <w:rFonts w:hint="eastAsia"/>
        </w:rPr>
        <w:t>标准收取。</w:t>
      </w:r>
      <w:r>
        <w:rPr>
          <w:rFonts w:hint="eastAsia"/>
          <w:b/>
          <w:color w:val="FF0000"/>
        </w:rPr>
        <w:t>本项目类型为</w:t>
      </w:r>
      <w:r>
        <w:rPr>
          <w:rFonts w:hint="eastAsia"/>
          <w:b/>
          <w:color w:val="FF0000"/>
          <w:lang w:val="en-US" w:eastAsia="zh-CN"/>
        </w:rPr>
        <w:t>服务</w:t>
      </w:r>
      <w:r>
        <w:rPr>
          <w:rFonts w:hint="eastAsia"/>
          <w:b/>
          <w:color w:val="FF0000"/>
        </w:rPr>
        <w:t>采购：</w:t>
      </w:r>
    </w:p>
    <w:p w14:paraId="208B45F9">
      <w:pPr>
        <w:ind w:firstLine="420" w:firstLineChars="200"/>
      </w:pPr>
      <w:r>
        <w:rPr>
          <w:rFonts w:hint="eastAsia"/>
        </w:rPr>
        <w:t>（</w:t>
      </w:r>
      <w:r>
        <w:rPr>
          <w:rFonts w:hint="eastAsia" w:ascii="Times New Roman" w:eastAsia="宋体"/>
          <w:lang w:val="en-US" w:eastAsia="zh-CN"/>
        </w:rPr>
        <w:t>1</w:t>
      </w:r>
      <w:r>
        <w:rPr>
          <w:rFonts w:hint="eastAsia"/>
        </w:rPr>
        <w:t>）代理服务费以《中标</w:t>
      </w:r>
      <w:r>
        <w:rPr>
          <w:rFonts w:hint="eastAsia" w:eastAsia="宋体"/>
          <w:lang w:eastAsia="zh-CN"/>
        </w:rPr>
        <w:t>（</w:t>
      </w:r>
      <w:r>
        <w:rPr>
          <w:rFonts w:hint="eastAsia" w:ascii="Times New Roman" w:eastAsia="宋体"/>
          <w:lang w:val="en-US" w:eastAsia="zh-CN"/>
        </w:rPr>
        <w:t>成交</w:t>
      </w:r>
      <w:r>
        <w:rPr>
          <w:rFonts w:hint="eastAsia" w:eastAsia="宋体"/>
          <w:lang w:eastAsia="zh-CN"/>
        </w:rPr>
        <w:t>）</w:t>
      </w:r>
      <w:r>
        <w:rPr>
          <w:rFonts w:hint="eastAsia"/>
        </w:rPr>
        <w:t>通知书》确定的</w:t>
      </w:r>
      <w:r>
        <w:rPr>
          <w:rFonts w:hint="eastAsia" w:ascii="Times New Roman" w:eastAsia="宋体"/>
          <w:lang w:val="en-US" w:eastAsia="zh-CN"/>
        </w:rPr>
        <w:t>中标（</w:t>
      </w:r>
      <w:r>
        <w:rPr>
          <w:rFonts w:hint="eastAsia"/>
        </w:rPr>
        <w:t>成交</w:t>
      </w:r>
      <w:r>
        <w:rPr>
          <w:rFonts w:hint="eastAsia" w:eastAsia="宋体"/>
          <w:lang w:eastAsia="zh-CN"/>
        </w:rPr>
        <w:t>）</w:t>
      </w:r>
      <w:r>
        <w:rPr>
          <w:rFonts w:hint="eastAsia"/>
        </w:rPr>
        <w:t>金额作为计算基数，按差额定率累进法计算。</w:t>
      </w:r>
    </w:p>
    <w:p w14:paraId="7D6FBDE2">
      <w:pPr>
        <w:ind w:firstLine="420" w:firstLineChars="200"/>
      </w:pPr>
      <w:r>
        <w:rPr>
          <w:rFonts w:hint="eastAsia"/>
        </w:rPr>
        <w:t>（</w:t>
      </w:r>
      <w:r>
        <w:rPr>
          <w:rFonts w:hint="eastAsia" w:ascii="Times New Roman" w:eastAsia="宋体"/>
          <w:lang w:val="en-US" w:eastAsia="zh-CN"/>
        </w:rPr>
        <w:t>2</w:t>
      </w:r>
      <w:r>
        <w:rPr>
          <w:rFonts w:hint="eastAsia"/>
        </w:rPr>
        <w:t>）中标</w:t>
      </w:r>
      <w:r>
        <w:rPr>
          <w:rFonts w:hint="eastAsia" w:eastAsia="宋体"/>
          <w:lang w:eastAsia="zh-CN"/>
        </w:rPr>
        <w:t>（</w:t>
      </w:r>
      <w:r>
        <w:rPr>
          <w:rFonts w:hint="eastAsia" w:ascii="Times New Roman" w:eastAsia="宋体"/>
          <w:lang w:val="en-US" w:eastAsia="zh-CN"/>
        </w:rPr>
        <w:t>成交</w:t>
      </w:r>
      <w:r>
        <w:rPr>
          <w:rFonts w:hint="eastAsia" w:eastAsia="宋体"/>
          <w:lang w:eastAsia="zh-CN"/>
        </w:rPr>
        <w:t>）</w:t>
      </w:r>
      <w:r>
        <w:rPr>
          <w:rFonts w:hint="eastAsia"/>
        </w:rPr>
        <w:t>金额的各部分费率如下表：</w:t>
      </w:r>
    </w:p>
    <w:tbl>
      <w:tblPr>
        <w:tblStyle w:val="42"/>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125"/>
        <w:gridCol w:w="1799"/>
        <w:gridCol w:w="1799"/>
        <w:gridCol w:w="1799"/>
      </w:tblGrid>
      <w:tr w14:paraId="793089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3125" w:type="dxa"/>
            <w:vAlign w:val="center"/>
          </w:tcPr>
          <w:p w14:paraId="1C12A97F">
            <w:pPr>
              <w:widowControl/>
              <w:spacing w:line="360" w:lineRule="auto"/>
              <w:jc w:val="center"/>
            </w:pPr>
            <w:r>
              <w:rPr>
                <w:rFonts w:hint="eastAsia" w:ascii="Times New Roman" w:eastAsia="宋体"/>
                <w:lang w:val="en-US" w:eastAsia="zh-CN"/>
              </w:rPr>
              <w:t>中标</w:t>
            </w:r>
            <w:r>
              <w:rPr>
                <w:rFonts w:hint="eastAsia" w:eastAsia="宋体"/>
                <w:lang w:eastAsia="zh-CN"/>
              </w:rPr>
              <w:t>（</w:t>
            </w:r>
            <w:r>
              <w:rPr>
                <w:rFonts w:hint="eastAsia" w:ascii="Times New Roman" w:eastAsia="宋体"/>
                <w:lang w:val="en-US" w:eastAsia="zh-CN"/>
              </w:rPr>
              <w:t>成交</w:t>
            </w:r>
            <w:r>
              <w:rPr>
                <w:rFonts w:hint="eastAsia" w:eastAsia="宋体"/>
                <w:lang w:eastAsia="zh-CN"/>
              </w:rPr>
              <w:t>）</w:t>
            </w:r>
            <w:r>
              <w:rPr>
                <w:rFonts w:hint="eastAsia"/>
              </w:rPr>
              <w:t>金额</w:t>
            </w:r>
          </w:p>
        </w:tc>
        <w:tc>
          <w:tcPr>
            <w:tcW w:w="1799" w:type="dxa"/>
            <w:vAlign w:val="center"/>
          </w:tcPr>
          <w:p w14:paraId="001F9EEB">
            <w:pPr>
              <w:widowControl/>
              <w:spacing w:line="360" w:lineRule="auto"/>
              <w:jc w:val="center"/>
            </w:pPr>
            <w:r>
              <w:rPr>
                <w:rFonts w:hint="eastAsia"/>
              </w:rPr>
              <w:t>货物采购</w:t>
            </w:r>
          </w:p>
        </w:tc>
        <w:tc>
          <w:tcPr>
            <w:tcW w:w="1799" w:type="dxa"/>
            <w:vAlign w:val="center"/>
          </w:tcPr>
          <w:p w14:paraId="37228F67">
            <w:pPr>
              <w:widowControl/>
              <w:spacing w:line="360" w:lineRule="auto"/>
              <w:jc w:val="center"/>
            </w:pPr>
            <w:r>
              <w:rPr>
                <w:rFonts w:hint="eastAsia"/>
              </w:rPr>
              <w:t>服务采购</w:t>
            </w:r>
          </w:p>
        </w:tc>
        <w:tc>
          <w:tcPr>
            <w:tcW w:w="1799" w:type="dxa"/>
            <w:vAlign w:val="center"/>
          </w:tcPr>
          <w:p w14:paraId="23916182">
            <w:pPr>
              <w:widowControl/>
              <w:spacing w:line="360" w:lineRule="auto"/>
              <w:jc w:val="center"/>
            </w:pPr>
            <w:r>
              <w:rPr>
                <w:rFonts w:hint="eastAsia"/>
              </w:rPr>
              <w:t>工程采购</w:t>
            </w:r>
          </w:p>
        </w:tc>
      </w:tr>
      <w:tr w14:paraId="49D2FB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25" w:type="dxa"/>
            <w:vAlign w:val="center"/>
          </w:tcPr>
          <w:p w14:paraId="659E8E29">
            <w:pPr>
              <w:widowControl/>
              <w:spacing w:line="360" w:lineRule="auto"/>
              <w:jc w:val="center"/>
            </w:pPr>
            <w:r>
              <w:rPr>
                <w:rFonts w:hint="eastAsia"/>
              </w:rPr>
              <w:t>100万元以下</w:t>
            </w:r>
          </w:p>
        </w:tc>
        <w:tc>
          <w:tcPr>
            <w:tcW w:w="1799" w:type="dxa"/>
            <w:vAlign w:val="center"/>
          </w:tcPr>
          <w:p w14:paraId="4A2C8717">
            <w:pPr>
              <w:widowControl/>
              <w:spacing w:line="360" w:lineRule="auto"/>
              <w:jc w:val="center"/>
            </w:pPr>
            <w:r>
              <w:rPr>
                <w:rFonts w:hint="eastAsia"/>
              </w:rPr>
              <w:t>1.5%</w:t>
            </w:r>
          </w:p>
        </w:tc>
        <w:tc>
          <w:tcPr>
            <w:tcW w:w="1799" w:type="dxa"/>
            <w:vAlign w:val="center"/>
          </w:tcPr>
          <w:p w14:paraId="6CEE7D98">
            <w:pPr>
              <w:widowControl/>
              <w:spacing w:line="360" w:lineRule="auto"/>
              <w:jc w:val="center"/>
            </w:pPr>
            <w:r>
              <w:rPr>
                <w:rFonts w:hint="eastAsia"/>
              </w:rPr>
              <w:t>1.5%</w:t>
            </w:r>
          </w:p>
        </w:tc>
        <w:tc>
          <w:tcPr>
            <w:tcW w:w="1799" w:type="dxa"/>
            <w:vAlign w:val="center"/>
          </w:tcPr>
          <w:p w14:paraId="0EF8AB6A">
            <w:pPr>
              <w:widowControl/>
              <w:spacing w:line="360" w:lineRule="auto"/>
              <w:jc w:val="center"/>
            </w:pPr>
            <w:r>
              <w:rPr>
                <w:rFonts w:hint="eastAsia"/>
              </w:rPr>
              <w:t>1.0%</w:t>
            </w:r>
          </w:p>
        </w:tc>
      </w:tr>
      <w:tr w14:paraId="5382BF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25" w:type="dxa"/>
            <w:vAlign w:val="center"/>
          </w:tcPr>
          <w:p w14:paraId="7C02FE47">
            <w:pPr>
              <w:widowControl/>
              <w:spacing w:line="360" w:lineRule="auto"/>
              <w:jc w:val="center"/>
            </w:pPr>
            <w:r>
              <w:rPr>
                <w:rFonts w:hint="eastAsia"/>
              </w:rPr>
              <w:t>100万元（含）-500万元</w:t>
            </w:r>
          </w:p>
        </w:tc>
        <w:tc>
          <w:tcPr>
            <w:tcW w:w="1799" w:type="dxa"/>
            <w:vAlign w:val="center"/>
          </w:tcPr>
          <w:p w14:paraId="7C7F9C6B">
            <w:pPr>
              <w:widowControl/>
              <w:spacing w:line="360" w:lineRule="auto"/>
              <w:jc w:val="center"/>
            </w:pPr>
            <w:r>
              <w:rPr>
                <w:rFonts w:hint="eastAsia"/>
              </w:rPr>
              <w:t>1.1%</w:t>
            </w:r>
          </w:p>
        </w:tc>
        <w:tc>
          <w:tcPr>
            <w:tcW w:w="1799" w:type="dxa"/>
            <w:vAlign w:val="center"/>
          </w:tcPr>
          <w:p w14:paraId="270A420F">
            <w:pPr>
              <w:widowControl/>
              <w:spacing w:line="360" w:lineRule="auto"/>
              <w:jc w:val="center"/>
            </w:pPr>
            <w:r>
              <w:rPr>
                <w:rFonts w:hint="eastAsia"/>
              </w:rPr>
              <w:t>0.8%</w:t>
            </w:r>
          </w:p>
        </w:tc>
        <w:tc>
          <w:tcPr>
            <w:tcW w:w="1799" w:type="dxa"/>
            <w:vAlign w:val="center"/>
          </w:tcPr>
          <w:p w14:paraId="07AE81B7">
            <w:pPr>
              <w:widowControl/>
              <w:spacing w:line="360" w:lineRule="auto"/>
              <w:jc w:val="center"/>
            </w:pPr>
            <w:r>
              <w:rPr>
                <w:rFonts w:hint="eastAsia"/>
              </w:rPr>
              <w:t>0.7%</w:t>
            </w:r>
          </w:p>
        </w:tc>
      </w:tr>
      <w:tr w14:paraId="01514E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25" w:type="dxa"/>
            <w:vAlign w:val="center"/>
          </w:tcPr>
          <w:p w14:paraId="1D1FCD2D">
            <w:pPr>
              <w:widowControl/>
              <w:spacing w:line="360" w:lineRule="auto"/>
              <w:jc w:val="center"/>
            </w:pPr>
            <w:r>
              <w:rPr>
                <w:rFonts w:hint="eastAsia"/>
              </w:rPr>
              <w:t>500万元（含）-1000万元</w:t>
            </w:r>
          </w:p>
        </w:tc>
        <w:tc>
          <w:tcPr>
            <w:tcW w:w="1799" w:type="dxa"/>
            <w:vAlign w:val="center"/>
          </w:tcPr>
          <w:p w14:paraId="10693CA7">
            <w:pPr>
              <w:widowControl/>
              <w:spacing w:line="360" w:lineRule="auto"/>
              <w:jc w:val="center"/>
            </w:pPr>
            <w:r>
              <w:rPr>
                <w:rFonts w:hint="eastAsia"/>
              </w:rPr>
              <w:t>0.8%</w:t>
            </w:r>
          </w:p>
        </w:tc>
        <w:tc>
          <w:tcPr>
            <w:tcW w:w="1799" w:type="dxa"/>
            <w:vAlign w:val="center"/>
          </w:tcPr>
          <w:p w14:paraId="3EBB132A">
            <w:pPr>
              <w:widowControl/>
              <w:spacing w:line="360" w:lineRule="auto"/>
              <w:jc w:val="center"/>
            </w:pPr>
            <w:r>
              <w:rPr>
                <w:rFonts w:hint="eastAsia"/>
              </w:rPr>
              <w:t>0.45%</w:t>
            </w:r>
          </w:p>
        </w:tc>
        <w:tc>
          <w:tcPr>
            <w:tcW w:w="1799" w:type="dxa"/>
            <w:vAlign w:val="center"/>
          </w:tcPr>
          <w:p w14:paraId="53CF9D55">
            <w:pPr>
              <w:widowControl/>
              <w:spacing w:line="360" w:lineRule="auto"/>
              <w:jc w:val="center"/>
            </w:pPr>
            <w:r>
              <w:rPr>
                <w:rFonts w:hint="eastAsia"/>
              </w:rPr>
              <w:t>0.55%</w:t>
            </w:r>
          </w:p>
        </w:tc>
      </w:tr>
      <w:tr w14:paraId="77D9A9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3125" w:type="dxa"/>
            <w:vAlign w:val="center"/>
          </w:tcPr>
          <w:p w14:paraId="01EEF5A3">
            <w:pPr>
              <w:widowControl/>
              <w:spacing w:line="360" w:lineRule="auto"/>
              <w:jc w:val="center"/>
            </w:pPr>
            <w:r>
              <w:rPr>
                <w:rFonts w:hint="eastAsia"/>
              </w:rPr>
              <w:t>1000万元（含）-5000万元</w:t>
            </w:r>
          </w:p>
        </w:tc>
        <w:tc>
          <w:tcPr>
            <w:tcW w:w="1799" w:type="dxa"/>
            <w:vAlign w:val="center"/>
          </w:tcPr>
          <w:p w14:paraId="14A244D2">
            <w:pPr>
              <w:widowControl/>
              <w:spacing w:line="360" w:lineRule="auto"/>
              <w:jc w:val="center"/>
            </w:pPr>
            <w:r>
              <w:rPr>
                <w:rFonts w:hint="eastAsia"/>
              </w:rPr>
              <w:t>0.5%</w:t>
            </w:r>
          </w:p>
        </w:tc>
        <w:tc>
          <w:tcPr>
            <w:tcW w:w="1799" w:type="dxa"/>
            <w:vAlign w:val="center"/>
          </w:tcPr>
          <w:p w14:paraId="5A711C70">
            <w:pPr>
              <w:widowControl/>
              <w:spacing w:line="360" w:lineRule="auto"/>
              <w:jc w:val="center"/>
            </w:pPr>
            <w:r>
              <w:rPr>
                <w:rFonts w:hint="eastAsia"/>
              </w:rPr>
              <w:t>0.25%</w:t>
            </w:r>
          </w:p>
        </w:tc>
        <w:tc>
          <w:tcPr>
            <w:tcW w:w="1799" w:type="dxa"/>
            <w:vAlign w:val="center"/>
          </w:tcPr>
          <w:p w14:paraId="1102BBF8">
            <w:pPr>
              <w:widowControl/>
              <w:spacing w:line="360" w:lineRule="auto"/>
              <w:jc w:val="center"/>
            </w:pPr>
            <w:r>
              <w:rPr>
                <w:rFonts w:hint="eastAsia"/>
              </w:rPr>
              <w:t>0.35%</w:t>
            </w:r>
          </w:p>
        </w:tc>
      </w:tr>
      <w:tr w14:paraId="043362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25" w:type="dxa"/>
            <w:vAlign w:val="center"/>
          </w:tcPr>
          <w:p w14:paraId="6D0FE815">
            <w:pPr>
              <w:widowControl/>
              <w:spacing w:line="360" w:lineRule="auto"/>
              <w:jc w:val="center"/>
            </w:pPr>
            <w:r>
              <w:rPr>
                <w:rFonts w:hint="eastAsia"/>
              </w:rPr>
              <w:t>5000万元（含）-1亿元</w:t>
            </w:r>
          </w:p>
        </w:tc>
        <w:tc>
          <w:tcPr>
            <w:tcW w:w="1799" w:type="dxa"/>
            <w:vAlign w:val="center"/>
          </w:tcPr>
          <w:p w14:paraId="7BCFC286">
            <w:pPr>
              <w:widowControl/>
              <w:spacing w:line="360" w:lineRule="auto"/>
              <w:jc w:val="center"/>
            </w:pPr>
            <w:r>
              <w:rPr>
                <w:rFonts w:hint="eastAsia"/>
              </w:rPr>
              <w:t>0.25%</w:t>
            </w:r>
          </w:p>
        </w:tc>
        <w:tc>
          <w:tcPr>
            <w:tcW w:w="1799" w:type="dxa"/>
            <w:vAlign w:val="center"/>
          </w:tcPr>
          <w:p w14:paraId="6E8141AA">
            <w:pPr>
              <w:widowControl/>
              <w:spacing w:line="360" w:lineRule="auto"/>
              <w:jc w:val="center"/>
            </w:pPr>
            <w:r>
              <w:rPr>
                <w:rFonts w:hint="eastAsia"/>
              </w:rPr>
              <w:t>0.1%</w:t>
            </w:r>
          </w:p>
        </w:tc>
        <w:tc>
          <w:tcPr>
            <w:tcW w:w="1799" w:type="dxa"/>
            <w:vAlign w:val="center"/>
          </w:tcPr>
          <w:p w14:paraId="1B7B4AE4">
            <w:pPr>
              <w:widowControl/>
              <w:spacing w:line="360" w:lineRule="auto"/>
              <w:jc w:val="center"/>
            </w:pPr>
            <w:r>
              <w:rPr>
                <w:rFonts w:hint="eastAsia"/>
              </w:rPr>
              <w:t>0.2%</w:t>
            </w:r>
          </w:p>
        </w:tc>
      </w:tr>
      <w:tr w14:paraId="5EC944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25" w:type="dxa"/>
            <w:vAlign w:val="center"/>
          </w:tcPr>
          <w:p w14:paraId="54DEFC3E">
            <w:pPr>
              <w:widowControl/>
              <w:spacing w:line="360" w:lineRule="auto"/>
              <w:jc w:val="center"/>
            </w:pPr>
            <w:r>
              <w:rPr>
                <w:rFonts w:hint="eastAsia"/>
              </w:rPr>
              <w:t>1亿元（含）-5亿元</w:t>
            </w:r>
          </w:p>
        </w:tc>
        <w:tc>
          <w:tcPr>
            <w:tcW w:w="1799" w:type="dxa"/>
            <w:vAlign w:val="center"/>
          </w:tcPr>
          <w:p w14:paraId="6786FBD0">
            <w:pPr>
              <w:widowControl/>
              <w:spacing w:line="360" w:lineRule="auto"/>
              <w:jc w:val="center"/>
            </w:pPr>
            <w:r>
              <w:rPr>
                <w:rFonts w:hint="eastAsia"/>
              </w:rPr>
              <w:t>0.05%</w:t>
            </w:r>
          </w:p>
        </w:tc>
        <w:tc>
          <w:tcPr>
            <w:tcW w:w="1799" w:type="dxa"/>
            <w:vAlign w:val="center"/>
          </w:tcPr>
          <w:p w14:paraId="497BB52B">
            <w:pPr>
              <w:widowControl/>
              <w:spacing w:line="360" w:lineRule="auto"/>
              <w:jc w:val="center"/>
            </w:pPr>
            <w:r>
              <w:rPr>
                <w:rFonts w:hint="eastAsia"/>
              </w:rPr>
              <w:t>0.05%</w:t>
            </w:r>
          </w:p>
        </w:tc>
        <w:tc>
          <w:tcPr>
            <w:tcW w:w="1799" w:type="dxa"/>
            <w:vAlign w:val="center"/>
          </w:tcPr>
          <w:p w14:paraId="198EA351">
            <w:pPr>
              <w:widowControl/>
              <w:spacing w:line="360" w:lineRule="auto"/>
              <w:jc w:val="center"/>
            </w:pPr>
            <w:r>
              <w:rPr>
                <w:rFonts w:hint="eastAsia"/>
              </w:rPr>
              <w:t>0.05%</w:t>
            </w:r>
          </w:p>
        </w:tc>
      </w:tr>
      <w:tr w14:paraId="0D5748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25" w:type="dxa"/>
            <w:vAlign w:val="center"/>
          </w:tcPr>
          <w:p w14:paraId="27C4ADDD">
            <w:pPr>
              <w:widowControl/>
              <w:spacing w:line="360" w:lineRule="auto"/>
              <w:jc w:val="center"/>
            </w:pPr>
            <w:r>
              <w:rPr>
                <w:rFonts w:hint="eastAsia"/>
              </w:rPr>
              <w:t>5亿元（含）-10亿元</w:t>
            </w:r>
          </w:p>
        </w:tc>
        <w:tc>
          <w:tcPr>
            <w:tcW w:w="1799" w:type="dxa"/>
            <w:vAlign w:val="center"/>
          </w:tcPr>
          <w:p w14:paraId="5685CCC8">
            <w:pPr>
              <w:widowControl/>
              <w:spacing w:line="360" w:lineRule="auto"/>
              <w:jc w:val="center"/>
            </w:pPr>
            <w:r>
              <w:rPr>
                <w:rFonts w:hint="eastAsia"/>
              </w:rPr>
              <w:t>0.035%</w:t>
            </w:r>
          </w:p>
        </w:tc>
        <w:tc>
          <w:tcPr>
            <w:tcW w:w="1799" w:type="dxa"/>
            <w:vAlign w:val="center"/>
          </w:tcPr>
          <w:p w14:paraId="579DA058">
            <w:pPr>
              <w:widowControl/>
              <w:spacing w:line="360" w:lineRule="auto"/>
              <w:jc w:val="center"/>
            </w:pPr>
            <w:r>
              <w:rPr>
                <w:rFonts w:hint="eastAsia"/>
              </w:rPr>
              <w:t>0.035%</w:t>
            </w:r>
          </w:p>
        </w:tc>
        <w:tc>
          <w:tcPr>
            <w:tcW w:w="1799" w:type="dxa"/>
            <w:vAlign w:val="center"/>
          </w:tcPr>
          <w:p w14:paraId="37BF8B90">
            <w:pPr>
              <w:widowControl/>
              <w:spacing w:line="360" w:lineRule="auto"/>
              <w:jc w:val="center"/>
            </w:pPr>
            <w:r>
              <w:rPr>
                <w:rFonts w:hint="eastAsia"/>
              </w:rPr>
              <w:t>0.035%</w:t>
            </w:r>
          </w:p>
        </w:tc>
      </w:tr>
      <w:tr w14:paraId="07E93F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125" w:type="dxa"/>
            <w:vAlign w:val="center"/>
          </w:tcPr>
          <w:p w14:paraId="736C5077">
            <w:pPr>
              <w:widowControl/>
              <w:spacing w:line="360" w:lineRule="auto"/>
              <w:jc w:val="center"/>
            </w:pPr>
            <w:r>
              <w:rPr>
                <w:rFonts w:hint="eastAsia"/>
              </w:rPr>
              <w:t>10亿元（含）-50亿元</w:t>
            </w:r>
          </w:p>
        </w:tc>
        <w:tc>
          <w:tcPr>
            <w:tcW w:w="1799" w:type="dxa"/>
            <w:vAlign w:val="center"/>
          </w:tcPr>
          <w:p w14:paraId="5AF318E4">
            <w:pPr>
              <w:widowControl/>
              <w:spacing w:line="360" w:lineRule="auto"/>
              <w:jc w:val="center"/>
            </w:pPr>
            <w:r>
              <w:rPr>
                <w:rFonts w:hint="eastAsia"/>
              </w:rPr>
              <w:t>0.008%</w:t>
            </w:r>
          </w:p>
        </w:tc>
        <w:tc>
          <w:tcPr>
            <w:tcW w:w="1799" w:type="dxa"/>
            <w:vAlign w:val="center"/>
          </w:tcPr>
          <w:p w14:paraId="4BDC7C45">
            <w:pPr>
              <w:widowControl/>
              <w:spacing w:line="360" w:lineRule="auto"/>
              <w:jc w:val="center"/>
            </w:pPr>
            <w:r>
              <w:rPr>
                <w:rFonts w:hint="eastAsia"/>
              </w:rPr>
              <w:t>0.008%</w:t>
            </w:r>
          </w:p>
        </w:tc>
        <w:tc>
          <w:tcPr>
            <w:tcW w:w="1799" w:type="dxa"/>
            <w:vAlign w:val="center"/>
          </w:tcPr>
          <w:p w14:paraId="313EE267">
            <w:pPr>
              <w:widowControl/>
              <w:spacing w:line="360" w:lineRule="auto"/>
              <w:jc w:val="center"/>
            </w:pPr>
            <w:r>
              <w:rPr>
                <w:rFonts w:hint="eastAsia"/>
              </w:rPr>
              <w:t>0.008%</w:t>
            </w:r>
          </w:p>
        </w:tc>
      </w:tr>
      <w:tr w14:paraId="2BB24D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25" w:type="dxa"/>
            <w:vAlign w:val="center"/>
          </w:tcPr>
          <w:p w14:paraId="09A6319D">
            <w:pPr>
              <w:widowControl/>
              <w:spacing w:line="360" w:lineRule="auto"/>
              <w:jc w:val="center"/>
            </w:pPr>
            <w:r>
              <w:rPr>
                <w:rFonts w:hint="eastAsia"/>
              </w:rPr>
              <w:t>50亿元（含）-100亿元</w:t>
            </w:r>
          </w:p>
        </w:tc>
        <w:tc>
          <w:tcPr>
            <w:tcW w:w="1799" w:type="dxa"/>
            <w:vAlign w:val="center"/>
          </w:tcPr>
          <w:p w14:paraId="144AD145">
            <w:pPr>
              <w:widowControl/>
              <w:spacing w:line="360" w:lineRule="auto"/>
              <w:jc w:val="center"/>
            </w:pPr>
            <w:r>
              <w:rPr>
                <w:rFonts w:hint="eastAsia"/>
              </w:rPr>
              <w:t>0.006%</w:t>
            </w:r>
          </w:p>
        </w:tc>
        <w:tc>
          <w:tcPr>
            <w:tcW w:w="1799" w:type="dxa"/>
            <w:vAlign w:val="center"/>
          </w:tcPr>
          <w:p w14:paraId="33FC08CB">
            <w:pPr>
              <w:widowControl/>
              <w:spacing w:line="360" w:lineRule="auto"/>
              <w:jc w:val="center"/>
            </w:pPr>
            <w:r>
              <w:rPr>
                <w:rFonts w:hint="eastAsia"/>
              </w:rPr>
              <w:t>0.006%</w:t>
            </w:r>
          </w:p>
        </w:tc>
        <w:tc>
          <w:tcPr>
            <w:tcW w:w="1799" w:type="dxa"/>
            <w:vAlign w:val="center"/>
          </w:tcPr>
          <w:p w14:paraId="47F7E381">
            <w:pPr>
              <w:widowControl/>
              <w:spacing w:line="360" w:lineRule="auto"/>
              <w:jc w:val="center"/>
            </w:pPr>
            <w:r>
              <w:rPr>
                <w:rFonts w:hint="eastAsia"/>
              </w:rPr>
              <w:t>0.006%</w:t>
            </w:r>
          </w:p>
        </w:tc>
      </w:tr>
      <w:tr w14:paraId="38D35F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25" w:type="dxa"/>
            <w:vAlign w:val="center"/>
          </w:tcPr>
          <w:p w14:paraId="1B4C2201">
            <w:pPr>
              <w:widowControl/>
              <w:spacing w:line="360" w:lineRule="auto"/>
              <w:jc w:val="center"/>
            </w:pPr>
            <w:r>
              <w:rPr>
                <w:rFonts w:hint="eastAsia"/>
              </w:rPr>
              <w:t>100亿元（含）以上</w:t>
            </w:r>
          </w:p>
        </w:tc>
        <w:tc>
          <w:tcPr>
            <w:tcW w:w="1799" w:type="dxa"/>
            <w:vAlign w:val="center"/>
          </w:tcPr>
          <w:p w14:paraId="7A64D249">
            <w:pPr>
              <w:widowControl/>
              <w:spacing w:line="360" w:lineRule="auto"/>
              <w:jc w:val="center"/>
            </w:pPr>
            <w:r>
              <w:rPr>
                <w:rFonts w:hint="eastAsia"/>
              </w:rPr>
              <w:t>0.004%</w:t>
            </w:r>
          </w:p>
        </w:tc>
        <w:tc>
          <w:tcPr>
            <w:tcW w:w="1799" w:type="dxa"/>
            <w:vAlign w:val="center"/>
          </w:tcPr>
          <w:p w14:paraId="33A46C71">
            <w:pPr>
              <w:widowControl/>
              <w:spacing w:line="360" w:lineRule="auto"/>
              <w:jc w:val="center"/>
            </w:pPr>
            <w:r>
              <w:rPr>
                <w:rFonts w:hint="eastAsia"/>
              </w:rPr>
              <w:t>0.004%</w:t>
            </w:r>
          </w:p>
        </w:tc>
        <w:tc>
          <w:tcPr>
            <w:tcW w:w="1799" w:type="dxa"/>
            <w:vAlign w:val="center"/>
          </w:tcPr>
          <w:p w14:paraId="7A5ECBE8">
            <w:pPr>
              <w:widowControl/>
              <w:spacing w:line="360" w:lineRule="auto"/>
              <w:jc w:val="center"/>
            </w:pPr>
            <w:r>
              <w:rPr>
                <w:rFonts w:hint="eastAsia"/>
              </w:rPr>
              <w:t>0.004%</w:t>
            </w:r>
          </w:p>
        </w:tc>
      </w:tr>
    </w:tbl>
    <w:p w14:paraId="795ADBDD">
      <w:pPr>
        <w:ind w:firstLine="420" w:firstLineChars="200"/>
      </w:pPr>
      <w:r>
        <w:rPr>
          <w:rFonts w:hint="eastAsia"/>
        </w:rPr>
        <w:t xml:space="preserve">备注：1.每宗交易代理服务费不低于 </w:t>
      </w:r>
      <w:r>
        <w:rPr>
          <w:rFonts w:hint="eastAsia" w:ascii="Times New Roman" w:eastAsia="宋体"/>
          <w:lang w:val="en-US" w:eastAsia="zh-CN"/>
        </w:rPr>
        <w:t>5</w:t>
      </w:r>
      <w:r>
        <w:rPr>
          <w:rFonts w:hint="eastAsia"/>
        </w:rPr>
        <w:t>000 元；</w:t>
      </w:r>
    </w:p>
    <w:p w14:paraId="2EE07810">
      <w:pPr>
        <w:ind w:firstLine="420" w:firstLineChars="200"/>
      </w:pPr>
      <w:r>
        <w:rPr>
          <w:rFonts w:hint="eastAsia"/>
        </w:rPr>
        <w:t>2.对于报总价的采购类项目，中标</w:t>
      </w:r>
      <w:r>
        <w:rPr>
          <w:rFonts w:hint="eastAsia" w:eastAsia="宋体"/>
          <w:lang w:eastAsia="zh-CN"/>
        </w:rPr>
        <w:t>（</w:t>
      </w:r>
      <w:r>
        <w:rPr>
          <w:rFonts w:hint="eastAsia" w:ascii="Times New Roman" w:eastAsia="宋体"/>
          <w:lang w:val="en-US" w:eastAsia="zh-CN"/>
        </w:rPr>
        <w:t>成交</w:t>
      </w:r>
      <w:r>
        <w:rPr>
          <w:rFonts w:hint="eastAsia" w:eastAsia="宋体"/>
          <w:lang w:eastAsia="zh-CN"/>
        </w:rPr>
        <w:t>）</w:t>
      </w:r>
      <w:r>
        <w:rPr>
          <w:rFonts w:hint="eastAsia"/>
        </w:rPr>
        <w:t>价为中标（成交）金额；对于报单价、折扣或费率的采购类项目，中标</w:t>
      </w:r>
      <w:r>
        <w:rPr>
          <w:rFonts w:hint="eastAsia" w:eastAsia="宋体"/>
          <w:lang w:eastAsia="zh-CN"/>
        </w:rPr>
        <w:t>（</w:t>
      </w:r>
      <w:r>
        <w:rPr>
          <w:rFonts w:hint="eastAsia" w:ascii="Times New Roman" w:eastAsia="宋体"/>
          <w:lang w:val="en-US" w:eastAsia="zh-CN"/>
        </w:rPr>
        <w:t>成交</w:t>
      </w:r>
      <w:r>
        <w:rPr>
          <w:rFonts w:hint="eastAsia" w:eastAsia="宋体"/>
          <w:lang w:eastAsia="zh-CN"/>
        </w:rPr>
        <w:t>）</w:t>
      </w:r>
      <w:r>
        <w:rPr>
          <w:rFonts w:hint="eastAsia"/>
        </w:rPr>
        <w:t>价为预算上限金额或经委托方与代理方确定的支付上限金额；</w:t>
      </w:r>
    </w:p>
    <w:p w14:paraId="234D7977">
      <w:pPr>
        <w:ind w:firstLine="420" w:firstLineChars="200"/>
      </w:pPr>
      <w:r>
        <w:rPr>
          <w:rFonts w:hint="eastAsia"/>
        </w:rPr>
        <w:t>如某</w:t>
      </w:r>
      <w:r>
        <w:rPr>
          <w:rFonts w:hint="eastAsia"/>
          <w:lang w:val="en-US" w:eastAsia="zh-CN"/>
        </w:rPr>
        <w:t>服务</w:t>
      </w:r>
      <w:r>
        <w:rPr>
          <w:rFonts w:hint="eastAsia"/>
        </w:rPr>
        <w:t>采购项目，中标（成交）金额为600万元，总共交纳的代理服务费的具体计算过程如下：</w:t>
      </w:r>
    </w:p>
    <w:p w14:paraId="1ADDA349">
      <w:pPr>
        <w:ind w:firstLine="420" w:firstLineChars="200"/>
      </w:pPr>
      <w:r>
        <w:rPr>
          <w:rFonts w:hint="eastAsia"/>
        </w:rPr>
        <w:t>标准代理服务费＝（</w:t>
      </w:r>
      <w:r>
        <w:rPr>
          <w:rFonts w:hint="eastAsia"/>
          <w:lang w:eastAsia="zh-CN"/>
        </w:rPr>
        <w:t>100万元以下</w:t>
      </w:r>
      <w:r>
        <w:rPr>
          <w:rFonts w:hint="eastAsia"/>
        </w:rPr>
        <w:t>部分的代理服务费）+（100万～500万</w:t>
      </w:r>
      <w:r>
        <w:rPr>
          <w:rFonts w:hint="eastAsia"/>
          <w:lang w:val="en-US" w:eastAsia="zh-CN"/>
        </w:rPr>
        <w:t>元</w:t>
      </w:r>
      <w:r>
        <w:rPr>
          <w:rFonts w:hint="eastAsia"/>
        </w:rPr>
        <w:t>部分的代理服务费）+（500万～600万</w:t>
      </w:r>
      <w:r>
        <w:rPr>
          <w:rFonts w:hint="eastAsia"/>
          <w:lang w:val="en-US" w:eastAsia="zh-CN"/>
        </w:rPr>
        <w:t>元</w:t>
      </w:r>
      <w:r>
        <w:rPr>
          <w:rFonts w:hint="eastAsia"/>
        </w:rPr>
        <w:t>部分的代理服务费）＝100万元×1.5%+（500-100）万元×</w:t>
      </w:r>
      <w:r>
        <w:rPr>
          <w:rFonts w:hint="eastAsia"/>
          <w:lang w:val="en-US" w:eastAsia="zh-CN"/>
        </w:rPr>
        <w:t>0.8</w:t>
      </w:r>
      <w:r>
        <w:rPr>
          <w:rFonts w:hint="eastAsia"/>
        </w:rPr>
        <w:t>%+（600-500）万元×0.</w:t>
      </w:r>
      <w:r>
        <w:rPr>
          <w:rFonts w:hint="eastAsia"/>
          <w:lang w:val="en-US" w:eastAsia="zh-CN"/>
        </w:rPr>
        <w:t>45</w:t>
      </w:r>
      <w:r>
        <w:rPr>
          <w:rFonts w:hint="eastAsia"/>
        </w:rPr>
        <w:t>%=1.5万元+</w:t>
      </w:r>
      <w:r>
        <w:rPr>
          <w:rFonts w:hint="eastAsia"/>
          <w:lang w:val="en-US" w:eastAsia="zh-CN"/>
        </w:rPr>
        <w:t>3.2</w:t>
      </w:r>
      <w:r>
        <w:rPr>
          <w:rFonts w:hint="eastAsia"/>
        </w:rPr>
        <w:t>万元+0.</w:t>
      </w:r>
      <w:r>
        <w:rPr>
          <w:rFonts w:hint="eastAsia"/>
          <w:lang w:val="en-US" w:eastAsia="zh-CN"/>
        </w:rPr>
        <w:t>45</w:t>
      </w:r>
      <w:r>
        <w:rPr>
          <w:rFonts w:hint="eastAsia"/>
        </w:rPr>
        <w:t>万元＝</w:t>
      </w:r>
      <w:r>
        <w:rPr>
          <w:rFonts w:hint="eastAsia"/>
          <w:lang w:val="en-US" w:eastAsia="zh-CN"/>
        </w:rPr>
        <w:t>5.15</w:t>
      </w:r>
      <w:r>
        <w:rPr>
          <w:rFonts w:hint="eastAsia"/>
        </w:rPr>
        <w:t>万元</w:t>
      </w:r>
    </w:p>
    <w:p w14:paraId="248C8FEA">
      <w:pPr>
        <w:ind w:firstLine="420" w:firstLineChars="200"/>
      </w:pPr>
      <w:r>
        <w:rPr>
          <w:rFonts w:hint="eastAsia"/>
        </w:rPr>
        <w:t>（</w:t>
      </w:r>
      <w:r>
        <w:rPr>
          <w:rFonts w:hint="eastAsia" w:ascii="Times New Roman" w:eastAsia="宋体"/>
          <w:lang w:val="en-US" w:eastAsia="zh-CN"/>
        </w:rPr>
        <w:t>3</w:t>
      </w:r>
      <w:r>
        <w:rPr>
          <w:rFonts w:hint="eastAsia"/>
        </w:rPr>
        <w:t>）中标（成交）供应商中标（成交）后，必须按规定采用银行对公转账方式向深圳交易集团有限公司直接交纳代理服务费，交纳信息及要求按照缴款</w:t>
      </w:r>
      <w:r>
        <w:rPr>
          <w:rFonts w:hint="eastAsia" w:eastAsia="宋体"/>
          <w:lang w:eastAsia="zh-CN"/>
        </w:rPr>
        <w:t>（</w:t>
      </w:r>
      <w:r>
        <w:rPr>
          <w:rFonts w:hint="eastAsia" w:ascii="Times New Roman" w:eastAsia="宋体"/>
          <w:lang w:val="en-US" w:eastAsia="zh-CN"/>
        </w:rPr>
        <w:t>付款</w:t>
      </w:r>
      <w:r>
        <w:rPr>
          <w:rFonts w:hint="eastAsia" w:eastAsia="宋体"/>
          <w:lang w:eastAsia="zh-CN"/>
        </w:rPr>
        <w:t>）</w:t>
      </w:r>
      <w:r>
        <w:rPr>
          <w:rFonts w:hint="eastAsia"/>
        </w:rPr>
        <w:t>通知书执行。</w:t>
      </w:r>
    </w:p>
    <w:p w14:paraId="71E16859">
      <w:pPr>
        <w:pStyle w:val="36"/>
        <w:rPr>
          <w:b/>
        </w:rPr>
      </w:pPr>
    </w:p>
    <w:p w14:paraId="222C9DD5">
      <w:pPr>
        <w:rPr>
          <w:b/>
        </w:rPr>
        <w:sectPr>
          <w:pgSz w:w="11907" w:h="16840"/>
          <w:pgMar w:top="1440" w:right="1797" w:bottom="1440" w:left="1797" w:header="851" w:footer="992" w:gutter="0"/>
          <w:cols w:space="425" w:num="1"/>
          <w:titlePg/>
          <w:docGrid w:linePitch="462" w:charSpace="0"/>
        </w:sectPr>
      </w:pPr>
    </w:p>
    <w:p w14:paraId="2B78692F">
      <w:pPr>
        <w:pStyle w:val="5"/>
        <w:rPr>
          <w:sz w:val="28"/>
          <w:szCs w:val="28"/>
        </w:rPr>
      </w:pPr>
      <w:bookmarkStart w:id="30" w:name="_Toc128884461"/>
      <w:r>
        <w:rPr>
          <w:rFonts w:hint="eastAsia"/>
          <w:sz w:val="28"/>
          <w:szCs w:val="28"/>
        </w:rPr>
        <w:t>第三章 用户需求书</w:t>
      </w:r>
    </w:p>
    <w:p w14:paraId="7CC30164">
      <w:pPr>
        <w:pStyle w:val="5"/>
        <w:spacing w:before="120" w:beforeLines="50" w:after="120" w:afterLines="50"/>
        <w:rPr>
          <w:szCs w:val="24"/>
        </w:rPr>
      </w:pPr>
      <w:r>
        <w:rPr>
          <w:rFonts w:hint="eastAsia"/>
          <w:szCs w:val="24"/>
        </w:rPr>
        <w:t>一、项目基本信息</w:t>
      </w:r>
    </w:p>
    <w:p w14:paraId="20F834C9">
      <w:pPr>
        <w:rPr>
          <w:rFonts w:ascii="宋体" w:hAnsi="宋体"/>
          <w:b/>
          <w:color w:val="FF0000"/>
          <w:szCs w:val="21"/>
        </w:rPr>
      </w:pPr>
    </w:p>
    <w:tbl>
      <w:tblPr>
        <w:tblStyle w:val="42"/>
        <w:tblpPr w:leftFromText="180" w:rightFromText="180" w:vertAnchor="text" w:horzAnchor="margin" w:tblpY="173"/>
        <w:tblW w:w="500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5"/>
        <w:gridCol w:w="2072"/>
        <w:gridCol w:w="3162"/>
        <w:gridCol w:w="2885"/>
      </w:tblGrid>
      <w:tr w14:paraId="6593E1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trPr>
        <w:tc>
          <w:tcPr>
            <w:tcW w:w="249" w:type="pct"/>
            <w:vAlign w:val="center"/>
          </w:tcPr>
          <w:p w14:paraId="58F32C91">
            <w:pPr>
              <w:jc w:val="center"/>
              <w:rPr>
                <w:bCs/>
                <w:szCs w:val="21"/>
              </w:rPr>
            </w:pPr>
            <w:r>
              <w:rPr>
                <w:rFonts w:hint="eastAsia"/>
                <w:bCs/>
                <w:szCs w:val="21"/>
              </w:rPr>
              <w:t>序号</w:t>
            </w:r>
          </w:p>
        </w:tc>
        <w:tc>
          <w:tcPr>
            <w:tcW w:w="1212" w:type="pct"/>
            <w:vAlign w:val="center"/>
          </w:tcPr>
          <w:p w14:paraId="5E833C93">
            <w:pPr>
              <w:jc w:val="center"/>
              <w:rPr>
                <w:bCs/>
                <w:szCs w:val="21"/>
              </w:rPr>
            </w:pPr>
            <w:r>
              <w:rPr>
                <w:rFonts w:hint="eastAsia"/>
                <w:szCs w:val="21"/>
              </w:rPr>
              <w:t>采购计划编号</w:t>
            </w:r>
          </w:p>
        </w:tc>
        <w:tc>
          <w:tcPr>
            <w:tcW w:w="1849" w:type="pct"/>
            <w:vAlign w:val="center"/>
          </w:tcPr>
          <w:p w14:paraId="56DA89D3">
            <w:pPr>
              <w:jc w:val="center"/>
              <w:rPr>
                <w:bCs/>
                <w:szCs w:val="21"/>
              </w:rPr>
            </w:pPr>
            <w:r>
              <w:rPr>
                <w:rFonts w:hint="eastAsia"/>
                <w:bCs/>
                <w:szCs w:val="21"/>
              </w:rPr>
              <w:t>采购项目名称</w:t>
            </w:r>
          </w:p>
        </w:tc>
        <w:tc>
          <w:tcPr>
            <w:tcW w:w="1688" w:type="pct"/>
            <w:vAlign w:val="center"/>
          </w:tcPr>
          <w:p w14:paraId="1CCB6CC2">
            <w:pPr>
              <w:jc w:val="center"/>
              <w:rPr>
                <w:b/>
                <w:bCs/>
                <w:color w:val="FF0000"/>
                <w:szCs w:val="21"/>
              </w:rPr>
            </w:pPr>
            <w:r>
              <w:rPr>
                <w:rFonts w:hint="eastAsia"/>
                <w:b/>
                <w:bCs/>
                <w:color w:val="FF0000"/>
                <w:szCs w:val="21"/>
              </w:rPr>
              <w:t>预算</w:t>
            </w:r>
            <w:r>
              <w:rPr>
                <w:rFonts w:hint="eastAsia"/>
                <w:b/>
                <w:bCs/>
                <w:color w:val="FF0000"/>
                <w:szCs w:val="21"/>
                <w:lang w:val="en-US" w:eastAsia="zh-CN"/>
              </w:rPr>
              <w:t>金额</w:t>
            </w:r>
            <w:r>
              <w:rPr>
                <w:rFonts w:hint="eastAsia"/>
                <w:b/>
                <w:bCs/>
                <w:color w:val="FF0000"/>
                <w:szCs w:val="21"/>
              </w:rPr>
              <w:t>（元）</w:t>
            </w:r>
          </w:p>
        </w:tc>
      </w:tr>
      <w:tr w14:paraId="59C715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 w:hRule="atLeast"/>
        </w:trPr>
        <w:tc>
          <w:tcPr>
            <w:tcW w:w="249" w:type="pct"/>
            <w:vAlign w:val="center"/>
          </w:tcPr>
          <w:p w14:paraId="4D40B976">
            <w:pPr>
              <w:jc w:val="center"/>
              <w:rPr>
                <w:bCs/>
                <w:color w:val="FF0000"/>
                <w:szCs w:val="21"/>
              </w:rPr>
            </w:pPr>
            <w:r>
              <w:rPr>
                <w:rFonts w:hint="eastAsia"/>
                <w:bCs/>
                <w:color w:val="FF0000"/>
                <w:szCs w:val="21"/>
              </w:rPr>
              <w:t>1</w:t>
            </w:r>
          </w:p>
        </w:tc>
        <w:tc>
          <w:tcPr>
            <w:tcW w:w="1212" w:type="pct"/>
            <w:vAlign w:val="center"/>
          </w:tcPr>
          <w:p w14:paraId="7AE99621">
            <w:pPr>
              <w:jc w:val="center"/>
              <w:rPr>
                <w:bCs/>
                <w:color w:val="FF0000"/>
                <w:szCs w:val="21"/>
              </w:rPr>
            </w:pPr>
            <w:r>
              <w:rPr>
                <w:rFonts w:hint="eastAsia"/>
                <w:bCs/>
                <w:color w:val="FF0000"/>
                <w:szCs w:val="21"/>
              </w:rPr>
              <w:t>PLAN-2026-440306000-119005-08636</w:t>
            </w:r>
          </w:p>
        </w:tc>
        <w:tc>
          <w:tcPr>
            <w:tcW w:w="1849" w:type="pct"/>
            <w:vMerge w:val="restart"/>
            <w:vAlign w:val="center"/>
          </w:tcPr>
          <w:p w14:paraId="39DE4DE7">
            <w:pPr>
              <w:jc w:val="center"/>
              <w:rPr>
                <w:rFonts w:hint="eastAsia" w:eastAsia="宋体"/>
                <w:b/>
                <w:bCs/>
                <w:color w:val="FF0000"/>
                <w:szCs w:val="21"/>
                <w:lang w:eastAsia="zh-CN"/>
              </w:rPr>
            </w:pPr>
            <w:r>
              <w:rPr>
                <w:rFonts w:hint="eastAsia"/>
                <w:b/>
                <w:bCs/>
                <w:color w:val="FF0000"/>
                <w:szCs w:val="21"/>
                <w:lang w:eastAsia="zh-CN"/>
              </w:rPr>
              <w:t>深圳市宝安区公园管理中心凤凰山森林公园安保服务</w:t>
            </w:r>
          </w:p>
        </w:tc>
        <w:tc>
          <w:tcPr>
            <w:tcW w:w="1688" w:type="pct"/>
            <w:vAlign w:val="center"/>
          </w:tcPr>
          <w:p w14:paraId="52D0DCF5">
            <w:pPr>
              <w:jc w:val="center"/>
              <w:rPr>
                <w:rFonts w:hint="default" w:eastAsia="宋体"/>
                <w:bCs/>
                <w:color w:val="FF0000"/>
                <w:szCs w:val="21"/>
                <w:lang w:val="en-US" w:eastAsia="zh-CN"/>
              </w:rPr>
            </w:pPr>
            <w:r>
              <w:rPr>
                <w:rFonts w:hint="eastAsia"/>
                <w:bCs/>
                <w:color w:val="FF0000"/>
                <w:szCs w:val="21"/>
              </w:rPr>
              <w:t>11</w:t>
            </w:r>
            <w:r>
              <w:rPr>
                <w:rFonts w:hint="eastAsia"/>
                <w:bCs/>
                <w:color w:val="FF0000"/>
                <w:szCs w:val="21"/>
                <w:lang w:val="en-US" w:eastAsia="zh-CN"/>
              </w:rPr>
              <w:t>,</w:t>
            </w:r>
            <w:r>
              <w:rPr>
                <w:rFonts w:hint="eastAsia"/>
                <w:bCs/>
                <w:color w:val="FF0000"/>
                <w:szCs w:val="21"/>
              </w:rPr>
              <w:t>715</w:t>
            </w:r>
            <w:r>
              <w:rPr>
                <w:rFonts w:hint="eastAsia"/>
                <w:bCs/>
                <w:color w:val="FF0000"/>
                <w:szCs w:val="21"/>
                <w:lang w:val="en-US" w:eastAsia="zh-CN"/>
              </w:rPr>
              <w:t>,</w:t>
            </w:r>
            <w:r>
              <w:rPr>
                <w:rFonts w:hint="eastAsia"/>
                <w:bCs/>
                <w:color w:val="FF0000"/>
                <w:szCs w:val="21"/>
              </w:rPr>
              <w:t>853</w:t>
            </w:r>
            <w:r>
              <w:rPr>
                <w:rFonts w:hint="eastAsia"/>
                <w:bCs/>
                <w:color w:val="FF0000"/>
                <w:szCs w:val="21"/>
                <w:lang w:eastAsia="zh-CN"/>
              </w:rPr>
              <w:t>.</w:t>
            </w:r>
            <w:r>
              <w:rPr>
                <w:rFonts w:hint="eastAsia"/>
                <w:bCs/>
                <w:color w:val="FF0000"/>
                <w:szCs w:val="21"/>
                <w:lang w:val="en-US" w:eastAsia="zh-CN"/>
              </w:rPr>
              <w:t>00</w:t>
            </w:r>
          </w:p>
        </w:tc>
      </w:tr>
      <w:tr w14:paraId="3AA613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 w:hRule="atLeast"/>
        </w:trPr>
        <w:tc>
          <w:tcPr>
            <w:tcW w:w="249" w:type="pct"/>
            <w:vAlign w:val="center"/>
          </w:tcPr>
          <w:p w14:paraId="1DFF0B44">
            <w:pPr>
              <w:jc w:val="center"/>
              <w:rPr>
                <w:bCs/>
                <w:color w:val="FF0000"/>
                <w:szCs w:val="21"/>
              </w:rPr>
            </w:pPr>
            <w:r>
              <w:rPr>
                <w:rFonts w:hint="eastAsia"/>
                <w:bCs/>
                <w:color w:val="FF0000"/>
                <w:szCs w:val="21"/>
              </w:rPr>
              <w:t>2</w:t>
            </w:r>
          </w:p>
        </w:tc>
        <w:tc>
          <w:tcPr>
            <w:tcW w:w="1212" w:type="pct"/>
            <w:vAlign w:val="center"/>
          </w:tcPr>
          <w:p w14:paraId="55761303">
            <w:pPr>
              <w:jc w:val="center"/>
              <w:rPr>
                <w:bCs/>
                <w:color w:val="FF0000"/>
                <w:szCs w:val="21"/>
              </w:rPr>
            </w:pPr>
            <w:r>
              <w:rPr>
                <w:rFonts w:hint="eastAsia"/>
                <w:bCs/>
                <w:color w:val="FF0000"/>
                <w:szCs w:val="21"/>
              </w:rPr>
              <w:t>PLAN-2026-440306000-119005-08637</w:t>
            </w:r>
          </w:p>
        </w:tc>
        <w:tc>
          <w:tcPr>
            <w:tcW w:w="1849" w:type="pct"/>
            <w:vMerge w:val="continue"/>
            <w:vAlign w:val="center"/>
          </w:tcPr>
          <w:p w14:paraId="010CC861">
            <w:pPr>
              <w:jc w:val="center"/>
              <w:rPr>
                <w:b/>
                <w:bCs/>
                <w:color w:val="FF0000"/>
                <w:szCs w:val="21"/>
              </w:rPr>
            </w:pPr>
          </w:p>
        </w:tc>
        <w:tc>
          <w:tcPr>
            <w:tcW w:w="1688" w:type="pct"/>
            <w:vAlign w:val="center"/>
          </w:tcPr>
          <w:p w14:paraId="451CD713">
            <w:pPr>
              <w:jc w:val="center"/>
              <w:rPr>
                <w:rFonts w:hint="default" w:eastAsia="宋体"/>
                <w:bCs/>
                <w:color w:val="FF0000"/>
                <w:szCs w:val="21"/>
                <w:lang w:val="en-US" w:eastAsia="zh-CN"/>
              </w:rPr>
            </w:pPr>
            <w:r>
              <w:rPr>
                <w:rFonts w:hint="default" w:eastAsia="宋体"/>
                <w:bCs/>
                <w:color w:val="FF0000"/>
                <w:szCs w:val="21"/>
                <w:lang w:val="en-US" w:eastAsia="zh-CN"/>
              </w:rPr>
              <w:t>2</w:t>
            </w:r>
            <w:r>
              <w:rPr>
                <w:rFonts w:hint="eastAsia"/>
                <w:bCs/>
                <w:color w:val="FF0000"/>
                <w:szCs w:val="21"/>
                <w:lang w:val="en-US" w:eastAsia="zh-CN"/>
              </w:rPr>
              <w:t>,</w:t>
            </w:r>
            <w:r>
              <w:rPr>
                <w:rFonts w:hint="default" w:eastAsia="宋体"/>
                <w:bCs/>
                <w:color w:val="FF0000"/>
                <w:szCs w:val="21"/>
                <w:lang w:val="en-US" w:eastAsia="zh-CN"/>
              </w:rPr>
              <w:t>343</w:t>
            </w:r>
            <w:r>
              <w:rPr>
                <w:rFonts w:hint="eastAsia"/>
                <w:bCs/>
                <w:color w:val="FF0000"/>
                <w:szCs w:val="21"/>
                <w:lang w:val="en-US" w:eastAsia="zh-CN"/>
              </w:rPr>
              <w:t>,</w:t>
            </w:r>
            <w:r>
              <w:rPr>
                <w:rFonts w:hint="default" w:eastAsia="宋体"/>
                <w:bCs/>
                <w:color w:val="FF0000"/>
                <w:szCs w:val="21"/>
                <w:lang w:val="en-US" w:eastAsia="zh-CN"/>
              </w:rPr>
              <w:t>170</w:t>
            </w:r>
            <w:r>
              <w:rPr>
                <w:rFonts w:hint="eastAsia"/>
                <w:bCs/>
                <w:color w:val="FF0000"/>
                <w:szCs w:val="21"/>
                <w:lang w:val="en-US" w:eastAsia="zh-CN"/>
              </w:rPr>
              <w:t>.60</w:t>
            </w:r>
          </w:p>
        </w:tc>
      </w:tr>
      <w:tr w14:paraId="153C37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 w:hRule="atLeast"/>
        </w:trPr>
        <w:tc>
          <w:tcPr>
            <w:tcW w:w="3311" w:type="pct"/>
            <w:gridSpan w:val="3"/>
            <w:vAlign w:val="center"/>
          </w:tcPr>
          <w:p w14:paraId="7525EF1A">
            <w:pPr>
              <w:jc w:val="center"/>
              <w:rPr>
                <w:b/>
                <w:bCs/>
                <w:color w:val="FF0000"/>
                <w:szCs w:val="21"/>
              </w:rPr>
            </w:pPr>
            <w:r>
              <w:rPr>
                <w:b/>
                <w:bCs/>
                <w:color w:val="FF0000"/>
                <w:szCs w:val="21"/>
              </w:rPr>
              <w:t>合计</w:t>
            </w:r>
          </w:p>
        </w:tc>
        <w:tc>
          <w:tcPr>
            <w:tcW w:w="1688" w:type="pct"/>
            <w:vAlign w:val="center"/>
          </w:tcPr>
          <w:p w14:paraId="0F75717C">
            <w:pPr>
              <w:jc w:val="center"/>
              <w:rPr>
                <w:bCs/>
                <w:color w:val="FF0000"/>
                <w:szCs w:val="21"/>
              </w:rPr>
            </w:pPr>
            <w:r>
              <w:rPr>
                <w:rFonts w:hint="eastAsia"/>
                <w:bCs/>
                <w:color w:val="FF0000"/>
                <w:szCs w:val="21"/>
              </w:rPr>
              <w:t>14</w:t>
            </w:r>
            <w:r>
              <w:rPr>
                <w:rFonts w:hint="eastAsia"/>
                <w:bCs/>
                <w:color w:val="FF0000"/>
                <w:szCs w:val="21"/>
                <w:lang w:val="en-US" w:eastAsia="zh-CN"/>
              </w:rPr>
              <w:t>,</w:t>
            </w:r>
            <w:r>
              <w:rPr>
                <w:rFonts w:hint="eastAsia"/>
                <w:bCs/>
                <w:color w:val="FF0000"/>
                <w:szCs w:val="21"/>
              </w:rPr>
              <w:t>059</w:t>
            </w:r>
            <w:r>
              <w:rPr>
                <w:rFonts w:hint="eastAsia"/>
                <w:bCs/>
                <w:color w:val="FF0000"/>
                <w:szCs w:val="21"/>
                <w:lang w:val="en-US" w:eastAsia="zh-CN"/>
              </w:rPr>
              <w:t>,</w:t>
            </w:r>
            <w:r>
              <w:rPr>
                <w:rFonts w:hint="eastAsia"/>
                <w:bCs/>
                <w:color w:val="FF0000"/>
                <w:szCs w:val="21"/>
              </w:rPr>
              <w:t>023</w:t>
            </w:r>
            <w:r>
              <w:rPr>
                <w:rFonts w:hint="eastAsia"/>
                <w:bCs/>
                <w:color w:val="FF0000"/>
                <w:szCs w:val="21"/>
                <w:lang w:val="en-US" w:eastAsia="zh-CN"/>
              </w:rPr>
              <w:t>.</w:t>
            </w:r>
            <w:r>
              <w:rPr>
                <w:rFonts w:hint="eastAsia"/>
                <w:bCs/>
                <w:color w:val="FF0000"/>
                <w:szCs w:val="21"/>
              </w:rPr>
              <w:t>6</w:t>
            </w:r>
            <w:r>
              <w:rPr>
                <w:rFonts w:hint="eastAsia"/>
                <w:bCs/>
                <w:color w:val="FF0000"/>
                <w:szCs w:val="21"/>
                <w:lang w:val="en-US" w:eastAsia="zh-CN"/>
              </w:rPr>
              <w:t>00</w:t>
            </w:r>
          </w:p>
        </w:tc>
      </w:tr>
    </w:tbl>
    <w:p w14:paraId="0B623E6A">
      <w:pPr>
        <w:rPr>
          <w:rFonts w:ascii="宋体" w:hAnsi="宋体"/>
          <w:b/>
          <w:color w:val="FF0000"/>
          <w:szCs w:val="21"/>
        </w:rPr>
      </w:pPr>
    </w:p>
    <w:p w14:paraId="701E6328">
      <w:pPr>
        <w:pStyle w:val="5"/>
        <w:spacing w:before="120" w:beforeLines="50" w:after="120" w:afterLines="50"/>
        <w:rPr>
          <w:szCs w:val="24"/>
        </w:rPr>
      </w:pPr>
      <w:r>
        <w:rPr>
          <w:rFonts w:hint="eastAsia"/>
          <w:szCs w:val="24"/>
        </w:rPr>
        <w:t>二、项目概况</w:t>
      </w:r>
    </w:p>
    <w:p w14:paraId="1CC3DDD7">
      <w:pPr>
        <w:widowControl/>
        <w:snapToGrid w:val="0"/>
        <w:spacing w:line="360" w:lineRule="auto"/>
        <w:ind w:firstLine="420" w:firstLineChars="200"/>
        <w:jc w:val="left"/>
        <w:rPr>
          <w:rFonts w:hint="eastAsia" w:ascii="宋体" w:hAnsi="宋体" w:eastAsia="宋体" w:cs="宋体"/>
          <w:color w:val="auto"/>
          <w:sz w:val="21"/>
          <w:szCs w:val="21"/>
          <w:highlight w:val="none"/>
        </w:rPr>
      </w:pPr>
      <w:r>
        <w:rPr>
          <w:rFonts w:hint="default" w:ascii="宋体" w:hAnsi="宋体" w:eastAsia="宋体" w:cs="宋体"/>
          <w:color w:val="auto"/>
          <w:sz w:val="21"/>
          <w:szCs w:val="21"/>
          <w:highlight w:val="none"/>
          <w:lang w:val="en-US"/>
        </w:rPr>
        <w:t>1</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凤凰山森林公园位于宝安区西北部，一、二期规划面积1250万平方米，跨越航城、福永、新桥、石岩等街道，为免费开放的森林公园及宗教场所，公园地形以山地为主，地势起伏高差较大，现建成开放的主要有福永（凤凰、虎背山）、航城（黄麻布）、等</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个出入</w:t>
      </w:r>
      <w:r>
        <w:rPr>
          <w:rFonts w:hint="eastAsia" w:ascii="宋体" w:hAnsi="宋体" w:eastAsia="宋体" w:cs="宋体"/>
          <w:color w:val="auto"/>
          <w:sz w:val="21"/>
          <w:szCs w:val="21"/>
          <w:highlight w:val="none"/>
          <w:lang w:eastAsia="zh-CN"/>
        </w:rPr>
        <w:t>口。</w:t>
      </w:r>
    </w:p>
    <w:p w14:paraId="4A03262C">
      <w:pPr>
        <w:ind w:firstLine="480" w:firstLineChars="200"/>
        <w:rPr>
          <w:sz w:val="24"/>
        </w:rPr>
      </w:pPr>
    </w:p>
    <w:p w14:paraId="3753ACAD">
      <w:pPr>
        <w:ind w:firstLine="480" w:firstLineChars="200"/>
        <w:rPr>
          <w:sz w:val="24"/>
        </w:rPr>
      </w:pPr>
    </w:p>
    <w:p w14:paraId="21B30C3C">
      <w:pPr>
        <w:rPr>
          <w:rFonts w:ascii="宋体" w:hAnsi="宋体"/>
          <w:b/>
          <w:color w:val="FF0000"/>
          <w:szCs w:val="21"/>
        </w:rPr>
      </w:pPr>
    </w:p>
    <w:p w14:paraId="4A749D86">
      <w:pPr>
        <w:pStyle w:val="5"/>
        <w:spacing w:before="120" w:beforeLines="50" w:after="120" w:afterLines="50"/>
        <w:rPr>
          <w:szCs w:val="24"/>
        </w:rPr>
      </w:pPr>
      <w:r>
        <w:rPr>
          <w:rFonts w:hint="eastAsia"/>
          <w:szCs w:val="24"/>
        </w:rPr>
        <w:t>三、</w:t>
      </w:r>
      <w:bookmarkStart w:id="31" w:name="_Hlk72073432"/>
      <w:r>
        <w:rPr>
          <w:rFonts w:hint="eastAsia"/>
          <w:szCs w:val="24"/>
        </w:rPr>
        <w:t>服务需求明细</w:t>
      </w:r>
      <w:bookmarkEnd w:id="31"/>
    </w:p>
    <w:tbl>
      <w:tblPr>
        <w:tblStyle w:val="42"/>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4"/>
        <w:gridCol w:w="2065"/>
        <w:gridCol w:w="3274"/>
        <w:gridCol w:w="498"/>
        <w:gridCol w:w="425"/>
        <w:gridCol w:w="995"/>
        <w:gridCol w:w="843"/>
      </w:tblGrid>
      <w:tr w14:paraId="222C99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249" w:type="pct"/>
            <w:vAlign w:val="center"/>
          </w:tcPr>
          <w:p w14:paraId="5AD94952">
            <w:pPr>
              <w:jc w:val="center"/>
              <w:rPr>
                <w:bCs/>
                <w:szCs w:val="21"/>
              </w:rPr>
            </w:pPr>
            <w:r>
              <w:rPr>
                <w:rFonts w:hint="eastAsia"/>
                <w:bCs/>
                <w:szCs w:val="21"/>
              </w:rPr>
              <w:t>序号</w:t>
            </w:r>
          </w:p>
        </w:tc>
        <w:tc>
          <w:tcPr>
            <w:tcW w:w="1210" w:type="pct"/>
            <w:vAlign w:val="center"/>
          </w:tcPr>
          <w:p w14:paraId="00E2A02C">
            <w:pPr>
              <w:jc w:val="center"/>
              <w:rPr>
                <w:bCs/>
                <w:szCs w:val="21"/>
              </w:rPr>
            </w:pPr>
            <w:r>
              <w:rPr>
                <w:rFonts w:hint="eastAsia"/>
                <w:szCs w:val="21"/>
              </w:rPr>
              <w:t>采购计划编号</w:t>
            </w:r>
          </w:p>
        </w:tc>
        <w:tc>
          <w:tcPr>
            <w:tcW w:w="1919" w:type="pct"/>
            <w:vAlign w:val="center"/>
          </w:tcPr>
          <w:p w14:paraId="6C7C6F75">
            <w:pPr>
              <w:jc w:val="center"/>
              <w:rPr>
                <w:bCs/>
                <w:szCs w:val="21"/>
              </w:rPr>
            </w:pPr>
            <w:r>
              <w:rPr>
                <w:rFonts w:hint="eastAsia"/>
                <w:bCs/>
                <w:szCs w:val="21"/>
              </w:rPr>
              <w:t>服务需求名称（标的名称）</w:t>
            </w:r>
          </w:p>
        </w:tc>
        <w:tc>
          <w:tcPr>
            <w:tcW w:w="292" w:type="pct"/>
            <w:vAlign w:val="center"/>
          </w:tcPr>
          <w:p w14:paraId="69350ADC">
            <w:pPr>
              <w:jc w:val="center"/>
              <w:rPr>
                <w:bCs/>
                <w:szCs w:val="21"/>
              </w:rPr>
            </w:pPr>
            <w:r>
              <w:rPr>
                <w:rFonts w:hint="eastAsia"/>
                <w:bCs/>
                <w:szCs w:val="21"/>
              </w:rPr>
              <w:t>数量</w:t>
            </w:r>
          </w:p>
        </w:tc>
        <w:tc>
          <w:tcPr>
            <w:tcW w:w="249" w:type="pct"/>
            <w:vAlign w:val="center"/>
          </w:tcPr>
          <w:p w14:paraId="1C2FB19F">
            <w:pPr>
              <w:jc w:val="center"/>
              <w:rPr>
                <w:bCs/>
                <w:szCs w:val="21"/>
              </w:rPr>
            </w:pPr>
            <w:r>
              <w:rPr>
                <w:rFonts w:hint="eastAsia"/>
                <w:bCs/>
                <w:szCs w:val="21"/>
              </w:rPr>
              <w:t>单位</w:t>
            </w:r>
          </w:p>
        </w:tc>
        <w:tc>
          <w:tcPr>
            <w:tcW w:w="583" w:type="pct"/>
            <w:vAlign w:val="center"/>
          </w:tcPr>
          <w:p w14:paraId="26DEE92F">
            <w:pPr>
              <w:jc w:val="center"/>
              <w:rPr>
                <w:rFonts w:hint="eastAsia"/>
                <w:bCs/>
                <w:szCs w:val="21"/>
              </w:rPr>
            </w:pPr>
            <w:r>
              <w:rPr>
                <w:rFonts w:hint="eastAsia" w:ascii="Times New Roman" w:eastAsia="宋体"/>
                <w:b/>
                <w:bCs/>
                <w:color w:val="FF0000"/>
                <w:szCs w:val="21"/>
                <w:lang w:val="en-US" w:eastAsia="zh-CN"/>
              </w:rPr>
              <w:t>是否专门面向中小企业</w:t>
            </w:r>
          </w:p>
        </w:tc>
        <w:tc>
          <w:tcPr>
            <w:tcW w:w="494" w:type="pct"/>
            <w:vAlign w:val="center"/>
          </w:tcPr>
          <w:p w14:paraId="4DE0BCC4">
            <w:pPr>
              <w:jc w:val="center"/>
              <w:rPr>
                <w:rFonts w:hint="eastAsia" w:ascii="Times New Roman" w:eastAsia="宋体"/>
                <w:b/>
                <w:bCs/>
                <w:color w:val="FF0000"/>
                <w:szCs w:val="21"/>
                <w:lang w:val="en-US" w:eastAsia="zh-CN"/>
              </w:rPr>
            </w:pPr>
            <w:r>
              <w:rPr>
                <w:rFonts w:hint="eastAsia" w:ascii="Times New Roman" w:eastAsia="宋体"/>
                <w:b/>
                <w:bCs/>
                <w:color w:val="FF0000"/>
                <w:szCs w:val="21"/>
                <w:lang w:val="en-US" w:eastAsia="zh-CN"/>
              </w:rPr>
              <w:t>标的所属行业</w:t>
            </w:r>
          </w:p>
        </w:tc>
      </w:tr>
      <w:tr w14:paraId="0E6661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3" w:hRule="atLeast"/>
          <w:jc w:val="center"/>
        </w:trPr>
        <w:tc>
          <w:tcPr>
            <w:tcW w:w="249" w:type="pct"/>
            <w:vAlign w:val="center"/>
          </w:tcPr>
          <w:p w14:paraId="690EAC43">
            <w:pPr>
              <w:jc w:val="center"/>
              <w:rPr>
                <w:bCs/>
                <w:szCs w:val="21"/>
              </w:rPr>
            </w:pPr>
            <w:r>
              <w:rPr>
                <w:rFonts w:hint="eastAsia"/>
                <w:bCs/>
                <w:szCs w:val="21"/>
              </w:rPr>
              <w:t>1</w:t>
            </w:r>
          </w:p>
        </w:tc>
        <w:tc>
          <w:tcPr>
            <w:tcW w:w="1210" w:type="pct"/>
            <w:vAlign w:val="center"/>
          </w:tcPr>
          <w:p w14:paraId="261118F4">
            <w:pPr>
              <w:jc w:val="center"/>
              <w:rPr>
                <w:bCs/>
                <w:szCs w:val="21"/>
              </w:rPr>
            </w:pPr>
            <w:r>
              <w:rPr>
                <w:rFonts w:hint="eastAsia"/>
                <w:bCs/>
                <w:szCs w:val="21"/>
              </w:rPr>
              <w:t>PLAN-2026-440306000-119005-08636</w:t>
            </w:r>
          </w:p>
        </w:tc>
        <w:tc>
          <w:tcPr>
            <w:tcW w:w="1919" w:type="pct"/>
            <w:vMerge w:val="restart"/>
            <w:vAlign w:val="center"/>
          </w:tcPr>
          <w:p w14:paraId="1B1A63F7">
            <w:pPr>
              <w:jc w:val="center"/>
              <w:rPr>
                <w:rFonts w:hint="eastAsia" w:eastAsia="宋体"/>
                <w:bCs/>
                <w:szCs w:val="21"/>
                <w:lang w:eastAsia="zh-CN"/>
              </w:rPr>
            </w:pPr>
            <w:r>
              <w:rPr>
                <w:rFonts w:hint="eastAsia"/>
                <w:bCs/>
                <w:szCs w:val="21"/>
                <w:lang w:eastAsia="zh-CN"/>
              </w:rPr>
              <w:t>深圳市宝安区公园管理中心凤凰山森林公园安保服务</w:t>
            </w:r>
          </w:p>
        </w:tc>
        <w:tc>
          <w:tcPr>
            <w:tcW w:w="292" w:type="pct"/>
            <w:vMerge w:val="restart"/>
            <w:vAlign w:val="center"/>
          </w:tcPr>
          <w:p w14:paraId="2DBBE671">
            <w:pPr>
              <w:jc w:val="center"/>
              <w:rPr>
                <w:rFonts w:hint="eastAsia" w:eastAsia="宋体"/>
                <w:bCs/>
                <w:szCs w:val="21"/>
                <w:lang w:eastAsia="zh-CN"/>
              </w:rPr>
            </w:pPr>
            <w:r>
              <w:rPr>
                <w:rFonts w:hint="eastAsia"/>
                <w:lang w:val="en-US" w:eastAsia="zh-CN"/>
              </w:rPr>
              <w:t>1</w:t>
            </w:r>
          </w:p>
        </w:tc>
        <w:tc>
          <w:tcPr>
            <w:tcW w:w="249" w:type="pct"/>
            <w:vMerge w:val="restart"/>
            <w:vAlign w:val="center"/>
          </w:tcPr>
          <w:p w14:paraId="339529FD">
            <w:pPr>
              <w:jc w:val="center"/>
              <w:rPr>
                <w:rFonts w:hint="eastAsia" w:eastAsia="宋体"/>
                <w:bCs/>
                <w:szCs w:val="21"/>
                <w:lang w:val="en-US" w:eastAsia="zh-CN"/>
              </w:rPr>
            </w:pPr>
            <w:r>
              <w:rPr>
                <w:rFonts w:hint="eastAsia"/>
                <w:bCs/>
                <w:szCs w:val="21"/>
                <w:lang w:val="en-US" w:eastAsia="zh-CN"/>
              </w:rPr>
              <w:t>项</w:t>
            </w:r>
          </w:p>
        </w:tc>
        <w:tc>
          <w:tcPr>
            <w:tcW w:w="583" w:type="pct"/>
            <w:vMerge w:val="restart"/>
            <w:vAlign w:val="center"/>
          </w:tcPr>
          <w:p w14:paraId="58FB9CB8">
            <w:pPr>
              <w:jc w:val="center"/>
              <w:rPr>
                <w:rFonts w:hint="eastAsia" w:eastAsia="宋体"/>
                <w:bCs/>
                <w:szCs w:val="21"/>
                <w:lang w:val="en-US" w:eastAsia="zh-CN"/>
              </w:rPr>
            </w:pPr>
            <w:r>
              <w:rPr>
                <w:rFonts w:hint="eastAsia"/>
                <w:bCs/>
                <w:szCs w:val="21"/>
                <w:lang w:val="en-US" w:eastAsia="zh-CN"/>
              </w:rPr>
              <w:t>否</w:t>
            </w:r>
          </w:p>
        </w:tc>
        <w:tc>
          <w:tcPr>
            <w:tcW w:w="494" w:type="pct"/>
            <w:vMerge w:val="restart"/>
            <w:vAlign w:val="center"/>
          </w:tcPr>
          <w:p w14:paraId="7F0A92AB">
            <w:pPr>
              <w:jc w:val="center"/>
              <w:rPr>
                <w:rFonts w:hint="default" w:eastAsia="宋体"/>
                <w:bCs/>
                <w:szCs w:val="21"/>
                <w:lang w:val="en-US" w:eastAsia="zh-CN"/>
              </w:rPr>
            </w:pPr>
            <w:r>
              <w:rPr>
                <w:rFonts w:hint="eastAsia"/>
                <w:bCs/>
                <w:szCs w:val="21"/>
                <w:lang w:val="en-US" w:eastAsia="zh-CN"/>
              </w:rPr>
              <w:t>其他未列明行业</w:t>
            </w:r>
          </w:p>
        </w:tc>
      </w:tr>
      <w:tr w14:paraId="2E13A7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249" w:type="pct"/>
            <w:vAlign w:val="center"/>
          </w:tcPr>
          <w:p w14:paraId="5391EFCE">
            <w:pPr>
              <w:jc w:val="center"/>
              <w:rPr>
                <w:bCs/>
                <w:szCs w:val="21"/>
              </w:rPr>
            </w:pPr>
            <w:r>
              <w:rPr>
                <w:bCs/>
                <w:szCs w:val="21"/>
              </w:rPr>
              <w:t>2</w:t>
            </w:r>
          </w:p>
        </w:tc>
        <w:tc>
          <w:tcPr>
            <w:tcW w:w="1210" w:type="pct"/>
            <w:vAlign w:val="center"/>
          </w:tcPr>
          <w:p w14:paraId="5034DE9E">
            <w:pPr>
              <w:jc w:val="center"/>
              <w:rPr>
                <w:bCs/>
                <w:szCs w:val="21"/>
              </w:rPr>
            </w:pPr>
            <w:r>
              <w:rPr>
                <w:rFonts w:hint="eastAsia"/>
                <w:bCs/>
                <w:szCs w:val="21"/>
              </w:rPr>
              <w:t>PLAN-2026-440306000-119005-08637</w:t>
            </w:r>
          </w:p>
        </w:tc>
        <w:tc>
          <w:tcPr>
            <w:tcW w:w="1919" w:type="pct"/>
            <w:vMerge w:val="continue"/>
          </w:tcPr>
          <w:p w14:paraId="61D32E5B">
            <w:pPr>
              <w:jc w:val="center"/>
              <w:rPr>
                <w:bCs/>
                <w:szCs w:val="21"/>
              </w:rPr>
            </w:pPr>
          </w:p>
        </w:tc>
        <w:tc>
          <w:tcPr>
            <w:tcW w:w="292" w:type="pct"/>
            <w:vMerge w:val="continue"/>
            <w:vAlign w:val="center"/>
          </w:tcPr>
          <w:p w14:paraId="420FEA87">
            <w:pPr>
              <w:jc w:val="center"/>
              <w:rPr>
                <w:bCs/>
                <w:szCs w:val="21"/>
              </w:rPr>
            </w:pPr>
          </w:p>
        </w:tc>
        <w:tc>
          <w:tcPr>
            <w:tcW w:w="249" w:type="pct"/>
            <w:vMerge w:val="continue"/>
            <w:vAlign w:val="center"/>
          </w:tcPr>
          <w:p w14:paraId="1CFA6D98">
            <w:pPr>
              <w:jc w:val="center"/>
              <w:rPr>
                <w:bCs/>
                <w:szCs w:val="21"/>
              </w:rPr>
            </w:pPr>
          </w:p>
        </w:tc>
        <w:tc>
          <w:tcPr>
            <w:tcW w:w="583" w:type="pct"/>
            <w:vMerge w:val="continue"/>
            <w:vAlign w:val="center"/>
          </w:tcPr>
          <w:p w14:paraId="70CEB26C">
            <w:pPr>
              <w:jc w:val="center"/>
              <w:rPr>
                <w:bCs/>
                <w:szCs w:val="21"/>
              </w:rPr>
            </w:pPr>
          </w:p>
        </w:tc>
        <w:tc>
          <w:tcPr>
            <w:tcW w:w="494" w:type="pct"/>
            <w:vMerge w:val="continue"/>
            <w:vAlign w:val="center"/>
          </w:tcPr>
          <w:p w14:paraId="65FBEE85">
            <w:pPr>
              <w:jc w:val="center"/>
              <w:rPr>
                <w:bCs/>
                <w:szCs w:val="21"/>
              </w:rPr>
            </w:pPr>
          </w:p>
        </w:tc>
      </w:tr>
    </w:tbl>
    <w:p w14:paraId="5EF0D72D">
      <w:pPr>
        <w:jc w:val="center"/>
        <w:rPr>
          <w:rFonts w:hint="eastAsia"/>
          <w:bCs/>
          <w:szCs w:val="21"/>
          <w:lang w:val="en-US" w:eastAsia="zh-CN"/>
        </w:rPr>
      </w:pPr>
    </w:p>
    <w:p w14:paraId="603817A3">
      <w:pPr>
        <w:pStyle w:val="5"/>
        <w:spacing w:before="120" w:beforeLines="50" w:after="120" w:afterLines="50"/>
        <w:rPr>
          <w:szCs w:val="24"/>
        </w:rPr>
      </w:pPr>
      <w:r>
        <w:rPr>
          <w:rFonts w:hint="eastAsia"/>
          <w:szCs w:val="24"/>
        </w:rPr>
        <w:t>四、实质性条款</w:t>
      </w:r>
    </w:p>
    <w:tbl>
      <w:tblPr>
        <w:tblStyle w:val="42"/>
        <w:tblW w:w="852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4"/>
        <w:gridCol w:w="7795"/>
      </w:tblGrid>
      <w:tr w14:paraId="0D832A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34" w:type="dxa"/>
          </w:tcPr>
          <w:p w14:paraId="0DCEB272">
            <w:pPr>
              <w:adjustRightInd w:val="0"/>
              <w:snapToGrid w:val="0"/>
              <w:spacing w:line="360" w:lineRule="auto"/>
              <w:jc w:val="center"/>
              <w:rPr>
                <w:rFonts w:ascii="宋体" w:hAnsi="宋体"/>
                <w:kern w:val="0"/>
                <w:szCs w:val="21"/>
              </w:rPr>
            </w:pPr>
            <w:r>
              <w:rPr>
                <w:rFonts w:hint="eastAsia" w:ascii="宋体" w:hAnsi="宋体"/>
                <w:kern w:val="0"/>
                <w:szCs w:val="21"/>
              </w:rPr>
              <w:t>序号</w:t>
            </w:r>
          </w:p>
        </w:tc>
        <w:tc>
          <w:tcPr>
            <w:tcW w:w="7795" w:type="dxa"/>
          </w:tcPr>
          <w:p w14:paraId="215D92A7">
            <w:pPr>
              <w:adjustRightInd w:val="0"/>
              <w:snapToGrid w:val="0"/>
              <w:spacing w:line="360" w:lineRule="auto"/>
              <w:jc w:val="center"/>
              <w:rPr>
                <w:rFonts w:ascii="宋体" w:hAnsi="宋体"/>
                <w:kern w:val="0"/>
                <w:szCs w:val="21"/>
              </w:rPr>
            </w:pPr>
            <w:r>
              <w:rPr>
                <w:rFonts w:hint="eastAsia" w:ascii="宋体" w:hAnsi="宋体"/>
                <w:kern w:val="0"/>
                <w:szCs w:val="21"/>
              </w:rPr>
              <w:t>实质性条款具体内容</w:t>
            </w:r>
          </w:p>
        </w:tc>
      </w:tr>
      <w:tr w14:paraId="2C7433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tcPr>
          <w:p w14:paraId="543C6D1D">
            <w:pPr>
              <w:adjustRightInd w:val="0"/>
              <w:snapToGrid w:val="0"/>
              <w:spacing w:line="360" w:lineRule="auto"/>
              <w:rPr>
                <w:rFonts w:ascii="宋体" w:hAnsi="宋体"/>
                <w:kern w:val="0"/>
                <w:szCs w:val="21"/>
              </w:rPr>
            </w:pPr>
            <w:r>
              <w:rPr>
                <w:rFonts w:hint="eastAsia" w:ascii="宋体" w:hAnsi="宋体"/>
                <w:kern w:val="0"/>
                <w:szCs w:val="21"/>
              </w:rPr>
              <w:t>1</w:t>
            </w:r>
          </w:p>
        </w:tc>
        <w:tc>
          <w:tcPr>
            <w:tcW w:w="7795" w:type="dxa"/>
          </w:tcPr>
          <w:p w14:paraId="391FB357">
            <w:pPr>
              <w:rPr>
                <w:rFonts w:hAnsi="宋体" w:eastAsiaTheme="minorEastAsia"/>
                <w:kern w:val="0"/>
                <w:szCs w:val="21"/>
              </w:rPr>
            </w:pPr>
            <w:r>
              <w:rPr>
                <w:rFonts w:hint="eastAsia" w:hAnsi="宋体" w:eastAsiaTheme="minorEastAsia"/>
                <w:kern w:val="0"/>
                <w:szCs w:val="21"/>
              </w:rPr>
              <w:t>满足本项目标</w:t>
            </w:r>
            <w:r>
              <w:rPr>
                <w:rFonts w:hint="eastAsia" w:hAnsi="宋体" w:eastAsiaTheme="minorEastAsia"/>
                <w:color w:val="FF0000"/>
                <w:kern w:val="0"/>
                <w:szCs w:val="21"/>
              </w:rPr>
              <w:t>★</w:t>
            </w:r>
            <w:r>
              <w:rPr>
                <w:rFonts w:hint="eastAsia" w:hAnsi="宋体" w:eastAsiaTheme="minorEastAsia"/>
                <w:kern w:val="0"/>
                <w:szCs w:val="21"/>
              </w:rPr>
              <w:t>的条款要求</w:t>
            </w:r>
          </w:p>
        </w:tc>
      </w:tr>
    </w:tbl>
    <w:p w14:paraId="75D0631A">
      <w:pPr>
        <w:rPr>
          <w:b/>
          <w:bCs/>
          <w:sz w:val="24"/>
        </w:rPr>
      </w:pPr>
      <w:r>
        <w:rPr>
          <w:rFonts w:hint="eastAsia"/>
          <w:b/>
          <w:bCs/>
          <w:sz w:val="24"/>
        </w:rPr>
        <w:t>注：上表所列内容为不可负偏离条款，负偏离将视为未实质性满足招标文件要求作投标无效处理。</w:t>
      </w:r>
      <w:bookmarkEnd w:id="30"/>
    </w:p>
    <w:p w14:paraId="073FF228">
      <w:pPr>
        <w:rPr>
          <w:b/>
          <w:bCs/>
          <w:sz w:val="24"/>
        </w:rPr>
      </w:pPr>
    </w:p>
    <w:p w14:paraId="0E945C3B">
      <w:pPr>
        <w:pStyle w:val="5"/>
        <w:spacing w:before="120" w:beforeLines="50" w:after="120" w:afterLines="50"/>
        <w:rPr>
          <w:szCs w:val="24"/>
        </w:rPr>
      </w:pPr>
      <w:r>
        <w:rPr>
          <w:rFonts w:hint="eastAsia"/>
          <w:b/>
          <w:color w:val="FF0000"/>
          <w:szCs w:val="21"/>
        </w:rPr>
        <w:t>★</w:t>
      </w:r>
      <w:r>
        <w:rPr>
          <w:rFonts w:hint="eastAsia"/>
          <w:szCs w:val="24"/>
          <w:lang w:val="en-US" w:eastAsia="zh-CN"/>
        </w:rPr>
        <w:t>五</w:t>
      </w:r>
      <w:r>
        <w:rPr>
          <w:rFonts w:hint="eastAsia"/>
          <w:szCs w:val="24"/>
        </w:rPr>
        <w:t>、商务要求</w:t>
      </w:r>
    </w:p>
    <w:p w14:paraId="1A41AF5A">
      <w:pPr>
        <w:ind w:firstLine="422" w:firstLineChars="200"/>
        <w:rPr>
          <w:rFonts w:asciiTheme="minorEastAsia" w:hAnsiTheme="minorEastAsia" w:eastAsiaTheme="minorEastAsia"/>
        </w:rPr>
      </w:pPr>
      <w:r>
        <w:rPr>
          <w:rFonts w:hint="eastAsia"/>
          <w:b/>
          <w:color w:val="FF0000"/>
          <w:szCs w:val="21"/>
        </w:rPr>
        <w:t>本部分内容为项目正常开展的基本要求，均为★号条款要求</w:t>
      </w:r>
      <w:r>
        <w:rPr>
          <w:rFonts w:hint="eastAsia"/>
          <w:b/>
          <w:color w:val="FF0000"/>
          <w:szCs w:val="21"/>
          <w:lang w:eastAsia="zh-CN"/>
        </w:rPr>
        <w:t>，</w:t>
      </w:r>
      <w:r>
        <w:rPr>
          <w:rFonts w:hint="eastAsia"/>
          <w:b/>
          <w:color w:val="FF0000"/>
          <w:szCs w:val="21"/>
        </w:rPr>
        <w:t>不作为评分准则中的评分内容</w:t>
      </w:r>
      <w:r>
        <w:rPr>
          <w:rFonts w:hint="eastAsia"/>
          <w:b/>
          <w:color w:val="FF0000"/>
          <w:szCs w:val="21"/>
          <w:lang w:eastAsia="zh-CN"/>
        </w:rPr>
        <w:t>，</w:t>
      </w:r>
      <w:r>
        <w:rPr>
          <w:rFonts w:hint="eastAsia"/>
          <w:b/>
          <w:color w:val="FF0000"/>
          <w:szCs w:val="21"/>
        </w:rPr>
        <w:t>如未响应或出现负偏离的，将作投标无效处理；</w:t>
      </w:r>
    </w:p>
    <w:tbl>
      <w:tblPr>
        <w:tblStyle w:val="42"/>
        <w:tblW w:w="96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3"/>
        <w:gridCol w:w="1349"/>
        <w:gridCol w:w="7197"/>
      </w:tblGrid>
      <w:tr w14:paraId="450F10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8" w:hRule="atLeast"/>
          <w:jc w:val="center"/>
        </w:trPr>
        <w:tc>
          <w:tcPr>
            <w:tcW w:w="1123" w:type="dxa"/>
            <w:tcBorders>
              <w:top w:val="single" w:color="auto" w:sz="4" w:space="0"/>
              <w:left w:val="single" w:color="auto" w:sz="4" w:space="0"/>
              <w:bottom w:val="single" w:color="auto" w:sz="4" w:space="0"/>
              <w:right w:val="single" w:color="auto" w:sz="4" w:space="0"/>
            </w:tcBorders>
            <w:noWrap w:val="0"/>
            <w:vAlign w:val="top"/>
          </w:tcPr>
          <w:p w14:paraId="514D846C">
            <w:pPr>
              <w:spacing w:after="60" w:afterLines="25" w:line="360" w:lineRule="auto"/>
              <w:rPr>
                <w:rFonts w:hint="eastAsia" w:ascii="宋体" w:hAnsi="宋体" w:eastAsia="宋体" w:cs="宋体"/>
                <w:b w:val="0"/>
                <w:bCs/>
                <w:color w:val="auto"/>
                <w:kern w:val="0"/>
                <w:sz w:val="21"/>
                <w:szCs w:val="21"/>
                <w:highlight w:val="none"/>
              </w:rPr>
            </w:pPr>
            <w:r>
              <w:rPr>
                <w:rFonts w:hint="eastAsia" w:ascii="宋体" w:hAnsi="宋体" w:eastAsia="宋体" w:cs="宋体"/>
                <w:b w:val="0"/>
                <w:bCs/>
                <w:color w:val="auto"/>
                <w:kern w:val="0"/>
                <w:sz w:val="21"/>
                <w:szCs w:val="21"/>
                <w:highlight w:val="none"/>
              </w:rPr>
              <w:t>服务范围简介</w:t>
            </w:r>
          </w:p>
        </w:tc>
        <w:tc>
          <w:tcPr>
            <w:tcW w:w="8546" w:type="dxa"/>
            <w:gridSpan w:val="2"/>
            <w:tcBorders>
              <w:top w:val="single" w:color="auto" w:sz="4" w:space="0"/>
              <w:left w:val="single" w:color="auto" w:sz="4" w:space="0"/>
              <w:bottom w:val="single" w:color="auto" w:sz="4" w:space="0"/>
              <w:right w:val="single" w:color="auto" w:sz="4" w:space="0"/>
            </w:tcBorders>
            <w:noWrap w:val="0"/>
            <w:vAlign w:val="top"/>
          </w:tcPr>
          <w:p w14:paraId="6EAD3D11">
            <w:pPr>
              <w:spacing w:after="60" w:afterLines="25" w:line="240" w:lineRule="auto"/>
              <w:rPr>
                <w:rFonts w:hint="default" w:ascii="宋体" w:hAnsi="宋体" w:eastAsia="宋体" w:cs="宋体"/>
                <w:b w:val="0"/>
                <w:bCs/>
                <w:color w:val="auto"/>
                <w:sz w:val="21"/>
                <w:szCs w:val="21"/>
                <w:highlight w:val="none"/>
                <w:lang w:val="en-US"/>
              </w:rPr>
            </w:pPr>
            <w:r>
              <w:rPr>
                <w:rFonts w:hint="eastAsia" w:ascii="宋体" w:hAnsi="宋体" w:eastAsia="宋体" w:cs="宋体"/>
                <w:bCs/>
                <w:color w:val="auto"/>
                <w:sz w:val="21"/>
                <w:szCs w:val="21"/>
                <w:highlight w:val="none"/>
                <w:lang w:eastAsia="zh-CN"/>
              </w:rPr>
              <w:t>凤凰山森林公园位于宝安区西北部，一、二期规划面积1250万平方米，跨越航城、福永、新桥、石岩等街道，为免费开放的森林公园及宗教场所，公园地形以山地为主，地势起伏高差较大，现建成开放的主要有福永（凤凰、虎背山）、航城（黄麻布）等3个出入</w:t>
            </w:r>
            <w:r>
              <w:rPr>
                <w:rFonts w:hint="eastAsia" w:ascii="宋体" w:hAnsi="宋体" w:eastAsia="宋体" w:cs="宋体"/>
                <w:bCs/>
                <w:color w:val="auto"/>
                <w:sz w:val="21"/>
                <w:szCs w:val="21"/>
                <w:highlight w:val="none"/>
                <w:lang w:val="en-US" w:eastAsia="zh-CN"/>
              </w:rPr>
              <w:t>口。</w:t>
            </w:r>
          </w:p>
        </w:tc>
      </w:tr>
      <w:tr w14:paraId="0A2CAF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jc w:val="center"/>
        </w:trPr>
        <w:tc>
          <w:tcPr>
            <w:tcW w:w="1123" w:type="dxa"/>
            <w:tcBorders>
              <w:top w:val="single" w:color="auto" w:sz="4" w:space="0"/>
              <w:left w:val="single" w:color="auto" w:sz="4" w:space="0"/>
              <w:bottom w:val="single" w:color="auto" w:sz="4" w:space="0"/>
              <w:right w:val="single" w:color="auto" w:sz="4" w:space="0"/>
            </w:tcBorders>
            <w:noWrap w:val="0"/>
            <w:vAlign w:val="top"/>
          </w:tcPr>
          <w:p w14:paraId="1A1A0D46">
            <w:pPr>
              <w:spacing w:after="60" w:afterLines="25" w:line="360" w:lineRule="auto"/>
              <w:rPr>
                <w:rFonts w:hint="eastAsia" w:ascii="宋体" w:hAnsi="宋体" w:eastAsia="宋体" w:cs="宋体"/>
                <w:b w:val="0"/>
                <w:bCs/>
                <w:color w:val="auto"/>
                <w:kern w:val="0"/>
                <w:sz w:val="21"/>
                <w:szCs w:val="21"/>
                <w:highlight w:val="none"/>
              </w:rPr>
            </w:pPr>
            <w:r>
              <w:rPr>
                <w:rFonts w:hint="eastAsia" w:ascii="宋体" w:hAnsi="宋体" w:eastAsia="宋体" w:cs="宋体"/>
                <w:b w:val="0"/>
                <w:bCs/>
                <w:color w:val="auto"/>
                <w:kern w:val="0"/>
                <w:sz w:val="21"/>
                <w:szCs w:val="21"/>
                <w:highlight w:val="none"/>
              </w:rPr>
              <w:t>服务期限</w:t>
            </w:r>
          </w:p>
        </w:tc>
        <w:tc>
          <w:tcPr>
            <w:tcW w:w="8546" w:type="dxa"/>
            <w:gridSpan w:val="2"/>
            <w:tcBorders>
              <w:top w:val="single" w:color="auto" w:sz="4" w:space="0"/>
              <w:left w:val="single" w:color="auto" w:sz="4" w:space="0"/>
              <w:bottom w:val="single" w:color="auto" w:sz="4" w:space="0"/>
              <w:right w:val="single" w:color="auto" w:sz="4" w:space="0"/>
            </w:tcBorders>
            <w:noWrap w:val="0"/>
            <w:vAlign w:val="top"/>
          </w:tcPr>
          <w:p w14:paraId="4479643C">
            <w:pPr>
              <w:spacing w:after="60" w:afterLines="25" w:line="240" w:lineRule="auto"/>
              <w:ind w:firstLine="0" w:firstLineChars="0"/>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eastAsia="zh-CN"/>
              </w:rPr>
              <w:t>1、</w:t>
            </w:r>
            <w:r>
              <w:rPr>
                <w:rFonts w:hint="eastAsia" w:ascii="宋体" w:hAnsi="宋体" w:eastAsia="宋体" w:cs="宋体"/>
                <w:bCs/>
                <w:color w:val="auto"/>
                <w:sz w:val="21"/>
                <w:szCs w:val="21"/>
                <w:highlight w:val="none"/>
                <w:lang w:eastAsia="zh-CN"/>
              </w:rPr>
              <w:t>合同期限</w:t>
            </w:r>
            <w:r>
              <w:rPr>
                <w:rFonts w:hint="default" w:ascii="宋体" w:hAnsi="宋体" w:eastAsia="宋体" w:cs="宋体"/>
                <w:bCs/>
                <w:color w:val="auto"/>
                <w:sz w:val="21"/>
                <w:szCs w:val="21"/>
                <w:highlight w:val="none"/>
                <w:lang w:eastAsia="zh-CN"/>
              </w:rPr>
              <w:t>暂定</w:t>
            </w:r>
            <w:r>
              <w:rPr>
                <w:rFonts w:hint="eastAsia" w:ascii="宋体" w:hAnsi="宋体" w:eastAsia="宋体" w:cs="宋体"/>
                <w:bCs/>
                <w:color w:val="auto"/>
                <w:sz w:val="21"/>
                <w:szCs w:val="21"/>
                <w:highlight w:val="none"/>
                <w:lang w:eastAsia="zh-CN"/>
              </w:rPr>
              <w:t>为 一年</w:t>
            </w:r>
            <w:r>
              <w:rPr>
                <w:rFonts w:hint="default" w:ascii="宋体" w:hAnsi="宋体" w:eastAsia="宋体" w:cs="宋体"/>
                <w:bCs/>
                <w:color w:val="auto"/>
                <w:sz w:val="21"/>
                <w:szCs w:val="21"/>
                <w:highlight w:val="none"/>
                <w:lang w:eastAsia="zh-CN"/>
              </w:rPr>
              <w:t>（</w:t>
            </w:r>
            <w:r>
              <w:rPr>
                <w:rFonts w:hint="eastAsia" w:ascii="宋体" w:hAnsi="宋体" w:eastAsia="宋体" w:cs="宋体"/>
                <w:bCs/>
                <w:color w:val="auto"/>
                <w:sz w:val="21"/>
                <w:szCs w:val="21"/>
                <w:highlight w:val="none"/>
                <w:lang w:eastAsia="zh-CN"/>
              </w:rPr>
              <w:t>具体时间</w:t>
            </w:r>
            <w:r>
              <w:rPr>
                <w:rFonts w:hint="default" w:ascii="宋体" w:hAnsi="宋体" w:eastAsia="宋体" w:cs="宋体"/>
                <w:bCs/>
                <w:color w:val="auto"/>
                <w:sz w:val="21"/>
                <w:szCs w:val="21"/>
                <w:highlight w:val="none"/>
                <w:lang w:eastAsia="zh-CN"/>
              </w:rPr>
              <w:t>以合同签订为准）</w:t>
            </w:r>
            <w:r>
              <w:rPr>
                <w:rFonts w:hint="eastAsia" w:ascii="宋体" w:hAnsi="宋体" w:eastAsia="宋体" w:cs="宋体"/>
                <w:bCs/>
                <w:color w:val="auto"/>
                <w:sz w:val="21"/>
                <w:szCs w:val="21"/>
                <w:highlight w:val="none"/>
                <w:lang w:eastAsia="zh-CN"/>
              </w:rPr>
              <w:t>，本项目为长期服务项目，长期服务政府采购合同履行期限最长不得超过三十六个月。如采购人对履约情况不满意，采购人不再续约，合同一年一签。</w:t>
            </w:r>
          </w:p>
          <w:p w14:paraId="05BBF25A">
            <w:pPr>
              <w:spacing w:after="60" w:afterLines="25" w:line="240" w:lineRule="auto"/>
              <w:ind w:firstLine="0" w:firstLineChars="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eastAsia="zh-CN"/>
              </w:rPr>
              <w:t>2、</w:t>
            </w:r>
            <w:r>
              <w:rPr>
                <w:rFonts w:hint="eastAsia" w:ascii="宋体" w:hAnsi="宋体" w:eastAsia="宋体" w:cs="宋体"/>
                <w:bCs/>
                <w:color w:val="auto"/>
                <w:sz w:val="21"/>
                <w:szCs w:val="21"/>
                <w:highlight w:val="none"/>
                <w:lang w:eastAsia="zh-CN"/>
              </w:rPr>
              <w:t>如中标单位一个合同年度内综合评价考核平均分达到90分以上要求（含90分），在保持服务质量但不增加服务费用的前提下，采购单位有权考虑是否续签合同，但续签不超过2次（每次不超过1年）。为保障合同服务顺利衔接，采购单位可在中标单位前9个月综合评价考核平均分达到90分以上要求（含90分）时，提前与中标单位办理续签合同手续，如后3个月综合评价考核成绩导致未满足合同续签要求的，采购单位有权解除续签的合同。因中标单位原因提出不再续签的，中标单位应至少提前3个月书面通知采购单位，并做好相关移交及安置工作。</w:t>
            </w:r>
          </w:p>
        </w:tc>
      </w:tr>
      <w:tr w14:paraId="04272F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123" w:type="dxa"/>
            <w:vMerge w:val="restart"/>
            <w:tcBorders>
              <w:top w:val="single" w:color="auto" w:sz="4" w:space="0"/>
              <w:left w:val="single" w:color="auto" w:sz="4" w:space="0"/>
              <w:right w:val="single" w:color="auto" w:sz="4" w:space="0"/>
            </w:tcBorders>
            <w:noWrap w:val="0"/>
            <w:vAlign w:val="top"/>
          </w:tcPr>
          <w:p w14:paraId="4366CE88">
            <w:pPr>
              <w:spacing w:after="60" w:afterLines="25" w:line="360" w:lineRule="auto"/>
              <w:rPr>
                <w:rFonts w:hint="eastAsia" w:ascii="宋体" w:hAnsi="宋体" w:eastAsia="宋体" w:cs="宋体"/>
                <w:b w:val="0"/>
                <w:bCs/>
                <w:color w:val="auto"/>
                <w:kern w:val="0"/>
                <w:sz w:val="21"/>
                <w:szCs w:val="21"/>
                <w:highlight w:val="none"/>
              </w:rPr>
            </w:pPr>
            <w:r>
              <w:rPr>
                <w:rFonts w:hint="eastAsia" w:ascii="宋体" w:hAnsi="宋体" w:eastAsia="宋体" w:cs="宋体"/>
                <w:b w:val="0"/>
                <w:bCs/>
                <w:color w:val="auto"/>
                <w:sz w:val="21"/>
                <w:szCs w:val="21"/>
                <w:highlight w:val="none"/>
              </w:rPr>
              <w:t>工作质量要求和质量标准</w:t>
            </w:r>
          </w:p>
        </w:tc>
        <w:tc>
          <w:tcPr>
            <w:tcW w:w="1349" w:type="dxa"/>
            <w:tcBorders>
              <w:top w:val="single" w:color="auto" w:sz="4" w:space="0"/>
              <w:left w:val="single" w:color="auto" w:sz="4" w:space="0"/>
              <w:right w:val="single" w:color="auto" w:sz="4" w:space="0"/>
            </w:tcBorders>
            <w:noWrap w:val="0"/>
            <w:vAlign w:val="top"/>
          </w:tcPr>
          <w:p w14:paraId="011FF37B">
            <w:pPr>
              <w:spacing w:after="60" w:afterLines="25" w:line="360" w:lineRule="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服务工作内容</w:t>
            </w:r>
          </w:p>
        </w:tc>
        <w:tc>
          <w:tcPr>
            <w:tcW w:w="7197" w:type="dxa"/>
            <w:tcBorders>
              <w:top w:val="single" w:color="auto" w:sz="4" w:space="0"/>
              <w:left w:val="single" w:color="auto" w:sz="4" w:space="0"/>
              <w:right w:val="single" w:color="auto" w:sz="4" w:space="0"/>
            </w:tcBorders>
            <w:noWrap w:val="0"/>
            <w:vAlign w:val="top"/>
          </w:tcPr>
          <w:p w14:paraId="74F9E2C0">
            <w:pPr>
              <w:spacing w:after="60" w:afterLines="25" w:line="240" w:lineRule="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eastAsia="zh-CN"/>
              </w:rPr>
              <w:t>凤凰山森林公园</w:t>
            </w:r>
            <w:r>
              <w:rPr>
                <w:rFonts w:hint="eastAsia" w:ascii="宋体" w:hAnsi="宋体" w:eastAsia="宋体" w:cs="宋体"/>
                <w:b w:val="0"/>
                <w:bCs/>
                <w:color w:val="auto"/>
                <w:sz w:val="21"/>
                <w:szCs w:val="21"/>
                <w:highlight w:val="none"/>
              </w:rPr>
              <w:t>内全天候安全保卫、秩序维护、护林防火、应急事件的协助处置等以及招标方临时交待的其他事项</w:t>
            </w:r>
            <w:r>
              <w:rPr>
                <w:rFonts w:hint="eastAsia" w:ascii="宋体" w:hAnsi="宋体" w:eastAsia="宋体" w:cs="宋体"/>
                <w:b w:val="0"/>
                <w:bCs/>
                <w:color w:val="auto"/>
                <w:sz w:val="21"/>
                <w:szCs w:val="21"/>
                <w:highlight w:val="none"/>
                <w:lang w:eastAsia="zh-CN"/>
              </w:rPr>
              <w:t>，</w:t>
            </w:r>
            <w:r>
              <w:rPr>
                <w:rFonts w:hint="eastAsia" w:ascii="宋体" w:hAnsi="宋体" w:eastAsia="宋体" w:cs="宋体"/>
                <w:b w:val="0"/>
                <w:bCs/>
                <w:color w:val="auto"/>
                <w:sz w:val="21"/>
                <w:szCs w:val="21"/>
                <w:highlight w:val="none"/>
                <w:lang w:val="en-US" w:eastAsia="zh-CN"/>
              </w:rPr>
              <w:t>包括但不限于以下事项：</w:t>
            </w:r>
          </w:p>
          <w:p w14:paraId="3B49934A">
            <w:pPr>
              <w:spacing w:after="60" w:line="240" w:lineRule="auto"/>
              <w:rPr>
                <w:rFonts w:hint="eastAsia" w:ascii="宋体" w:hAnsi="宋体" w:eastAsia="宋体" w:cs="宋体"/>
                <w:b w:val="0"/>
                <w:bCs/>
                <w:color w:val="auto"/>
                <w:kern w:val="0"/>
                <w:sz w:val="21"/>
                <w:szCs w:val="21"/>
                <w:highlight w:val="none"/>
              </w:rPr>
            </w:pPr>
            <w:r>
              <w:rPr>
                <w:rFonts w:hint="eastAsia" w:ascii="宋体" w:hAnsi="宋体" w:eastAsia="宋体" w:cs="宋体"/>
                <w:b w:val="0"/>
                <w:bCs/>
                <w:color w:val="auto"/>
                <w:kern w:val="0"/>
                <w:sz w:val="21"/>
                <w:szCs w:val="21"/>
                <w:highlight w:val="none"/>
              </w:rPr>
              <w:t>1、保护</w:t>
            </w:r>
            <w:r>
              <w:rPr>
                <w:rFonts w:hint="eastAsia" w:ascii="宋体" w:hAnsi="宋体" w:eastAsia="宋体" w:cs="宋体"/>
                <w:b w:val="0"/>
                <w:bCs/>
                <w:color w:val="auto"/>
                <w:sz w:val="21"/>
                <w:szCs w:val="21"/>
                <w:highlight w:val="none"/>
                <w:lang w:eastAsia="zh-CN"/>
              </w:rPr>
              <w:t>凤凰山森林公园</w:t>
            </w:r>
            <w:r>
              <w:rPr>
                <w:rFonts w:hint="eastAsia" w:ascii="宋体" w:hAnsi="宋体" w:eastAsia="宋体" w:cs="宋体"/>
                <w:b w:val="0"/>
                <w:bCs/>
                <w:color w:val="auto"/>
                <w:kern w:val="0"/>
                <w:sz w:val="21"/>
                <w:szCs w:val="21"/>
                <w:highlight w:val="none"/>
              </w:rPr>
              <w:t>辖区内的土地资源及动植物资源，做好防火、防盗、防抢、三防（防旱、防汛、防台风）等安全防范工作，并协助</w:t>
            </w:r>
            <w:r>
              <w:rPr>
                <w:rFonts w:hint="eastAsia" w:ascii="宋体" w:hAnsi="宋体" w:eastAsia="宋体" w:cs="宋体"/>
                <w:b w:val="0"/>
                <w:bCs/>
                <w:color w:val="auto"/>
                <w:kern w:val="0"/>
                <w:sz w:val="21"/>
                <w:szCs w:val="21"/>
                <w:highlight w:val="none"/>
                <w:lang w:eastAsia="zh-CN"/>
              </w:rPr>
              <w:t>采购单位</w:t>
            </w:r>
            <w:r>
              <w:rPr>
                <w:rFonts w:hint="eastAsia" w:ascii="宋体" w:hAnsi="宋体" w:eastAsia="宋体" w:cs="宋体"/>
                <w:b w:val="0"/>
                <w:bCs/>
                <w:color w:val="auto"/>
                <w:kern w:val="0"/>
                <w:sz w:val="21"/>
                <w:szCs w:val="21"/>
                <w:highlight w:val="none"/>
              </w:rPr>
              <w:t>做好自然灾害与突发事件的应急</w:t>
            </w:r>
            <w:r>
              <w:rPr>
                <w:rFonts w:hint="eastAsia" w:ascii="宋体" w:hAnsi="宋体" w:eastAsia="宋体" w:cs="宋体"/>
                <w:b w:val="0"/>
                <w:bCs/>
                <w:color w:val="auto"/>
                <w:sz w:val="21"/>
                <w:szCs w:val="21"/>
                <w:highlight w:val="none"/>
              </w:rPr>
              <w:t>处置</w:t>
            </w:r>
            <w:r>
              <w:rPr>
                <w:rFonts w:hint="eastAsia" w:ascii="宋体" w:hAnsi="宋体" w:eastAsia="宋体" w:cs="宋体"/>
                <w:b w:val="0"/>
                <w:bCs/>
                <w:color w:val="auto"/>
                <w:kern w:val="0"/>
                <w:sz w:val="21"/>
                <w:szCs w:val="21"/>
                <w:highlight w:val="none"/>
              </w:rPr>
              <w:t>工作</w:t>
            </w:r>
            <w:r>
              <w:rPr>
                <w:rFonts w:hint="eastAsia" w:ascii="宋体" w:hAnsi="宋体" w:eastAsia="宋体" w:cs="宋体"/>
                <w:b w:val="0"/>
                <w:bCs/>
                <w:color w:val="auto"/>
                <w:sz w:val="21"/>
                <w:szCs w:val="21"/>
                <w:highlight w:val="none"/>
              </w:rPr>
              <w:t>等</w:t>
            </w:r>
            <w:r>
              <w:rPr>
                <w:rFonts w:hint="eastAsia" w:ascii="宋体" w:hAnsi="宋体" w:eastAsia="宋体" w:cs="宋体"/>
                <w:b w:val="0"/>
                <w:bCs/>
                <w:color w:val="auto"/>
                <w:kern w:val="0"/>
                <w:sz w:val="21"/>
                <w:szCs w:val="21"/>
                <w:highlight w:val="none"/>
              </w:rPr>
              <w:t>；</w:t>
            </w:r>
          </w:p>
          <w:p w14:paraId="63A29831">
            <w:pPr>
              <w:spacing w:after="60" w:line="240" w:lineRule="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2、</w:t>
            </w:r>
            <w:r>
              <w:rPr>
                <w:rFonts w:hint="eastAsia" w:ascii="宋体" w:hAnsi="宋体" w:eastAsia="宋体" w:cs="宋体"/>
                <w:b w:val="0"/>
                <w:bCs/>
                <w:color w:val="auto"/>
                <w:kern w:val="0"/>
                <w:sz w:val="21"/>
                <w:szCs w:val="21"/>
                <w:highlight w:val="none"/>
              </w:rPr>
              <w:t>维护园区治安秩序，制（防）止流氓滋事、打架斗殴、敲诈勒索等各类治安事件，对乱摆卖、携犬入园、骑单车、骑摩托车、玩滑板车、使用高音喇叭、乞讨、破坏公共设施、破坏环境及行为不规等现象进行劝导、说明、纠正，</w:t>
            </w:r>
            <w:r>
              <w:rPr>
                <w:rFonts w:hint="eastAsia" w:ascii="宋体" w:hAnsi="宋体" w:eastAsia="宋体" w:cs="宋体"/>
                <w:b w:val="0"/>
                <w:bCs/>
                <w:color w:val="auto"/>
                <w:kern w:val="0"/>
                <w:sz w:val="21"/>
                <w:szCs w:val="21"/>
                <w:highlight w:val="none"/>
                <w:lang w:val="zh-CN"/>
              </w:rPr>
              <w:t>维护游客正常游园秩序；</w:t>
            </w:r>
            <w:r>
              <w:rPr>
                <w:rFonts w:hint="eastAsia" w:ascii="宋体" w:hAnsi="宋体" w:eastAsia="宋体" w:cs="宋体"/>
                <w:b w:val="0"/>
                <w:bCs/>
                <w:color w:val="auto"/>
                <w:sz w:val="21"/>
                <w:szCs w:val="21"/>
                <w:highlight w:val="none"/>
              </w:rPr>
              <w:t xml:space="preserve"> </w:t>
            </w:r>
          </w:p>
          <w:p w14:paraId="48EAB83B">
            <w:pPr>
              <w:tabs>
                <w:tab w:val="left" w:pos="1440"/>
              </w:tabs>
              <w:spacing w:after="60" w:line="240" w:lineRule="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3、做好园内公共设施（设备）、消防设施及公共场所安全防范管理工作；</w:t>
            </w:r>
          </w:p>
          <w:p w14:paraId="1B18A3C7">
            <w:pPr>
              <w:tabs>
                <w:tab w:val="left" w:pos="1440"/>
              </w:tabs>
              <w:spacing w:after="60" w:line="240" w:lineRule="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4、做好停车场区域治安管理、车辆进（出）园管理、车辆停放管理工作；</w:t>
            </w:r>
          </w:p>
          <w:p w14:paraId="1D32598F">
            <w:pPr>
              <w:tabs>
                <w:tab w:val="left" w:pos="1440"/>
              </w:tabs>
              <w:spacing w:after="60" w:line="240" w:lineRule="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5、做好园内水体的安全管理工作；</w:t>
            </w:r>
          </w:p>
          <w:p w14:paraId="1F521B30">
            <w:pPr>
              <w:tabs>
                <w:tab w:val="left" w:pos="1440"/>
              </w:tabs>
              <w:spacing w:after="60" w:line="240" w:lineRule="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6、做好园内公共秩序、安全监控、巡查等安保工作；</w:t>
            </w:r>
          </w:p>
          <w:p w14:paraId="6ABC9BAF">
            <w:pPr>
              <w:tabs>
                <w:tab w:val="left" w:pos="1440"/>
              </w:tabs>
              <w:spacing w:after="60" w:line="240" w:lineRule="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7、做好进园游客的服务与管理；</w:t>
            </w:r>
          </w:p>
          <w:p w14:paraId="26CC8A39">
            <w:pPr>
              <w:tabs>
                <w:tab w:val="left" w:pos="1440"/>
              </w:tabs>
              <w:spacing w:after="60" w:line="240" w:lineRule="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val="en-US" w:eastAsia="zh-CN"/>
              </w:rPr>
              <w:t>8、</w:t>
            </w:r>
            <w:r>
              <w:rPr>
                <w:rFonts w:hint="eastAsia" w:ascii="宋体" w:hAnsi="宋体" w:eastAsia="宋体" w:cs="宋体"/>
                <w:b w:val="0"/>
                <w:bCs/>
                <w:color w:val="auto"/>
                <w:sz w:val="21"/>
                <w:szCs w:val="21"/>
                <w:highlight w:val="none"/>
              </w:rPr>
              <w:t>负责检查和收缴火种工作，保护森林、防止火灾，积极参加抢险救灾工作；</w:t>
            </w:r>
          </w:p>
          <w:p w14:paraId="464F704F">
            <w:pPr>
              <w:tabs>
                <w:tab w:val="left" w:pos="1440"/>
              </w:tabs>
              <w:spacing w:after="60" w:line="240" w:lineRule="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val="en-US" w:eastAsia="zh-CN"/>
              </w:rPr>
              <w:t>9、</w:t>
            </w:r>
            <w:r>
              <w:rPr>
                <w:rFonts w:hint="eastAsia" w:ascii="宋体" w:hAnsi="宋体" w:eastAsia="宋体" w:cs="宋体"/>
                <w:b w:val="0"/>
                <w:bCs/>
                <w:color w:val="auto"/>
                <w:sz w:val="21"/>
                <w:szCs w:val="21"/>
                <w:highlight w:val="none"/>
              </w:rPr>
              <w:t>保护公共财产和员工及游客人身、财产安全；协助制（防）止抢劫偷盗、打架斗殴、勒索敲诈等各类案件的发生等；</w:t>
            </w:r>
          </w:p>
          <w:p w14:paraId="123E1334">
            <w:pPr>
              <w:tabs>
                <w:tab w:val="left" w:pos="1440"/>
              </w:tabs>
              <w:spacing w:after="60" w:line="240" w:lineRule="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val="en-US" w:eastAsia="zh-CN"/>
              </w:rPr>
              <w:t>10</w:t>
            </w:r>
            <w:r>
              <w:rPr>
                <w:rFonts w:hint="eastAsia" w:ascii="宋体" w:hAnsi="宋体" w:eastAsia="宋体" w:cs="宋体"/>
                <w:b w:val="0"/>
                <w:bCs/>
                <w:color w:val="auto"/>
                <w:sz w:val="21"/>
                <w:szCs w:val="21"/>
                <w:highlight w:val="none"/>
              </w:rPr>
              <w:t>、定期组织保安员业务、安全生产、森林防火培训及体能训练，落实文明管理服务的措施，为广大市民提供文明的服务；</w:t>
            </w:r>
          </w:p>
          <w:p w14:paraId="4A36E0F2">
            <w:pPr>
              <w:tabs>
                <w:tab w:val="left" w:pos="1440"/>
              </w:tabs>
              <w:spacing w:after="60" w:line="240" w:lineRule="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val="en-US" w:eastAsia="zh-CN"/>
              </w:rPr>
              <w:t>11</w:t>
            </w:r>
            <w:r>
              <w:rPr>
                <w:rFonts w:hint="eastAsia" w:ascii="宋体" w:hAnsi="宋体" w:eastAsia="宋体" w:cs="宋体"/>
                <w:b w:val="0"/>
                <w:bCs/>
                <w:color w:val="auto"/>
                <w:sz w:val="21"/>
                <w:szCs w:val="21"/>
                <w:highlight w:val="none"/>
              </w:rPr>
              <w:t>、对进入园区施工单位（含人员、车辆、设备等）的监督管理；</w:t>
            </w:r>
          </w:p>
          <w:p w14:paraId="2C0D0D86">
            <w:pPr>
              <w:tabs>
                <w:tab w:val="left" w:pos="1440"/>
              </w:tabs>
              <w:spacing w:after="60" w:line="240" w:lineRule="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1</w:t>
            </w:r>
            <w:r>
              <w:rPr>
                <w:rFonts w:hint="eastAsia" w:ascii="宋体" w:hAnsi="宋体" w:eastAsia="宋体" w:cs="宋体"/>
                <w:b w:val="0"/>
                <w:bCs/>
                <w:color w:val="auto"/>
                <w:sz w:val="21"/>
                <w:szCs w:val="21"/>
                <w:highlight w:val="none"/>
                <w:lang w:val="en-US" w:eastAsia="zh-CN"/>
              </w:rPr>
              <w:t>2</w:t>
            </w:r>
            <w:r>
              <w:rPr>
                <w:rFonts w:hint="eastAsia" w:ascii="宋体" w:hAnsi="宋体" w:eastAsia="宋体" w:cs="宋体"/>
                <w:b w:val="0"/>
                <w:bCs/>
                <w:color w:val="auto"/>
                <w:sz w:val="21"/>
                <w:szCs w:val="21"/>
                <w:highlight w:val="none"/>
              </w:rPr>
              <w:t>、建立节假日、夜间工作人员值班和登记制度，记录完整；</w:t>
            </w:r>
          </w:p>
          <w:p w14:paraId="27ADBFC9">
            <w:pPr>
              <w:tabs>
                <w:tab w:val="left" w:pos="1440"/>
              </w:tabs>
              <w:spacing w:after="60" w:line="240" w:lineRule="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1</w:t>
            </w:r>
            <w:r>
              <w:rPr>
                <w:rFonts w:hint="eastAsia" w:ascii="宋体" w:hAnsi="宋体" w:eastAsia="宋体" w:cs="宋体"/>
                <w:b w:val="0"/>
                <w:bCs/>
                <w:color w:val="auto"/>
                <w:sz w:val="21"/>
                <w:szCs w:val="21"/>
                <w:highlight w:val="none"/>
                <w:lang w:val="en-US" w:eastAsia="zh-CN"/>
              </w:rPr>
              <w:t>3</w:t>
            </w:r>
            <w:r>
              <w:rPr>
                <w:rFonts w:hint="eastAsia" w:ascii="宋体" w:hAnsi="宋体" w:eastAsia="宋体" w:cs="宋体"/>
                <w:b w:val="0"/>
                <w:bCs/>
                <w:color w:val="auto"/>
                <w:sz w:val="21"/>
                <w:szCs w:val="21"/>
                <w:highlight w:val="none"/>
              </w:rPr>
              <w:t>、组建一支</w:t>
            </w:r>
            <w:r>
              <w:rPr>
                <w:rFonts w:hint="eastAsia" w:ascii="宋体" w:hAnsi="宋体" w:eastAsia="宋体" w:cs="宋体"/>
                <w:b w:val="0"/>
                <w:bCs/>
                <w:color w:val="auto"/>
                <w:sz w:val="21"/>
                <w:szCs w:val="21"/>
                <w:highlight w:val="none"/>
                <w:lang w:val="en-US" w:eastAsia="zh-CN"/>
              </w:rPr>
              <w:t>40</w:t>
            </w:r>
            <w:r>
              <w:rPr>
                <w:rFonts w:hint="eastAsia" w:ascii="宋体" w:hAnsi="宋体" w:eastAsia="宋体" w:cs="宋体"/>
                <w:b w:val="0"/>
                <w:bCs/>
                <w:color w:val="auto"/>
                <w:sz w:val="21"/>
                <w:szCs w:val="21"/>
                <w:highlight w:val="none"/>
              </w:rPr>
              <w:t>人的应急分队，可随时处理反恐、维稳、防火、救助等应急事件；</w:t>
            </w:r>
          </w:p>
          <w:p w14:paraId="712DFAEA">
            <w:pPr>
              <w:tabs>
                <w:tab w:val="left" w:pos="1440"/>
              </w:tabs>
              <w:spacing w:after="60" w:line="240" w:lineRule="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val="en-US" w:eastAsia="zh-CN"/>
              </w:rPr>
              <w:t>14</w:t>
            </w:r>
            <w:r>
              <w:rPr>
                <w:rFonts w:hint="eastAsia" w:ascii="宋体" w:hAnsi="宋体" w:eastAsia="宋体" w:cs="宋体"/>
                <w:b w:val="0"/>
                <w:bCs/>
                <w:color w:val="auto"/>
                <w:sz w:val="21"/>
                <w:szCs w:val="21"/>
                <w:highlight w:val="none"/>
              </w:rPr>
              <w:t>、队长及保安员人选由投标单位推荐，经采购单位挑选后确定，采购单位有权提出更换；</w:t>
            </w:r>
          </w:p>
          <w:p w14:paraId="7067C22E">
            <w:pPr>
              <w:tabs>
                <w:tab w:val="left" w:pos="1440"/>
              </w:tabs>
              <w:spacing w:after="60" w:line="240" w:lineRule="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1</w:t>
            </w:r>
            <w:r>
              <w:rPr>
                <w:rFonts w:hint="eastAsia" w:ascii="宋体" w:hAnsi="宋体" w:eastAsia="宋体" w:cs="宋体"/>
                <w:b w:val="0"/>
                <w:bCs/>
                <w:color w:val="auto"/>
                <w:sz w:val="21"/>
                <w:szCs w:val="21"/>
                <w:highlight w:val="none"/>
                <w:lang w:val="en-US" w:eastAsia="zh-CN"/>
              </w:rPr>
              <w:t>5</w:t>
            </w:r>
            <w:r>
              <w:rPr>
                <w:rFonts w:hint="eastAsia" w:ascii="宋体" w:hAnsi="宋体" w:eastAsia="宋体" w:cs="宋体"/>
                <w:b w:val="0"/>
                <w:bCs/>
                <w:color w:val="auto"/>
                <w:sz w:val="21"/>
                <w:szCs w:val="21"/>
                <w:highlight w:val="none"/>
              </w:rPr>
              <w:t>、按照深圳市控烟条例精神，做好园内控烟工作；</w:t>
            </w:r>
          </w:p>
          <w:p w14:paraId="55E510BB">
            <w:pPr>
              <w:tabs>
                <w:tab w:val="left" w:pos="1440"/>
              </w:tabs>
              <w:spacing w:after="60" w:line="240" w:lineRule="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val="en-US" w:eastAsia="zh-CN"/>
              </w:rPr>
              <w:t>16、</w:t>
            </w:r>
            <w:r>
              <w:rPr>
                <w:rFonts w:hint="eastAsia" w:ascii="宋体" w:hAnsi="宋体" w:eastAsia="宋体" w:cs="宋体"/>
                <w:b w:val="0"/>
                <w:bCs/>
                <w:color w:val="auto"/>
                <w:sz w:val="21"/>
                <w:szCs w:val="21"/>
                <w:highlight w:val="none"/>
              </w:rPr>
              <w:t>法律法规以及合同中规定的其它工作；</w:t>
            </w:r>
          </w:p>
          <w:p w14:paraId="5B15BFDC">
            <w:pPr>
              <w:tabs>
                <w:tab w:val="left" w:pos="1440"/>
              </w:tabs>
              <w:spacing w:after="60" w:line="240" w:lineRule="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1</w:t>
            </w:r>
            <w:r>
              <w:rPr>
                <w:rFonts w:hint="eastAsia" w:ascii="宋体" w:hAnsi="宋体" w:eastAsia="宋体" w:cs="宋体"/>
                <w:b w:val="0"/>
                <w:bCs/>
                <w:color w:val="auto"/>
                <w:sz w:val="21"/>
                <w:szCs w:val="21"/>
                <w:highlight w:val="none"/>
                <w:lang w:val="en-US" w:eastAsia="zh-CN"/>
              </w:rPr>
              <w:t>7</w:t>
            </w:r>
            <w:r>
              <w:rPr>
                <w:rFonts w:hint="eastAsia" w:ascii="宋体" w:hAnsi="宋体" w:eastAsia="宋体" w:cs="宋体"/>
                <w:b w:val="0"/>
                <w:bCs/>
                <w:color w:val="auto"/>
                <w:sz w:val="21"/>
                <w:szCs w:val="21"/>
                <w:highlight w:val="none"/>
              </w:rPr>
              <w:t>、采购单位临时交待的其他事项。</w:t>
            </w:r>
          </w:p>
          <w:p w14:paraId="34D92E7C">
            <w:pPr>
              <w:tabs>
                <w:tab w:val="left" w:pos="1440"/>
              </w:tabs>
              <w:spacing w:after="60" w:line="240" w:lineRule="auto"/>
              <w:rPr>
                <w:rFonts w:hint="default"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18、投标人应组建专业团队做好凤凰山森林公园安保视频监控（临时）指挥平台相关工作。</w:t>
            </w:r>
          </w:p>
        </w:tc>
      </w:tr>
      <w:tr w14:paraId="725F3E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0" w:hRule="atLeast"/>
          <w:jc w:val="center"/>
        </w:trPr>
        <w:tc>
          <w:tcPr>
            <w:tcW w:w="1123" w:type="dxa"/>
            <w:vMerge w:val="continue"/>
            <w:tcBorders>
              <w:left w:val="single" w:color="auto" w:sz="4" w:space="0"/>
              <w:right w:val="single" w:color="auto" w:sz="4" w:space="0"/>
            </w:tcBorders>
            <w:noWrap w:val="0"/>
            <w:vAlign w:val="top"/>
          </w:tcPr>
          <w:p w14:paraId="6FFD2430">
            <w:pPr>
              <w:spacing w:after="60" w:afterLines="25" w:line="360" w:lineRule="auto"/>
              <w:rPr>
                <w:rFonts w:hint="eastAsia" w:ascii="宋体" w:hAnsi="宋体" w:eastAsia="宋体" w:cs="宋体"/>
                <w:b w:val="0"/>
                <w:bCs/>
                <w:color w:val="auto"/>
                <w:kern w:val="0"/>
                <w:sz w:val="21"/>
                <w:szCs w:val="21"/>
                <w:highlight w:val="none"/>
              </w:rPr>
            </w:pPr>
          </w:p>
        </w:tc>
        <w:tc>
          <w:tcPr>
            <w:tcW w:w="1349" w:type="dxa"/>
            <w:tcBorders>
              <w:top w:val="single" w:color="auto" w:sz="4" w:space="0"/>
              <w:left w:val="single" w:color="auto" w:sz="4" w:space="0"/>
              <w:right w:val="single" w:color="auto" w:sz="4" w:space="0"/>
            </w:tcBorders>
            <w:noWrap w:val="0"/>
            <w:vAlign w:val="top"/>
          </w:tcPr>
          <w:p w14:paraId="05C10A2E">
            <w:pPr>
              <w:spacing w:after="60" w:afterLines="25" w:line="360" w:lineRule="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工作质量要求</w:t>
            </w:r>
          </w:p>
        </w:tc>
        <w:tc>
          <w:tcPr>
            <w:tcW w:w="7197" w:type="dxa"/>
            <w:tcBorders>
              <w:top w:val="single" w:color="auto" w:sz="4" w:space="0"/>
              <w:left w:val="single" w:color="auto" w:sz="4" w:space="0"/>
              <w:right w:val="single" w:color="auto" w:sz="4" w:space="0"/>
            </w:tcBorders>
            <w:noWrap w:val="0"/>
            <w:vAlign w:val="top"/>
          </w:tcPr>
          <w:p w14:paraId="127C3901">
            <w:pPr>
              <w:tabs>
                <w:tab w:val="left" w:pos="4760"/>
              </w:tabs>
              <w:spacing w:after="60" w:line="240" w:lineRule="auto"/>
              <w:ind w:left="0" w:leftChars="0" w:right="40" w:firstLine="0" w:firstLineChars="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1、保安人员上岗条件</w:t>
            </w:r>
          </w:p>
          <w:p w14:paraId="0076727D">
            <w:pPr>
              <w:tabs>
                <w:tab w:val="left" w:pos="4760"/>
              </w:tabs>
              <w:spacing w:after="60" w:line="240" w:lineRule="auto"/>
              <w:ind w:left="0" w:leftChars="0" w:right="40" w:firstLine="0" w:firstLineChars="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（1）保安员的基本条件：身体健康，五官端正，精神面貌佳，应变能力强，服务态度好，年龄原则上保持在18～60岁之间,</w:t>
            </w:r>
            <w:r>
              <w:rPr>
                <w:rFonts w:hint="eastAsia" w:ascii="宋体" w:hAnsi="宋体" w:eastAsia="宋体" w:cs="宋体"/>
                <w:bCs/>
                <w:color w:val="auto"/>
                <w:sz w:val="21"/>
                <w:szCs w:val="21"/>
                <w:highlight w:val="none"/>
                <w:lang w:eastAsia="zh-CN"/>
              </w:rPr>
              <w:t>（女</w:t>
            </w:r>
            <w:r>
              <w:rPr>
                <w:rFonts w:hint="eastAsia" w:ascii="宋体" w:hAnsi="宋体" w:eastAsia="宋体" w:cs="宋体"/>
                <w:bCs/>
                <w:color w:val="auto"/>
                <w:sz w:val="21"/>
                <w:szCs w:val="21"/>
                <w:highlight w:val="none"/>
              </w:rPr>
              <w:t>18～</w:t>
            </w:r>
            <w:r>
              <w:rPr>
                <w:rFonts w:hint="eastAsia" w:ascii="宋体" w:hAnsi="宋体" w:eastAsia="宋体" w:cs="宋体"/>
                <w:bCs/>
                <w:color w:val="auto"/>
                <w:sz w:val="21"/>
                <w:szCs w:val="21"/>
                <w:highlight w:val="none"/>
                <w:lang w:val="en-US" w:eastAsia="zh-CN"/>
              </w:rPr>
              <w:t>55</w:t>
            </w:r>
            <w:r>
              <w:rPr>
                <w:rFonts w:hint="eastAsia" w:ascii="宋体" w:hAnsi="宋体" w:eastAsia="宋体" w:cs="宋体"/>
                <w:bCs/>
                <w:color w:val="auto"/>
                <w:sz w:val="21"/>
                <w:szCs w:val="21"/>
                <w:highlight w:val="none"/>
              </w:rPr>
              <w:t>岁</w:t>
            </w:r>
            <w:r>
              <w:rPr>
                <w:rFonts w:hint="eastAsia" w:ascii="宋体" w:hAnsi="宋体" w:eastAsia="宋体" w:cs="宋体"/>
                <w:bCs/>
                <w:color w:val="auto"/>
                <w:sz w:val="21"/>
                <w:szCs w:val="21"/>
                <w:highlight w:val="none"/>
                <w:lang w:eastAsia="zh-CN"/>
              </w:rPr>
              <w:t>，男</w:t>
            </w:r>
            <w:r>
              <w:rPr>
                <w:rFonts w:hint="eastAsia" w:ascii="宋体" w:hAnsi="宋体" w:eastAsia="宋体" w:cs="宋体"/>
                <w:bCs/>
                <w:color w:val="auto"/>
                <w:sz w:val="21"/>
                <w:szCs w:val="21"/>
                <w:highlight w:val="none"/>
              </w:rPr>
              <w:t>18～60岁</w:t>
            </w:r>
            <w:r>
              <w:rPr>
                <w:rFonts w:hint="eastAsia" w:ascii="宋体" w:hAnsi="宋体" w:eastAsia="宋体" w:cs="宋体"/>
                <w:bCs/>
                <w:color w:val="auto"/>
                <w:sz w:val="21"/>
                <w:szCs w:val="21"/>
                <w:highlight w:val="none"/>
                <w:lang w:eastAsia="zh-CN"/>
              </w:rPr>
              <w:t>）</w:t>
            </w:r>
            <w:r>
              <w:rPr>
                <w:rFonts w:hint="eastAsia" w:ascii="宋体" w:hAnsi="宋体" w:eastAsia="宋体" w:cs="宋体"/>
                <w:bCs/>
                <w:color w:val="auto"/>
                <w:sz w:val="21"/>
                <w:szCs w:val="21"/>
                <w:highlight w:val="none"/>
              </w:rPr>
              <w:t>持有保安员上岗证；</w:t>
            </w:r>
          </w:p>
          <w:p w14:paraId="3BF8BE6A">
            <w:pPr>
              <w:tabs>
                <w:tab w:val="left" w:pos="4760"/>
              </w:tabs>
              <w:spacing w:after="60" w:line="240" w:lineRule="auto"/>
              <w:ind w:left="0" w:leftChars="0" w:right="40" w:firstLine="0" w:firstLineChars="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（2）保安员的素质要求：热爱保安事业，忠于职守，文明执勤；精通保安服务业务，熟悉法律政策；具有良好的观察力、分析判断力，会做群众工作；体魄健全。</w:t>
            </w:r>
          </w:p>
          <w:p w14:paraId="455634A9">
            <w:pPr>
              <w:tabs>
                <w:tab w:val="left" w:pos="4760"/>
              </w:tabs>
              <w:spacing w:after="60" w:line="240" w:lineRule="auto"/>
              <w:ind w:left="0" w:leftChars="0" w:right="40" w:firstLine="0" w:firstLineChars="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（3）业务技能条件</w:t>
            </w:r>
          </w:p>
          <w:p w14:paraId="206073CF">
            <w:pPr>
              <w:tabs>
                <w:tab w:val="left" w:pos="4760"/>
              </w:tabs>
              <w:spacing w:after="60" w:line="240" w:lineRule="auto"/>
              <w:ind w:left="0" w:leftChars="0" w:right="40" w:firstLine="0" w:firstLineChars="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3.1具备基本法律知识，熟悉与安保相关的政策、规定。</w:t>
            </w:r>
          </w:p>
          <w:p w14:paraId="177F68AF">
            <w:pPr>
              <w:tabs>
                <w:tab w:val="left" w:pos="4760"/>
              </w:tabs>
              <w:spacing w:after="60" w:line="240" w:lineRule="auto"/>
              <w:ind w:left="0" w:leftChars="0" w:right="40" w:firstLine="0" w:firstLineChars="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3.2具备一定言语和文字表达能力。</w:t>
            </w:r>
          </w:p>
          <w:p w14:paraId="6C6F0FA7">
            <w:pPr>
              <w:tabs>
                <w:tab w:val="left" w:pos="4760"/>
              </w:tabs>
              <w:spacing w:after="60" w:line="240" w:lineRule="auto"/>
              <w:ind w:left="0" w:leftChars="0" w:right="40" w:firstLine="0" w:firstLineChars="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3.3具备与岗位职责相应的观察、发现、处置问题能力。</w:t>
            </w:r>
          </w:p>
          <w:p w14:paraId="0FC81EA8">
            <w:pPr>
              <w:tabs>
                <w:tab w:val="left" w:pos="4760"/>
              </w:tabs>
              <w:spacing w:after="60" w:line="240" w:lineRule="auto"/>
              <w:ind w:left="0" w:leftChars="0" w:right="40" w:firstLine="0" w:firstLineChars="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3.4具备使用基本消防设备、通讯器材、技术防范设施设备和相关防卫器械技能。</w:t>
            </w:r>
          </w:p>
          <w:p w14:paraId="68F83477">
            <w:pPr>
              <w:tabs>
                <w:tab w:val="left" w:pos="4760"/>
              </w:tabs>
              <w:spacing w:after="60" w:line="240" w:lineRule="auto"/>
              <w:ind w:left="0" w:leftChars="0" w:right="40" w:firstLine="0" w:firstLineChars="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3.5掌握一定防卫和擒敌技能。</w:t>
            </w:r>
          </w:p>
          <w:p w14:paraId="61A4962D">
            <w:pPr>
              <w:tabs>
                <w:tab w:val="left" w:pos="4760"/>
              </w:tabs>
              <w:spacing w:after="60" w:line="240" w:lineRule="auto"/>
              <w:ind w:left="0" w:leftChars="0" w:right="40" w:firstLine="0" w:firstLineChars="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2、保安员日常工作管理要求</w:t>
            </w:r>
          </w:p>
          <w:p w14:paraId="03D15704">
            <w:pPr>
              <w:tabs>
                <w:tab w:val="left" w:pos="4760"/>
              </w:tabs>
              <w:spacing w:after="60" w:line="240" w:lineRule="auto"/>
              <w:ind w:left="0" w:leftChars="0" w:right="40" w:firstLine="0" w:firstLineChars="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（1）保安员着装要求</w:t>
            </w:r>
          </w:p>
          <w:p w14:paraId="2F647D11">
            <w:pPr>
              <w:tabs>
                <w:tab w:val="left" w:pos="4760"/>
              </w:tabs>
              <w:spacing w:after="60" w:line="240" w:lineRule="auto"/>
              <w:ind w:left="0" w:leftChars="0" w:right="40" w:firstLine="0" w:firstLineChars="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1.1保持制服整洁统一。夏服：上衣扎入裤内；冬服：内穿衬衣、衬衣下摆不得外露；冬季与夏季工作服不能混穿；不得戴歪帽、敞开外衣，卷裤脚、衣袖。</w:t>
            </w:r>
          </w:p>
          <w:p w14:paraId="7C9BDC94">
            <w:pPr>
              <w:tabs>
                <w:tab w:val="left" w:pos="4760"/>
              </w:tabs>
              <w:spacing w:after="60" w:line="240" w:lineRule="auto"/>
              <w:ind w:left="0" w:leftChars="0" w:right="40" w:firstLine="0" w:firstLineChars="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1.2制式外衣衣袖、衣领处不得显露个人物品，服装口袋里不得装过大过厚的物品以影响外观。</w:t>
            </w:r>
          </w:p>
          <w:p w14:paraId="3378B203">
            <w:pPr>
              <w:tabs>
                <w:tab w:val="left" w:pos="4760"/>
              </w:tabs>
              <w:spacing w:after="60" w:line="240" w:lineRule="auto"/>
              <w:ind w:left="0" w:leftChars="0" w:right="40" w:firstLine="0" w:firstLineChars="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1.3着制服时要统一穿黑色皮鞋和深色袜子，保证无脏物，皮鞋黑亮干净。</w:t>
            </w:r>
          </w:p>
          <w:p w14:paraId="4EC62EEA">
            <w:pPr>
              <w:tabs>
                <w:tab w:val="left" w:pos="4760"/>
              </w:tabs>
              <w:spacing w:after="60" w:line="240" w:lineRule="auto"/>
              <w:ind w:left="0" w:leftChars="0" w:right="40" w:firstLine="0" w:firstLineChars="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1.4非上班时间或非公差，不得着制服外出。</w:t>
            </w:r>
          </w:p>
          <w:p w14:paraId="70EC6FC0">
            <w:pPr>
              <w:tabs>
                <w:tab w:val="left" w:pos="4760"/>
              </w:tabs>
              <w:spacing w:after="60" w:line="240" w:lineRule="auto"/>
              <w:ind w:left="0" w:leftChars="0" w:right="40" w:firstLine="0" w:firstLineChars="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1.5每个班次的保安服装须统一。</w:t>
            </w:r>
          </w:p>
          <w:p w14:paraId="070845AE">
            <w:pPr>
              <w:tabs>
                <w:tab w:val="left" w:pos="4760"/>
              </w:tabs>
              <w:spacing w:after="60" w:line="240" w:lineRule="auto"/>
              <w:ind w:left="0" w:leftChars="0" w:right="40" w:firstLine="0" w:firstLineChars="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（2）保安员仪容仪表要求</w:t>
            </w:r>
          </w:p>
          <w:p w14:paraId="756923AB">
            <w:pPr>
              <w:tabs>
                <w:tab w:val="left" w:pos="4760"/>
              </w:tabs>
              <w:spacing w:after="60" w:line="240" w:lineRule="auto"/>
              <w:ind w:left="0" w:leftChars="0" w:right="40" w:firstLine="0" w:firstLineChars="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2.1仪容仪表端庄，不得蓄长指甲，不准烫发、染发，留长发、胡须。</w:t>
            </w:r>
          </w:p>
          <w:p w14:paraId="317E540F">
            <w:pPr>
              <w:tabs>
                <w:tab w:val="left" w:pos="4760"/>
              </w:tabs>
              <w:spacing w:after="60" w:line="240" w:lineRule="auto"/>
              <w:ind w:left="0" w:leftChars="0" w:right="40" w:firstLine="0" w:firstLineChars="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2.2不准佩戴饰物上岗，当班时不得将任何物体夹于腋下。</w:t>
            </w:r>
          </w:p>
          <w:p w14:paraId="2D24BAEF">
            <w:pPr>
              <w:tabs>
                <w:tab w:val="left" w:pos="4760"/>
              </w:tabs>
              <w:spacing w:after="60" w:line="240" w:lineRule="auto"/>
              <w:ind w:left="0" w:leftChars="0" w:right="40" w:firstLine="0" w:firstLineChars="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2.3站立时，按军姿标准站立（立正或跨立），不准依靠墙壁或其它物体；不得弯腰驼背，不得东倒西歪，不得前顶后靠。</w:t>
            </w:r>
          </w:p>
          <w:p w14:paraId="4D852E14">
            <w:pPr>
              <w:tabs>
                <w:tab w:val="left" w:pos="4760"/>
              </w:tabs>
              <w:spacing w:after="60" w:line="240" w:lineRule="auto"/>
              <w:ind w:left="0" w:leftChars="0" w:right="40" w:firstLine="0" w:firstLineChars="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2.4上班行走时用正规齐步，步速按军训内容规范要求；两人行走时，不得勾肩搭背。</w:t>
            </w:r>
          </w:p>
          <w:p w14:paraId="0D8F921D">
            <w:pPr>
              <w:tabs>
                <w:tab w:val="left" w:pos="4760"/>
              </w:tabs>
              <w:spacing w:after="60" w:line="240" w:lineRule="auto"/>
              <w:ind w:left="0" w:leftChars="0" w:right="40" w:firstLine="0" w:firstLineChars="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2.5不得在岗位上出现吹口哨、哼歌、跺脚、伸懒腰等不雅之行为。</w:t>
            </w:r>
          </w:p>
          <w:p w14:paraId="65823BD8">
            <w:pPr>
              <w:tabs>
                <w:tab w:val="left" w:pos="4760"/>
              </w:tabs>
              <w:spacing w:after="60" w:line="240" w:lineRule="auto"/>
              <w:ind w:left="0" w:leftChars="0" w:right="40" w:firstLine="0" w:firstLineChars="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2.6态度自然、大方、热情、稳重、有礼貌。</w:t>
            </w:r>
          </w:p>
          <w:p w14:paraId="5C70CA6A">
            <w:pPr>
              <w:tabs>
                <w:tab w:val="left" w:pos="4760"/>
              </w:tabs>
              <w:spacing w:after="60" w:line="240" w:lineRule="auto"/>
              <w:ind w:left="0" w:leftChars="0" w:right="40" w:firstLine="0" w:firstLineChars="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2.7执勤时，以理服人，处理问题要保持冷静，语气温和、婉转，不能和对方发生冲突。</w:t>
            </w:r>
          </w:p>
          <w:p w14:paraId="44D0ADEC">
            <w:pPr>
              <w:tabs>
                <w:tab w:val="left" w:pos="4760"/>
              </w:tabs>
              <w:spacing w:after="60" w:line="240" w:lineRule="auto"/>
              <w:ind w:left="0" w:leftChars="0" w:right="40" w:firstLine="0" w:firstLineChars="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2.8工作时使用礼貌用语；切忌粗言秽语，不得讥笑或不理睬游人，不准与他人争吵。</w:t>
            </w:r>
          </w:p>
          <w:p w14:paraId="64B054EE">
            <w:pPr>
              <w:tabs>
                <w:tab w:val="left" w:pos="4760"/>
              </w:tabs>
              <w:spacing w:after="60" w:line="240" w:lineRule="auto"/>
              <w:ind w:left="0" w:leftChars="0" w:right="40" w:firstLine="0" w:firstLineChars="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（3）安保工作要求</w:t>
            </w:r>
          </w:p>
          <w:p w14:paraId="0941AE96">
            <w:pPr>
              <w:tabs>
                <w:tab w:val="left" w:pos="4760"/>
              </w:tabs>
              <w:spacing w:after="60" w:line="240" w:lineRule="auto"/>
              <w:ind w:left="0" w:leftChars="0" w:right="40" w:firstLine="0" w:firstLineChars="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3.1保安员工作要求</w:t>
            </w:r>
          </w:p>
          <w:p w14:paraId="2DADB482">
            <w:pPr>
              <w:tabs>
                <w:tab w:val="left" w:pos="4760"/>
              </w:tabs>
              <w:spacing w:after="60" w:line="240" w:lineRule="auto"/>
              <w:ind w:left="0" w:leftChars="0" w:right="40" w:firstLine="0" w:firstLineChars="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3.1.1服从领导、听从指挥，做到令行禁止，遇事报告。</w:t>
            </w:r>
          </w:p>
          <w:p w14:paraId="541CF028">
            <w:pPr>
              <w:tabs>
                <w:tab w:val="left" w:pos="4760"/>
              </w:tabs>
              <w:spacing w:after="60" w:line="240" w:lineRule="auto"/>
              <w:ind w:left="0" w:leftChars="0" w:right="40" w:firstLine="0" w:firstLineChars="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3.1.2遵守国家法令、法规，做到依法办事; 廉洁奉公，坚持原则，是非分明，敢于同违法犯罪分子、行为作斗争。</w:t>
            </w:r>
          </w:p>
          <w:p w14:paraId="5A90A0CA">
            <w:pPr>
              <w:tabs>
                <w:tab w:val="left" w:pos="4760"/>
              </w:tabs>
              <w:spacing w:after="60" w:line="240" w:lineRule="auto"/>
              <w:ind w:left="0" w:leftChars="0" w:right="40" w:firstLine="0" w:firstLineChars="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3.1.3熟悉本岗位职责和工作秩序，圆满完成工作任务。</w:t>
            </w:r>
          </w:p>
          <w:p w14:paraId="780E4812">
            <w:pPr>
              <w:tabs>
                <w:tab w:val="left" w:pos="4760"/>
              </w:tabs>
              <w:spacing w:after="60" w:line="240" w:lineRule="auto"/>
              <w:ind w:left="0" w:leftChars="0" w:right="40" w:firstLine="0" w:firstLineChars="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3.1.4坚守岗位，保持高度警惕，注意发现可疑的人、事、物，预防治安案件的发生。</w:t>
            </w:r>
          </w:p>
          <w:p w14:paraId="65E9867B">
            <w:pPr>
              <w:tabs>
                <w:tab w:val="left" w:pos="4760"/>
              </w:tabs>
              <w:spacing w:after="60" w:line="240" w:lineRule="auto"/>
              <w:ind w:left="0" w:leftChars="0" w:right="40" w:firstLine="0" w:firstLineChars="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3.1.5积极配合卫生、绿化、维修等其它服务，制止违章行为，防止破坏，不能制止解决的向管理处报告。</w:t>
            </w:r>
          </w:p>
          <w:p w14:paraId="63A24CFD">
            <w:pPr>
              <w:tabs>
                <w:tab w:val="left" w:pos="4760"/>
              </w:tabs>
              <w:spacing w:after="60" w:line="240" w:lineRule="auto"/>
              <w:ind w:left="0" w:leftChars="0" w:right="40" w:firstLine="0" w:firstLineChars="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3.1.6熟悉和爱护公园广场内配套的公共设施、机电设备、消防器材，并熟练掌握各种灭火器材的使用方法。</w:t>
            </w:r>
          </w:p>
          <w:p w14:paraId="1677A161">
            <w:pPr>
              <w:tabs>
                <w:tab w:val="left" w:pos="4760"/>
              </w:tabs>
              <w:spacing w:after="60" w:line="240" w:lineRule="auto"/>
              <w:ind w:left="0" w:leftChars="0" w:right="40" w:firstLine="0" w:firstLineChars="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3.1.7对出入公园广场的人员车辆及其所携带装载的物品要留意观察，发现可疑及时上报；</w:t>
            </w:r>
          </w:p>
          <w:p w14:paraId="332DF87F">
            <w:pPr>
              <w:tabs>
                <w:tab w:val="left" w:pos="4760"/>
              </w:tabs>
              <w:spacing w:after="60" w:line="240" w:lineRule="auto"/>
              <w:ind w:left="0" w:leftChars="0" w:right="40" w:firstLine="0" w:firstLineChars="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3.1.8积极协助公安机关开展各项治安防范活动行动。</w:t>
            </w:r>
          </w:p>
          <w:p w14:paraId="125F0EBB">
            <w:pPr>
              <w:tabs>
                <w:tab w:val="left" w:pos="4760"/>
              </w:tabs>
              <w:spacing w:after="60" w:line="240" w:lineRule="auto"/>
              <w:ind w:left="0" w:leftChars="0" w:right="40" w:firstLine="0" w:firstLineChars="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3.1.9对发生在公园广场内的刑事、治安案件，要做到保护现场、保护证据，对刑事案件等现行违法犯罪人员，有权抓捕并扭送公安机关；</w:t>
            </w:r>
          </w:p>
          <w:p w14:paraId="1A40C2DA">
            <w:pPr>
              <w:tabs>
                <w:tab w:val="left" w:pos="4760"/>
              </w:tabs>
              <w:spacing w:after="60" w:line="240" w:lineRule="auto"/>
              <w:ind w:left="0" w:leftChars="0" w:right="40" w:firstLine="0" w:firstLineChars="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3.1.10对执勤中遇有违法犯罪人员不服制止，甚至行凶、报复的，可采取正当防卫；</w:t>
            </w:r>
          </w:p>
          <w:p w14:paraId="5C400C72">
            <w:pPr>
              <w:tabs>
                <w:tab w:val="left" w:pos="4760"/>
              </w:tabs>
              <w:spacing w:after="60" w:line="240" w:lineRule="auto"/>
              <w:ind w:left="0" w:leftChars="0" w:right="40" w:firstLine="0" w:firstLineChars="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3.1.11做好防火、防盗、防破坏、防治安灾害事故的“四防”工作，及时发现隐患漏洞或其它不安全因素，并向上级报告。</w:t>
            </w:r>
          </w:p>
          <w:p w14:paraId="2BC67BDD">
            <w:pPr>
              <w:tabs>
                <w:tab w:val="left" w:pos="4760"/>
              </w:tabs>
              <w:spacing w:after="60" w:line="240" w:lineRule="auto"/>
              <w:ind w:left="0" w:leftChars="0" w:right="40" w:firstLine="0" w:firstLineChars="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3.1.12保安员不得非法剥夺限制他人的人身自由，无人身搜查权，不得扣押或没收他人证件和私有财物，不得辱骂殴打他人或者教唆殴打他人；</w:t>
            </w:r>
          </w:p>
          <w:p w14:paraId="79C33BB8">
            <w:pPr>
              <w:tabs>
                <w:tab w:val="left" w:pos="4760"/>
              </w:tabs>
              <w:spacing w:after="60" w:line="240" w:lineRule="auto"/>
              <w:ind w:left="0" w:leftChars="0" w:right="40" w:firstLine="0" w:firstLineChars="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3.1.13对违反治安管理行为的人，有权劝阻、制止和批评教育，但没有对其处罚的权力；</w:t>
            </w:r>
          </w:p>
          <w:p w14:paraId="1240E24A">
            <w:pPr>
              <w:tabs>
                <w:tab w:val="left" w:pos="4760"/>
              </w:tabs>
              <w:spacing w:after="60" w:line="240" w:lineRule="auto"/>
              <w:ind w:left="0" w:leftChars="0" w:right="40" w:firstLine="0" w:firstLineChars="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3.1.14对违法犯罪的嫌疑人，可以监视，并向公安机关或保卫组织报告，但无侦查、扣押、搜查的权力。</w:t>
            </w:r>
          </w:p>
          <w:p w14:paraId="12B7D525">
            <w:pPr>
              <w:tabs>
                <w:tab w:val="left" w:pos="4760"/>
              </w:tabs>
              <w:spacing w:after="60" w:line="240" w:lineRule="auto"/>
              <w:ind w:left="0" w:leftChars="0" w:right="40" w:firstLine="0" w:firstLineChars="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3.2巡逻要求</w:t>
            </w:r>
          </w:p>
          <w:p w14:paraId="3FA2FF3C">
            <w:pPr>
              <w:tabs>
                <w:tab w:val="left" w:pos="4760"/>
              </w:tabs>
              <w:spacing w:after="60" w:line="240" w:lineRule="auto"/>
              <w:ind w:left="0" w:leftChars="0" w:right="40" w:firstLine="0" w:firstLineChars="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3.2.1 巡逻人员须清楚公园广场内的各类设施及具体位置，发现异常情况应立即查明并上报；</w:t>
            </w:r>
          </w:p>
          <w:p w14:paraId="79A1D234">
            <w:pPr>
              <w:tabs>
                <w:tab w:val="left" w:pos="4760"/>
              </w:tabs>
              <w:spacing w:after="60" w:line="240" w:lineRule="auto"/>
              <w:ind w:left="0" w:leftChars="0" w:right="40" w:firstLine="0" w:firstLineChars="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3.2.2 检查电线线路（目视检查、禁止手动检查）和水管道有无损坏，发现漏水（电）时，及时采取措施并报告。</w:t>
            </w:r>
          </w:p>
          <w:p w14:paraId="327A8D16">
            <w:pPr>
              <w:tabs>
                <w:tab w:val="left" w:pos="4760"/>
              </w:tabs>
              <w:spacing w:after="60" w:line="240" w:lineRule="auto"/>
              <w:ind w:left="0" w:leftChars="0" w:right="40" w:firstLine="0" w:firstLineChars="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3.2.3 巡逻时发现可疑人员、可疑声响、闻到异味，应立即查明情况并采取相应措施（上报管理处，有需要及时上报有关部门）；</w:t>
            </w:r>
          </w:p>
          <w:p w14:paraId="561C6CAE">
            <w:pPr>
              <w:tabs>
                <w:tab w:val="left" w:pos="4760"/>
              </w:tabs>
              <w:spacing w:after="60" w:line="240" w:lineRule="auto"/>
              <w:ind w:left="0" w:leftChars="0" w:right="40" w:firstLine="0" w:firstLineChars="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3.2.4 对巡视情况要做好详细记录；</w:t>
            </w:r>
          </w:p>
          <w:p w14:paraId="06C8A1A2">
            <w:pPr>
              <w:tabs>
                <w:tab w:val="left" w:pos="4760"/>
              </w:tabs>
              <w:spacing w:after="60" w:line="240" w:lineRule="auto"/>
              <w:ind w:left="0" w:leftChars="0" w:right="40" w:firstLine="0" w:firstLineChars="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3.2.5 发现偷、盗、流氓等违法犯罪分子，即刻擒获。</w:t>
            </w:r>
          </w:p>
          <w:p w14:paraId="7747430B">
            <w:pPr>
              <w:tabs>
                <w:tab w:val="left" w:pos="4760"/>
              </w:tabs>
              <w:spacing w:after="60" w:line="240" w:lineRule="auto"/>
              <w:ind w:left="0" w:leftChars="0" w:right="40" w:firstLine="0" w:firstLineChars="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3.2.6发现打架、吵架、斗殴等行为，要予以制止。</w:t>
            </w:r>
          </w:p>
          <w:p w14:paraId="508B529A">
            <w:pPr>
              <w:tabs>
                <w:tab w:val="left" w:pos="4760"/>
              </w:tabs>
              <w:spacing w:after="60" w:line="240" w:lineRule="auto"/>
              <w:ind w:left="0" w:leftChars="0" w:right="40" w:firstLine="0" w:firstLineChars="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3.2.7发现火警时，立即组织扑灭，并迅速报警。</w:t>
            </w:r>
          </w:p>
          <w:p w14:paraId="410D94D7">
            <w:pPr>
              <w:tabs>
                <w:tab w:val="left" w:pos="4760"/>
              </w:tabs>
              <w:spacing w:after="60" w:line="240" w:lineRule="auto"/>
              <w:ind w:left="0" w:leftChars="0" w:right="40" w:firstLine="0" w:firstLineChars="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3.2.8发现可疑物品，要立即做安全处理，并报告有关部门。</w:t>
            </w:r>
          </w:p>
          <w:p w14:paraId="185157C7">
            <w:pPr>
              <w:tabs>
                <w:tab w:val="left" w:pos="4760"/>
              </w:tabs>
              <w:spacing w:after="60" w:line="240" w:lineRule="auto"/>
              <w:ind w:left="0" w:leftChars="0" w:right="40" w:firstLine="0" w:firstLineChars="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3.2.9驱赶乱散发广告、捡垃圾等闲杂违章人员。</w:t>
            </w:r>
          </w:p>
          <w:p w14:paraId="7449FA2A">
            <w:pPr>
              <w:tabs>
                <w:tab w:val="left" w:pos="4760"/>
              </w:tabs>
              <w:spacing w:after="60" w:line="240" w:lineRule="auto"/>
              <w:ind w:left="0" w:leftChars="0" w:right="40" w:firstLine="0" w:firstLineChars="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3.2.10制止私扯乱挂、乱贴乱画等行为。</w:t>
            </w:r>
          </w:p>
          <w:p w14:paraId="6F004B72">
            <w:pPr>
              <w:tabs>
                <w:tab w:val="left" w:pos="4760"/>
              </w:tabs>
              <w:spacing w:after="60" w:line="240" w:lineRule="auto"/>
              <w:ind w:left="0" w:leftChars="0" w:right="40" w:firstLine="0" w:firstLineChars="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3.2.11夜间巡逻检查，应检查清理闲散人员，防止不法分子盗窃、破坏，检查火险隐患。</w:t>
            </w:r>
          </w:p>
          <w:p w14:paraId="6E4F6042">
            <w:pPr>
              <w:tabs>
                <w:tab w:val="left" w:pos="4760"/>
              </w:tabs>
              <w:spacing w:after="60" w:line="240" w:lineRule="auto"/>
              <w:ind w:left="0" w:leftChars="0" w:right="40" w:firstLine="0" w:firstLineChars="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3.2.12巡逻的时间和路线，要结合实际情况，采取“时间不定时，路线常变换”的原则；在巡逻的方法上，可采取徒步、骑自行车巡逻与站立观察相结合的方式。</w:t>
            </w:r>
          </w:p>
          <w:p w14:paraId="24937836">
            <w:pPr>
              <w:tabs>
                <w:tab w:val="left" w:pos="4760"/>
              </w:tabs>
              <w:spacing w:after="60" w:line="240" w:lineRule="auto"/>
              <w:ind w:left="0" w:leftChars="0" w:right="40" w:firstLine="0" w:firstLineChars="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3.3监控员岗位要求</w:t>
            </w:r>
          </w:p>
          <w:p w14:paraId="036C8BC6">
            <w:pPr>
              <w:tabs>
                <w:tab w:val="left" w:pos="4760"/>
              </w:tabs>
              <w:spacing w:after="60" w:line="240" w:lineRule="auto"/>
              <w:ind w:left="0" w:leftChars="0" w:right="40" w:firstLine="0" w:firstLineChars="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3.3.1监控人员工作应及时记录异常情况，遇突发事件应熟练操作云台观察，并做好录像同时上报，严禁离岗、睡觉或做与值班无关的事情。</w:t>
            </w:r>
          </w:p>
          <w:p w14:paraId="0E05DA92">
            <w:pPr>
              <w:tabs>
                <w:tab w:val="left" w:pos="4760"/>
              </w:tabs>
              <w:spacing w:after="60" w:line="240" w:lineRule="auto"/>
              <w:ind w:left="0" w:leftChars="0" w:right="40" w:firstLine="0" w:firstLineChars="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3.3.2保持监控室的整洁卫生，爱护设备，保持设备清洁，配合维修保养单位做好设备的维护，发生设备故障，第一时问通知维修人员到场处理。</w:t>
            </w:r>
          </w:p>
          <w:p w14:paraId="5B870C47">
            <w:pPr>
              <w:tabs>
                <w:tab w:val="left" w:pos="4760"/>
              </w:tabs>
              <w:spacing w:after="60" w:line="240" w:lineRule="auto"/>
              <w:ind w:left="0" w:leftChars="0" w:right="40" w:firstLine="0" w:firstLineChars="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3.3.3学习掌握各种先进设备的性能，特点及使用方法，按规定程序操作监控设备，并维护好设备，不准私自外借任何器材。</w:t>
            </w:r>
          </w:p>
          <w:p w14:paraId="25419D71">
            <w:pPr>
              <w:tabs>
                <w:tab w:val="left" w:pos="4760"/>
              </w:tabs>
              <w:spacing w:after="60" w:line="240" w:lineRule="auto"/>
              <w:ind w:left="0" w:leftChars="0" w:right="40" w:firstLine="0" w:firstLineChars="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3.3.4做好机房保密工作，不得向无关人员拷贝、透露监控情况，严禁非工作人员进入监控室。</w:t>
            </w:r>
          </w:p>
          <w:p w14:paraId="1CACC8F0">
            <w:pPr>
              <w:tabs>
                <w:tab w:val="left" w:pos="4760"/>
              </w:tabs>
              <w:spacing w:after="60" w:line="240" w:lineRule="auto"/>
              <w:ind w:left="0" w:leftChars="0" w:right="40" w:firstLine="0" w:firstLineChars="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（4）消防管理要求</w:t>
            </w:r>
          </w:p>
          <w:p w14:paraId="0F399614">
            <w:pPr>
              <w:tabs>
                <w:tab w:val="left" w:pos="4760"/>
              </w:tabs>
              <w:spacing w:after="60" w:line="240" w:lineRule="auto"/>
              <w:ind w:left="0" w:leftChars="0" w:right="40" w:firstLine="0" w:firstLineChars="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4.1保安员身兼义务消防员，在平时工作中应积极参加消防技能的学习培训，并认真做好消防器材的检查维护，在发生火灾时应全力配合各部门进行灭火抢救工作。</w:t>
            </w:r>
          </w:p>
          <w:p w14:paraId="71D8244B">
            <w:pPr>
              <w:tabs>
                <w:tab w:val="left" w:pos="4760"/>
              </w:tabs>
              <w:spacing w:after="60" w:line="240" w:lineRule="auto"/>
              <w:ind w:left="0" w:leftChars="0" w:right="40" w:firstLine="0" w:firstLineChars="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4.2 检查消防器材有无损坏，如有损坏，必须立即报告领导，进行更换。</w:t>
            </w:r>
          </w:p>
          <w:p w14:paraId="27CD1376">
            <w:pPr>
              <w:tabs>
                <w:tab w:val="left" w:pos="4760"/>
              </w:tabs>
              <w:spacing w:after="60" w:line="240" w:lineRule="auto"/>
              <w:ind w:left="0" w:leftChars="0" w:right="40" w:firstLine="0" w:firstLineChars="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（5）保安员处理问题的原则、方法</w:t>
            </w:r>
          </w:p>
          <w:p w14:paraId="3820E119">
            <w:pPr>
              <w:tabs>
                <w:tab w:val="left" w:pos="4760"/>
              </w:tabs>
              <w:spacing w:after="60" w:line="240" w:lineRule="auto"/>
              <w:ind w:left="0" w:leftChars="0" w:right="40" w:firstLine="0" w:firstLineChars="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5.1处理问题应遵循的原则：“依法办事，执行制度，不徇私，以理服人”；</w:t>
            </w:r>
          </w:p>
          <w:p w14:paraId="1C46D8AE">
            <w:pPr>
              <w:tabs>
                <w:tab w:val="left" w:pos="4760"/>
              </w:tabs>
              <w:spacing w:after="60" w:line="240" w:lineRule="auto"/>
              <w:ind w:left="0" w:leftChars="0" w:right="40" w:firstLine="0" w:firstLineChars="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5.2对不同性质的问题，应采取不同方法处理：对一般违反规定的问题，可通过说服教育解决，分清是非，耐心劝导，礼貌待人；对一时解决不了又有扩大趋势的问题，要本着“可散不可聚，可解不可结，可缓不可急，可顺不可逆”的原则，尽力劝开，耐心调解，把问题引向缓和，不能让矛盾激化，并及时向上级或有关部门报告；</w:t>
            </w:r>
          </w:p>
          <w:p w14:paraId="12F0F6F0">
            <w:pPr>
              <w:tabs>
                <w:tab w:val="left" w:pos="4760"/>
              </w:tabs>
              <w:spacing w:after="60" w:line="240" w:lineRule="auto"/>
              <w:ind w:left="0" w:leftChars="0" w:right="40" w:firstLine="0" w:firstLineChars="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5. 3在处理上：坚持“教育与处罚相结合”的原则，违反情节明显轻微不需处罚的，可当场教育，违反治安管理条例应处罚的，交公安机关处罚；对个别违法犯罪人员，应及时予以制止，把犯罪份子抓获扭送公安机关处理。</w:t>
            </w:r>
          </w:p>
          <w:p w14:paraId="4A1B55E8">
            <w:pPr>
              <w:tabs>
                <w:tab w:val="left" w:pos="4760"/>
              </w:tabs>
              <w:spacing w:after="60" w:line="240" w:lineRule="auto"/>
              <w:ind w:left="0" w:leftChars="0" w:right="40" w:firstLine="0" w:firstLineChars="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（6）培训</w:t>
            </w:r>
          </w:p>
          <w:p w14:paraId="2B8A4010">
            <w:pPr>
              <w:tabs>
                <w:tab w:val="left" w:pos="4760"/>
              </w:tabs>
              <w:spacing w:after="60" w:line="240" w:lineRule="auto"/>
              <w:ind w:left="0" w:leftChars="0" w:right="40" w:firstLine="0" w:firstLineChars="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6.1为保证保安队伍的纪律严明、训练有素、文明执勤、热情服务，投标单位需自行安排场地和培训人员（至少安排1名培训负责人和</w:t>
            </w:r>
            <w:r>
              <w:rPr>
                <w:rFonts w:hint="eastAsia" w:ascii="宋体" w:hAnsi="宋体" w:eastAsia="宋体" w:cs="宋体"/>
                <w:bCs/>
                <w:color w:val="auto"/>
                <w:sz w:val="21"/>
                <w:szCs w:val="21"/>
                <w:highlight w:val="none"/>
                <w:lang w:val="en-US" w:eastAsia="zh-CN"/>
              </w:rPr>
              <w:t>2</w:t>
            </w:r>
            <w:r>
              <w:rPr>
                <w:rFonts w:hint="eastAsia" w:ascii="宋体" w:hAnsi="宋体" w:eastAsia="宋体" w:cs="宋体"/>
                <w:bCs/>
                <w:color w:val="auto"/>
                <w:sz w:val="21"/>
                <w:szCs w:val="21"/>
                <w:highlight w:val="none"/>
              </w:rPr>
              <w:t>名培训团队成员）对保安人员进行常规性的培训和军事化训练，此项费用包含在投标报价中。</w:t>
            </w:r>
          </w:p>
          <w:p w14:paraId="6C6B3764">
            <w:pPr>
              <w:tabs>
                <w:tab w:val="left" w:pos="4760"/>
              </w:tabs>
              <w:spacing w:after="60" w:line="240" w:lineRule="auto"/>
              <w:ind w:left="0" w:leftChars="0" w:right="40" w:firstLine="0" w:firstLineChars="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6.2常规性的培训包括但不限于岗前培训、在岗培训、安全生产培训（安全生产培训包括但不限于反恐、处突、维稳、救助、溺水、森林防火器械使用等）等，安全生产培训每季度不少于1次，此项费用包含在投标报价中。</w:t>
            </w:r>
          </w:p>
          <w:p w14:paraId="1073156E">
            <w:pPr>
              <w:tabs>
                <w:tab w:val="left" w:pos="4760"/>
              </w:tabs>
              <w:spacing w:after="60" w:afterLines="0" w:line="240" w:lineRule="auto"/>
              <w:ind w:right="40" w:firstLine="0" w:firstLineChars="0"/>
              <w:rPr>
                <w:rFonts w:hint="eastAsia" w:ascii="宋体" w:hAnsi="宋体" w:eastAsia="宋体" w:cs="宋体"/>
                <w:b w:val="0"/>
                <w:bCs/>
                <w:color w:val="auto"/>
                <w:sz w:val="21"/>
                <w:szCs w:val="21"/>
                <w:highlight w:val="none"/>
              </w:rPr>
            </w:pPr>
            <w:r>
              <w:rPr>
                <w:rFonts w:hint="eastAsia" w:ascii="宋体" w:hAnsi="宋体" w:eastAsia="宋体" w:cs="宋体"/>
                <w:bCs/>
                <w:color w:val="auto"/>
                <w:sz w:val="21"/>
                <w:szCs w:val="21"/>
                <w:highlight w:val="none"/>
              </w:rPr>
              <w:t>6.3安全演练。投标单位需制定详细安全演练计划，并报采购单位备案。要对各类安全管理工作落实到位，确保</w:t>
            </w:r>
            <w:r>
              <w:rPr>
                <w:rFonts w:hint="eastAsia" w:ascii="宋体" w:hAnsi="宋体" w:eastAsia="宋体" w:cs="宋体"/>
                <w:bCs/>
                <w:color w:val="auto"/>
                <w:sz w:val="21"/>
                <w:szCs w:val="21"/>
                <w:highlight w:val="none"/>
                <w:lang w:eastAsia="zh-CN"/>
              </w:rPr>
              <w:t>凤凰山森林公园</w:t>
            </w:r>
            <w:r>
              <w:rPr>
                <w:rFonts w:hint="eastAsia" w:ascii="宋体" w:hAnsi="宋体" w:eastAsia="宋体" w:cs="宋体"/>
                <w:bCs/>
                <w:color w:val="auto"/>
                <w:sz w:val="21"/>
                <w:szCs w:val="21"/>
                <w:highlight w:val="none"/>
              </w:rPr>
              <w:t>安全有序。其中反恐应急演练每季度不少于1次，森林消防拉动演练每月不少于1次，此项费用包含在投标报价中。</w:t>
            </w:r>
          </w:p>
        </w:tc>
      </w:tr>
      <w:tr w14:paraId="2D22B1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jc w:val="center"/>
        </w:trPr>
        <w:tc>
          <w:tcPr>
            <w:tcW w:w="1123" w:type="dxa"/>
            <w:vMerge w:val="continue"/>
            <w:tcBorders>
              <w:left w:val="single" w:color="auto" w:sz="4" w:space="0"/>
              <w:right w:val="single" w:color="auto" w:sz="4" w:space="0"/>
            </w:tcBorders>
            <w:noWrap w:val="0"/>
            <w:vAlign w:val="top"/>
          </w:tcPr>
          <w:p w14:paraId="3528D5DF">
            <w:pPr>
              <w:spacing w:after="60" w:afterLines="25" w:line="360" w:lineRule="auto"/>
              <w:rPr>
                <w:rFonts w:hint="eastAsia" w:ascii="宋体" w:hAnsi="宋体" w:eastAsia="宋体" w:cs="宋体"/>
                <w:b w:val="0"/>
                <w:bCs/>
                <w:color w:val="auto"/>
                <w:kern w:val="0"/>
                <w:sz w:val="21"/>
                <w:szCs w:val="21"/>
                <w:highlight w:val="none"/>
              </w:rPr>
            </w:pPr>
          </w:p>
        </w:tc>
        <w:tc>
          <w:tcPr>
            <w:tcW w:w="1349" w:type="dxa"/>
            <w:tcBorders>
              <w:top w:val="single" w:color="auto" w:sz="4" w:space="0"/>
              <w:left w:val="single" w:color="auto" w:sz="4" w:space="0"/>
              <w:right w:val="single" w:color="auto" w:sz="4" w:space="0"/>
            </w:tcBorders>
            <w:noWrap w:val="0"/>
            <w:vAlign w:val="top"/>
          </w:tcPr>
          <w:p w14:paraId="7DCAD8C6">
            <w:pPr>
              <w:tabs>
                <w:tab w:val="left" w:pos="4760"/>
              </w:tabs>
              <w:spacing w:after="60" w:afterLines="0" w:line="240" w:lineRule="auto"/>
              <w:ind w:right="4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工作时间要求</w:t>
            </w:r>
          </w:p>
        </w:tc>
        <w:tc>
          <w:tcPr>
            <w:tcW w:w="7197" w:type="dxa"/>
            <w:tcBorders>
              <w:top w:val="single" w:color="auto" w:sz="4" w:space="0"/>
              <w:left w:val="single" w:color="auto" w:sz="4" w:space="0"/>
              <w:right w:val="single" w:color="auto" w:sz="4" w:space="0"/>
            </w:tcBorders>
            <w:noWrap w:val="0"/>
            <w:vAlign w:val="top"/>
          </w:tcPr>
          <w:p w14:paraId="4C996E25">
            <w:pPr>
              <w:tabs>
                <w:tab w:val="left" w:pos="4760"/>
              </w:tabs>
              <w:spacing w:after="60" w:afterLines="0" w:line="240" w:lineRule="auto"/>
              <w:ind w:right="4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全天24小时；</w:t>
            </w:r>
            <w:r>
              <w:rPr>
                <w:rFonts w:hint="eastAsia" w:ascii="宋体" w:hAnsi="宋体" w:eastAsia="宋体" w:cs="宋体"/>
                <w:bCs/>
                <w:color w:val="auto"/>
                <w:sz w:val="21"/>
                <w:szCs w:val="21"/>
                <w:highlight w:val="none"/>
              </w:rPr>
              <w:t>原则上每个岗的日工作时长为8小时。</w:t>
            </w:r>
          </w:p>
        </w:tc>
      </w:tr>
      <w:tr w14:paraId="09D9D3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7" w:hRule="atLeast"/>
          <w:jc w:val="center"/>
        </w:trPr>
        <w:tc>
          <w:tcPr>
            <w:tcW w:w="1123" w:type="dxa"/>
            <w:vMerge w:val="continue"/>
            <w:tcBorders>
              <w:left w:val="single" w:color="auto" w:sz="4" w:space="0"/>
              <w:right w:val="single" w:color="auto" w:sz="4" w:space="0"/>
            </w:tcBorders>
            <w:noWrap w:val="0"/>
            <w:vAlign w:val="top"/>
          </w:tcPr>
          <w:p w14:paraId="05729F1C">
            <w:pPr>
              <w:spacing w:after="60" w:afterLines="25" w:line="360" w:lineRule="auto"/>
              <w:rPr>
                <w:rFonts w:hint="eastAsia" w:ascii="宋体" w:hAnsi="宋体" w:eastAsia="宋体" w:cs="宋体"/>
                <w:b w:val="0"/>
                <w:bCs/>
                <w:color w:val="auto"/>
                <w:kern w:val="0"/>
                <w:sz w:val="21"/>
                <w:szCs w:val="21"/>
                <w:highlight w:val="none"/>
              </w:rPr>
            </w:pPr>
          </w:p>
        </w:tc>
        <w:tc>
          <w:tcPr>
            <w:tcW w:w="1349" w:type="dxa"/>
            <w:tcBorders>
              <w:top w:val="single" w:color="auto" w:sz="4" w:space="0"/>
              <w:left w:val="single" w:color="auto" w:sz="4" w:space="0"/>
              <w:right w:val="single" w:color="auto" w:sz="4" w:space="0"/>
            </w:tcBorders>
            <w:noWrap w:val="0"/>
            <w:vAlign w:val="top"/>
          </w:tcPr>
          <w:p w14:paraId="3C16522B">
            <w:pPr>
              <w:spacing w:after="60" w:afterLines="25" w:line="360" w:lineRule="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服务成果要求</w:t>
            </w:r>
          </w:p>
        </w:tc>
        <w:tc>
          <w:tcPr>
            <w:tcW w:w="7197" w:type="dxa"/>
            <w:tcBorders>
              <w:top w:val="single" w:color="auto" w:sz="4" w:space="0"/>
              <w:left w:val="single" w:color="auto" w:sz="4" w:space="0"/>
              <w:right w:val="single" w:color="auto" w:sz="4" w:space="0"/>
            </w:tcBorders>
            <w:noWrap w:val="0"/>
            <w:vAlign w:val="top"/>
          </w:tcPr>
          <w:p w14:paraId="6BF79EBA">
            <w:pPr>
              <w:tabs>
                <w:tab w:val="left" w:pos="4760"/>
              </w:tabs>
              <w:spacing w:after="60" w:afterLines="0" w:line="240" w:lineRule="auto"/>
              <w:ind w:right="0" w:firstLine="0" w:firstLineChars="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一、一般要求及说明</w:t>
            </w:r>
          </w:p>
          <w:p w14:paraId="7954BC22">
            <w:pPr>
              <w:tabs>
                <w:tab w:val="left" w:pos="4760"/>
              </w:tabs>
              <w:spacing w:after="60" w:afterLines="0" w:line="240" w:lineRule="auto"/>
              <w:ind w:right="0" w:firstLine="0" w:firstLineChars="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1、本项目要求达到</w:t>
            </w:r>
            <w:r>
              <w:rPr>
                <w:rFonts w:hint="eastAsia" w:ascii="宋体" w:hAnsi="宋体" w:eastAsia="宋体" w:cs="宋体"/>
                <w:b w:val="0"/>
                <w:bCs/>
                <w:color w:val="auto"/>
                <w:sz w:val="21"/>
                <w:szCs w:val="21"/>
                <w:highlight w:val="none"/>
              </w:rPr>
              <w:fldChar w:fldCharType="begin"/>
            </w:r>
            <w:r>
              <w:rPr>
                <w:rFonts w:hint="eastAsia" w:ascii="宋体" w:hAnsi="宋体" w:eastAsia="宋体" w:cs="宋体"/>
                <w:b w:val="0"/>
                <w:bCs/>
                <w:color w:val="auto"/>
                <w:sz w:val="21"/>
                <w:szCs w:val="21"/>
                <w:highlight w:val="none"/>
              </w:rPr>
              <w:instrText xml:space="preserve">HYPERLINK "http://so.findlaw.cn/cse/search?s=5951707868767694152&amp;entry=1&amp;q=%E5%85%AC%E5%AE%89%E9%83%A8" \t "_blank"</w:instrText>
            </w:r>
            <w:r>
              <w:rPr>
                <w:rFonts w:hint="eastAsia" w:ascii="宋体" w:hAnsi="宋体" w:eastAsia="宋体" w:cs="宋体"/>
                <w:b w:val="0"/>
                <w:bCs/>
                <w:color w:val="auto"/>
                <w:sz w:val="21"/>
                <w:szCs w:val="21"/>
                <w:highlight w:val="none"/>
              </w:rPr>
              <w:fldChar w:fldCharType="separate"/>
            </w:r>
            <w:r>
              <w:rPr>
                <w:rFonts w:hint="eastAsia" w:ascii="宋体" w:hAnsi="宋体" w:eastAsia="宋体" w:cs="宋体"/>
                <w:b w:val="0"/>
                <w:bCs/>
                <w:color w:val="auto"/>
                <w:sz w:val="21"/>
                <w:szCs w:val="21"/>
                <w:highlight w:val="none"/>
              </w:rPr>
              <w:t>公安部</w:t>
            </w:r>
            <w:r>
              <w:rPr>
                <w:rFonts w:hint="eastAsia" w:ascii="宋体" w:hAnsi="宋体" w:eastAsia="宋体" w:cs="宋体"/>
                <w:b w:val="0"/>
                <w:bCs/>
                <w:color w:val="auto"/>
                <w:sz w:val="21"/>
                <w:szCs w:val="21"/>
                <w:highlight w:val="none"/>
              </w:rPr>
              <w:fldChar w:fldCharType="end"/>
            </w:r>
            <w:r>
              <w:rPr>
                <w:rFonts w:hint="eastAsia" w:ascii="宋体" w:hAnsi="宋体" w:eastAsia="宋体" w:cs="宋体"/>
                <w:b w:val="0"/>
                <w:bCs/>
                <w:color w:val="auto"/>
                <w:sz w:val="21"/>
                <w:szCs w:val="21"/>
                <w:highlight w:val="none"/>
              </w:rPr>
              <w:t>制定的《公安部关于保安服务公司规范管理的若干规定》、《</w:t>
            </w:r>
            <w:r>
              <w:rPr>
                <w:rFonts w:hint="eastAsia" w:ascii="宋体" w:hAnsi="宋体" w:eastAsia="宋体" w:cs="宋体"/>
                <w:b w:val="0"/>
                <w:bCs/>
                <w:color w:val="auto"/>
                <w:sz w:val="21"/>
                <w:szCs w:val="21"/>
                <w:highlight w:val="none"/>
                <w:lang w:eastAsia="zh-CN"/>
              </w:rPr>
              <w:t>深圳市宝安区公园管理中心（罗田林场）公园（广场）安保服务考核方案</w:t>
            </w:r>
            <w:r>
              <w:rPr>
                <w:rFonts w:hint="eastAsia" w:ascii="宋体" w:hAnsi="宋体" w:eastAsia="宋体" w:cs="宋体"/>
                <w:b w:val="0"/>
                <w:bCs/>
                <w:color w:val="auto"/>
                <w:sz w:val="21"/>
                <w:szCs w:val="21"/>
                <w:highlight w:val="none"/>
              </w:rPr>
              <w:t>》及附件所规定的工作要求。</w:t>
            </w:r>
          </w:p>
          <w:p w14:paraId="75A8BE80">
            <w:pPr>
              <w:tabs>
                <w:tab w:val="left" w:pos="4760"/>
              </w:tabs>
              <w:spacing w:after="60" w:afterLines="0" w:line="240" w:lineRule="auto"/>
              <w:ind w:right="0" w:firstLine="0" w:firstLineChars="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2、对数字化城市管理系统发送的所有投诉问题须及时认真跟踪处理，及时报告处理结果。</w:t>
            </w:r>
          </w:p>
          <w:p w14:paraId="64FCF239">
            <w:pPr>
              <w:tabs>
                <w:tab w:val="left" w:pos="4760"/>
              </w:tabs>
              <w:spacing w:after="60" w:afterLines="0" w:line="240" w:lineRule="auto"/>
              <w:ind w:right="0" w:firstLine="0" w:firstLineChars="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3、工作时间：全天候24小时。</w:t>
            </w:r>
          </w:p>
          <w:p w14:paraId="35BD7F31">
            <w:pPr>
              <w:tabs>
                <w:tab w:val="left" w:pos="4760"/>
              </w:tabs>
              <w:spacing w:after="60" w:afterLines="0" w:line="240" w:lineRule="auto"/>
              <w:ind w:right="0" w:firstLine="0" w:firstLineChars="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4、投标单位在公园内作业必须遵守公园的交通管理规定。</w:t>
            </w:r>
          </w:p>
          <w:p w14:paraId="28AFA14E">
            <w:pPr>
              <w:tabs>
                <w:tab w:val="left" w:pos="4760"/>
              </w:tabs>
              <w:spacing w:after="60" w:afterLines="0" w:line="240" w:lineRule="auto"/>
              <w:ind w:right="0" w:firstLine="0" w:firstLineChars="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5、采购单位不提供食宿及场所，投标单位必须自行解决员工的生活基地，包括上下班的交通工具，保证基地洁净、卫生、安全，符合深圳市有关规定和要求。采购单位及其派出机构有权对投标单位的办公场所、生活基地和器材设备等进行检查。</w:t>
            </w:r>
          </w:p>
          <w:p w14:paraId="47B1D112">
            <w:pPr>
              <w:tabs>
                <w:tab w:val="left" w:pos="4760"/>
              </w:tabs>
              <w:spacing w:after="60" w:afterLines="0" w:line="240" w:lineRule="auto"/>
              <w:ind w:left="0" w:leftChars="0" w:right="0" w:firstLine="0" w:firstLineChars="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6、为确保项目质量，投标单位不得转包、分包，如发现转包或分包，除终止保安服务外，采购单位向投标单位索赔中标价的5%做为另外招标和停止保安服务所造成的损失补偿。</w:t>
            </w:r>
          </w:p>
          <w:p w14:paraId="711A0DC4">
            <w:pPr>
              <w:tabs>
                <w:tab w:val="left" w:pos="4760"/>
              </w:tabs>
              <w:spacing w:after="60" w:afterLines="0" w:line="240" w:lineRule="auto"/>
              <w:ind w:right="0" w:firstLine="0" w:firstLineChars="0"/>
              <w:rPr>
                <w:rFonts w:hint="eastAsia" w:ascii="宋体" w:hAnsi="宋体" w:eastAsia="宋体" w:cs="宋体"/>
                <w:b w:val="0"/>
                <w:bCs/>
                <w:color w:val="auto"/>
                <w:sz w:val="21"/>
                <w:szCs w:val="21"/>
                <w:highlight w:val="none"/>
              </w:rPr>
            </w:pPr>
            <w:r>
              <w:rPr>
                <w:rFonts w:hint="default" w:ascii="宋体" w:hAnsi="宋体" w:eastAsia="宋体" w:cs="宋体"/>
                <w:b w:val="0"/>
                <w:bCs/>
                <w:color w:val="auto"/>
                <w:sz w:val="21"/>
                <w:szCs w:val="21"/>
                <w:highlight w:val="none"/>
              </w:rPr>
              <w:t>二</w:t>
            </w:r>
            <w:r>
              <w:rPr>
                <w:rFonts w:hint="eastAsia" w:ascii="宋体" w:hAnsi="宋体" w:eastAsia="宋体" w:cs="宋体"/>
                <w:b w:val="0"/>
                <w:bCs/>
                <w:color w:val="auto"/>
                <w:sz w:val="21"/>
                <w:szCs w:val="21"/>
                <w:highlight w:val="none"/>
                <w:lang w:eastAsia="zh-CN"/>
              </w:rPr>
              <w:t>、</w:t>
            </w:r>
            <w:r>
              <w:rPr>
                <w:rFonts w:hint="eastAsia" w:ascii="宋体" w:hAnsi="宋体" w:eastAsia="宋体" w:cs="宋体"/>
                <w:b w:val="0"/>
                <w:bCs/>
                <w:color w:val="auto"/>
                <w:sz w:val="21"/>
                <w:szCs w:val="21"/>
                <w:highlight w:val="none"/>
              </w:rPr>
              <w:t>其他管理要求</w:t>
            </w:r>
          </w:p>
          <w:p w14:paraId="559D0EEB">
            <w:pPr>
              <w:tabs>
                <w:tab w:val="left" w:pos="4760"/>
              </w:tabs>
              <w:spacing w:after="60" w:afterLines="0" w:line="240" w:lineRule="auto"/>
              <w:ind w:right="0" w:firstLine="0" w:firstLineChars="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1、组织管理要求</w:t>
            </w:r>
          </w:p>
          <w:p w14:paraId="6D373239">
            <w:pPr>
              <w:tabs>
                <w:tab w:val="left" w:pos="4760"/>
              </w:tabs>
              <w:spacing w:after="60" w:afterLines="0" w:line="240" w:lineRule="auto"/>
              <w:ind w:right="0" w:firstLine="0" w:firstLineChars="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1.1、依据项目服务的特点，构建精简、高效、专业、合理的管理和组织架构；</w:t>
            </w:r>
          </w:p>
          <w:p w14:paraId="38A6294C">
            <w:pPr>
              <w:tabs>
                <w:tab w:val="left" w:pos="4760"/>
              </w:tabs>
              <w:spacing w:after="60" w:afterLines="0" w:line="240" w:lineRule="auto"/>
              <w:ind w:right="0" w:firstLine="0" w:firstLineChars="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1.2、依据精干、高效、一专多能、忠于职守的原则配备人员，并结合公园管理特点，编制员工行为规范和操作性强的服务方案；</w:t>
            </w:r>
          </w:p>
          <w:p w14:paraId="4D4DD1ED">
            <w:pPr>
              <w:tabs>
                <w:tab w:val="left" w:pos="4760"/>
              </w:tabs>
              <w:spacing w:after="60" w:afterLines="0" w:line="240" w:lineRule="auto"/>
              <w:ind w:right="0" w:firstLine="0" w:firstLineChars="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1.3、组织架构科学、合理，保证管理落实到位，各部门具有明确的分工和职责要求；</w:t>
            </w:r>
          </w:p>
          <w:p w14:paraId="54B6CDE7">
            <w:pPr>
              <w:tabs>
                <w:tab w:val="left" w:pos="4760"/>
              </w:tabs>
              <w:spacing w:after="60" w:afterLines="0" w:line="240" w:lineRule="auto"/>
              <w:ind w:right="0" w:firstLine="0" w:firstLineChars="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1.4、人员培训和考核制度，明确培训的目标、内容、培训方式，服务人员经常性培训，包括进驻前培训、过程培训、技术培训、专业演练、法规知识培训等；考核内容设定科学、合理，制定有效且操作性强的奖优罚劣措施；</w:t>
            </w:r>
          </w:p>
          <w:p w14:paraId="514BB4D3">
            <w:pPr>
              <w:tabs>
                <w:tab w:val="left" w:pos="4760"/>
              </w:tabs>
              <w:spacing w:after="60" w:afterLines="0" w:line="240" w:lineRule="auto"/>
              <w:ind w:right="0" w:firstLine="0" w:firstLineChars="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1.5、服务质量的监督、自检体系健全，各类巡查、车场管理、应急处理等程序的相关记录应可追溯。</w:t>
            </w:r>
          </w:p>
          <w:p w14:paraId="5F411E37">
            <w:pPr>
              <w:tabs>
                <w:tab w:val="left" w:pos="4760"/>
              </w:tabs>
              <w:spacing w:after="60" w:afterLines="0" w:line="240" w:lineRule="auto"/>
              <w:ind w:right="0" w:firstLine="0" w:firstLineChars="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1.6、针对工作任务和作业特点，保安服务须做到及时响应、按时完成，人员的调休或调整须确保工作效率与既定工作目标；</w:t>
            </w:r>
          </w:p>
          <w:p w14:paraId="2C1F4718">
            <w:pPr>
              <w:tabs>
                <w:tab w:val="left" w:pos="4760"/>
              </w:tabs>
              <w:spacing w:after="60" w:afterLines="0" w:line="240" w:lineRule="auto"/>
              <w:ind w:right="0" w:firstLine="0" w:firstLineChars="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1.7、定岗：每个岗位由专人负责，作业人员不得脱岗、怠岗或串岗。</w:t>
            </w:r>
          </w:p>
          <w:p w14:paraId="449EA867">
            <w:pPr>
              <w:tabs>
                <w:tab w:val="left" w:pos="4760"/>
              </w:tabs>
              <w:spacing w:after="60" w:afterLines="0" w:line="240" w:lineRule="auto"/>
              <w:ind w:right="0" w:firstLine="0" w:firstLineChars="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2、消防安全管理方案</w:t>
            </w:r>
          </w:p>
          <w:p w14:paraId="36361AAD">
            <w:pPr>
              <w:tabs>
                <w:tab w:val="left" w:pos="4760"/>
              </w:tabs>
              <w:spacing w:after="60" w:afterLines="0" w:line="240" w:lineRule="auto"/>
              <w:ind w:right="0" w:firstLine="0" w:firstLineChars="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投标单位保安员协同</w:t>
            </w:r>
            <w:r>
              <w:rPr>
                <w:rFonts w:hint="eastAsia" w:ascii="宋体" w:hAnsi="宋体" w:eastAsia="宋体" w:cs="宋体"/>
                <w:b w:val="0"/>
                <w:bCs/>
                <w:color w:val="auto"/>
                <w:sz w:val="21"/>
                <w:szCs w:val="21"/>
                <w:highlight w:val="none"/>
                <w:lang w:eastAsia="zh-CN"/>
              </w:rPr>
              <w:t>凤凰山森林公园</w:t>
            </w:r>
            <w:r>
              <w:rPr>
                <w:rFonts w:hint="eastAsia" w:ascii="宋体" w:hAnsi="宋体" w:eastAsia="宋体" w:cs="宋体"/>
                <w:b w:val="0"/>
                <w:bCs/>
                <w:color w:val="auto"/>
                <w:sz w:val="21"/>
                <w:szCs w:val="21"/>
                <w:highlight w:val="none"/>
              </w:rPr>
              <w:t>管理</w:t>
            </w:r>
            <w:r>
              <w:rPr>
                <w:rFonts w:hint="eastAsia" w:ascii="宋体" w:hAnsi="宋体" w:eastAsia="宋体" w:cs="宋体"/>
                <w:b w:val="0"/>
                <w:bCs/>
                <w:color w:val="auto"/>
                <w:sz w:val="21"/>
                <w:szCs w:val="21"/>
                <w:highlight w:val="none"/>
                <w:lang w:val="en-US" w:eastAsia="zh-CN"/>
              </w:rPr>
              <w:t>站</w:t>
            </w:r>
            <w:r>
              <w:rPr>
                <w:rFonts w:hint="eastAsia" w:ascii="宋体" w:hAnsi="宋体" w:eastAsia="宋体" w:cs="宋体"/>
                <w:b w:val="0"/>
                <w:bCs/>
                <w:color w:val="auto"/>
                <w:sz w:val="21"/>
                <w:szCs w:val="21"/>
                <w:highlight w:val="none"/>
              </w:rPr>
              <w:t>做好公园消防安全管理工作，由宝安区公园管理中心负责协调、指导工作。投标单位要制定详细的消防安全管理方案，切实维护好公园范围内的消防安全工作。</w:t>
            </w:r>
          </w:p>
          <w:p w14:paraId="230118BA">
            <w:pPr>
              <w:tabs>
                <w:tab w:val="left" w:pos="4760"/>
              </w:tabs>
              <w:spacing w:after="60" w:afterLines="0" w:line="240" w:lineRule="auto"/>
              <w:ind w:right="0" w:firstLine="0" w:firstLineChars="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2.1、管理服务范围和内容：</w:t>
            </w:r>
          </w:p>
          <w:p w14:paraId="190CF81E">
            <w:pPr>
              <w:tabs>
                <w:tab w:val="left" w:pos="4760"/>
              </w:tabs>
              <w:spacing w:after="60" w:afterLines="0" w:line="240" w:lineRule="auto"/>
              <w:ind w:right="0" w:firstLine="0" w:firstLineChars="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2.1.1、负责公园范围内消防设施、器械、消防安全标志、消防栓等的检查，做好消防安全隐患排查工作；</w:t>
            </w:r>
          </w:p>
          <w:p w14:paraId="1AA81C98">
            <w:pPr>
              <w:tabs>
                <w:tab w:val="left" w:pos="4760"/>
              </w:tabs>
              <w:spacing w:after="60" w:afterLines="0" w:line="240" w:lineRule="auto"/>
              <w:ind w:right="0" w:firstLine="0" w:firstLineChars="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2.1.2、落实24小时消防安全巡查制度。</w:t>
            </w:r>
          </w:p>
          <w:p w14:paraId="2FE2B8E2">
            <w:pPr>
              <w:tabs>
                <w:tab w:val="left" w:pos="4760"/>
              </w:tabs>
              <w:spacing w:after="60" w:afterLines="0" w:line="240" w:lineRule="auto"/>
              <w:ind w:right="0" w:firstLine="0" w:firstLineChars="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2.2、管理服务要求：</w:t>
            </w:r>
          </w:p>
          <w:p w14:paraId="426288EC">
            <w:pPr>
              <w:tabs>
                <w:tab w:val="left" w:pos="4760"/>
              </w:tabs>
              <w:spacing w:after="60" w:afterLines="0" w:line="240" w:lineRule="auto"/>
              <w:ind w:right="0" w:firstLine="0" w:firstLineChars="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2.2.1、消防设施检查：确定消防设施、器械24小时处于备用状态，检查消防设施、器械和消防安全标志是否在位、完整，检查消防设施器材有无被挪用、拆除、停用，确保消防栓不被埋压、圈占、遮挡。</w:t>
            </w:r>
          </w:p>
          <w:p w14:paraId="14D27EAB">
            <w:pPr>
              <w:tabs>
                <w:tab w:val="left" w:pos="4760"/>
              </w:tabs>
              <w:spacing w:after="60" w:afterLines="0" w:line="240" w:lineRule="auto"/>
              <w:ind w:right="0" w:firstLine="0" w:firstLineChars="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2.2.2、防火安全巡查：安排巡查队员对公园进行检查，对游客带烟火进山等行为进行劝导，涉及安全的事项要严格把关，杜绝安全隐患。</w:t>
            </w:r>
          </w:p>
          <w:p w14:paraId="37A6604E">
            <w:pPr>
              <w:tabs>
                <w:tab w:val="left" w:pos="4760"/>
              </w:tabs>
              <w:spacing w:after="60" w:afterLines="0" w:line="240" w:lineRule="auto"/>
              <w:ind w:right="0" w:firstLine="0" w:firstLineChars="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2.2.3、发现消防设备设施发生故障时，要及时报相关主管部门进行修理维护，不得擅自拆卸、挪用和停用设备设施，主动配合相关人员进行设备设施检修和维护并如实登记。</w:t>
            </w:r>
          </w:p>
          <w:p w14:paraId="66BDAA1B">
            <w:pPr>
              <w:tabs>
                <w:tab w:val="left" w:pos="4760"/>
              </w:tabs>
              <w:spacing w:after="60" w:afterLines="0" w:line="240" w:lineRule="auto"/>
              <w:ind w:right="0" w:firstLine="0" w:firstLineChars="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2.2.4、做好消防应急工作，如遇火灾时，要正确及时地操作使用消防设施,并按规定程序及时通知有关部门及负责人；火灾确认后，按要求正确的启动和关停有关消防设备设施,配合组织灭火工作。</w:t>
            </w:r>
          </w:p>
          <w:p w14:paraId="15AB8C14">
            <w:pPr>
              <w:tabs>
                <w:tab w:val="left" w:pos="4760"/>
              </w:tabs>
              <w:spacing w:after="60" w:afterLines="0" w:line="240" w:lineRule="auto"/>
              <w:ind w:right="0" w:firstLine="0" w:firstLineChars="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3、停车场管理</w:t>
            </w:r>
            <w:r>
              <w:rPr>
                <w:rFonts w:hint="eastAsia" w:ascii="宋体" w:hAnsi="宋体" w:eastAsia="宋体" w:cs="宋体"/>
                <w:b w:val="0"/>
                <w:bCs/>
                <w:color w:val="auto"/>
                <w:sz w:val="21"/>
                <w:szCs w:val="21"/>
                <w:highlight w:val="none"/>
                <w:lang w:eastAsia="zh-CN"/>
              </w:rPr>
              <w:t>（</w:t>
            </w:r>
            <w:r>
              <w:rPr>
                <w:rFonts w:hint="eastAsia" w:ascii="宋体" w:hAnsi="宋体" w:eastAsia="宋体" w:cs="宋体"/>
                <w:b w:val="0"/>
                <w:bCs/>
                <w:color w:val="auto"/>
                <w:sz w:val="21"/>
                <w:szCs w:val="21"/>
                <w:highlight w:val="none"/>
                <w:lang w:val="en-US" w:eastAsia="zh-CN"/>
              </w:rPr>
              <w:t>已委托其他服务单位管理的除外</w:t>
            </w:r>
            <w:r>
              <w:rPr>
                <w:rFonts w:hint="eastAsia" w:ascii="宋体" w:hAnsi="宋体" w:eastAsia="宋体" w:cs="宋体"/>
                <w:b w:val="0"/>
                <w:bCs/>
                <w:color w:val="auto"/>
                <w:sz w:val="21"/>
                <w:szCs w:val="21"/>
                <w:highlight w:val="none"/>
                <w:lang w:eastAsia="zh-CN"/>
              </w:rPr>
              <w:t>）</w:t>
            </w:r>
          </w:p>
          <w:p w14:paraId="687EB49D">
            <w:pPr>
              <w:tabs>
                <w:tab w:val="left" w:pos="4760"/>
              </w:tabs>
              <w:spacing w:after="60" w:afterLines="0" w:line="240" w:lineRule="auto"/>
              <w:ind w:right="0" w:firstLine="0" w:firstLineChars="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3.1、服务内容和范围：</w:t>
            </w:r>
          </w:p>
          <w:p w14:paraId="51A5541E">
            <w:pPr>
              <w:tabs>
                <w:tab w:val="left" w:pos="4760"/>
              </w:tabs>
              <w:spacing w:after="60" w:afterLines="0" w:line="240" w:lineRule="auto"/>
              <w:ind w:right="0" w:firstLine="0" w:firstLineChars="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3.1.1、公园公共停车场由投标单位管理，</w:t>
            </w:r>
            <w:r>
              <w:rPr>
                <w:rFonts w:hint="eastAsia" w:ascii="宋体" w:hAnsi="宋体" w:eastAsia="宋体" w:cs="宋体"/>
                <w:b w:val="0"/>
                <w:bCs/>
                <w:color w:val="auto"/>
                <w:sz w:val="21"/>
                <w:szCs w:val="21"/>
                <w:highlight w:val="none"/>
                <w:lang w:eastAsia="zh-CN"/>
              </w:rPr>
              <w:t>凤凰山森林公园</w:t>
            </w:r>
            <w:r>
              <w:rPr>
                <w:rFonts w:hint="eastAsia" w:ascii="宋体" w:hAnsi="宋体" w:eastAsia="宋体" w:cs="宋体"/>
                <w:b w:val="0"/>
                <w:bCs/>
                <w:color w:val="auto"/>
                <w:sz w:val="21"/>
                <w:szCs w:val="21"/>
                <w:highlight w:val="none"/>
              </w:rPr>
              <w:t>管理</w:t>
            </w:r>
            <w:r>
              <w:rPr>
                <w:rFonts w:hint="eastAsia" w:ascii="宋体" w:hAnsi="宋体" w:eastAsia="宋体" w:cs="宋体"/>
                <w:b w:val="0"/>
                <w:bCs/>
                <w:color w:val="auto"/>
                <w:sz w:val="21"/>
                <w:szCs w:val="21"/>
                <w:highlight w:val="none"/>
                <w:lang w:val="en-US" w:eastAsia="zh-CN"/>
              </w:rPr>
              <w:t>站</w:t>
            </w:r>
            <w:r>
              <w:rPr>
                <w:rFonts w:hint="eastAsia" w:ascii="宋体" w:hAnsi="宋体" w:eastAsia="宋体" w:cs="宋体"/>
                <w:b w:val="0"/>
                <w:bCs/>
                <w:color w:val="auto"/>
                <w:sz w:val="21"/>
                <w:szCs w:val="21"/>
                <w:highlight w:val="none"/>
              </w:rPr>
              <w:t>负责监督、协调、指导、考评投标单位工作；</w:t>
            </w:r>
          </w:p>
          <w:p w14:paraId="01A85D5B">
            <w:pPr>
              <w:tabs>
                <w:tab w:val="left" w:pos="4760"/>
              </w:tabs>
              <w:spacing w:after="60" w:afterLines="0" w:line="240" w:lineRule="auto"/>
              <w:ind w:right="0" w:firstLine="0" w:firstLineChars="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3.1.2、管理所与投标单位共同确定车管员岗位和岗位职责，实行24小时值班制度；</w:t>
            </w:r>
          </w:p>
          <w:p w14:paraId="14F3DDD6">
            <w:pPr>
              <w:tabs>
                <w:tab w:val="left" w:pos="4760"/>
              </w:tabs>
              <w:spacing w:after="60" w:afterLines="0" w:line="240" w:lineRule="auto"/>
              <w:ind w:right="0" w:firstLine="0" w:firstLineChars="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3.1.3、引导来园车辆停放在指定区域，必须按划线车位规范停放；</w:t>
            </w:r>
          </w:p>
          <w:p w14:paraId="1B5BC32A">
            <w:pPr>
              <w:tabs>
                <w:tab w:val="left" w:pos="4760"/>
              </w:tabs>
              <w:spacing w:after="60" w:afterLines="0" w:line="240" w:lineRule="auto"/>
              <w:ind w:right="0" w:firstLine="0" w:firstLineChars="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3.1.4、加强对车辆出入管理和登记制度，防止可能发生的盗窃事件；</w:t>
            </w:r>
          </w:p>
          <w:p w14:paraId="0184E384">
            <w:pPr>
              <w:tabs>
                <w:tab w:val="left" w:pos="4760"/>
              </w:tabs>
              <w:spacing w:after="60" w:afterLines="0" w:line="240" w:lineRule="auto"/>
              <w:ind w:right="0" w:firstLine="0" w:firstLineChars="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3.1.5、定时巡逻，密切关注停放车辆周边动态，确保车场各项财物设施安全及车场内部的防火、防盗、防破坏、防事故工作。</w:t>
            </w:r>
          </w:p>
          <w:p w14:paraId="43CA2974">
            <w:pPr>
              <w:tabs>
                <w:tab w:val="left" w:pos="4760"/>
              </w:tabs>
              <w:spacing w:after="60" w:afterLines="0" w:line="240" w:lineRule="auto"/>
              <w:ind w:right="0" w:firstLine="0" w:firstLineChars="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3.2、停车场管理服务要求：</w:t>
            </w:r>
          </w:p>
          <w:p w14:paraId="35806559">
            <w:pPr>
              <w:tabs>
                <w:tab w:val="left" w:pos="4760"/>
              </w:tabs>
              <w:spacing w:after="60" w:afterLines="0" w:line="240" w:lineRule="auto"/>
              <w:ind w:right="0" w:firstLine="0" w:firstLineChars="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3.2.1、确保停放在车场内车辆的安全，保证停车场内的秩序及公园各出入口的通畅；</w:t>
            </w:r>
          </w:p>
          <w:p w14:paraId="4F2A0B3A">
            <w:pPr>
              <w:tabs>
                <w:tab w:val="left" w:pos="4760"/>
              </w:tabs>
              <w:spacing w:after="60" w:afterLines="0" w:line="240" w:lineRule="auto"/>
              <w:ind w:right="0" w:firstLine="0" w:firstLineChars="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3.2.2、对于禁止停车的场所,设置显著的禁停标志,对违禁的车辆实施处罚；</w:t>
            </w:r>
          </w:p>
          <w:p w14:paraId="7E6FAEF7">
            <w:pPr>
              <w:tabs>
                <w:tab w:val="left" w:pos="4760"/>
              </w:tabs>
              <w:spacing w:after="60" w:afterLines="0" w:line="240" w:lineRule="auto"/>
              <w:ind w:right="0" w:firstLine="0" w:firstLineChars="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3.2.3、车场配置显著的出入口指示,限高标志、禁鸣标识、限速标志、车场管理须知等；</w:t>
            </w:r>
          </w:p>
          <w:p w14:paraId="43A99F47">
            <w:pPr>
              <w:tabs>
                <w:tab w:val="left" w:pos="4760"/>
              </w:tabs>
              <w:spacing w:after="60" w:afterLines="0" w:line="240" w:lineRule="auto"/>
              <w:ind w:right="0" w:firstLine="0" w:firstLineChars="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3.2.4、值班员对每辆进入车场的车辆作适当检查,注意车辆是否有被撞,被刮等迹象,减少不必要的纠纷；主动礼貌提醒车主不要将贵重物品留在车内；</w:t>
            </w:r>
          </w:p>
          <w:p w14:paraId="062DD5C6">
            <w:pPr>
              <w:tabs>
                <w:tab w:val="left" w:pos="4760"/>
              </w:tabs>
              <w:spacing w:after="60" w:afterLines="0" w:line="240" w:lineRule="auto"/>
              <w:ind w:right="0" w:firstLine="0" w:firstLineChars="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3.2.5、安排专职保安员对停车场实施巡查管理,并引导车辆停放,提供问询服务；</w:t>
            </w:r>
          </w:p>
          <w:p w14:paraId="293CCDC3">
            <w:pPr>
              <w:tabs>
                <w:tab w:val="left" w:pos="4760"/>
              </w:tabs>
              <w:spacing w:after="60" w:afterLines="0" w:line="240" w:lineRule="auto"/>
              <w:ind w:right="0" w:firstLine="0" w:firstLineChars="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3.2.6、对停车场出入口附近的路面实施人车分流,确保公园进出安全、有序；对于易产生交通瓶颈,造成堵塞的地段及时进行有效疏导；控制车辆，保证车场内不出现拥挤堵塞现象；</w:t>
            </w:r>
          </w:p>
          <w:p w14:paraId="72070B16">
            <w:pPr>
              <w:tabs>
                <w:tab w:val="left" w:pos="4760"/>
              </w:tabs>
              <w:spacing w:after="60" w:afterLines="0" w:line="240" w:lineRule="auto"/>
              <w:ind w:right="0" w:firstLine="0" w:firstLineChars="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3.2.7值班员巡查中若发现停放车辆有异常情况(如自燃等)，要立刻采取措施实施补救，若车辆之间发生交通事故,要尽快处理,以不妨碍车辆通行为准则,并做好事件报告。</w:t>
            </w:r>
          </w:p>
          <w:p w14:paraId="112CF5BD">
            <w:pPr>
              <w:tabs>
                <w:tab w:val="left" w:pos="4760"/>
              </w:tabs>
              <w:spacing w:after="60" w:afterLines="0" w:line="240" w:lineRule="auto"/>
              <w:ind w:right="0" w:firstLine="0" w:firstLineChars="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4、闭路电视监控</w:t>
            </w:r>
          </w:p>
          <w:p w14:paraId="5B84D9D5">
            <w:pPr>
              <w:tabs>
                <w:tab w:val="left" w:pos="4760"/>
              </w:tabs>
              <w:spacing w:after="60" w:afterLines="0" w:line="240" w:lineRule="auto"/>
              <w:ind w:right="0" w:firstLine="0" w:firstLineChars="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4.1、服务内容和范围：</w:t>
            </w:r>
          </w:p>
          <w:p w14:paraId="7940E19E">
            <w:pPr>
              <w:tabs>
                <w:tab w:val="left" w:pos="4760"/>
              </w:tabs>
              <w:spacing w:after="60" w:afterLines="0" w:line="240" w:lineRule="auto"/>
              <w:ind w:right="0" w:firstLine="0" w:firstLineChars="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4.1.1、投标单位需派有上岗证的专人在监控室实行24小时值班，严密监控，发现情况立即处理和报告；</w:t>
            </w:r>
          </w:p>
          <w:p w14:paraId="7466ABF9">
            <w:pPr>
              <w:tabs>
                <w:tab w:val="left" w:pos="4760"/>
              </w:tabs>
              <w:spacing w:after="60" w:afterLines="0" w:line="240" w:lineRule="auto"/>
              <w:ind w:right="0" w:firstLine="0" w:firstLineChars="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4.1.2、制定闭路电视监控系统值班等管理制度，指定经培训合格的人员参加监控系统值班，该类人员不得随意更换；</w:t>
            </w:r>
          </w:p>
          <w:p w14:paraId="62646DC6">
            <w:pPr>
              <w:tabs>
                <w:tab w:val="left" w:pos="4760"/>
              </w:tabs>
              <w:spacing w:after="60" w:afterLines="0" w:line="240" w:lineRule="auto"/>
              <w:ind w:right="0" w:firstLine="0" w:firstLineChars="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4.2、闭路电视监控服务要求：</w:t>
            </w:r>
          </w:p>
          <w:p w14:paraId="204B7373">
            <w:pPr>
              <w:tabs>
                <w:tab w:val="left" w:pos="4760"/>
              </w:tabs>
              <w:spacing w:after="60" w:afterLines="0" w:line="240" w:lineRule="auto"/>
              <w:ind w:right="0" w:firstLine="0" w:firstLineChars="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4.2.1、值班人员应熟悉公园整体地理环境及监控范围，熟练操作、维护使用监控系统设备；</w:t>
            </w:r>
          </w:p>
          <w:p w14:paraId="0717FAD0">
            <w:pPr>
              <w:tabs>
                <w:tab w:val="left" w:pos="4760"/>
              </w:tabs>
              <w:spacing w:after="60" w:afterLines="0" w:line="240" w:lineRule="auto"/>
              <w:ind w:right="0" w:firstLine="0" w:firstLineChars="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4.2.2、因工作原因或其它特殊情况需调阅监控录像的，要取得公园管理相关主管部门的许可，其他任何个人无权调阅；</w:t>
            </w:r>
          </w:p>
          <w:p w14:paraId="7B7A6787">
            <w:pPr>
              <w:tabs>
                <w:tab w:val="left" w:pos="4760"/>
              </w:tabs>
              <w:spacing w:after="60" w:afterLines="0" w:line="240" w:lineRule="auto"/>
              <w:ind w:right="0" w:firstLine="0" w:firstLineChars="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4.2.3、所有监控录像需保存90天，对重大事件进行收集存档。</w:t>
            </w:r>
          </w:p>
          <w:p w14:paraId="3B3A785F">
            <w:pPr>
              <w:tabs>
                <w:tab w:val="left" w:pos="4760"/>
              </w:tabs>
              <w:spacing w:after="60" w:afterLines="0" w:line="240" w:lineRule="auto"/>
              <w:ind w:right="0" w:firstLine="0" w:firstLineChars="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5、消防、突发、应急事件、自然灾害应急处理</w:t>
            </w:r>
          </w:p>
          <w:p w14:paraId="03533E5C">
            <w:pPr>
              <w:tabs>
                <w:tab w:val="left" w:pos="4760"/>
              </w:tabs>
              <w:spacing w:after="60" w:afterLines="0" w:line="240" w:lineRule="auto"/>
              <w:ind w:right="0" w:firstLine="0" w:firstLineChars="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5.1、服务内容与范围：</w:t>
            </w:r>
          </w:p>
          <w:p w14:paraId="30D76CAF">
            <w:pPr>
              <w:tabs>
                <w:tab w:val="left" w:pos="4760"/>
              </w:tabs>
              <w:spacing w:after="60" w:afterLines="0" w:line="240" w:lineRule="auto"/>
              <w:ind w:right="0" w:firstLine="0" w:firstLineChars="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5.1.1、切实做好公园范围内的防火、防盗、防暴、防灾害工作，保证公园的安全秩序与良好的游园环境；</w:t>
            </w:r>
          </w:p>
          <w:p w14:paraId="13E8CF5C">
            <w:pPr>
              <w:tabs>
                <w:tab w:val="left" w:pos="4760"/>
              </w:tabs>
              <w:spacing w:after="60" w:afterLines="0" w:line="240" w:lineRule="auto"/>
              <w:ind w:right="0" w:firstLine="0" w:firstLineChars="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5.1.2、建立完善的各项应急救援方案（如：火警、爆炸、投毒、非法集会、其它破坏、盗窃等），以书面的形式报公园管理所备案，确保各类突发事件得到快速、妥善处理。</w:t>
            </w:r>
          </w:p>
          <w:p w14:paraId="30ECF95B">
            <w:pPr>
              <w:tabs>
                <w:tab w:val="left" w:pos="4760"/>
              </w:tabs>
              <w:spacing w:after="60" w:afterLines="0" w:line="240" w:lineRule="auto"/>
              <w:ind w:right="0" w:firstLine="0" w:firstLineChars="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5.2、突发、应急处理服务要求：</w:t>
            </w:r>
          </w:p>
          <w:p w14:paraId="51E88E77">
            <w:pPr>
              <w:tabs>
                <w:tab w:val="left" w:pos="4760"/>
              </w:tabs>
              <w:spacing w:after="60" w:afterLines="0" w:line="240" w:lineRule="auto"/>
              <w:ind w:right="0" w:firstLine="0" w:firstLineChars="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5.2.1、全体保安员均为</w:t>
            </w:r>
            <w:r>
              <w:rPr>
                <w:rFonts w:hint="eastAsia" w:ascii="宋体" w:hAnsi="宋体" w:eastAsia="宋体" w:cs="宋体"/>
                <w:b w:val="0"/>
                <w:bCs/>
                <w:color w:val="auto"/>
                <w:sz w:val="21"/>
                <w:szCs w:val="21"/>
                <w:highlight w:val="none"/>
                <w:lang w:eastAsia="zh-CN"/>
              </w:rPr>
              <w:t>凤凰山森林公园</w:t>
            </w:r>
            <w:r>
              <w:rPr>
                <w:rFonts w:hint="eastAsia" w:ascii="宋体" w:hAnsi="宋体" w:eastAsia="宋体" w:cs="宋体"/>
                <w:b w:val="0"/>
                <w:bCs/>
                <w:color w:val="auto"/>
                <w:sz w:val="21"/>
                <w:szCs w:val="21"/>
                <w:highlight w:val="none"/>
              </w:rPr>
              <w:t>消防、突发应急事件、自然灾害应急救援队员，投标单位应对保安员进行培训，特别是突发应急救援培训，使保安员能有效的处理突发事件。</w:t>
            </w:r>
          </w:p>
          <w:p w14:paraId="621FAB89">
            <w:pPr>
              <w:tabs>
                <w:tab w:val="left" w:pos="4760"/>
              </w:tabs>
              <w:spacing w:after="60" w:afterLines="0" w:line="240" w:lineRule="auto"/>
              <w:ind w:right="0" w:firstLine="0" w:firstLineChars="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5.2.2、投标单位按招标人的要求设置和配备保安人员，确保对公园范围的无缝巡逻，做到公园范围内无火灾及重特大治安、交通、刑事等事件发生。如在公园范围内发生火灾及重特大治安、交通、刑事等事件，过错方属于公园管理责任单位的，投标单位需承担相关法律责任和承担赔偿责任。</w:t>
            </w:r>
          </w:p>
          <w:p w14:paraId="6820EB3C">
            <w:pPr>
              <w:tabs>
                <w:tab w:val="left" w:pos="4760"/>
              </w:tabs>
              <w:spacing w:after="60" w:afterLines="0" w:line="240" w:lineRule="auto"/>
              <w:ind w:right="0" w:firstLine="0" w:firstLineChars="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5.2.3定期检查公园范围内配置的消防栓等灭火器械，对易燃易爆物品、烟火等涉及安全的一切事项严格把关,提高警惕性,杜绝隐患；</w:t>
            </w:r>
          </w:p>
          <w:p w14:paraId="5AD14EFB">
            <w:pPr>
              <w:tabs>
                <w:tab w:val="left" w:pos="4760"/>
              </w:tabs>
              <w:spacing w:after="60" w:afterLines="0" w:line="240" w:lineRule="auto"/>
              <w:ind w:right="0" w:firstLine="0" w:firstLineChars="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5.3.4对发现的安全隐患，要立即报告公园管理所。</w:t>
            </w:r>
          </w:p>
        </w:tc>
      </w:tr>
      <w:tr w14:paraId="1A6D99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3" w:hRule="atLeast"/>
          <w:jc w:val="center"/>
        </w:trPr>
        <w:tc>
          <w:tcPr>
            <w:tcW w:w="1123" w:type="dxa"/>
            <w:vMerge w:val="continue"/>
            <w:tcBorders>
              <w:left w:val="single" w:color="auto" w:sz="4" w:space="0"/>
              <w:right w:val="single" w:color="auto" w:sz="4" w:space="0"/>
            </w:tcBorders>
            <w:noWrap w:val="0"/>
            <w:vAlign w:val="top"/>
          </w:tcPr>
          <w:p w14:paraId="67FA4941">
            <w:pPr>
              <w:spacing w:after="60" w:afterLines="25" w:line="360" w:lineRule="auto"/>
              <w:rPr>
                <w:rFonts w:hint="eastAsia" w:ascii="宋体" w:hAnsi="宋体" w:eastAsia="宋体" w:cs="宋体"/>
                <w:b w:val="0"/>
                <w:bCs/>
                <w:color w:val="auto"/>
                <w:kern w:val="0"/>
                <w:sz w:val="21"/>
                <w:szCs w:val="21"/>
                <w:highlight w:val="none"/>
              </w:rPr>
            </w:pPr>
          </w:p>
        </w:tc>
        <w:tc>
          <w:tcPr>
            <w:tcW w:w="1349" w:type="dxa"/>
            <w:tcBorders>
              <w:top w:val="single" w:color="auto" w:sz="4" w:space="0"/>
              <w:left w:val="single" w:color="auto" w:sz="4" w:space="0"/>
              <w:right w:val="single" w:color="auto" w:sz="4" w:space="0"/>
            </w:tcBorders>
            <w:noWrap w:val="0"/>
            <w:vAlign w:val="top"/>
          </w:tcPr>
          <w:p w14:paraId="190E5BC6">
            <w:pPr>
              <w:spacing w:after="60" w:afterLines="25" w:line="360" w:lineRule="auto"/>
              <w:jc w:val="center"/>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质量标准</w:t>
            </w:r>
          </w:p>
        </w:tc>
        <w:tc>
          <w:tcPr>
            <w:tcW w:w="7197" w:type="dxa"/>
            <w:tcBorders>
              <w:top w:val="single" w:color="auto" w:sz="4" w:space="0"/>
              <w:left w:val="single" w:color="auto" w:sz="4" w:space="0"/>
              <w:right w:val="single" w:color="auto" w:sz="4" w:space="0"/>
            </w:tcBorders>
            <w:noWrap w:val="0"/>
            <w:vAlign w:val="top"/>
          </w:tcPr>
          <w:p w14:paraId="121C22F9">
            <w:pPr>
              <w:spacing w:after="60" w:afterLines="25" w:line="240" w:lineRule="auto"/>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eastAsia="zh-CN"/>
              </w:rPr>
              <w:t>1、本项目要求达到</w:t>
            </w:r>
            <w:r>
              <w:rPr>
                <w:rFonts w:hint="eastAsia" w:ascii="宋体" w:hAnsi="宋体" w:eastAsia="宋体" w:cs="宋体"/>
                <w:b w:val="0"/>
                <w:bCs/>
                <w:color w:val="auto"/>
                <w:sz w:val="21"/>
                <w:szCs w:val="21"/>
                <w:highlight w:val="none"/>
                <w:lang w:eastAsia="zh-CN"/>
              </w:rPr>
              <w:fldChar w:fldCharType="begin"/>
            </w:r>
            <w:r>
              <w:rPr>
                <w:rFonts w:hint="eastAsia" w:ascii="宋体" w:hAnsi="宋体" w:eastAsia="宋体" w:cs="宋体"/>
                <w:b w:val="0"/>
                <w:bCs/>
                <w:color w:val="auto"/>
                <w:sz w:val="21"/>
                <w:szCs w:val="21"/>
                <w:highlight w:val="none"/>
                <w:lang w:eastAsia="zh-CN"/>
              </w:rPr>
              <w:instrText xml:space="preserve">HYPERLINK "http://so.findlaw.cn/cse/search?s=5951707868767694152&amp;entry=1&amp;q=%E5%85%AC%E5%AE%89%E9%83%A8" \t "_blank"</w:instrText>
            </w:r>
            <w:r>
              <w:rPr>
                <w:rFonts w:hint="eastAsia" w:ascii="宋体" w:hAnsi="宋体" w:eastAsia="宋体" w:cs="宋体"/>
                <w:b w:val="0"/>
                <w:bCs/>
                <w:color w:val="auto"/>
                <w:sz w:val="21"/>
                <w:szCs w:val="21"/>
                <w:highlight w:val="none"/>
                <w:lang w:eastAsia="zh-CN"/>
              </w:rPr>
              <w:fldChar w:fldCharType="separate"/>
            </w:r>
            <w:r>
              <w:rPr>
                <w:rFonts w:hint="eastAsia" w:ascii="宋体" w:hAnsi="宋体" w:eastAsia="宋体" w:cs="宋体"/>
                <w:b w:val="0"/>
                <w:bCs/>
                <w:color w:val="auto"/>
                <w:sz w:val="21"/>
                <w:szCs w:val="21"/>
                <w:highlight w:val="none"/>
                <w:lang w:eastAsia="zh-CN"/>
              </w:rPr>
              <w:t>公安部</w:t>
            </w:r>
            <w:r>
              <w:rPr>
                <w:rFonts w:hint="eastAsia" w:ascii="宋体" w:hAnsi="宋体" w:eastAsia="宋体" w:cs="宋体"/>
                <w:b w:val="0"/>
                <w:bCs/>
                <w:color w:val="auto"/>
                <w:sz w:val="21"/>
                <w:szCs w:val="21"/>
                <w:highlight w:val="none"/>
                <w:lang w:eastAsia="zh-CN"/>
              </w:rPr>
              <w:fldChar w:fldCharType="end"/>
            </w:r>
            <w:r>
              <w:rPr>
                <w:rFonts w:hint="eastAsia" w:ascii="宋体" w:hAnsi="宋体" w:eastAsia="宋体" w:cs="宋体"/>
                <w:b w:val="0"/>
                <w:bCs/>
                <w:color w:val="auto"/>
                <w:sz w:val="21"/>
                <w:szCs w:val="21"/>
                <w:highlight w:val="none"/>
                <w:lang w:eastAsia="zh-CN"/>
              </w:rPr>
              <w:t>制定的《公安部关于保安服务公司规范管理的若干规定》、《深圳市宝安区公园管理中心（罗田林场）公园（广场）安保服务考核方案》及附件所规定的工作要求。</w:t>
            </w:r>
          </w:p>
          <w:p w14:paraId="56592A1C">
            <w:pPr>
              <w:spacing w:after="60" w:afterLines="25" w:line="240" w:lineRule="auto"/>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eastAsia="zh-CN"/>
              </w:rPr>
              <w:t>2、在一个合同期内，投标单位的服务质量经考核后累计3次或连续2个月度考核为85分以下或1个月度考核为70分以下的，采购单位将取消</w:t>
            </w:r>
            <w:r>
              <w:rPr>
                <w:rFonts w:hint="default" w:ascii="宋体" w:hAnsi="宋体" w:eastAsia="宋体" w:cs="宋体"/>
                <w:b w:val="0"/>
                <w:bCs/>
                <w:color w:val="auto"/>
                <w:sz w:val="21"/>
                <w:szCs w:val="21"/>
                <w:highlight w:val="none"/>
                <w:lang w:eastAsia="zh-CN"/>
              </w:rPr>
              <w:t>中标单位</w:t>
            </w:r>
            <w:r>
              <w:rPr>
                <w:rFonts w:hint="eastAsia" w:ascii="宋体" w:hAnsi="宋体" w:eastAsia="宋体" w:cs="宋体"/>
                <w:b w:val="0"/>
                <w:bCs/>
                <w:color w:val="auto"/>
                <w:sz w:val="21"/>
                <w:szCs w:val="21"/>
                <w:highlight w:val="none"/>
                <w:lang w:eastAsia="zh-CN"/>
              </w:rPr>
              <w:t>的管理资格，终止合同，由此造成的损失由该中标单位自行负责。</w:t>
            </w:r>
          </w:p>
          <w:p w14:paraId="2275ABB2">
            <w:pPr>
              <w:spacing w:after="60" w:afterLines="25" w:line="240" w:lineRule="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eastAsia="zh-CN"/>
              </w:rPr>
              <w:t>3、保安服务考核参考</w:t>
            </w:r>
            <w:r>
              <w:rPr>
                <w:rFonts w:hint="eastAsia" w:ascii="宋体" w:hAnsi="宋体" w:eastAsia="宋体" w:cs="宋体"/>
                <w:color w:val="auto"/>
                <w:sz w:val="21"/>
                <w:szCs w:val="21"/>
                <w:highlight w:val="none"/>
              </w:rPr>
              <w:t>《宝安区公园行业安保服务标准化配备指引》</w:t>
            </w:r>
            <w:r>
              <w:rPr>
                <w:rFonts w:hint="default" w:ascii="宋体" w:hAnsi="宋体" w:eastAsia="宋体" w:cs="宋体"/>
                <w:color w:val="auto"/>
                <w:sz w:val="21"/>
                <w:szCs w:val="21"/>
                <w:highlight w:val="none"/>
              </w:rPr>
              <w:t>和</w:t>
            </w:r>
            <w:r>
              <w:rPr>
                <w:rFonts w:hint="eastAsia" w:ascii="宋体" w:hAnsi="宋体" w:eastAsia="宋体" w:cs="宋体"/>
                <w:b w:val="0"/>
                <w:bCs/>
                <w:color w:val="auto"/>
                <w:sz w:val="21"/>
                <w:szCs w:val="21"/>
                <w:highlight w:val="none"/>
                <w:lang w:eastAsia="zh-CN"/>
              </w:rPr>
              <w:t>《深圳市宝安区公园管理中心（罗田林场）公园（广场）安保服务考核方案》执行。</w:t>
            </w:r>
          </w:p>
        </w:tc>
      </w:tr>
      <w:tr w14:paraId="0EBC82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123" w:type="dxa"/>
            <w:tcBorders>
              <w:top w:val="single" w:color="auto" w:sz="4" w:space="0"/>
              <w:left w:val="single" w:color="auto" w:sz="4" w:space="0"/>
              <w:bottom w:val="single" w:color="auto" w:sz="4" w:space="0"/>
              <w:right w:val="single" w:color="auto" w:sz="4" w:space="0"/>
            </w:tcBorders>
            <w:noWrap w:val="0"/>
            <w:vAlign w:val="top"/>
          </w:tcPr>
          <w:p w14:paraId="1D2303F4">
            <w:pPr>
              <w:spacing w:after="60" w:afterLines="25" w:line="360" w:lineRule="auto"/>
              <w:rPr>
                <w:rFonts w:hint="eastAsia" w:ascii="宋体" w:hAnsi="宋体" w:eastAsia="宋体" w:cs="宋体"/>
                <w:b w:val="0"/>
                <w:bCs/>
                <w:color w:val="auto"/>
                <w:kern w:val="0"/>
                <w:sz w:val="21"/>
                <w:szCs w:val="21"/>
                <w:highlight w:val="none"/>
              </w:rPr>
            </w:pPr>
            <w:r>
              <w:rPr>
                <w:rFonts w:hint="eastAsia" w:ascii="宋体" w:hAnsi="宋体" w:eastAsia="宋体" w:cs="宋体"/>
                <w:b w:val="0"/>
                <w:bCs/>
                <w:color w:val="auto"/>
                <w:kern w:val="0"/>
                <w:sz w:val="21"/>
                <w:szCs w:val="21"/>
                <w:highlight w:val="none"/>
              </w:rPr>
              <w:t>人员要求</w:t>
            </w:r>
          </w:p>
        </w:tc>
        <w:tc>
          <w:tcPr>
            <w:tcW w:w="8546" w:type="dxa"/>
            <w:gridSpan w:val="2"/>
            <w:tcBorders>
              <w:top w:val="single" w:color="auto" w:sz="4" w:space="0"/>
              <w:left w:val="single" w:color="auto" w:sz="4" w:space="0"/>
              <w:bottom w:val="single" w:color="auto" w:sz="4" w:space="0"/>
              <w:right w:val="single" w:color="auto" w:sz="4" w:space="0"/>
            </w:tcBorders>
            <w:noWrap w:val="0"/>
            <w:vAlign w:val="top"/>
          </w:tcPr>
          <w:p w14:paraId="47120451">
            <w:pPr>
              <w:pStyle w:val="202"/>
              <w:spacing w:after="60" w:line="240" w:lineRule="auto"/>
              <w:jc w:val="left"/>
              <w:rPr>
                <w:rFonts w:hint="eastAsia" w:ascii="宋体" w:hAnsi="宋体" w:eastAsia="宋体" w:cs="宋体"/>
                <w:b w:val="0"/>
                <w:bCs/>
                <w:color w:val="auto"/>
                <w:spacing w:val="0"/>
                <w:kern w:val="2"/>
                <w:sz w:val="21"/>
                <w:szCs w:val="21"/>
                <w:highlight w:val="none"/>
                <w:lang w:val="en-US" w:eastAsia="zh-CN" w:bidi="ar-SA"/>
              </w:rPr>
            </w:pPr>
            <w:r>
              <w:rPr>
                <w:rFonts w:hint="eastAsia" w:ascii="宋体" w:hAnsi="宋体" w:eastAsia="宋体" w:cs="宋体"/>
                <w:color w:val="auto"/>
                <w:spacing w:val="0"/>
                <w:kern w:val="2"/>
                <w:sz w:val="21"/>
                <w:szCs w:val="21"/>
                <w:highlight w:val="none"/>
                <w:lang w:val="en-US" w:eastAsia="zh-CN" w:bidi="ar-SA"/>
              </w:rPr>
              <w:t>1、组建现场项目班子，现场项目班子人员不得少于7个岗位，包括1个项目负责人岗、1个队长岗、4个副队长岗、1个安全主任岗（由队长或副队长兼任）、1个综合管理人员岗，项目团队需统一着装、统一佩戴工牌。</w:t>
            </w:r>
          </w:p>
          <w:p w14:paraId="140F9984">
            <w:pPr>
              <w:keepNext w:val="0"/>
              <w:keepLines w:val="0"/>
              <w:pageBreakBefore w:val="0"/>
              <w:widowControl/>
              <w:kinsoku/>
              <w:wordWrap/>
              <w:overflowPunct/>
              <w:topLinePunct w:val="0"/>
              <w:autoSpaceDE/>
              <w:autoSpaceDN/>
              <w:bidi w:val="0"/>
              <w:adjustRightInd/>
              <w:snapToGrid/>
              <w:spacing w:after="0" w:line="360" w:lineRule="auto"/>
              <w:jc w:val="center"/>
              <w:textAlignment w:val="auto"/>
              <w:rPr>
                <w:rFonts w:hint="eastAsia" w:ascii="宋体" w:hAnsi="宋体" w:eastAsia="宋体" w:cs="宋体"/>
                <w:b w:val="0"/>
                <w:bCs/>
                <w:color w:val="auto"/>
                <w:kern w:val="2"/>
                <w:sz w:val="21"/>
                <w:szCs w:val="21"/>
                <w:highlight w:val="none"/>
                <w:lang w:eastAsia="zh-CN" w:bidi="ar-SA"/>
              </w:rPr>
            </w:pPr>
            <w:r>
              <w:rPr>
                <w:rFonts w:hint="eastAsia" w:ascii="宋体" w:hAnsi="宋体" w:eastAsia="宋体" w:cs="宋体"/>
                <w:b w:val="0"/>
                <w:bCs/>
                <w:color w:val="auto"/>
                <w:spacing w:val="0"/>
                <w:kern w:val="2"/>
                <w:sz w:val="21"/>
                <w:szCs w:val="21"/>
                <w:highlight w:val="none"/>
                <w:lang w:eastAsia="zh-CN" w:bidi="ar-SA"/>
              </w:rPr>
              <w:t>凤凰山森林公园</w:t>
            </w:r>
            <w:r>
              <w:rPr>
                <w:rFonts w:hint="eastAsia" w:ascii="宋体" w:hAnsi="宋体" w:eastAsia="宋体" w:cs="宋体"/>
                <w:b w:val="0"/>
                <w:bCs/>
                <w:color w:val="auto"/>
                <w:kern w:val="2"/>
                <w:sz w:val="21"/>
                <w:szCs w:val="21"/>
                <w:highlight w:val="none"/>
                <w:lang w:eastAsia="zh-CN" w:bidi="ar-SA"/>
              </w:rPr>
              <w:t>保安服务</w:t>
            </w:r>
            <w:r>
              <w:rPr>
                <w:rFonts w:hint="eastAsia" w:ascii="宋体" w:hAnsi="宋体" w:eastAsia="宋体" w:cs="宋体"/>
                <w:color w:val="auto"/>
                <w:spacing w:val="0"/>
                <w:kern w:val="2"/>
                <w:sz w:val="21"/>
                <w:szCs w:val="21"/>
                <w:highlight w:val="none"/>
                <w:lang w:val="en-US" w:eastAsia="zh-CN" w:bidi="ar-SA"/>
              </w:rPr>
              <w:t>现场项目班子</w:t>
            </w:r>
            <w:r>
              <w:rPr>
                <w:rFonts w:hint="eastAsia" w:ascii="宋体" w:hAnsi="宋体" w:eastAsia="宋体" w:cs="宋体"/>
                <w:b w:val="0"/>
                <w:bCs/>
                <w:color w:val="auto"/>
                <w:kern w:val="2"/>
                <w:sz w:val="21"/>
                <w:szCs w:val="21"/>
                <w:highlight w:val="none"/>
                <w:lang w:eastAsia="zh-CN" w:bidi="ar-SA"/>
              </w:rPr>
              <w:t>岗位配置表</w:t>
            </w:r>
          </w:p>
          <w:tbl>
            <w:tblPr>
              <w:tblStyle w:val="203"/>
              <w:tblW w:w="384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33"/>
              <w:gridCol w:w="710"/>
              <w:gridCol w:w="897"/>
              <w:gridCol w:w="1507"/>
              <w:gridCol w:w="1943"/>
            </w:tblGrid>
            <w:tr w14:paraId="6D01E7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82" w:hRule="atLeast"/>
                <w:jc w:val="center"/>
              </w:trPr>
              <w:tc>
                <w:tcPr>
                  <w:tcW w:w="1043" w:type="pct"/>
                  <w:noWrap w:val="0"/>
                  <w:vAlign w:val="center"/>
                </w:tcPr>
                <w:p w14:paraId="3D64325A">
                  <w:pPr>
                    <w:pStyle w:val="202"/>
                    <w:widowControl w:val="0"/>
                    <w:spacing w:after="60"/>
                    <w:jc w:val="center"/>
                    <w:rPr>
                      <w:rFonts w:hint="eastAsia" w:ascii="宋体" w:hAnsi="宋体" w:eastAsia="宋体" w:cs="宋体"/>
                      <w:b w:val="0"/>
                      <w:bCs/>
                      <w:color w:val="auto"/>
                      <w:spacing w:val="0"/>
                      <w:kern w:val="2"/>
                      <w:sz w:val="21"/>
                      <w:szCs w:val="21"/>
                      <w:highlight w:val="none"/>
                      <w:lang w:val="en-US" w:eastAsia="zh-CN" w:bidi="ar-SA"/>
                    </w:rPr>
                  </w:pPr>
                  <w:r>
                    <w:rPr>
                      <w:rFonts w:hint="eastAsia" w:ascii="宋体" w:hAnsi="宋体" w:eastAsia="宋体" w:cs="宋体"/>
                      <w:b w:val="0"/>
                      <w:bCs/>
                      <w:color w:val="auto"/>
                      <w:spacing w:val="0"/>
                      <w:kern w:val="2"/>
                      <w:sz w:val="21"/>
                      <w:szCs w:val="21"/>
                      <w:highlight w:val="none"/>
                      <w:lang w:val="en-US" w:eastAsia="zh-CN" w:bidi="ar-SA"/>
                    </w:rPr>
                    <w:t>项目负责人</w:t>
                  </w:r>
                </w:p>
              </w:tc>
              <w:tc>
                <w:tcPr>
                  <w:tcW w:w="555" w:type="pct"/>
                  <w:noWrap w:val="0"/>
                  <w:vAlign w:val="center"/>
                </w:tcPr>
                <w:p w14:paraId="035005CD">
                  <w:pPr>
                    <w:pStyle w:val="202"/>
                    <w:widowControl w:val="0"/>
                    <w:spacing w:after="60"/>
                    <w:jc w:val="center"/>
                    <w:rPr>
                      <w:rFonts w:hint="eastAsia" w:ascii="宋体" w:hAnsi="宋体" w:eastAsia="宋体" w:cs="宋体"/>
                      <w:b w:val="0"/>
                      <w:bCs/>
                      <w:color w:val="auto"/>
                      <w:spacing w:val="0"/>
                      <w:kern w:val="2"/>
                      <w:sz w:val="21"/>
                      <w:szCs w:val="21"/>
                      <w:highlight w:val="none"/>
                      <w:lang w:val="en-US" w:eastAsia="zh-CN" w:bidi="ar-SA"/>
                    </w:rPr>
                  </w:pPr>
                  <w:r>
                    <w:rPr>
                      <w:rFonts w:hint="eastAsia" w:ascii="宋体" w:hAnsi="宋体" w:eastAsia="宋体" w:cs="宋体"/>
                      <w:b w:val="0"/>
                      <w:bCs/>
                      <w:color w:val="auto"/>
                      <w:spacing w:val="0"/>
                      <w:kern w:val="2"/>
                      <w:sz w:val="21"/>
                      <w:szCs w:val="21"/>
                      <w:highlight w:val="none"/>
                      <w:lang w:val="en-US" w:eastAsia="zh-CN" w:bidi="ar-SA"/>
                    </w:rPr>
                    <w:t>队长</w:t>
                  </w:r>
                </w:p>
              </w:tc>
              <w:tc>
                <w:tcPr>
                  <w:tcW w:w="701" w:type="pct"/>
                  <w:noWrap w:val="0"/>
                  <w:vAlign w:val="center"/>
                </w:tcPr>
                <w:p w14:paraId="0484735E">
                  <w:pPr>
                    <w:pStyle w:val="202"/>
                    <w:widowControl w:val="0"/>
                    <w:spacing w:after="60"/>
                    <w:jc w:val="center"/>
                    <w:rPr>
                      <w:rFonts w:hint="eastAsia" w:ascii="宋体" w:hAnsi="宋体" w:eastAsia="宋体" w:cs="宋体"/>
                      <w:b w:val="0"/>
                      <w:bCs/>
                      <w:color w:val="auto"/>
                      <w:spacing w:val="0"/>
                      <w:kern w:val="2"/>
                      <w:sz w:val="21"/>
                      <w:szCs w:val="21"/>
                      <w:highlight w:val="none"/>
                      <w:lang w:val="en-US" w:eastAsia="zh-CN" w:bidi="ar-SA"/>
                    </w:rPr>
                  </w:pPr>
                  <w:r>
                    <w:rPr>
                      <w:rFonts w:hint="eastAsia" w:ascii="宋体" w:hAnsi="宋体" w:eastAsia="宋体" w:cs="宋体"/>
                      <w:b w:val="0"/>
                      <w:bCs/>
                      <w:color w:val="auto"/>
                      <w:spacing w:val="0"/>
                      <w:kern w:val="2"/>
                      <w:sz w:val="21"/>
                      <w:szCs w:val="21"/>
                      <w:highlight w:val="none"/>
                      <w:lang w:val="en-US" w:eastAsia="zh-CN" w:bidi="ar-SA"/>
                    </w:rPr>
                    <w:t>副队长</w:t>
                  </w:r>
                </w:p>
              </w:tc>
              <w:tc>
                <w:tcPr>
                  <w:tcW w:w="1179" w:type="pct"/>
                  <w:noWrap w:val="0"/>
                  <w:vAlign w:val="center"/>
                </w:tcPr>
                <w:p w14:paraId="448C9243">
                  <w:pPr>
                    <w:pStyle w:val="202"/>
                    <w:widowControl w:val="0"/>
                    <w:spacing w:after="60"/>
                    <w:jc w:val="center"/>
                    <w:rPr>
                      <w:rFonts w:hint="eastAsia" w:ascii="宋体" w:hAnsi="宋体" w:eastAsia="宋体" w:cs="宋体"/>
                      <w:b w:val="0"/>
                      <w:bCs/>
                      <w:color w:val="auto"/>
                      <w:spacing w:val="0"/>
                      <w:kern w:val="2"/>
                      <w:sz w:val="21"/>
                      <w:szCs w:val="21"/>
                      <w:highlight w:val="none"/>
                      <w:lang w:val="en-US" w:eastAsia="zh-CN" w:bidi="ar-SA"/>
                    </w:rPr>
                  </w:pPr>
                  <w:r>
                    <w:rPr>
                      <w:rFonts w:hint="eastAsia" w:ascii="宋体" w:hAnsi="宋体" w:eastAsia="宋体" w:cs="宋体"/>
                      <w:b w:val="0"/>
                      <w:bCs/>
                      <w:color w:val="auto"/>
                      <w:spacing w:val="0"/>
                      <w:kern w:val="2"/>
                      <w:sz w:val="21"/>
                      <w:szCs w:val="21"/>
                      <w:highlight w:val="none"/>
                      <w:lang w:val="en-US" w:eastAsia="zh-CN" w:bidi="ar-SA"/>
                    </w:rPr>
                    <w:t>综合管理人员</w:t>
                  </w:r>
                </w:p>
              </w:tc>
              <w:tc>
                <w:tcPr>
                  <w:tcW w:w="1520" w:type="pct"/>
                  <w:noWrap w:val="0"/>
                  <w:vAlign w:val="center"/>
                </w:tcPr>
                <w:p w14:paraId="759D648E">
                  <w:pPr>
                    <w:pStyle w:val="202"/>
                    <w:widowControl w:val="0"/>
                    <w:spacing w:after="60"/>
                    <w:jc w:val="center"/>
                    <w:rPr>
                      <w:rFonts w:hint="eastAsia" w:ascii="宋体" w:hAnsi="宋体" w:eastAsia="宋体" w:cs="宋体"/>
                      <w:b w:val="0"/>
                      <w:bCs/>
                      <w:color w:val="auto"/>
                      <w:spacing w:val="0"/>
                      <w:kern w:val="2"/>
                      <w:sz w:val="21"/>
                      <w:szCs w:val="21"/>
                      <w:highlight w:val="none"/>
                      <w:lang w:val="en-US" w:eastAsia="zh-CN" w:bidi="ar-SA"/>
                    </w:rPr>
                  </w:pPr>
                  <w:r>
                    <w:rPr>
                      <w:rFonts w:hint="eastAsia" w:ascii="宋体" w:hAnsi="宋体" w:eastAsia="宋体" w:cs="宋体"/>
                      <w:b w:val="0"/>
                      <w:bCs/>
                      <w:color w:val="auto"/>
                      <w:spacing w:val="0"/>
                      <w:kern w:val="2"/>
                      <w:sz w:val="21"/>
                      <w:szCs w:val="21"/>
                      <w:highlight w:val="none"/>
                      <w:lang w:val="en-US" w:eastAsia="zh-CN" w:bidi="ar-SA"/>
                    </w:rPr>
                    <w:t>合计（岗位/个）</w:t>
                  </w:r>
                </w:p>
              </w:tc>
            </w:tr>
            <w:tr w14:paraId="01F5E1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jc w:val="center"/>
              </w:trPr>
              <w:tc>
                <w:tcPr>
                  <w:tcW w:w="1043" w:type="pct"/>
                  <w:noWrap w:val="0"/>
                  <w:vAlign w:val="center"/>
                </w:tcPr>
                <w:p w14:paraId="7751AB82">
                  <w:pPr>
                    <w:pStyle w:val="202"/>
                    <w:widowControl w:val="0"/>
                    <w:spacing w:after="60"/>
                    <w:jc w:val="center"/>
                    <w:rPr>
                      <w:rFonts w:hint="default" w:ascii="宋体" w:hAnsi="宋体" w:eastAsia="宋体" w:cs="宋体"/>
                      <w:b w:val="0"/>
                      <w:bCs/>
                      <w:color w:val="auto"/>
                      <w:spacing w:val="0"/>
                      <w:kern w:val="2"/>
                      <w:sz w:val="21"/>
                      <w:szCs w:val="21"/>
                      <w:highlight w:val="none"/>
                      <w:lang w:val="en-US" w:eastAsia="zh-CN" w:bidi="ar-SA"/>
                    </w:rPr>
                  </w:pPr>
                  <w:r>
                    <w:rPr>
                      <w:rFonts w:hint="eastAsia" w:ascii="宋体" w:hAnsi="宋体" w:eastAsia="宋体" w:cs="宋体"/>
                      <w:b w:val="0"/>
                      <w:bCs/>
                      <w:color w:val="auto"/>
                      <w:spacing w:val="0"/>
                      <w:kern w:val="2"/>
                      <w:sz w:val="21"/>
                      <w:szCs w:val="21"/>
                      <w:highlight w:val="none"/>
                      <w:lang w:val="en-US" w:eastAsia="zh-CN" w:bidi="ar-SA"/>
                    </w:rPr>
                    <w:t>1</w:t>
                  </w:r>
                </w:p>
              </w:tc>
              <w:tc>
                <w:tcPr>
                  <w:tcW w:w="555" w:type="pct"/>
                  <w:noWrap w:val="0"/>
                  <w:vAlign w:val="center"/>
                </w:tcPr>
                <w:p w14:paraId="3B94F6D5">
                  <w:pPr>
                    <w:pStyle w:val="202"/>
                    <w:widowControl w:val="0"/>
                    <w:spacing w:after="60"/>
                    <w:jc w:val="center"/>
                    <w:rPr>
                      <w:rFonts w:hint="eastAsia" w:ascii="宋体" w:hAnsi="宋体" w:eastAsia="宋体" w:cs="宋体"/>
                      <w:b w:val="0"/>
                      <w:bCs/>
                      <w:color w:val="auto"/>
                      <w:spacing w:val="0"/>
                      <w:kern w:val="2"/>
                      <w:sz w:val="21"/>
                      <w:szCs w:val="21"/>
                      <w:highlight w:val="none"/>
                      <w:lang w:val="en-US" w:eastAsia="zh-CN" w:bidi="ar-SA"/>
                    </w:rPr>
                  </w:pPr>
                  <w:r>
                    <w:rPr>
                      <w:rFonts w:hint="eastAsia" w:ascii="宋体" w:hAnsi="宋体" w:eastAsia="宋体" w:cs="宋体"/>
                      <w:b w:val="0"/>
                      <w:bCs/>
                      <w:color w:val="auto"/>
                      <w:spacing w:val="0"/>
                      <w:kern w:val="2"/>
                      <w:sz w:val="21"/>
                      <w:szCs w:val="21"/>
                      <w:highlight w:val="none"/>
                      <w:lang w:val="en-US" w:eastAsia="zh-CN" w:bidi="ar-SA"/>
                    </w:rPr>
                    <w:t>1</w:t>
                  </w:r>
                </w:p>
              </w:tc>
              <w:tc>
                <w:tcPr>
                  <w:tcW w:w="701" w:type="pct"/>
                  <w:noWrap w:val="0"/>
                  <w:vAlign w:val="center"/>
                </w:tcPr>
                <w:p w14:paraId="0A46BD9B">
                  <w:pPr>
                    <w:pStyle w:val="202"/>
                    <w:widowControl w:val="0"/>
                    <w:spacing w:after="60"/>
                    <w:jc w:val="center"/>
                    <w:rPr>
                      <w:rFonts w:hint="eastAsia" w:ascii="宋体" w:hAnsi="宋体" w:eastAsia="宋体" w:cs="宋体"/>
                      <w:b w:val="0"/>
                      <w:bCs/>
                      <w:color w:val="auto"/>
                      <w:spacing w:val="0"/>
                      <w:kern w:val="2"/>
                      <w:sz w:val="21"/>
                      <w:szCs w:val="21"/>
                      <w:highlight w:val="none"/>
                      <w:lang w:val="en-US" w:eastAsia="zh-CN" w:bidi="ar-SA"/>
                    </w:rPr>
                  </w:pPr>
                  <w:r>
                    <w:rPr>
                      <w:rFonts w:hint="eastAsia" w:ascii="宋体" w:hAnsi="宋体" w:eastAsia="宋体" w:cs="宋体"/>
                      <w:b w:val="0"/>
                      <w:bCs/>
                      <w:color w:val="auto"/>
                      <w:spacing w:val="0"/>
                      <w:kern w:val="2"/>
                      <w:sz w:val="21"/>
                      <w:szCs w:val="21"/>
                      <w:highlight w:val="none"/>
                      <w:lang w:val="en-US" w:eastAsia="zh-CN" w:bidi="ar-SA"/>
                    </w:rPr>
                    <w:t>4</w:t>
                  </w:r>
                </w:p>
              </w:tc>
              <w:tc>
                <w:tcPr>
                  <w:tcW w:w="1179" w:type="pct"/>
                  <w:noWrap w:val="0"/>
                  <w:vAlign w:val="center"/>
                </w:tcPr>
                <w:p w14:paraId="2D5B4971">
                  <w:pPr>
                    <w:pStyle w:val="202"/>
                    <w:widowControl w:val="0"/>
                    <w:spacing w:after="60"/>
                    <w:jc w:val="center"/>
                    <w:rPr>
                      <w:rFonts w:hint="eastAsia" w:ascii="宋体" w:hAnsi="宋体" w:eastAsia="宋体" w:cs="宋体"/>
                      <w:b w:val="0"/>
                      <w:bCs/>
                      <w:color w:val="auto"/>
                      <w:spacing w:val="0"/>
                      <w:kern w:val="2"/>
                      <w:sz w:val="21"/>
                      <w:szCs w:val="21"/>
                      <w:highlight w:val="none"/>
                      <w:lang w:val="en-US" w:eastAsia="zh-CN" w:bidi="ar-SA"/>
                    </w:rPr>
                  </w:pPr>
                  <w:r>
                    <w:rPr>
                      <w:rFonts w:hint="eastAsia" w:ascii="宋体" w:hAnsi="宋体" w:eastAsia="宋体" w:cs="宋体"/>
                      <w:b w:val="0"/>
                      <w:bCs/>
                      <w:color w:val="auto"/>
                      <w:spacing w:val="0"/>
                      <w:kern w:val="2"/>
                      <w:sz w:val="21"/>
                      <w:szCs w:val="21"/>
                      <w:highlight w:val="none"/>
                      <w:lang w:val="en-US" w:eastAsia="zh-CN" w:bidi="ar-SA"/>
                    </w:rPr>
                    <w:t>1</w:t>
                  </w:r>
                </w:p>
              </w:tc>
              <w:tc>
                <w:tcPr>
                  <w:tcW w:w="1520" w:type="pct"/>
                  <w:noWrap w:val="0"/>
                  <w:vAlign w:val="center"/>
                </w:tcPr>
                <w:p w14:paraId="3C5CC079">
                  <w:pPr>
                    <w:pStyle w:val="202"/>
                    <w:widowControl w:val="0"/>
                    <w:spacing w:after="60"/>
                    <w:jc w:val="center"/>
                    <w:rPr>
                      <w:rFonts w:hint="eastAsia" w:ascii="宋体" w:hAnsi="宋体" w:eastAsia="宋体" w:cs="宋体"/>
                      <w:b w:val="0"/>
                      <w:bCs/>
                      <w:color w:val="auto"/>
                      <w:spacing w:val="0"/>
                      <w:kern w:val="2"/>
                      <w:sz w:val="21"/>
                      <w:szCs w:val="21"/>
                      <w:highlight w:val="none"/>
                      <w:lang w:val="en-US" w:eastAsia="zh-CN" w:bidi="ar-SA"/>
                    </w:rPr>
                  </w:pPr>
                  <w:r>
                    <w:rPr>
                      <w:rFonts w:hint="eastAsia" w:ascii="宋体" w:hAnsi="宋体" w:eastAsia="宋体" w:cs="宋体"/>
                      <w:b w:val="0"/>
                      <w:bCs/>
                      <w:color w:val="auto"/>
                      <w:spacing w:val="0"/>
                      <w:kern w:val="2"/>
                      <w:sz w:val="21"/>
                      <w:szCs w:val="21"/>
                      <w:highlight w:val="none"/>
                      <w:lang w:val="en-US" w:eastAsia="zh-CN" w:bidi="ar-SA"/>
                    </w:rPr>
                    <w:t>7</w:t>
                  </w:r>
                </w:p>
              </w:tc>
            </w:tr>
          </w:tbl>
          <w:p w14:paraId="30E13F62">
            <w:pPr>
              <w:pStyle w:val="202"/>
              <w:spacing w:after="60" w:line="240" w:lineRule="auto"/>
              <w:ind w:firstLine="420" w:firstLineChars="200"/>
              <w:jc w:val="left"/>
              <w:rPr>
                <w:rFonts w:hint="eastAsia" w:ascii="宋体" w:hAnsi="宋体" w:eastAsia="宋体" w:cs="宋体"/>
                <w:b w:val="0"/>
                <w:bCs/>
                <w:color w:val="auto"/>
                <w:spacing w:val="0"/>
                <w:kern w:val="2"/>
                <w:sz w:val="21"/>
                <w:szCs w:val="21"/>
                <w:highlight w:val="none"/>
                <w:lang w:val="en-US" w:eastAsia="zh-CN" w:bidi="ar-SA"/>
              </w:rPr>
            </w:pPr>
            <w:r>
              <w:rPr>
                <w:rFonts w:hint="eastAsia" w:ascii="宋体" w:hAnsi="宋体" w:eastAsia="宋体" w:cs="宋体"/>
                <w:b w:val="0"/>
                <w:bCs/>
                <w:color w:val="auto"/>
                <w:spacing w:val="0"/>
                <w:kern w:val="2"/>
                <w:sz w:val="21"/>
                <w:szCs w:val="21"/>
                <w:highlight w:val="none"/>
                <w:lang w:val="en-US" w:eastAsia="zh-CN" w:bidi="ar-SA"/>
              </w:rPr>
              <w:t>中标供应商不得随意更换项目负责人（队长），若需更换，相关资历、能力等不得低于原服务人员，且更换人员在得到采购单位同意确认后，跟班至少一周，方可正式交接更换，否则每更换1名扣除当月服务费的0.5%作为处罚。</w:t>
            </w:r>
          </w:p>
          <w:p w14:paraId="74C06DD8">
            <w:pPr>
              <w:pStyle w:val="202"/>
              <w:spacing w:after="60" w:line="240" w:lineRule="auto"/>
              <w:jc w:val="left"/>
              <w:rPr>
                <w:rFonts w:hint="eastAsia" w:ascii="宋体" w:hAnsi="宋体" w:eastAsia="宋体" w:cs="宋体"/>
                <w:b w:val="0"/>
                <w:bCs/>
                <w:color w:val="auto"/>
                <w:spacing w:val="0"/>
                <w:kern w:val="2"/>
                <w:sz w:val="21"/>
                <w:szCs w:val="21"/>
                <w:highlight w:val="none"/>
                <w:lang w:val="en-US" w:eastAsia="zh-CN" w:bidi="ar-SA"/>
              </w:rPr>
            </w:pPr>
            <w:r>
              <w:rPr>
                <w:rFonts w:hint="eastAsia" w:ascii="宋体" w:hAnsi="宋体" w:eastAsia="宋体" w:cs="宋体"/>
                <w:b w:val="0"/>
                <w:bCs/>
                <w:color w:val="auto"/>
                <w:spacing w:val="0"/>
                <w:kern w:val="2"/>
                <w:sz w:val="21"/>
                <w:szCs w:val="21"/>
                <w:highlight w:val="none"/>
                <w:lang w:val="en-US" w:eastAsia="zh-CN" w:bidi="ar-SA"/>
              </w:rPr>
              <w:t>2、现场项目班子下辖配人员不少于144个岗，包括应急队员岗40个、综合管理人员岗6个、保安员岗98个。</w:t>
            </w:r>
          </w:p>
          <w:p w14:paraId="1066E893">
            <w:pPr>
              <w:pStyle w:val="202"/>
              <w:spacing w:after="60" w:line="240" w:lineRule="auto"/>
              <w:jc w:val="center"/>
              <w:rPr>
                <w:rFonts w:hint="eastAsia" w:ascii="宋体" w:hAnsi="宋体" w:eastAsia="宋体" w:cs="宋体"/>
                <w:color w:val="auto"/>
                <w:sz w:val="21"/>
                <w:szCs w:val="21"/>
                <w:highlight w:val="none"/>
              </w:rPr>
            </w:pPr>
            <w:r>
              <w:rPr>
                <w:rFonts w:hint="eastAsia" w:ascii="宋体" w:hAnsi="宋体" w:eastAsia="宋体" w:cs="宋体"/>
                <w:b w:val="0"/>
                <w:bCs/>
                <w:color w:val="auto"/>
                <w:spacing w:val="0"/>
                <w:kern w:val="2"/>
                <w:sz w:val="21"/>
                <w:szCs w:val="21"/>
                <w:highlight w:val="none"/>
                <w:lang w:eastAsia="zh-CN" w:bidi="ar-SA"/>
              </w:rPr>
              <w:t>凤凰山森林公园</w:t>
            </w:r>
            <w:r>
              <w:rPr>
                <w:rFonts w:hint="eastAsia" w:ascii="宋体" w:hAnsi="宋体" w:eastAsia="宋体" w:cs="宋体"/>
                <w:color w:val="auto"/>
                <w:sz w:val="21"/>
                <w:szCs w:val="21"/>
                <w:highlight w:val="none"/>
              </w:rPr>
              <w:t>保安人员岗位配置表</w:t>
            </w:r>
          </w:p>
          <w:tbl>
            <w:tblPr>
              <w:tblStyle w:val="203"/>
              <w:tblW w:w="69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74"/>
              <w:gridCol w:w="1187"/>
              <w:gridCol w:w="828"/>
              <w:gridCol w:w="751"/>
              <w:gridCol w:w="696"/>
              <w:gridCol w:w="1942"/>
            </w:tblGrid>
            <w:tr w14:paraId="64557A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2" w:hRule="atLeast"/>
                <w:jc w:val="center"/>
              </w:trPr>
              <w:tc>
                <w:tcPr>
                  <w:tcW w:w="1127" w:type="pct"/>
                  <w:noWrap w:val="0"/>
                  <w:vAlign w:val="center"/>
                </w:tcPr>
                <w:p w14:paraId="07025B67">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auto"/>
                    <w:rPr>
                      <w:rFonts w:hint="eastAsia" w:ascii="宋体" w:hAnsi="宋体" w:eastAsia="宋体" w:cs="宋体"/>
                      <w:b w:val="0"/>
                      <w:bCs/>
                      <w:color w:val="auto"/>
                      <w:kern w:val="0"/>
                      <w:sz w:val="21"/>
                      <w:szCs w:val="21"/>
                      <w:highlight w:val="none"/>
                    </w:rPr>
                  </w:pPr>
                  <w:r>
                    <w:rPr>
                      <w:rFonts w:hint="eastAsia" w:ascii="宋体" w:hAnsi="宋体" w:eastAsia="宋体" w:cs="宋体"/>
                      <w:b w:val="0"/>
                      <w:bCs/>
                      <w:color w:val="auto"/>
                      <w:kern w:val="0"/>
                      <w:sz w:val="21"/>
                      <w:szCs w:val="21"/>
                      <w:highlight w:val="none"/>
                    </w:rPr>
                    <w:t>综合管理人员</w:t>
                  </w:r>
                </w:p>
              </w:tc>
              <w:tc>
                <w:tcPr>
                  <w:tcW w:w="850" w:type="pct"/>
                  <w:noWrap w:val="0"/>
                  <w:vAlign w:val="center"/>
                </w:tcPr>
                <w:p w14:paraId="6CC9B6B3">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auto"/>
                    <w:rPr>
                      <w:rFonts w:hint="eastAsia" w:ascii="宋体" w:hAnsi="宋体" w:eastAsia="宋体" w:cs="宋体"/>
                      <w:b w:val="0"/>
                      <w:bCs/>
                      <w:color w:val="auto"/>
                      <w:kern w:val="0"/>
                      <w:sz w:val="21"/>
                      <w:szCs w:val="21"/>
                      <w:highlight w:val="none"/>
                    </w:rPr>
                  </w:pPr>
                  <w:r>
                    <w:rPr>
                      <w:rFonts w:hint="eastAsia" w:ascii="宋体" w:hAnsi="宋体" w:eastAsia="宋体" w:cs="宋体"/>
                      <w:b w:val="0"/>
                      <w:bCs/>
                      <w:color w:val="auto"/>
                      <w:kern w:val="0"/>
                      <w:sz w:val="21"/>
                      <w:szCs w:val="21"/>
                      <w:highlight w:val="none"/>
                      <w:lang w:val="en-US" w:eastAsia="zh-CN"/>
                    </w:rPr>
                    <w:t>应急队员</w:t>
                  </w:r>
                </w:p>
              </w:tc>
              <w:tc>
                <w:tcPr>
                  <w:tcW w:w="593" w:type="pct"/>
                  <w:noWrap w:val="0"/>
                  <w:vAlign w:val="center"/>
                </w:tcPr>
                <w:p w14:paraId="2E74DB33">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auto"/>
                    <w:rPr>
                      <w:rFonts w:hint="eastAsia" w:ascii="宋体" w:hAnsi="宋体" w:eastAsia="宋体" w:cs="宋体"/>
                      <w:b w:val="0"/>
                      <w:bCs/>
                      <w:color w:val="auto"/>
                      <w:kern w:val="0"/>
                      <w:sz w:val="21"/>
                      <w:szCs w:val="21"/>
                      <w:highlight w:val="none"/>
                    </w:rPr>
                  </w:pPr>
                  <w:r>
                    <w:rPr>
                      <w:rFonts w:hint="eastAsia" w:ascii="宋体" w:hAnsi="宋体" w:eastAsia="宋体" w:cs="宋体"/>
                      <w:b w:val="0"/>
                      <w:bCs/>
                      <w:color w:val="auto"/>
                      <w:kern w:val="0"/>
                      <w:sz w:val="21"/>
                      <w:szCs w:val="21"/>
                      <w:highlight w:val="none"/>
                    </w:rPr>
                    <w:t>早班</w:t>
                  </w:r>
                </w:p>
              </w:tc>
              <w:tc>
                <w:tcPr>
                  <w:tcW w:w="538" w:type="pct"/>
                  <w:noWrap w:val="0"/>
                  <w:vAlign w:val="center"/>
                </w:tcPr>
                <w:p w14:paraId="7FDC3761">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auto"/>
                    <w:rPr>
                      <w:rFonts w:hint="eastAsia" w:ascii="宋体" w:hAnsi="宋体" w:eastAsia="宋体" w:cs="宋体"/>
                      <w:b w:val="0"/>
                      <w:bCs/>
                      <w:color w:val="auto"/>
                      <w:kern w:val="0"/>
                      <w:sz w:val="21"/>
                      <w:szCs w:val="21"/>
                      <w:highlight w:val="none"/>
                    </w:rPr>
                  </w:pPr>
                  <w:r>
                    <w:rPr>
                      <w:rFonts w:hint="eastAsia" w:ascii="宋体" w:hAnsi="宋体" w:eastAsia="宋体" w:cs="宋体"/>
                      <w:b w:val="0"/>
                      <w:bCs/>
                      <w:color w:val="auto"/>
                      <w:kern w:val="0"/>
                      <w:sz w:val="21"/>
                      <w:szCs w:val="21"/>
                      <w:highlight w:val="none"/>
                    </w:rPr>
                    <w:t>中班</w:t>
                  </w:r>
                </w:p>
              </w:tc>
              <w:tc>
                <w:tcPr>
                  <w:tcW w:w="498" w:type="pct"/>
                  <w:noWrap w:val="0"/>
                  <w:vAlign w:val="center"/>
                </w:tcPr>
                <w:p w14:paraId="6F31B184">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auto"/>
                    <w:rPr>
                      <w:rFonts w:hint="eastAsia" w:ascii="宋体" w:hAnsi="宋体" w:eastAsia="宋体" w:cs="宋体"/>
                      <w:b w:val="0"/>
                      <w:bCs/>
                      <w:color w:val="auto"/>
                      <w:kern w:val="0"/>
                      <w:sz w:val="21"/>
                      <w:szCs w:val="21"/>
                      <w:highlight w:val="none"/>
                    </w:rPr>
                  </w:pPr>
                  <w:r>
                    <w:rPr>
                      <w:rFonts w:hint="eastAsia" w:ascii="宋体" w:hAnsi="宋体" w:eastAsia="宋体" w:cs="宋体"/>
                      <w:b w:val="0"/>
                      <w:bCs/>
                      <w:color w:val="auto"/>
                      <w:kern w:val="0"/>
                      <w:sz w:val="21"/>
                      <w:szCs w:val="21"/>
                      <w:highlight w:val="none"/>
                    </w:rPr>
                    <w:t>晚班</w:t>
                  </w:r>
                </w:p>
              </w:tc>
              <w:tc>
                <w:tcPr>
                  <w:tcW w:w="1391" w:type="pct"/>
                  <w:noWrap w:val="0"/>
                  <w:vAlign w:val="center"/>
                </w:tcPr>
                <w:p w14:paraId="0D85E543">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auto"/>
                    <w:rPr>
                      <w:rFonts w:hint="eastAsia" w:ascii="宋体" w:hAnsi="宋体" w:eastAsia="宋体" w:cs="宋体"/>
                      <w:b w:val="0"/>
                      <w:bCs/>
                      <w:color w:val="auto"/>
                      <w:kern w:val="0"/>
                      <w:sz w:val="21"/>
                      <w:szCs w:val="21"/>
                      <w:highlight w:val="none"/>
                    </w:rPr>
                  </w:pPr>
                  <w:r>
                    <w:rPr>
                      <w:rFonts w:hint="eastAsia" w:ascii="宋体" w:hAnsi="宋体" w:eastAsia="宋体" w:cs="宋体"/>
                      <w:b w:val="0"/>
                      <w:bCs/>
                      <w:color w:val="auto"/>
                      <w:kern w:val="0"/>
                      <w:sz w:val="21"/>
                      <w:szCs w:val="21"/>
                      <w:highlight w:val="none"/>
                    </w:rPr>
                    <w:t>合计</w:t>
                  </w:r>
                </w:p>
                <w:p w14:paraId="29F06157">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auto"/>
                    <w:rPr>
                      <w:rFonts w:hint="eastAsia" w:ascii="宋体" w:hAnsi="宋体" w:eastAsia="宋体" w:cs="宋体"/>
                      <w:b w:val="0"/>
                      <w:bCs/>
                      <w:color w:val="auto"/>
                      <w:kern w:val="0"/>
                      <w:sz w:val="21"/>
                      <w:szCs w:val="21"/>
                      <w:highlight w:val="none"/>
                    </w:rPr>
                  </w:pPr>
                  <w:r>
                    <w:rPr>
                      <w:rFonts w:hint="eastAsia" w:ascii="宋体" w:hAnsi="宋体" w:eastAsia="宋体" w:cs="宋体"/>
                      <w:b w:val="0"/>
                      <w:bCs/>
                      <w:color w:val="auto"/>
                      <w:kern w:val="0"/>
                      <w:sz w:val="21"/>
                      <w:szCs w:val="21"/>
                      <w:highlight w:val="none"/>
                    </w:rPr>
                    <w:t>（岗位/个）</w:t>
                  </w:r>
                </w:p>
              </w:tc>
            </w:tr>
            <w:tr w14:paraId="1532F9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jc w:val="center"/>
              </w:trPr>
              <w:tc>
                <w:tcPr>
                  <w:tcW w:w="1127" w:type="pct"/>
                  <w:noWrap w:val="0"/>
                  <w:vAlign w:val="center"/>
                </w:tcPr>
                <w:p w14:paraId="1859F20E">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auto"/>
                    <w:rPr>
                      <w:rFonts w:hint="eastAsia" w:ascii="宋体" w:hAnsi="宋体" w:eastAsia="宋体" w:cs="宋体"/>
                      <w:b w:val="0"/>
                      <w:bCs/>
                      <w:color w:val="auto"/>
                      <w:kern w:val="0"/>
                      <w:sz w:val="21"/>
                      <w:szCs w:val="21"/>
                      <w:highlight w:val="none"/>
                      <w:lang w:eastAsia="zh-CN"/>
                    </w:rPr>
                  </w:pPr>
                  <w:r>
                    <w:rPr>
                      <w:rFonts w:hint="eastAsia" w:ascii="宋体" w:hAnsi="宋体" w:eastAsia="宋体" w:cs="宋体"/>
                      <w:b w:val="0"/>
                      <w:bCs/>
                      <w:color w:val="auto"/>
                      <w:kern w:val="0"/>
                      <w:sz w:val="21"/>
                      <w:szCs w:val="21"/>
                      <w:highlight w:val="none"/>
                      <w:lang w:val="en-US" w:eastAsia="zh-CN"/>
                    </w:rPr>
                    <w:t>6</w:t>
                  </w:r>
                </w:p>
              </w:tc>
              <w:tc>
                <w:tcPr>
                  <w:tcW w:w="850" w:type="pct"/>
                  <w:noWrap w:val="0"/>
                  <w:vAlign w:val="center"/>
                </w:tcPr>
                <w:p w14:paraId="7C1F8026">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auto"/>
                    <w:rPr>
                      <w:rFonts w:hint="default" w:ascii="宋体" w:hAnsi="宋体" w:eastAsia="宋体" w:cs="宋体"/>
                      <w:b w:val="0"/>
                      <w:bCs/>
                      <w:color w:val="auto"/>
                      <w:kern w:val="0"/>
                      <w:sz w:val="21"/>
                      <w:szCs w:val="21"/>
                      <w:highlight w:val="none"/>
                      <w:lang w:val="en-US" w:eastAsia="zh-CN"/>
                    </w:rPr>
                  </w:pPr>
                  <w:r>
                    <w:rPr>
                      <w:rFonts w:hint="eastAsia" w:ascii="宋体" w:hAnsi="宋体" w:eastAsia="宋体" w:cs="宋体"/>
                      <w:b w:val="0"/>
                      <w:bCs/>
                      <w:color w:val="auto"/>
                      <w:kern w:val="0"/>
                      <w:sz w:val="21"/>
                      <w:szCs w:val="21"/>
                      <w:highlight w:val="none"/>
                      <w:lang w:val="en-US" w:eastAsia="zh-CN"/>
                    </w:rPr>
                    <w:t>40</w:t>
                  </w:r>
                </w:p>
              </w:tc>
              <w:tc>
                <w:tcPr>
                  <w:tcW w:w="593" w:type="pct"/>
                  <w:noWrap w:val="0"/>
                  <w:vAlign w:val="center"/>
                </w:tcPr>
                <w:p w14:paraId="05950647">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auto"/>
                    <w:rPr>
                      <w:rFonts w:hint="default" w:ascii="宋体" w:hAnsi="宋体" w:eastAsia="宋体" w:cs="宋体"/>
                      <w:b w:val="0"/>
                      <w:bCs/>
                      <w:color w:val="auto"/>
                      <w:kern w:val="0"/>
                      <w:sz w:val="21"/>
                      <w:szCs w:val="21"/>
                      <w:highlight w:val="none"/>
                      <w:lang w:val="en-US" w:eastAsia="zh-CN"/>
                    </w:rPr>
                  </w:pPr>
                  <w:r>
                    <w:rPr>
                      <w:rFonts w:hint="default" w:ascii="宋体" w:hAnsi="宋体" w:eastAsia="宋体" w:cs="宋体"/>
                      <w:b w:val="0"/>
                      <w:bCs/>
                      <w:color w:val="auto"/>
                      <w:kern w:val="0"/>
                      <w:sz w:val="21"/>
                      <w:szCs w:val="21"/>
                      <w:highlight w:val="none"/>
                      <w:lang w:val="en-US" w:eastAsia="zh-CN"/>
                    </w:rPr>
                    <w:t>33</w:t>
                  </w:r>
                </w:p>
              </w:tc>
              <w:tc>
                <w:tcPr>
                  <w:tcW w:w="538" w:type="pct"/>
                  <w:noWrap w:val="0"/>
                  <w:vAlign w:val="center"/>
                </w:tcPr>
                <w:p w14:paraId="487D2DFE">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auto"/>
                    <w:rPr>
                      <w:rFonts w:hint="default" w:ascii="宋体" w:hAnsi="宋体" w:eastAsia="宋体" w:cs="宋体"/>
                      <w:b w:val="0"/>
                      <w:bCs/>
                      <w:color w:val="auto"/>
                      <w:kern w:val="0"/>
                      <w:sz w:val="21"/>
                      <w:szCs w:val="21"/>
                      <w:highlight w:val="none"/>
                      <w:lang w:val="en-US" w:eastAsia="zh-CN"/>
                    </w:rPr>
                  </w:pPr>
                  <w:r>
                    <w:rPr>
                      <w:rFonts w:hint="default" w:ascii="宋体" w:hAnsi="宋体" w:eastAsia="宋体" w:cs="宋体"/>
                      <w:b w:val="0"/>
                      <w:bCs/>
                      <w:color w:val="auto"/>
                      <w:kern w:val="0"/>
                      <w:sz w:val="21"/>
                      <w:szCs w:val="21"/>
                      <w:highlight w:val="none"/>
                      <w:lang w:val="en-US" w:eastAsia="zh-CN"/>
                    </w:rPr>
                    <w:t>33</w:t>
                  </w:r>
                </w:p>
              </w:tc>
              <w:tc>
                <w:tcPr>
                  <w:tcW w:w="498" w:type="pct"/>
                  <w:noWrap w:val="0"/>
                  <w:vAlign w:val="center"/>
                </w:tcPr>
                <w:p w14:paraId="23FE74AF">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auto"/>
                    <w:rPr>
                      <w:rFonts w:hint="default" w:ascii="宋体" w:hAnsi="宋体" w:eastAsia="宋体" w:cs="宋体"/>
                      <w:b w:val="0"/>
                      <w:bCs/>
                      <w:color w:val="auto"/>
                      <w:kern w:val="0"/>
                      <w:sz w:val="21"/>
                      <w:szCs w:val="21"/>
                      <w:highlight w:val="none"/>
                      <w:lang w:val="en-US" w:eastAsia="zh-CN"/>
                    </w:rPr>
                  </w:pPr>
                  <w:r>
                    <w:rPr>
                      <w:rFonts w:hint="default" w:ascii="宋体" w:hAnsi="宋体" w:eastAsia="宋体" w:cs="宋体"/>
                      <w:b w:val="0"/>
                      <w:bCs/>
                      <w:color w:val="auto"/>
                      <w:kern w:val="0"/>
                      <w:sz w:val="21"/>
                      <w:szCs w:val="21"/>
                      <w:highlight w:val="none"/>
                      <w:lang w:val="en-US" w:eastAsia="zh-CN"/>
                    </w:rPr>
                    <w:t>3</w:t>
                  </w:r>
                  <w:r>
                    <w:rPr>
                      <w:rFonts w:hint="eastAsia" w:ascii="宋体" w:hAnsi="宋体" w:eastAsia="宋体" w:cs="宋体"/>
                      <w:b w:val="0"/>
                      <w:bCs/>
                      <w:color w:val="auto"/>
                      <w:kern w:val="0"/>
                      <w:sz w:val="21"/>
                      <w:szCs w:val="21"/>
                      <w:highlight w:val="none"/>
                      <w:lang w:val="en-US" w:eastAsia="zh-CN"/>
                    </w:rPr>
                    <w:t>2</w:t>
                  </w:r>
                </w:p>
              </w:tc>
              <w:tc>
                <w:tcPr>
                  <w:tcW w:w="1391" w:type="pct"/>
                  <w:noWrap w:val="0"/>
                  <w:vAlign w:val="center"/>
                </w:tcPr>
                <w:p w14:paraId="4D1EC642">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auto"/>
                    <w:rPr>
                      <w:rFonts w:hint="default" w:ascii="宋体" w:hAnsi="宋体" w:eastAsia="宋体" w:cs="宋体"/>
                      <w:b w:val="0"/>
                      <w:bCs/>
                      <w:color w:val="auto"/>
                      <w:kern w:val="0"/>
                      <w:sz w:val="21"/>
                      <w:szCs w:val="21"/>
                      <w:highlight w:val="none"/>
                      <w:lang w:val="en-US" w:eastAsia="zh-CN"/>
                    </w:rPr>
                  </w:pPr>
                  <w:r>
                    <w:rPr>
                      <w:rFonts w:hint="eastAsia" w:ascii="宋体" w:hAnsi="宋体" w:eastAsia="宋体" w:cs="宋体"/>
                      <w:b w:val="0"/>
                      <w:bCs/>
                      <w:color w:val="auto"/>
                      <w:kern w:val="0"/>
                      <w:sz w:val="21"/>
                      <w:szCs w:val="21"/>
                      <w:highlight w:val="none"/>
                      <w:lang w:val="en-US" w:eastAsia="zh-CN"/>
                    </w:rPr>
                    <w:t>1</w:t>
                  </w:r>
                  <w:r>
                    <w:rPr>
                      <w:rFonts w:hint="default" w:ascii="宋体" w:hAnsi="宋体" w:eastAsia="宋体" w:cs="宋体"/>
                      <w:b w:val="0"/>
                      <w:bCs/>
                      <w:color w:val="auto"/>
                      <w:kern w:val="0"/>
                      <w:sz w:val="21"/>
                      <w:szCs w:val="21"/>
                      <w:highlight w:val="none"/>
                      <w:lang w:val="en-US" w:eastAsia="zh-CN"/>
                    </w:rPr>
                    <w:t>4</w:t>
                  </w:r>
                  <w:r>
                    <w:rPr>
                      <w:rFonts w:hint="eastAsia" w:ascii="宋体" w:hAnsi="宋体" w:eastAsia="宋体" w:cs="宋体"/>
                      <w:b w:val="0"/>
                      <w:bCs/>
                      <w:color w:val="auto"/>
                      <w:kern w:val="0"/>
                      <w:sz w:val="21"/>
                      <w:szCs w:val="21"/>
                      <w:highlight w:val="none"/>
                      <w:lang w:val="en-US" w:eastAsia="zh-CN"/>
                    </w:rPr>
                    <w:t>4</w:t>
                  </w:r>
                </w:p>
              </w:tc>
            </w:tr>
          </w:tbl>
          <w:p w14:paraId="27F7BEF3">
            <w:pPr>
              <w:pStyle w:val="202"/>
              <w:spacing w:after="60" w:line="240" w:lineRule="auto"/>
              <w:rPr>
                <w:rFonts w:hint="eastAsia" w:ascii="宋体" w:hAnsi="宋体" w:eastAsia="宋体" w:cs="宋体"/>
                <w:b w:val="0"/>
                <w:bCs/>
                <w:color w:val="auto"/>
                <w:spacing w:val="0"/>
                <w:kern w:val="2"/>
                <w:sz w:val="21"/>
                <w:szCs w:val="21"/>
                <w:highlight w:val="none"/>
                <w:lang w:val="en-US" w:eastAsia="zh-CN" w:bidi="ar-SA"/>
              </w:rPr>
            </w:pPr>
            <w:r>
              <w:rPr>
                <w:rFonts w:hint="eastAsia" w:ascii="宋体" w:hAnsi="宋体" w:eastAsia="宋体" w:cs="宋体"/>
                <w:b w:val="0"/>
                <w:bCs/>
                <w:color w:val="auto"/>
                <w:spacing w:val="0"/>
                <w:kern w:val="2"/>
                <w:sz w:val="21"/>
                <w:szCs w:val="21"/>
                <w:highlight w:val="none"/>
                <w:lang w:val="en-US" w:eastAsia="zh-CN" w:bidi="ar-SA"/>
              </w:rPr>
              <w:t>3、</w:t>
            </w:r>
            <w:r>
              <w:rPr>
                <w:rFonts w:hint="eastAsia" w:ascii="宋体" w:hAnsi="宋体" w:eastAsia="宋体" w:cs="宋体"/>
                <w:color w:val="auto"/>
                <w:spacing w:val="0"/>
                <w:kern w:val="2"/>
                <w:sz w:val="21"/>
                <w:szCs w:val="21"/>
                <w:highlight w:val="none"/>
                <w:lang w:val="en-US" w:eastAsia="zh-CN" w:bidi="ar-SA"/>
              </w:rPr>
              <w:t>原则上每个岗的日工作时长为8小时，未按规定配置项目班子的，每缺1岗，每天扣减服务费500元；其他人员每缺1岗，每天扣减服务费300元。人员考勤按人脸识别打卡或手工签到方式管理，具体要求按《深圳市宝安区公园管理中心(罗田林场)直管公园(广场)外包服务公司人员考勤管理方案》执行。</w:t>
            </w:r>
          </w:p>
          <w:p w14:paraId="25D6A84D">
            <w:pPr>
              <w:pStyle w:val="202"/>
              <w:spacing w:after="60" w:line="240" w:lineRule="auto"/>
              <w:rPr>
                <w:rFonts w:hint="default" w:ascii="宋体" w:hAnsi="宋体" w:eastAsia="宋体" w:cs="宋体"/>
                <w:color w:val="auto"/>
                <w:spacing w:val="0"/>
                <w:kern w:val="2"/>
                <w:sz w:val="21"/>
                <w:szCs w:val="21"/>
                <w:highlight w:val="none"/>
                <w:lang w:eastAsia="zh-CN" w:bidi="ar-SA"/>
              </w:rPr>
            </w:pPr>
            <w:r>
              <w:rPr>
                <w:rFonts w:hint="eastAsia" w:ascii="宋体" w:hAnsi="宋体" w:eastAsia="宋体" w:cs="宋体"/>
                <w:color w:val="auto"/>
                <w:spacing w:val="0"/>
                <w:kern w:val="2"/>
                <w:sz w:val="21"/>
                <w:szCs w:val="21"/>
                <w:highlight w:val="none"/>
                <w:lang w:val="en-US" w:eastAsia="zh-CN" w:bidi="ar-SA"/>
              </w:rPr>
              <w:t>4</w:t>
            </w:r>
            <w:r>
              <w:rPr>
                <w:rFonts w:hint="default" w:ascii="宋体" w:hAnsi="宋体" w:eastAsia="宋体" w:cs="宋体"/>
                <w:color w:val="auto"/>
                <w:spacing w:val="0"/>
                <w:kern w:val="2"/>
                <w:sz w:val="21"/>
                <w:szCs w:val="21"/>
                <w:highlight w:val="none"/>
                <w:lang w:eastAsia="zh-CN" w:bidi="ar-SA"/>
              </w:rPr>
              <w:t>、投标单位必须安排经费用于节假日安保增聘人员共</w:t>
            </w:r>
            <w:r>
              <w:rPr>
                <w:rFonts w:hint="default" w:ascii="宋体" w:hAnsi="宋体" w:eastAsia="宋体" w:cs="宋体"/>
                <w:color w:val="auto"/>
                <w:spacing w:val="0"/>
                <w:kern w:val="2"/>
                <w:sz w:val="21"/>
                <w:szCs w:val="21"/>
                <w:highlight w:val="none"/>
                <w:lang w:val="en-US" w:eastAsia="zh-CN" w:bidi="ar-SA"/>
              </w:rPr>
              <w:t>3888</w:t>
            </w:r>
            <w:r>
              <w:rPr>
                <w:rFonts w:hint="default" w:ascii="宋体" w:hAnsi="宋体" w:eastAsia="宋体" w:cs="宋体"/>
                <w:color w:val="auto"/>
                <w:spacing w:val="0"/>
                <w:kern w:val="2"/>
                <w:sz w:val="21"/>
                <w:szCs w:val="21"/>
                <w:highlight w:val="none"/>
                <w:lang w:eastAsia="zh-CN" w:bidi="ar-SA"/>
              </w:rPr>
              <w:t>人次，实际工作时间根据采购单位要求适当调整。</w:t>
            </w:r>
            <w:r>
              <w:rPr>
                <w:rFonts w:hint="default" w:ascii="宋体" w:hAnsi="宋体" w:eastAsia="宋体" w:cs="宋体"/>
                <w:color w:val="0000FF"/>
                <w:spacing w:val="0"/>
                <w:kern w:val="2"/>
                <w:sz w:val="21"/>
                <w:szCs w:val="21"/>
                <w:highlight w:val="none"/>
                <w:lang w:eastAsia="zh-CN" w:bidi="ar-SA"/>
              </w:rPr>
              <w:t>（供应商可根据此数据及实际情况自行测算报价）</w:t>
            </w:r>
          </w:p>
          <w:p w14:paraId="2CF14AD6">
            <w:pPr>
              <w:pStyle w:val="202"/>
              <w:spacing w:after="60" w:line="240" w:lineRule="auto"/>
              <w:rPr>
                <w:rFonts w:hint="default" w:ascii="宋体" w:hAnsi="宋体" w:eastAsia="宋体" w:cs="宋体"/>
                <w:color w:val="auto"/>
                <w:spacing w:val="0"/>
                <w:kern w:val="2"/>
                <w:sz w:val="21"/>
                <w:szCs w:val="21"/>
                <w:highlight w:val="none"/>
                <w:lang w:eastAsia="zh-CN" w:bidi="ar-SA"/>
              </w:rPr>
            </w:pPr>
            <w:r>
              <w:rPr>
                <w:rFonts w:hint="default" w:ascii="宋体" w:hAnsi="宋体" w:eastAsia="宋体" w:cs="宋体"/>
                <w:color w:val="auto"/>
                <w:spacing w:val="0"/>
                <w:kern w:val="2"/>
                <w:sz w:val="21"/>
                <w:szCs w:val="21"/>
                <w:highlight w:val="none"/>
                <w:lang w:val="en-US" w:eastAsia="zh-CN" w:bidi="ar-SA"/>
              </w:rPr>
              <w:t>4</w:t>
            </w:r>
            <w:r>
              <w:rPr>
                <w:rFonts w:hint="default" w:ascii="宋体" w:hAnsi="宋体" w:eastAsia="宋体" w:cs="宋体"/>
                <w:color w:val="auto"/>
                <w:spacing w:val="0"/>
                <w:kern w:val="2"/>
                <w:sz w:val="21"/>
                <w:szCs w:val="21"/>
                <w:highlight w:val="none"/>
                <w:lang w:eastAsia="zh-CN" w:bidi="ar-SA"/>
              </w:rPr>
              <w:t>.1“元旦”（432人次）</w:t>
            </w:r>
          </w:p>
          <w:p w14:paraId="5032C0F5">
            <w:pPr>
              <w:pStyle w:val="202"/>
              <w:spacing w:after="60" w:line="240" w:lineRule="auto"/>
              <w:rPr>
                <w:rFonts w:hint="default" w:ascii="宋体" w:hAnsi="宋体" w:eastAsia="宋体" w:cs="宋体"/>
                <w:color w:val="auto"/>
                <w:spacing w:val="0"/>
                <w:kern w:val="2"/>
                <w:sz w:val="21"/>
                <w:szCs w:val="21"/>
                <w:highlight w:val="none"/>
                <w:lang w:eastAsia="zh-CN" w:bidi="ar-SA"/>
              </w:rPr>
            </w:pPr>
            <w:r>
              <w:rPr>
                <w:rFonts w:hint="default" w:ascii="宋体" w:hAnsi="宋体" w:eastAsia="宋体" w:cs="宋体"/>
                <w:color w:val="auto"/>
                <w:spacing w:val="0"/>
                <w:kern w:val="2"/>
                <w:sz w:val="21"/>
                <w:szCs w:val="21"/>
                <w:highlight w:val="none"/>
                <w:lang w:eastAsia="zh-CN" w:bidi="ar-SA"/>
              </w:rPr>
              <w:t>法定当天作为一级管控，每天增派256人次；其他2天（调休）作为三级管控，每天增派88人次，共增派176人次。</w:t>
            </w:r>
          </w:p>
          <w:p w14:paraId="4B839038">
            <w:pPr>
              <w:pStyle w:val="202"/>
              <w:spacing w:after="60" w:line="240" w:lineRule="auto"/>
              <w:rPr>
                <w:rFonts w:hint="default" w:ascii="宋体" w:hAnsi="宋体" w:eastAsia="宋体" w:cs="宋体"/>
                <w:color w:val="auto"/>
                <w:spacing w:val="0"/>
                <w:kern w:val="2"/>
                <w:sz w:val="21"/>
                <w:szCs w:val="21"/>
                <w:highlight w:val="none"/>
                <w:lang w:eastAsia="zh-CN" w:bidi="ar-SA"/>
              </w:rPr>
            </w:pPr>
            <w:r>
              <w:rPr>
                <w:rFonts w:hint="default" w:ascii="宋体" w:hAnsi="宋体" w:eastAsia="宋体" w:cs="宋体"/>
                <w:color w:val="auto"/>
                <w:spacing w:val="0"/>
                <w:kern w:val="2"/>
                <w:sz w:val="21"/>
                <w:szCs w:val="21"/>
                <w:highlight w:val="none"/>
                <w:lang w:val="en-US" w:eastAsia="zh-CN" w:bidi="ar-SA"/>
              </w:rPr>
              <w:t>4</w:t>
            </w:r>
            <w:r>
              <w:rPr>
                <w:rFonts w:hint="eastAsia" w:ascii="宋体" w:hAnsi="宋体" w:eastAsia="宋体" w:cs="宋体"/>
                <w:color w:val="auto"/>
                <w:spacing w:val="0"/>
                <w:kern w:val="2"/>
                <w:sz w:val="21"/>
                <w:szCs w:val="21"/>
                <w:highlight w:val="none"/>
                <w:lang w:val="en-US" w:eastAsia="zh-CN" w:bidi="ar-SA"/>
              </w:rPr>
              <w:t>.2</w:t>
            </w:r>
            <w:r>
              <w:rPr>
                <w:rFonts w:hint="default" w:ascii="宋体" w:hAnsi="宋体" w:eastAsia="宋体" w:cs="宋体"/>
                <w:color w:val="auto"/>
                <w:spacing w:val="0"/>
                <w:kern w:val="2"/>
                <w:sz w:val="21"/>
                <w:szCs w:val="21"/>
                <w:highlight w:val="none"/>
                <w:lang w:eastAsia="zh-CN" w:bidi="ar-SA"/>
              </w:rPr>
              <w:t>春节黄金周期间（1304人次）：</w:t>
            </w:r>
          </w:p>
          <w:p w14:paraId="1D99A0A2">
            <w:pPr>
              <w:pStyle w:val="202"/>
              <w:spacing w:after="60" w:line="240" w:lineRule="auto"/>
              <w:rPr>
                <w:rFonts w:hint="default" w:ascii="宋体" w:hAnsi="宋体" w:eastAsia="宋体" w:cs="宋体"/>
                <w:color w:val="auto"/>
                <w:spacing w:val="0"/>
                <w:kern w:val="2"/>
                <w:sz w:val="21"/>
                <w:szCs w:val="21"/>
                <w:highlight w:val="none"/>
                <w:lang w:eastAsia="zh-CN" w:bidi="ar-SA"/>
              </w:rPr>
            </w:pPr>
            <w:r>
              <w:rPr>
                <w:rFonts w:hint="default" w:ascii="宋体" w:hAnsi="宋体" w:eastAsia="宋体" w:cs="宋体"/>
                <w:color w:val="auto"/>
                <w:spacing w:val="0"/>
                <w:kern w:val="2"/>
                <w:sz w:val="21"/>
                <w:szCs w:val="21"/>
                <w:highlight w:val="none"/>
                <w:lang w:eastAsia="zh-CN" w:bidi="ar-SA"/>
              </w:rPr>
              <w:t>法定3天作为一级管控，每天增派256人次，其中初一当天需要原有基础上再增加64人，三天共增派832人次；初三1天（调休）作为二级管控，增派120人次；初四至初七4天（调休）作为三级管控，每天增派88人次，四天共增派352人次。</w:t>
            </w:r>
          </w:p>
          <w:p w14:paraId="794AADE7">
            <w:pPr>
              <w:pStyle w:val="202"/>
              <w:spacing w:after="60" w:line="240" w:lineRule="auto"/>
              <w:rPr>
                <w:rFonts w:hint="default" w:ascii="宋体" w:hAnsi="宋体" w:eastAsia="宋体" w:cs="宋体"/>
                <w:color w:val="auto"/>
                <w:spacing w:val="0"/>
                <w:kern w:val="2"/>
                <w:sz w:val="21"/>
                <w:szCs w:val="21"/>
                <w:highlight w:val="none"/>
                <w:lang w:eastAsia="zh-CN" w:bidi="ar-SA"/>
              </w:rPr>
            </w:pPr>
            <w:r>
              <w:rPr>
                <w:rFonts w:hint="default" w:ascii="宋体" w:hAnsi="宋体" w:eastAsia="宋体" w:cs="宋体"/>
                <w:color w:val="auto"/>
                <w:spacing w:val="0"/>
                <w:kern w:val="2"/>
                <w:sz w:val="21"/>
                <w:szCs w:val="21"/>
                <w:highlight w:val="none"/>
                <w:lang w:val="en-US" w:eastAsia="zh-CN" w:bidi="ar-SA"/>
              </w:rPr>
              <w:t>4</w:t>
            </w:r>
            <w:r>
              <w:rPr>
                <w:rFonts w:hint="default" w:ascii="宋体" w:hAnsi="宋体" w:eastAsia="宋体" w:cs="宋体"/>
                <w:color w:val="auto"/>
                <w:spacing w:val="0"/>
                <w:kern w:val="2"/>
                <w:sz w:val="21"/>
                <w:szCs w:val="21"/>
                <w:highlight w:val="none"/>
                <w:lang w:eastAsia="zh-CN" w:bidi="ar-SA"/>
              </w:rPr>
              <w:t>.3“元宵节”作为二级管控，每天增派1</w:t>
            </w:r>
            <w:r>
              <w:rPr>
                <w:rFonts w:hint="default" w:ascii="宋体" w:hAnsi="宋体" w:eastAsia="宋体" w:cs="宋体"/>
                <w:color w:val="auto"/>
                <w:spacing w:val="0"/>
                <w:kern w:val="2"/>
                <w:sz w:val="21"/>
                <w:szCs w:val="21"/>
                <w:highlight w:val="none"/>
                <w:lang w:val="en-US" w:eastAsia="zh-CN" w:bidi="ar-SA"/>
              </w:rPr>
              <w:t>2</w:t>
            </w:r>
            <w:r>
              <w:rPr>
                <w:rFonts w:hint="default" w:ascii="宋体" w:hAnsi="宋体" w:eastAsia="宋体" w:cs="宋体"/>
                <w:color w:val="auto"/>
                <w:spacing w:val="0"/>
                <w:kern w:val="2"/>
                <w:sz w:val="21"/>
                <w:szCs w:val="21"/>
                <w:highlight w:val="none"/>
                <w:lang w:eastAsia="zh-CN" w:bidi="ar-SA"/>
              </w:rPr>
              <w:t>0人次。</w:t>
            </w:r>
          </w:p>
          <w:p w14:paraId="7F9488F1">
            <w:pPr>
              <w:pStyle w:val="202"/>
              <w:spacing w:after="60" w:line="240" w:lineRule="auto"/>
              <w:rPr>
                <w:rFonts w:hint="default" w:ascii="宋体" w:hAnsi="宋体" w:eastAsia="宋体" w:cs="宋体"/>
                <w:color w:val="auto"/>
                <w:spacing w:val="0"/>
                <w:kern w:val="2"/>
                <w:sz w:val="21"/>
                <w:szCs w:val="21"/>
                <w:highlight w:val="none"/>
                <w:lang w:eastAsia="zh-CN" w:bidi="ar-SA"/>
              </w:rPr>
            </w:pPr>
            <w:r>
              <w:rPr>
                <w:rFonts w:hint="default" w:ascii="宋体" w:hAnsi="宋体" w:eastAsia="宋体" w:cs="宋体"/>
                <w:color w:val="auto"/>
                <w:spacing w:val="0"/>
                <w:kern w:val="2"/>
                <w:sz w:val="21"/>
                <w:szCs w:val="21"/>
                <w:highlight w:val="none"/>
                <w:lang w:val="en-US" w:eastAsia="zh-CN" w:bidi="ar-SA"/>
              </w:rPr>
              <w:t>4</w:t>
            </w:r>
            <w:r>
              <w:rPr>
                <w:rFonts w:hint="default" w:ascii="宋体" w:hAnsi="宋体" w:eastAsia="宋体" w:cs="宋体"/>
                <w:color w:val="auto"/>
                <w:spacing w:val="0"/>
                <w:kern w:val="2"/>
                <w:sz w:val="21"/>
                <w:szCs w:val="21"/>
                <w:highlight w:val="none"/>
                <w:lang w:eastAsia="zh-CN" w:bidi="ar-SA"/>
              </w:rPr>
              <w:t>.4 “清明节”（</w:t>
            </w:r>
            <w:r>
              <w:rPr>
                <w:rFonts w:hint="default" w:ascii="宋体" w:hAnsi="宋体" w:eastAsia="宋体" w:cs="宋体"/>
                <w:color w:val="auto"/>
                <w:spacing w:val="0"/>
                <w:kern w:val="2"/>
                <w:sz w:val="21"/>
                <w:szCs w:val="21"/>
                <w:highlight w:val="none"/>
                <w:lang w:val="en-US" w:eastAsia="zh-CN" w:bidi="ar-SA"/>
              </w:rPr>
              <w:t>296</w:t>
            </w:r>
            <w:r>
              <w:rPr>
                <w:rFonts w:hint="default" w:ascii="宋体" w:hAnsi="宋体" w:eastAsia="宋体" w:cs="宋体"/>
                <w:color w:val="auto"/>
                <w:spacing w:val="0"/>
                <w:kern w:val="2"/>
                <w:sz w:val="21"/>
                <w:szCs w:val="21"/>
                <w:highlight w:val="none"/>
                <w:lang w:eastAsia="zh-CN" w:bidi="ar-SA"/>
              </w:rPr>
              <w:t>人次）</w:t>
            </w:r>
          </w:p>
          <w:p w14:paraId="5D5EE974">
            <w:pPr>
              <w:pStyle w:val="202"/>
              <w:spacing w:after="60" w:line="240" w:lineRule="auto"/>
              <w:rPr>
                <w:rFonts w:hint="default" w:ascii="宋体" w:hAnsi="宋体" w:eastAsia="宋体" w:cs="宋体"/>
                <w:color w:val="auto"/>
                <w:spacing w:val="0"/>
                <w:kern w:val="2"/>
                <w:sz w:val="21"/>
                <w:szCs w:val="21"/>
                <w:highlight w:val="none"/>
                <w:lang w:eastAsia="zh-CN" w:bidi="ar-SA"/>
              </w:rPr>
            </w:pPr>
            <w:r>
              <w:rPr>
                <w:rFonts w:hint="default" w:ascii="宋体" w:hAnsi="宋体" w:eastAsia="宋体" w:cs="宋体"/>
                <w:color w:val="auto"/>
                <w:spacing w:val="0"/>
                <w:kern w:val="2"/>
                <w:sz w:val="21"/>
                <w:szCs w:val="21"/>
                <w:highlight w:val="none"/>
                <w:lang w:eastAsia="zh-CN" w:bidi="ar-SA"/>
              </w:rPr>
              <w:t>法定当天作为二级管控，每天增派120人次；其他2天（调休）作为三级管控，每天增派88人次，共增派176人次。</w:t>
            </w:r>
          </w:p>
          <w:p w14:paraId="67CE3485">
            <w:pPr>
              <w:pStyle w:val="202"/>
              <w:spacing w:after="60" w:line="240" w:lineRule="auto"/>
              <w:rPr>
                <w:rFonts w:hint="default" w:ascii="宋体" w:hAnsi="宋体" w:eastAsia="宋体" w:cs="宋体"/>
                <w:color w:val="auto"/>
                <w:spacing w:val="0"/>
                <w:kern w:val="2"/>
                <w:sz w:val="21"/>
                <w:szCs w:val="21"/>
                <w:highlight w:val="none"/>
                <w:lang w:eastAsia="zh-CN" w:bidi="ar-SA"/>
              </w:rPr>
            </w:pPr>
            <w:r>
              <w:rPr>
                <w:rFonts w:hint="default" w:ascii="宋体" w:hAnsi="宋体" w:eastAsia="宋体" w:cs="宋体"/>
                <w:color w:val="auto"/>
                <w:spacing w:val="0"/>
                <w:kern w:val="2"/>
                <w:sz w:val="21"/>
                <w:szCs w:val="21"/>
                <w:highlight w:val="none"/>
                <w:lang w:val="en-US" w:eastAsia="zh-CN" w:bidi="ar-SA"/>
              </w:rPr>
              <w:t>4</w:t>
            </w:r>
            <w:r>
              <w:rPr>
                <w:rFonts w:hint="default" w:ascii="宋体" w:hAnsi="宋体" w:eastAsia="宋体" w:cs="宋体"/>
                <w:color w:val="auto"/>
                <w:spacing w:val="0"/>
                <w:kern w:val="2"/>
                <w:sz w:val="21"/>
                <w:szCs w:val="21"/>
                <w:highlight w:val="none"/>
                <w:lang w:eastAsia="zh-CN" w:bidi="ar-SA"/>
              </w:rPr>
              <w:t>.5 “五一”（</w:t>
            </w:r>
            <w:r>
              <w:rPr>
                <w:rFonts w:hint="default" w:ascii="宋体" w:hAnsi="宋体" w:eastAsia="宋体" w:cs="宋体"/>
                <w:color w:val="auto"/>
                <w:spacing w:val="0"/>
                <w:kern w:val="2"/>
                <w:sz w:val="21"/>
                <w:szCs w:val="21"/>
                <w:highlight w:val="none"/>
                <w:lang w:val="en-US" w:eastAsia="zh-CN" w:bidi="ar-SA"/>
              </w:rPr>
              <w:t>296</w:t>
            </w:r>
            <w:r>
              <w:rPr>
                <w:rFonts w:hint="default" w:ascii="宋体" w:hAnsi="宋体" w:eastAsia="宋体" w:cs="宋体"/>
                <w:color w:val="auto"/>
                <w:spacing w:val="0"/>
                <w:kern w:val="2"/>
                <w:sz w:val="21"/>
                <w:szCs w:val="21"/>
                <w:highlight w:val="none"/>
                <w:lang w:eastAsia="zh-CN" w:bidi="ar-SA"/>
              </w:rPr>
              <w:t>人次）</w:t>
            </w:r>
          </w:p>
          <w:p w14:paraId="6A4B1C1E">
            <w:pPr>
              <w:pStyle w:val="202"/>
              <w:spacing w:after="60" w:line="240" w:lineRule="auto"/>
              <w:rPr>
                <w:rFonts w:hint="default" w:ascii="宋体" w:hAnsi="宋体" w:eastAsia="宋体" w:cs="宋体"/>
                <w:color w:val="auto"/>
                <w:spacing w:val="0"/>
                <w:kern w:val="2"/>
                <w:sz w:val="21"/>
                <w:szCs w:val="21"/>
                <w:highlight w:val="none"/>
                <w:lang w:eastAsia="zh-CN" w:bidi="ar-SA"/>
              </w:rPr>
            </w:pPr>
            <w:r>
              <w:rPr>
                <w:rFonts w:hint="default" w:ascii="宋体" w:hAnsi="宋体" w:eastAsia="宋体" w:cs="宋体"/>
                <w:color w:val="auto"/>
                <w:spacing w:val="0"/>
                <w:kern w:val="2"/>
                <w:sz w:val="21"/>
                <w:szCs w:val="21"/>
                <w:highlight w:val="none"/>
                <w:lang w:eastAsia="zh-CN" w:bidi="ar-SA"/>
              </w:rPr>
              <w:t>法定当天作为二级管控，每天增派120人次；其他2天（调休）作为三级管控，每天增派88人次，共增派176人次。</w:t>
            </w:r>
          </w:p>
          <w:p w14:paraId="0F63762D">
            <w:pPr>
              <w:pStyle w:val="202"/>
              <w:spacing w:after="60" w:line="240" w:lineRule="auto"/>
              <w:rPr>
                <w:rFonts w:hint="default" w:ascii="宋体" w:hAnsi="宋体" w:eastAsia="宋体" w:cs="宋体"/>
                <w:color w:val="auto"/>
                <w:spacing w:val="0"/>
                <w:kern w:val="2"/>
                <w:sz w:val="21"/>
                <w:szCs w:val="21"/>
                <w:highlight w:val="none"/>
                <w:lang w:eastAsia="zh-CN" w:bidi="ar-SA"/>
              </w:rPr>
            </w:pPr>
            <w:r>
              <w:rPr>
                <w:rFonts w:hint="default" w:ascii="宋体" w:hAnsi="宋体" w:eastAsia="宋体" w:cs="宋体"/>
                <w:color w:val="auto"/>
                <w:spacing w:val="0"/>
                <w:kern w:val="2"/>
                <w:sz w:val="21"/>
                <w:szCs w:val="21"/>
                <w:highlight w:val="none"/>
                <w:lang w:val="en-US" w:eastAsia="zh-CN" w:bidi="ar-SA"/>
              </w:rPr>
              <w:t>4</w:t>
            </w:r>
            <w:r>
              <w:rPr>
                <w:rFonts w:hint="default" w:ascii="宋体" w:hAnsi="宋体" w:eastAsia="宋体" w:cs="宋体"/>
                <w:color w:val="auto"/>
                <w:spacing w:val="0"/>
                <w:kern w:val="2"/>
                <w:sz w:val="21"/>
                <w:szCs w:val="21"/>
                <w:highlight w:val="none"/>
                <w:lang w:eastAsia="zh-CN" w:bidi="ar-SA"/>
              </w:rPr>
              <w:t>.6 “端午节”（</w:t>
            </w:r>
            <w:r>
              <w:rPr>
                <w:rFonts w:hint="default" w:ascii="宋体" w:hAnsi="宋体" w:eastAsia="宋体" w:cs="宋体"/>
                <w:color w:val="auto"/>
                <w:spacing w:val="0"/>
                <w:kern w:val="2"/>
                <w:sz w:val="21"/>
                <w:szCs w:val="21"/>
                <w:highlight w:val="none"/>
                <w:lang w:val="en-US" w:eastAsia="zh-CN" w:bidi="ar-SA"/>
              </w:rPr>
              <w:t>296</w:t>
            </w:r>
            <w:r>
              <w:rPr>
                <w:rFonts w:hint="default" w:ascii="宋体" w:hAnsi="宋体" w:eastAsia="宋体" w:cs="宋体"/>
                <w:color w:val="auto"/>
                <w:spacing w:val="0"/>
                <w:kern w:val="2"/>
                <w:sz w:val="21"/>
                <w:szCs w:val="21"/>
                <w:highlight w:val="none"/>
                <w:lang w:eastAsia="zh-CN" w:bidi="ar-SA"/>
              </w:rPr>
              <w:t>人次）</w:t>
            </w:r>
          </w:p>
          <w:p w14:paraId="4A1AE1C1">
            <w:pPr>
              <w:pStyle w:val="202"/>
              <w:spacing w:after="60" w:line="240" w:lineRule="auto"/>
              <w:rPr>
                <w:rFonts w:hint="default" w:ascii="宋体" w:hAnsi="宋体" w:eastAsia="宋体" w:cs="宋体"/>
                <w:color w:val="auto"/>
                <w:spacing w:val="0"/>
                <w:kern w:val="2"/>
                <w:sz w:val="21"/>
                <w:szCs w:val="21"/>
                <w:highlight w:val="none"/>
                <w:lang w:eastAsia="zh-CN" w:bidi="ar-SA"/>
              </w:rPr>
            </w:pPr>
            <w:r>
              <w:rPr>
                <w:rFonts w:hint="default" w:ascii="宋体" w:hAnsi="宋体" w:eastAsia="宋体" w:cs="宋体"/>
                <w:color w:val="auto"/>
                <w:spacing w:val="0"/>
                <w:kern w:val="2"/>
                <w:sz w:val="21"/>
                <w:szCs w:val="21"/>
                <w:highlight w:val="none"/>
                <w:lang w:eastAsia="zh-CN" w:bidi="ar-SA"/>
              </w:rPr>
              <w:t>法定当天作为二级管控，每天增派120人次；其他2天（调休）作为三级管控，每天增派88人次，共增派176人次。</w:t>
            </w:r>
          </w:p>
          <w:p w14:paraId="6BF0CBDC">
            <w:pPr>
              <w:pStyle w:val="202"/>
              <w:spacing w:after="60" w:line="240" w:lineRule="auto"/>
              <w:rPr>
                <w:rFonts w:hint="default" w:ascii="宋体" w:hAnsi="宋体" w:eastAsia="宋体" w:cs="宋体"/>
                <w:color w:val="auto"/>
                <w:spacing w:val="0"/>
                <w:kern w:val="2"/>
                <w:sz w:val="21"/>
                <w:szCs w:val="21"/>
                <w:highlight w:val="none"/>
                <w:lang w:eastAsia="zh-CN" w:bidi="ar-SA"/>
              </w:rPr>
            </w:pPr>
            <w:r>
              <w:rPr>
                <w:rFonts w:hint="default" w:ascii="宋体" w:hAnsi="宋体" w:eastAsia="宋体" w:cs="宋体"/>
                <w:color w:val="auto"/>
                <w:spacing w:val="0"/>
                <w:kern w:val="2"/>
                <w:sz w:val="21"/>
                <w:szCs w:val="21"/>
                <w:highlight w:val="none"/>
                <w:lang w:val="en-US" w:eastAsia="zh-CN" w:bidi="ar-SA"/>
              </w:rPr>
              <w:t>4</w:t>
            </w:r>
            <w:r>
              <w:rPr>
                <w:rFonts w:hint="default" w:ascii="宋体" w:hAnsi="宋体" w:eastAsia="宋体" w:cs="宋体"/>
                <w:color w:val="auto"/>
                <w:spacing w:val="0"/>
                <w:kern w:val="2"/>
                <w:sz w:val="21"/>
                <w:szCs w:val="21"/>
                <w:highlight w:val="none"/>
                <w:lang w:eastAsia="zh-CN" w:bidi="ar-SA"/>
              </w:rPr>
              <w:t>.7 “中秋节”（</w:t>
            </w:r>
            <w:r>
              <w:rPr>
                <w:rFonts w:hint="default" w:ascii="宋体" w:hAnsi="宋体" w:eastAsia="宋体" w:cs="宋体"/>
                <w:color w:val="auto"/>
                <w:spacing w:val="0"/>
                <w:kern w:val="2"/>
                <w:sz w:val="21"/>
                <w:szCs w:val="21"/>
                <w:highlight w:val="none"/>
                <w:lang w:val="en-US" w:eastAsia="zh-CN" w:bidi="ar-SA"/>
              </w:rPr>
              <w:t>296</w:t>
            </w:r>
            <w:r>
              <w:rPr>
                <w:rFonts w:hint="default" w:ascii="宋体" w:hAnsi="宋体" w:eastAsia="宋体" w:cs="宋体"/>
                <w:color w:val="auto"/>
                <w:spacing w:val="0"/>
                <w:kern w:val="2"/>
                <w:sz w:val="21"/>
                <w:szCs w:val="21"/>
                <w:highlight w:val="none"/>
                <w:lang w:eastAsia="zh-CN" w:bidi="ar-SA"/>
              </w:rPr>
              <w:t>人次）</w:t>
            </w:r>
          </w:p>
          <w:p w14:paraId="67B92090">
            <w:pPr>
              <w:pStyle w:val="202"/>
              <w:spacing w:after="60" w:line="240" w:lineRule="auto"/>
              <w:rPr>
                <w:rFonts w:hint="default" w:ascii="宋体" w:hAnsi="宋体" w:eastAsia="宋体" w:cs="宋体"/>
                <w:color w:val="auto"/>
                <w:spacing w:val="0"/>
                <w:kern w:val="2"/>
                <w:sz w:val="21"/>
                <w:szCs w:val="21"/>
                <w:highlight w:val="none"/>
                <w:lang w:eastAsia="zh-CN" w:bidi="ar-SA"/>
              </w:rPr>
            </w:pPr>
            <w:r>
              <w:rPr>
                <w:rFonts w:hint="default" w:ascii="宋体" w:hAnsi="宋体" w:eastAsia="宋体" w:cs="宋体"/>
                <w:color w:val="auto"/>
                <w:spacing w:val="0"/>
                <w:kern w:val="2"/>
                <w:sz w:val="21"/>
                <w:szCs w:val="21"/>
                <w:highlight w:val="none"/>
                <w:lang w:eastAsia="zh-CN" w:bidi="ar-SA"/>
              </w:rPr>
              <w:t>法定当天作为二级管控，每天增派120人次；其他2天（调休）作为三级管控，每天增派88人次，共增派176人次。</w:t>
            </w:r>
          </w:p>
          <w:p w14:paraId="0250C795">
            <w:pPr>
              <w:pStyle w:val="202"/>
              <w:spacing w:after="60" w:line="240" w:lineRule="auto"/>
              <w:rPr>
                <w:rFonts w:hint="default" w:ascii="宋体" w:hAnsi="宋体" w:eastAsia="宋体" w:cs="宋体"/>
                <w:color w:val="auto"/>
                <w:spacing w:val="0"/>
                <w:kern w:val="2"/>
                <w:sz w:val="21"/>
                <w:szCs w:val="21"/>
                <w:highlight w:val="none"/>
                <w:lang w:eastAsia="zh-CN" w:bidi="ar-SA"/>
              </w:rPr>
            </w:pPr>
            <w:r>
              <w:rPr>
                <w:rFonts w:hint="default" w:ascii="宋体" w:hAnsi="宋体" w:eastAsia="宋体" w:cs="宋体"/>
                <w:color w:val="auto"/>
                <w:spacing w:val="0"/>
                <w:kern w:val="2"/>
                <w:sz w:val="21"/>
                <w:szCs w:val="21"/>
                <w:highlight w:val="none"/>
                <w:lang w:val="en-US" w:eastAsia="zh-CN" w:bidi="ar-SA"/>
              </w:rPr>
              <w:t>4</w:t>
            </w:r>
            <w:r>
              <w:rPr>
                <w:rFonts w:hint="default" w:ascii="宋体" w:hAnsi="宋体" w:eastAsia="宋体" w:cs="宋体"/>
                <w:color w:val="auto"/>
                <w:spacing w:val="0"/>
                <w:kern w:val="2"/>
                <w:sz w:val="21"/>
                <w:szCs w:val="21"/>
                <w:highlight w:val="none"/>
                <w:lang w:eastAsia="zh-CN" w:bidi="ar-SA"/>
              </w:rPr>
              <w:t>.8“</w:t>
            </w:r>
            <w:r>
              <w:rPr>
                <w:rFonts w:hint="eastAsia" w:ascii="宋体" w:hAnsi="宋体" w:eastAsia="宋体" w:cs="宋体"/>
                <w:color w:val="auto"/>
                <w:spacing w:val="0"/>
                <w:kern w:val="2"/>
                <w:sz w:val="21"/>
                <w:szCs w:val="21"/>
                <w:highlight w:val="none"/>
                <w:lang w:eastAsia="zh-CN" w:bidi="ar-SA"/>
              </w:rPr>
              <w:t>国庆节</w:t>
            </w:r>
            <w:r>
              <w:rPr>
                <w:rFonts w:hint="default" w:ascii="宋体" w:hAnsi="宋体" w:eastAsia="宋体" w:cs="宋体"/>
                <w:color w:val="auto"/>
                <w:spacing w:val="0"/>
                <w:kern w:val="2"/>
                <w:sz w:val="21"/>
                <w:szCs w:val="21"/>
                <w:highlight w:val="none"/>
                <w:lang w:eastAsia="zh-CN" w:bidi="ar-SA"/>
              </w:rPr>
              <w:t>”（</w:t>
            </w:r>
            <w:r>
              <w:rPr>
                <w:rFonts w:hint="eastAsia" w:ascii="宋体" w:hAnsi="宋体" w:eastAsia="宋体" w:cs="宋体"/>
                <w:color w:val="auto"/>
                <w:spacing w:val="0"/>
                <w:kern w:val="2"/>
                <w:sz w:val="21"/>
                <w:szCs w:val="21"/>
                <w:highlight w:val="none"/>
                <w:lang w:val="en-US" w:eastAsia="zh-CN" w:bidi="ar-SA"/>
              </w:rPr>
              <w:t>848</w:t>
            </w:r>
            <w:r>
              <w:rPr>
                <w:rFonts w:hint="default" w:ascii="宋体" w:hAnsi="宋体" w:eastAsia="宋体" w:cs="宋体"/>
                <w:color w:val="auto"/>
                <w:spacing w:val="0"/>
                <w:kern w:val="2"/>
                <w:sz w:val="21"/>
                <w:szCs w:val="21"/>
                <w:highlight w:val="none"/>
                <w:lang w:eastAsia="zh-CN" w:bidi="ar-SA"/>
              </w:rPr>
              <w:t>人次）</w:t>
            </w:r>
          </w:p>
          <w:p w14:paraId="4A461019">
            <w:pPr>
              <w:pStyle w:val="202"/>
              <w:spacing w:after="60" w:line="240" w:lineRule="auto"/>
              <w:rPr>
                <w:rFonts w:hint="default" w:ascii="宋体" w:hAnsi="宋体" w:eastAsia="宋体" w:cs="宋体"/>
                <w:color w:val="auto"/>
                <w:spacing w:val="0"/>
                <w:kern w:val="2"/>
                <w:sz w:val="21"/>
                <w:szCs w:val="21"/>
                <w:highlight w:val="none"/>
                <w:lang w:eastAsia="zh-CN" w:bidi="ar-SA"/>
              </w:rPr>
            </w:pPr>
            <w:r>
              <w:rPr>
                <w:rFonts w:hint="default" w:ascii="宋体" w:hAnsi="宋体" w:eastAsia="宋体" w:cs="宋体"/>
                <w:color w:val="auto"/>
                <w:spacing w:val="0"/>
                <w:kern w:val="2"/>
                <w:sz w:val="21"/>
                <w:szCs w:val="21"/>
                <w:highlight w:val="none"/>
                <w:lang w:eastAsia="zh-CN" w:bidi="ar-SA"/>
              </w:rPr>
              <w:t>10月1日 作为一级管控，增派256人次；其他法定2天作为二级管控，每天增派120人次，共增派240人次；其余4天（调休）作为三级管控，每天增派88人次，四天共增派352人次。</w:t>
            </w:r>
          </w:p>
          <w:p w14:paraId="42F62F64">
            <w:pPr>
              <w:pStyle w:val="202"/>
              <w:spacing w:after="60" w:line="240" w:lineRule="auto"/>
              <w:rPr>
                <w:rFonts w:hint="eastAsia" w:ascii="宋体" w:hAnsi="宋体" w:eastAsia="宋体" w:cs="宋体"/>
                <w:b w:val="0"/>
                <w:bCs/>
                <w:color w:val="auto"/>
                <w:spacing w:val="0"/>
                <w:kern w:val="2"/>
                <w:sz w:val="21"/>
                <w:szCs w:val="21"/>
                <w:highlight w:val="none"/>
                <w:lang w:val="en-US" w:eastAsia="zh-CN" w:bidi="ar-SA"/>
              </w:rPr>
            </w:pPr>
            <w:r>
              <w:rPr>
                <w:rFonts w:hint="default" w:ascii="宋体" w:hAnsi="宋体" w:eastAsia="宋体" w:cs="宋体"/>
                <w:color w:val="auto"/>
                <w:spacing w:val="0"/>
                <w:kern w:val="2"/>
                <w:sz w:val="21"/>
                <w:szCs w:val="21"/>
                <w:highlight w:val="none"/>
                <w:lang w:val="en-US" w:eastAsia="zh-CN" w:bidi="ar-SA"/>
              </w:rPr>
              <w:t>5</w:t>
            </w:r>
            <w:r>
              <w:rPr>
                <w:rFonts w:hint="eastAsia" w:ascii="宋体" w:hAnsi="宋体" w:eastAsia="宋体" w:cs="宋体"/>
                <w:color w:val="auto"/>
                <w:spacing w:val="0"/>
                <w:kern w:val="2"/>
                <w:sz w:val="21"/>
                <w:szCs w:val="21"/>
                <w:highlight w:val="none"/>
                <w:lang w:val="en-US" w:eastAsia="zh-CN" w:bidi="ar-SA"/>
              </w:rPr>
              <w:t>、保安员的基本条件：身体健康，五官端正，精神面貌佳，应变能力强，服务态度好，年龄原则上保持在18～60岁之间,持有保安员上岗证</w:t>
            </w:r>
            <w:r>
              <w:rPr>
                <w:rFonts w:hint="eastAsia" w:ascii="宋体" w:hAnsi="宋体" w:eastAsia="宋体" w:cs="宋体"/>
                <w:b w:val="0"/>
                <w:bCs/>
                <w:color w:val="auto"/>
                <w:spacing w:val="0"/>
                <w:kern w:val="2"/>
                <w:sz w:val="21"/>
                <w:szCs w:val="21"/>
                <w:highlight w:val="none"/>
                <w:lang w:val="en-US" w:eastAsia="zh-CN" w:bidi="ar-SA"/>
              </w:rPr>
              <w:t>。</w:t>
            </w:r>
          </w:p>
          <w:p w14:paraId="0CCF2659">
            <w:pPr>
              <w:pStyle w:val="202"/>
              <w:spacing w:after="60" w:line="240" w:lineRule="auto"/>
              <w:rPr>
                <w:rFonts w:hint="eastAsia" w:ascii="宋体" w:hAnsi="宋体" w:eastAsia="宋体" w:cs="宋体"/>
                <w:b w:val="0"/>
                <w:bCs/>
                <w:color w:val="auto"/>
                <w:sz w:val="21"/>
                <w:szCs w:val="21"/>
                <w:highlight w:val="none"/>
              </w:rPr>
            </w:pPr>
            <w:r>
              <w:rPr>
                <w:rFonts w:hint="default" w:ascii="宋体" w:hAnsi="宋体" w:eastAsia="宋体" w:cs="宋体"/>
                <w:b w:val="0"/>
                <w:bCs/>
                <w:color w:val="auto"/>
                <w:spacing w:val="0"/>
                <w:kern w:val="2"/>
                <w:sz w:val="21"/>
                <w:szCs w:val="21"/>
                <w:highlight w:val="none"/>
                <w:lang w:val="en-US" w:eastAsia="zh-CN" w:bidi="ar-SA"/>
              </w:rPr>
              <w:t>6</w:t>
            </w:r>
            <w:r>
              <w:rPr>
                <w:rFonts w:hint="eastAsia" w:ascii="宋体" w:hAnsi="宋体" w:eastAsia="宋体" w:cs="宋体"/>
                <w:b w:val="0"/>
                <w:bCs/>
                <w:color w:val="auto"/>
                <w:spacing w:val="0"/>
                <w:kern w:val="2"/>
                <w:sz w:val="21"/>
                <w:szCs w:val="21"/>
                <w:highlight w:val="none"/>
                <w:lang w:val="en-US" w:eastAsia="zh-CN" w:bidi="ar-SA"/>
              </w:rPr>
              <w:t>、按《宝安区公园行业安保服务标准化配备指引》的相关要求，做好企业的制度化、规范化、标准化管理，详见《宝安区公园行业安保服务标准化配备指引》。</w:t>
            </w:r>
          </w:p>
        </w:tc>
      </w:tr>
      <w:tr w14:paraId="41B80F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1123" w:type="dxa"/>
            <w:tcBorders>
              <w:top w:val="single" w:color="auto" w:sz="4" w:space="0"/>
              <w:left w:val="single" w:color="auto" w:sz="4" w:space="0"/>
              <w:bottom w:val="single" w:color="auto" w:sz="4" w:space="0"/>
              <w:right w:val="single" w:color="auto" w:sz="4" w:space="0"/>
            </w:tcBorders>
            <w:noWrap w:val="0"/>
            <w:vAlign w:val="top"/>
          </w:tcPr>
          <w:p w14:paraId="5D318E74">
            <w:pPr>
              <w:spacing w:after="60" w:afterLines="25" w:line="360" w:lineRule="auto"/>
              <w:rPr>
                <w:rFonts w:hint="eastAsia" w:ascii="宋体" w:hAnsi="宋体" w:eastAsia="宋体" w:cs="宋体"/>
                <w:b w:val="0"/>
                <w:bCs/>
                <w:color w:val="auto"/>
                <w:kern w:val="0"/>
                <w:sz w:val="21"/>
                <w:szCs w:val="21"/>
                <w:highlight w:val="none"/>
              </w:rPr>
            </w:pPr>
            <w:r>
              <w:rPr>
                <w:rFonts w:hint="eastAsia" w:ascii="宋体" w:hAnsi="宋体" w:eastAsia="宋体" w:cs="宋体"/>
                <w:b w:val="0"/>
                <w:bCs/>
                <w:color w:val="auto"/>
                <w:kern w:val="0"/>
                <w:sz w:val="21"/>
                <w:szCs w:val="21"/>
                <w:highlight w:val="none"/>
              </w:rPr>
              <w:t>设备要求</w:t>
            </w:r>
          </w:p>
        </w:tc>
        <w:tc>
          <w:tcPr>
            <w:tcW w:w="8546" w:type="dxa"/>
            <w:gridSpan w:val="2"/>
            <w:tcBorders>
              <w:top w:val="single" w:color="auto" w:sz="4" w:space="0"/>
              <w:left w:val="single" w:color="auto" w:sz="4" w:space="0"/>
              <w:bottom w:val="single" w:color="auto" w:sz="4" w:space="0"/>
              <w:right w:val="single" w:color="auto" w:sz="4" w:space="0"/>
            </w:tcBorders>
            <w:noWrap w:val="0"/>
            <w:vAlign w:val="top"/>
          </w:tcPr>
          <w:p w14:paraId="2999D4F9">
            <w:pPr>
              <w:spacing w:after="0" w:line="320" w:lineRule="exact"/>
              <w:ind w:left="0" w:leftChars="0" w:firstLine="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1、投标单位必须自带安全防护用品、对讲机、服装等防护用具和其他涉及安全保护的设施设备，包括但不限于对讲机（不得少于</w:t>
            </w:r>
            <w:r>
              <w:rPr>
                <w:rFonts w:hint="default" w:ascii="宋体" w:hAnsi="宋体" w:eastAsia="宋体" w:cs="宋体"/>
                <w:color w:val="auto"/>
                <w:sz w:val="21"/>
                <w:szCs w:val="21"/>
                <w:highlight w:val="none"/>
                <w:lang w:val="en-US"/>
              </w:rPr>
              <w:t>85</w:t>
            </w:r>
            <w:r>
              <w:rPr>
                <w:rFonts w:hint="eastAsia" w:ascii="宋体" w:hAnsi="宋体" w:eastAsia="宋体" w:cs="宋体"/>
                <w:color w:val="auto"/>
                <w:sz w:val="21"/>
                <w:szCs w:val="21"/>
                <w:highlight w:val="none"/>
              </w:rPr>
              <w:t>套）、执法记录仪（</w:t>
            </w:r>
            <w:r>
              <w:rPr>
                <w:rFonts w:hint="default" w:ascii="宋体" w:hAnsi="宋体" w:eastAsia="宋体" w:cs="宋体"/>
                <w:color w:val="auto"/>
                <w:sz w:val="21"/>
                <w:szCs w:val="21"/>
                <w:highlight w:val="none"/>
                <w:lang w:val="en-US"/>
              </w:rPr>
              <w:t>85</w:t>
            </w:r>
            <w:r>
              <w:rPr>
                <w:rFonts w:hint="eastAsia" w:ascii="宋体" w:hAnsi="宋体" w:eastAsia="宋体" w:cs="宋体"/>
                <w:color w:val="auto"/>
                <w:sz w:val="21"/>
                <w:szCs w:val="21"/>
                <w:highlight w:val="none"/>
              </w:rPr>
              <w:t>套）、安全防护用具（不得少于</w:t>
            </w:r>
            <w:r>
              <w:rPr>
                <w:rFonts w:hint="default" w:ascii="宋体" w:hAnsi="宋体" w:eastAsia="宋体" w:cs="宋体"/>
                <w:color w:val="auto"/>
                <w:sz w:val="21"/>
                <w:szCs w:val="21"/>
                <w:highlight w:val="none"/>
                <w:lang w:val="en-US"/>
              </w:rPr>
              <w:t>150</w:t>
            </w:r>
            <w:r>
              <w:rPr>
                <w:rFonts w:hint="eastAsia" w:ascii="宋体" w:hAnsi="宋体" w:eastAsia="宋体" w:cs="宋体"/>
                <w:color w:val="auto"/>
                <w:sz w:val="21"/>
                <w:szCs w:val="21"/>
                <w:highlight w:val="none"/>
              </w:rPr>
              <w:t>套，含警棍、防刺背心、防割手套、盾牌、手电筒等）、制服一批【夏装（含上衣、裤子）每人各4套、秋装（含上衣、裤子）每人各2套、冬装（含上衣、裤子）每人各2套、作训服（含上衣、裤子）每人各2套、帽子每人各2顶、低帮作训鞋每人各2双、高帮作训鞋每人各2双、反光雨衣每人各1件、雨鞋每人各1双、雨伞每人各1把】、防火装备</w:t>
            </w:r>
            <w:r>
              <w:rPr>
                <w:rFonts w:hint="default" w:ascii="宋体" w:hAnsi="宋体" w:eastAsia="宋体" w:cs="宋体"/>
                <w:color w:val="auto"/>
                <w:sz w:val="21"/>
                <w:szCs w:val="21"/>
                <w:highlight w:val="none"/>
                <w:lang w:val="en-US"/>
              </w:rPr>
              <w:t>85</w:t>
            </w:r>
            <w:r>
              <w:rPr>
                <w:rFonts w:hint="eastAsia" w:ascii="宋体" w:hAnsi="宋体" w:eastAsia="宋体" w:cs="宋体"/>
                <w:color w:val="auto"/>
                <w:sz w:val="21"/>
                <w:szCs w:val="21"/>
                <w:highlight w:val="none"/>
              </w:rPr>
              <w:t>套（含防火服、防火鞋、防毒面具、消防绳等）、消防蓄水囊</w:t>
            </w:r>
            <w:r>
              <w:rPr>
                <w:rFonts w:hint="default" w:ascii="宋体" w:hAnsi="宋体" w:eastAsia="宋体" w:cs="宋体"/>
                <w:color w:val="auto"/>
                <w:sz w:val="21"/>
                <w:szCs w:val="21"/>
                <w:highlight w:val="none"/>
                <w:lang w:val="en-US"/>
              </w:rPr>
              <w:t>5</w:t>
            </w:r>
            <w:r>
              <w:rPr>
                <w:rFonts w:hint="eastAsia" w:ascii="宋体" w:hAnsi="宋体" w:eastAsia="宋体" w:cs="宋体"/>
                <w:color w:val="auto"/>
                <w:sz w:val="21"/>
                <w:szCs w:val="21"/>
                <w:highlight w:val="none"/>
              </w:rPr>
              <w:t>个、录音喇叭</w:t>
            </w:r>
            <w:r>
              <w:rPr>
                <w:rFonts w:hint="default" w:ascii="宋体" w:hAnsi="宋体" w:eastAsia="宋体" w:cs="宋体"/>
                <w:color w:val="auto"/>
                <w:sz w:val="21"/>
                <w:szCs w:val="21"/>
                <w:highlight w:val="none"/>
                <w:lang w:val="en-US"/>
              </w:rPr>
              <w:t>20</w:t>
            </w:r>
            <w:r>
              <w:rPr>
                <w:rFonts w:hint="eastAsia" w:ascii="宋体" w:hAnsi="宋体" w:eastAsia="宋体" w:cs="宋体"/>
                <w:color w:val="auto"/>
                <w:sz w:val="21"/>
                <w:szCs w:val="21"/>
                <w:highlight w:val="none"/>
              </w:rPr>
              <w:t>个、应急药品一批（含蛇药、防蜂药、驱蚊液、董香正气水等，需保证药品在有效内，并及时换购）、防蜂服</w:t>
            </w:r>
            <w:r>
              <w:rPr>
                <w:rFonts w:hint="default" w:ascii="宋体" w:hAnsi="宋体" w:eastAsia="宋体" w:cs="宋体"/>
                <w:color w:val="auto"/>
                <w:sz w:val="21"/>
                <w:szCs w:val="21"/>
                <w:highlight w:val="none"/>
                <w:lang w:val="en-US"/>
              </w:rPr>
              <w:t>5</w:t>
            </w:r>
            <w:r>
              <w:rPr>
                <w:rFonts w:hint="eastAsia" w:ascii="宋体" w:hAnsi="宋体" w:eastAsia="宋体" w:cs="宋体"/>
                <w:color w:val="auto"/>
                <w:sz w:val="21"/>
                <w:szCs w:val="21"/>
                <w:highlight w:val="none"/>
              </w:rPr>
              <w:t>套、灭火风机</w:t>
            </w:r>
            <w:r>
              <w:rPr>
                <w:rFonts w:hint="default" w:ascii="宋体" w:hAnsi="宋体" w:eastAsia="宋体" w:cs="宋体"/>
                <w:color w:val="auto"/>
                <w:sz w:val="21"/>
                <w:szCs w:val="21"/>
                <w:highlight w:val="none"/>
                <w:lang w:val="en-US"/>
              </w:rPr>
              <w:t>5</w:t>
            </w:r>
            <w:r>
              <w:rPr>
                <w:rFonts w:hint="eastAsia" w:ascii="宋体" w:hAnsi="宋体" w:eastAsia="宋体" w:cs="宋体"/>
                <w:color w:val="auto"/>
                <w:sz w:val="21"/>
                <w:szCs w:val="21"/>
                <w:highlight w:val="none"/>
              </w:rPr>
              <w:t>台、油锯</w:t>
            </w:r>
            <w:r>
              <w:rPr>
                <w:rFonts w:hint="default" w:ascii="宋体" w:hAnsi="宋体" w:eastAsia="宋体" w:cs="宋体"/>
                <w:color w:val="auto"/>
                <w:sz w:val="21"/>
                <w:szCs w:val="21"/>
                <w:highlight w:val="none"/>
                <w:lang w:val="en-US"/>
              </w:rPr>
              <w:t>5</w:t>
            </w:r>
            <w:r>
              <w:rPr>
                <w:rFonts w:hint="eastAsia" w:ascii="宋体" w:hAnsi="宋体" w:eastAsia="宋体" w:cs="宋体"/>
                <w:color w:val="auto"/>
                <w:sz w:val="21"/>
                <w:szCs w:val="21"/>
                <w:highlight w:val="none"/>
              </w:rPr>
              <w:t>台、强光手电</w:t>
            </w:r>
            <w:r>
              <w:rPr>
                <w:rFonts w:hint="default" w:ascii="宋体" w:hAnsi="宋体" w:eastAsia="宋体" w:cs="宋体"/>
                <w:color w:val="auto"/>
                <w:sz w:val="21"/>
                <w:szCs w:val="21"/>
                <w:highlight w:val="none"/>
                <w:lang w:val="en-US"/>
              </w:rPr>
              <w:t>5</w:t>
            </w:r>
            <w:r>
              <w:rPr>
                <w:rFonts w:hint="eastAsia" w:ascii="宋体" w:hAnsi="宋体" w:eastAsia="宋体" w:cs="宋体"/>
                <w:color w:val="auto"/>
                <w:sz w:val="21"/>
                <w:szCs w:val="21"/>
                <w:highlight w:val="none"/>
              </w:rPr>
              <w:t>0把等其他涉及安全保护的设施设备和采购单位临时交办涉及</w:t>
            </w:r>
            <w:r>
              <w:rPr>
                <w:rFonts w:hint="eastAsia" w:ascii="宋体" w:hAnsi="宋体" w:eastAsia="宋体" w:cs="宋体"/>
                <w:color w:val="auto"/>
                <w:sz w:val="21"/>
                <w:szCs w:val="21"/>
                <w:highlight w:val="none"/>
                <w:lang w:eastAsia="zh-CN"/>
              </w:rPr>
              <w:t>凤凰山森林</w:t>
            </w:r>
            <w:r>
              <w:rPr>
                <w:rFonts w:hint="eastAsia" w:ascii="宋体" w:hAnsi="宋体" w:eastAsia="宋体" w:cs="宋体"/>
                <w:color w:val="auto"/>
                <w:sz w:val="21"/>
                <w:szCs w:val="21"/>
                <w:highlight w:val="none"/>
              </w:rPr>
              <w:t>公园安全隐患整改事宜，购买的防护用具和设备物资必须在</w:t>
            </w:r>
            <w:r>
              <w:rPr>
                <w:rFonts w:hint="default" w:ascii="宋体" w:hAnsi="宋体" w:eastAsia="宋体" w:cs="宋体"/>
                <w:color w:val="auto"/>
                <w:sz w:val="21"/>
                <w:szCs w:val="21"/>
                <w:highlight w:val="none"/>
                <w:lang w:val="en-US"/>
              </w:rPr>
              <w:t>凤凰山森林公园</w:t>
            </w:r>
            <w:r>
              <w:rPr>
                <w:rFonts w:hint="eastAsia" w:ascii="宋体" w:hAnsi="宋体" w:eastAsia="宋体" w:cs="宋体"/>
                <w:color w:val="auto"/>
                <w:sz w:val="21"/>
                <w:szCs w:val="21"/>
                <w:highlight w:val="none"/>
              </w:rPr>
              <w:t>专用，此项费用包含在投标报价中。</w:t>
            </w:r>
          </w:p>
          <w:p w14:paraId="423E4E3E">
            <w:pPr>
              <w:spacing w:after="0" w:line="320" w:lineRule="exact"/>
              <w:ind w:firstLine="0" w:firstLineChars="0"/>
              <w:jc w:val="left"/>
              <w:rPr>
                <w:rFonts w:hint="eastAsia" w:ascii="宋体" w:hAnsi="宋体" w:eastAsia="宋体" w:cs="宋体"/>
                <w:b/>
                <w:bCs/>
                <w:color w:val="auto"/>
                <w:kern w:val="0"/>
                <w:sz w:val="21"/>
                <w:szCs w:val="21"/>
                <w:highlight w:val="none"/>
              </w:rPr>
            </w:pPr>
            <w:r>
              <w:rPr>
                <w:rFonts w:hint="eastAsia" w:ascii="宋体" w:hAnsi="宋体" w:eastAsia="宋体" w:cs="宋体"/>
                <w:color w:val="auto"/>
                <w:sz w:val="21"/>
                <w:szCs w:val="21"/>
                <w:highlight w:val="none"/>
              </w:rPr>
              <w:t>2、投标单位必须自带</w:t>
            </w:r>
            <w:r>
              <w:rPr>
                <w:rFonts w:hint="eastAsia" w:ascii="宋体" w:hAnsi="宋体" w:eastAsia="宋体" w:cs="宋体"/>
                <w:bCs/>
                <w:color w:val="auto"/>
                <w:kern w:val="44"/>
                <w:sz w:val="21"/>
                <w:szCs w:val="21"/>
                <w:highlight w:val="none"/>
              </w:rPr>
              <w:t>8</w:t>
            </w:r>
            <w:r>
              <w:rPr>
                <w:rFonts w:hint="default" w:ascii="宋体" w:hAnsi="宋体" w:eastAsia="宋体" w:cs="宋体"/>
                <w:bCs/>
                <w:color w:val="auto"/>
                <w:kern w:val="44"/>
                <w:sz w:val="21"/>
                <w:szCs w:val="21"/>
                <w:highlight w:val="none"/>
              </w:rPr>
              <w:t xml:space="preserve"> </w:t>
            </w:r>
            <w:r>
              <w:rPr>
                <w:rFonts w:hint="eastAsia" w:ascii="宋体" w:hAnsi="宋体" w:eastAsia="宋体" w:cs="宋体"/>
                <w:bCs/>
                <w:color w:val="auto"/>
                <w:kern w:val="44"/>
                <w:sz w:val="21"/>
                <w:szCs w:val="21"/>
                <w:highlight w:val="none"/>
                <w:lang w:eastAsia="zh-CN"/>
              </w:rPr>
              <w:t>辆</w:t>
            </w:r>
            <w:r>
              <w:rPr>
                <w:rFonts w:hint="default" w:ascii="宋体" w:hAnsi="宋体" w:eastAsia="宋体" w:cs="宋体"/>
                <w:bCs/>
                <w:color w:val="auto"/>
                <w:kern w:val="44"/>
                <w:sz w:val="21"/>
                <w:szCs w:val="21"/>
                <w:highlight w:val="none"/>
                <w:lang w:eastAsia="zh-CN"/>
              </w:rPr>
              <w:t>两轮</w:t>
            </w:r>
            <w:r>
              <w:rPr>
                <w:rFonts w:hint="default" w:ascii="宋体" w:hAnsi="宋体" w:eastAsia="宋体" w:cs="宋体"/>
                <w:bCs/>
                <w:color w:val="auto"/>
                <w:kern w:val="44"/>
                <w:sz w:val="21"/>
                <w:szCs w:val="21"/>
                <w:highlight w:val="none"/>
              </w:rPr>
              <w:t>燃油警用摩托车</w:t>
            </w:r>
            <w:r>
              <w:rPr>
                <w:rFonts w:hint="eastAsia" w:ascii="宋体" w:hAnsi="宋体" w:eastAsia="宋体" w:cs="宋体"/>
                <w:bCs/>
                <w:color w:val="auto"/>
                <w:kern w:val="44"/>
                <w:sz w:val="21"/>
                <w:szCs w:val="21"/>
                <w:highlight w:val="none"/>
              </w:rPr>
              <w:t>、</w:t>
            </w:r>
            <w:r>
              <w:rPr>
                <w:rFonts w:hint="default" w:ascii="宋体" w:hAnsi="宋体" w:eastAsia="宋体" w:cs="宋体"/>
                <w:bCs/>
                <w:color w:val="auto"/>
                <w:kern w:val="44"/>
                <w:sz w:val="21"/>
                <w:szCs w:val="21"/>
                <w:highlight w:val="none"/>
              </w:rPr>
              <w:t>2</w:t>
            </w:r>
            <w:r>
              <w:rPr>
                <w:rFonts w:hint="eastAsia" w:ascii="宋体" w:hAnsi="宋体" w:eastAsia="宋体" w:cs="宋体"/>
                <w:bCs/>
                <w:color w:val="auto"/>
                <w:kern w:val="44"/>
                <w:sz w:val="21"/>
                <w:szCs w:val="21"/>
                <w:highlight w:val="none"/>
              </w:rPr>
              <w:t>辆</w:t>
            </w:r>
            <w:r>
              <w:rPr>
                <w:rFonts w:hint="default" w:ascii="宋体" w:hAnsi="宋体" w:eastAsia="宋体" w:cs="宋体"/>
                <w:bCs/>
                <w:color w:val="auto"/>
                <w:kern w:val="44"/>
                <w:sz w:val="21"/>
                <w:szCs w:val="21"/>
                <w:highlight w:val="none"/>
              </w:rPr>
              <w:t>5座</w:t>
            </w:r>
            <w:r>
              <w:rPr>
                <w:rFonts w:hint="eastAsia" w:ascii="宋体" w:hAnsi="宋体" w:eastAsia="宋体" w:cs="宋体"/>
                <w:bCs/>
                <w:color w:val="auto"/>
                <w:kern w:val="44"/>
                <w:sz w:val="21"/>
                <w:szCs w:val="21"/>
                <w:highlight w:val="none"/>
              </w:rPr>
              <w:t>警用巡逻电瓶车</w:t>
            </w:r>
            <w:r>
              <w:rPr>
                <w:rFonts w:hint="default" w:ascii="宋体" w:hAnsi="宋体" w:eastAsia="宋体" w:cs="宋体"/>
                <w:bCs/>
                <w:color w:val="auto"/>
                <w:kern w:val="44"/>
                <w:sz w:val="21"/>
                <w:szCs w:val="21"/>
                <w:highlight w:val="none"/>
              </w:rPr>
              <w:t>、3</w:t>
            </w:r>
            <w:r>
              <w:rPr>
                <w:rFonts w:hint="eastAsia" w:ascii="宋体" w:hAnsi="宋体" w:eastAsia="宋体" w:cs="宋体"/>
                <w:bCs/>
                <w:color w:val="auto"/>
                <w:kern w:val="44"/>
                <w:sz w:val="21"/>
                <w:szCs w:val="21"/>
                <w:highlight w:val="none"/>
              </w:rPr>
              <w:t>辆</w:t>
            </w:r>
            <w:r>
              <w:rPr>
                <w:rFonts w:hint="default" w:ascii="宋体" w:hAnsi="宋体" w:eastAsia="宋体" w:cs="宋体"/>
                <w:bCs/>
                <w:color w:val="auto"/>
                <w:kern w:val="44"/>
                <w:sz w:val="21"/>
                <w:szCs w:val="21"/>
                <w:highlight w:val="none"/>
              </w:rPr>
              <w:t>8座</w:t>
            </w:r>
            <w:r>
              <w:rPr>
                <w:rFonts w:hint="eastAsia" w:ascii="宋体" w:hAnsi="宋体" w:eastAsia="宋体" w:cs="宋体"/>
                <w:bCs/>
                <w:color w:val="auto"/>
                <w:kern w:val="44"/>
                <w:sz w:val="21"/>
                <w:szCs w:val="21"/>
                <w:highlight w:val="none"/>
              </w:rPr>
              <w:t>巡</w:t>
            </w:r>
            <w:r>
              <w:rPr>
                <w:rFonts w:hint="default" w:ascii="宋体" w:hAnsi="宋体" w:eastAsia="宋体" w:cs="宋体"/>
                <w:bCs/>
                <w:color w:val="auto"/>
                <w:kern w:val="44"/>
                <w:sz w:val="21"/>
                <w:szCs w:val="21"/>
                <w:highlight w:val="none"/>
              </w:rPr>
              <w:t>逻电瓶车、1辆5座货斗电瓶车、</w:t>
            </w:r>
            <w:r>
              <w:rPr>
                <w:rFonts w:hint="eastAsia" w:ascii="宋体" w:hAnsi="宋体" w:eastAsia="宋体" w:cs="宋体"/>
                <w:bCs/>
                <w:color w:val="auto"/>
                <w:kern w:val="44"/>
                <w:sz w:val="21"/>
                <w:szCs w:val="21"/>
                <w:highlight w:val="none"/>
              </w:rPr>
              <w:t>巡查工作车辆（</w:t>
            </w:r>
            <w:r>
              <w:rPr>
                <w:rFonts w:hint="eastAsia" w:ascii="宋体" w:hAnsi="宋体" w:eastAsia="宋体" w:cs="宋体"/>
                <w:bCs/>
                <w:color w:val="auto"/>
                <w:kern w:val="44"/>
                <w:sz w:val="21"/>
                <w:szCs w:val="21"/>
                <w:highlight w:val="none"/>
                <w:lang w:val="en-US" w:eastAsia="zh-CN"/>
              </w:rPr>
              <w:t>1辆，</w:t>
            </w:r>
            <w:r>
              <w:rPr>
                <w:rFonts w:hint="eastAsia" w:ascii="宋体" w:hAnsi="宋体" w:eastAsia="宋体" w:cs="宋体"/>
                <w:bCs/>
                <w:color w:val="auto"/>
                <w:kern w:val="44"/>
                <w:sz w:val="21"/>
                <w:szCs w:val="21"/>
                <w:highlight w:val="none"/>
              </w:rPr>
              <w:t>7座）</w:t>
            </w:r>
            <w:r>
              <w:rPr>
                <w:rFonts w:hint="eastAsia" w:ascii="宋体" w:hAnsi="宋体" w:eastAsia="宋体" w:cs="宋体"/>
                <w:color w:val="auto"/>
                <w:sz w:val="21"/>
                <w:szCs w:val="21"/>
                <w:highlight w:val="none"/>
              </w:rPr>
              <w:t>用于</w:t>
            </w:r>
            <w:r>
              <w:rPr>
                <w:rFonts w:hint="eastAsia" w:ascii="宋体" w:hAnsi="宋体" w:eastAsia="宋体" w:cs="宋体"/>
                <w:color w:val="auto"/>
                <w:sz w:val="21"/>
                <w:szCs w:val="21"/>
                <w:highlight w:val="none"/>
                <w:lang w:eastAsia="zh-CN"/>
              </w:rPr>
              <w:t>凤凰山森林</w:t>
            </w:r>
            <w:r>
              <w:rPr>
                <w:rFonts w:hint="eastAsia" w:ascii="宋体" w:hAnsi="宋体" w:eastAsia="宋体" w:cs="宋体"/>
                <w:color w:val="auto"/>
                <w:sz w:val="21"/>
                <w:szCs w:val="21"/>
                <w:highlight w:val="none"/>
              </w:rPr>
              <w:t>公园日常巡逻，此项费用包含在投标报价中。</w:t>
            </w:r>
          </w:p>
          <w:p w14:paraId="34EDE0F6">
            <w:pPr>
              <w:spacing w:after="0" w:line="320" w:lineRule="exact"/>
              <w:ind w:left="0" w:leftChars="0" w:firstLine="0" w:firstLineChars="0"/>
              <w:rPr>
                <w:rFonts w:hint="eastAsia" w:ascii="宋体" w:hAnsi="宋体" w:eastAsia="宋体" w:cs="宋体"/>
                <w:color w:val="auto"/>
                <w:kern w:val="0"/>
                <w:sz w:val="21"/>
                <w:szCs w:val="21"/>
                <w:highlight w:val="none"/>
              </w:rPr>
            </w:pPr>
            <w:r>
              <w:rPr>
                <w:rFonts w:hint="eastAsia" w:ascii="宋体" w:hAnsi="宋体" w:eastAsia="宋体" w:cs="宋体"/>
                <w:bCs/>
                <w:color w:val="auto"/>
                <w:kern w:val="44"/>
                <w:sz w:val="21"/>
                <w:szCs w:val="21"/>
                <w:highlight w:val="none"/>
              </w:rPr>
              <w:t>3、</w:t>
            </w:r>
            <w:r>
              <w:rPr>
                <w:rFonts w:hint="eastAsia" w:ascii="宋体" w:hAnsi="宋体" w:eastAsia="宋体" w:cs="宋体"/>
                <w:color w:val="auto"/>
                <w:sz w:val="21"/>
                <w:szCs w:val="21"/>
                <w:highlight w:val="none"/>
              </w:rPr>
              <w:t>投标单位必须自带2台无人机用于公园应急、救助、森林火灾定位、巡查，此项费用包含在投标报价中。</w:t>
            </w:r>
          </w:p>
          <w:tbl>
            <w:tblPr>
              <w:tblStyle w:val="4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4"/>
              <w:gridCol w:w="2081"/>
              <w:gridCol w:w="1134"/>
              <w:gridCol w:w="3114"/>
            </w:tblGrid>
            <w:tr w14:paraId="5496E2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33" w:hRule="atLeast"/>
                <w:jc w:val="center"/>
              </w:trPr>
              <w:tc>
                <w:tcPr>
                  <w:tcW w:w="864" w:type="dxa"/>
                  <w:noWrap w:val="0"/>
                  <w:vAlign w:val="top"/>
                </w:tcPr>
                <w:p w14:paraId="11511C28">
                  <w:pPr>
                    <w:spacing w:after="0" w:line="32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序号</w:t>
                  </w:r>
                </w:p>
              </w:tc>
              <w:tc>
                <w:tcPr>
                  <w:tcW w:w="2081" w:type="dxa"/>
                  <w:noWrap w:val="0"/>
                  <w:vAlign w:val="center"/>
                </w:tcPr>
                <w:p w14:paraId="60CA3068">
                  <w:pPr>
                    <w:spacing w:after="0" w:line="32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设备名称</w:t>
                  </w:r>
                </w:p>
              </w:tc>
              <w:tc>
                <w:tcPr>
                  <w:tcW w:w="1134" w:type="dxa"/>
                  <w:noWrap w:val="0"/>
                  <w:vAlign w:val="center"/>
                </w:tcPr>
                <w:p w14:paraId="57139488">
                  <w:pPr>
                    <w:spacing w:after="0" w:line="32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数量</w:t>
                  </w:r>
                </w:p>
              </w:tc>
              <w:tc>
                <w:tcPr>
                  <w:tcW w:w="3114" w:type="dxa"/>
                  <w:noWrap w:val="0"/>
                  <w:vAlign w:val="top"/>
                </w:tcPr>
                <w:p w14:paraId="4A375B7C">
                  <w:pPr>
                    <w:spacing w:after="0" w:line="32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备注</w:t>
                  </w:r>
                </w:p>
              </w:tc>
            </w:tr>
            <w:tr w14:paraId="27CE2A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33" w:hRule="atLeast"/>
                <w:jc w:val="center"/>
              </w:trPr>
              <w:tc>
                <w:tcPr>
                  <w:tcW w:w="864" w:type="dxa"/>
                  <w:noWrap w:val="0"/>
                  <w:vAlign w:val="center"/>
                </w:tcPr>
                <w:p w14:paraId="1F4B321F">
                  <w:pPr>
                    <w:spacing w:after="0" w:line="32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2081" w:type="dxa"/>
                  <w:noWrap w:val="0"/>
                  <w:vAlign w:val="center"/>
                </w:tcPr>
                <w:p w14:paraId="34521C6E">
                  <w:pPr>
                    <w:widowControl/>
                    <w:spacing w:after="0" w:afterLines="0" w:line="320" w:lineRule="exact"/>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无人机</w:t>
                  </w:r>
                </w:p>
              </w:tc>
              <w:tc>
                <w:tcPr>
                  <w:tcW w:w="1134" w:type="dxa"/>
                  <w:noWrap w:val="0"/>
                  <w:vAlign w:val="center"/>
                </w:tcPr>
                <w:p w14:paraId="4293EFCC">
                  <w:pPr>
                    <w:widowControl/>
                    <w:spacing w:after="0" w:afterLines="0" w:line="320" w:lineRule="exact"/>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w:t>
                  </w:r>
                </w:p>
              </w:tc>
              <w:tc>
                <w:tcPr>
                  <w:tcW w:w="3114" w:type="dxa"/>
                  <w:noWrap w:val="0"/>
                  <w:vAlign w:val="center"/>
                </w:tcPr>
                <w:p w14:paraId="2E5046F8">
                  <w:pPr>
                    <w:snapToGrid/>
                    <w:spacing w:after="0" w:afterLines="0" w:line="32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不得低于以下参数:</w:t>
                  </w:r>
                </w:p>
                <w:p w14:paraId="6E58120E">
                  <w:pPr>
                    <w:snapToGrid/>
                    <w:spacing w:after="0" w:afterLines="0" w:line="32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1、最大上升速度 5m/s </w:t>
                  </w:r>
                </w:p>
                <w:p w14:paraId="4BBADDBF">
                  <w:pPr>
                    <w:snapToGrid/>
                    <w:spacing w:after="0" w:afterLines="0" w:line="32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2、最大下降速度 4m/s </w:t>
                  </w:r>
                </w:p>
                <w:p w14:paraId="52949092">
                  <w:pPr>
                    <w:snapToGrid/>
                    <w:spacing w:after="0" w:afterLines="0" w:line="32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3、最大水平飞行速度 18m/s（ATTI 模式下，海平面附近无风环境） </w:t>
                  </w:r>
                </w:p>
                <w:p w14:paraId="3E160E2D">
                  <w:pPr>
                    <w:snapToGrid/>
                    <w:spacing w:after="0" w:afterLines="0" w:line="32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4、最大起飞海拔高度 4,500m </w:t>
                  </w:r>
                </w:p>
                <w:p w14:paraId="1C94C01E">
                  <w:pPr>
                    <w:snapToGrid/>
                    <w:spacing w:after="0" w:afterLines="0" w:line="32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5、最大可承受风速 10m/s </w:t>
                  </w:r>
                </w:p>
                <w:p w14:paraId="2AEACBC3">
                  <w:pPr>
                    <w:snapToGrid/>
                    <w:spacing w:after="0" w:afterLines="0" w:line="32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6、最大飞行时间 约15分钟 </w:t>
                  </w:r>
                </w:p>
                <w:p w14:paraId="1CA932BA">
                  <w:pPr>
                    <w:snapToGrid/>
                    <w:spacing w:after="0" w:afterLines="0" w:line="32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7、有效像素 1600万 </w:t>
                  </w:r>
                </w:p>
                <w:p w14:paraId="663A9BE8">
                  <w:pPr>
                    <w:widowControl/>
                    <w:spacing w:after="0" w:afterLines="0" w:line="320" w:lineRule="exact"/>
                    <w:jc w:val="left"/>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8、照片最大分辨率 4608×3456</w:t>
                  </w:r>
                </w:p>
              </w:tc>
            </w:tr>
          </w:tbl>
          <w:p w14:paraId="1B3BA382">
            <w:pPr>
              <w:tabs>
                <w:tab w:val="right" w:leader="dot" w:pos="8296"/>
              </w:tabs>
              <w:spacing w:line="320" w:lineRule="exact"/>
              <w:ind w:firstLine="0" w:firstLineChars="0"/>
              <w:rPr>
                <w:rFonts w:hint="eastAsia" w:ascii="宋体" w:hAnsi="宋体" w:eastAsia="宋体" w:cs="宋体"/>
                <w:bCs/>
                <w:color w:val="auto"/>
                <w:kern w:val="44"/>
                <w:sz w:val="21"/>
                <w:szCs w:val="21"/>
                <w:highlight w:val="none"/>
              </w:rPr>
            </w:pPr>
            <w:r>
              <w:rPr>
                <w:rFonts w:hint="eastAsia" w:ascii="宋体" w:hAnsi="宋体" w:eastAsia="宋体" w:cs="宋体"/>
                <w:bCs/>
                <w:color w:val="auto"/>
                <w:kern w:val="44"/>
                <w:sz w:val="21"/>
                <w:szCs w:val="21"/>
                <w:highlight w:val="none"/>
              </w:rPr>
              <w:t>备注：投标单位在合同期内配备至少8</w:t>
            </w:r>
            <w:r>
              <w:rPr>
                <w:rFonts w:hint="default" w:ascii="宋体" w:hAnsi="宋体" w:eastAsia="宋体" w:cs="宋体"/>
                <w:bCs/>
                <w:color w:val="auto"/>
                <w:kern w:val="44"/>
                <w:sz w:val="21"/>
                <w:szCs w:val="21"/>
                <w:highlight w:val="none"/>
              </w:rPr>
              <w:t xml:space="preserve"> </w:t>
            </w:r>
            <w:r>
              <w:rPr>
                <w:rFonts w:hint="eastAsia" w:ascii="宋体" w:hAnsi="宋体" w:eastAsia="宋体" w:cs="宋体"/>
                <w:bCs/>
                <w:color w:val="auto"/>
                <w:kern w:val="44"/>
                <w:sz w:val="21"/>
                <w:szCs w:val="21"/>
                <w:highlight w:val="none"/>
                <w:lang w:eastAsia="zh-CN"/>
              </w:rPr>
              <w:t>辆</w:t>
            </w:r>
            <w:r>
              <w:rPr>
                <w:rFonts w:hint="default" w:ascii="宋体" w:hAnsi="宋体" w:eastAsia="宋体" w:cs="宋体"/>
                <w:bCs/>
                <w:color w:val="auto"/>
                <w:kern w:val="44"/>
                <w:sz w:val="21"/>
                <w:szCs w:val="21"/>
                <w:highlight w:val="none"/>
                <w:lang w:eastAsia="zh-CN"/>
              </w:rPr>
              <w:t>两轮</w:t>
            </w:r>
            <w:r>
              <w:rPr>
                <w:rFonts w:hint="default" w:ascii="宋体" w:hAnsi="宋体" w:eastAsia="宋体" w:cs="宋体"/>
                <w:bCs/>
                <w:color w:val="auto"/>
                <w:kern w:val="44"/>
                <w:sz w:val="21"/>
                <w:szCs w:val="21"/>
                <w:highlight w:val="none"/>
              </w:rPr>
              <w:t>燃油警用摩托车</w:t>
            </w:r>
            <w:r>
              <w:rPr>
                <w:rFonts w:hint="eastAsia" w:ascii="宋体" w:hAnsi="宋体" w:eastAsia="宋体" w:cs="宋体"/>
                <w:bCs/>
                <w:color w:val="auto"/>
                <w:kern w:val="44"/>
                <w:sz w:val="21"/>
                <w:szCs w:val="21"/>
                <w:highlight w:val="none"/>
              </w:rPr>
              <w:t>、</w:t>
            </w:r>
            <w:r>
              <w:rPr>
                <w:rFonts w:hint="default" w:ascii="宋体" w:hAnsi="宋体" w:eastAsia="宋体" w:cs="宋体"/>
                <w:bCs/>
                <w:color w:val="auto"/>
                <w:kern w:val="44"/>
                <w:sz w:val="21"/>
                <w:szCs w:val="21"/>
                <w:highlight w:val="none"/>
              </w:rPr>
              <w:t>2</w:t>
            </w:r>
            <w:r>
              <w:rPr>
                <w:rFonts w:hint="eastAsia" w:ascii="宋体" w:hAnsi="宋体" w:eastAsia="宋体" w:cs="宋体"/>
                <w:bCs/>
                <w:color w:val="auto"/>
                <w:kern w:val="44"/>
                <w:sz w:val="21"/>
                <w:szCs w:val="21"/>
                <w:highlight w:val="none"/>
              </w:rPr>
              <w:t>辆</w:t>
            </w:r>
            <w:r>
              <w:rPr>
                <w:rFonts w:hint="default" w:ascii="宋体" w:hAnsi="宋体" w:eastAsia="宋体" w:cs="宋体"/>
                <w:bCs/>
                <w:color w:val="auto"/>
                <w:kern w:val="44"/>
                <w:sz w:val="21"/>
                <w:szCs w:val="21"/>
                <w:highlight w:val="none"/>
              </w:rPr>
              <w:t>5座</w:t>
            </w:r>
            <w:r>
              <w:rPr>
                <w:rFonts w:hint="eastAsia" w:ascii="宋体" w:hAnsi="宋体" w:eastAsia="宋体" w:cs="宋体"/>
                <w:bCs/>
                <w:color w:val="auto"/>
                <w:kern w:val="44"/>
                <w:sz w:val="21"/>
                <w:szCs w:val="21"/>
                <w:highlight w:val="none"/>
              </w:rPr>
              <w:t>警用巡逻电瓶车</w:t>
            </w:r>
            <w:r>
              <w:rPr>
                <w:rFonts w:hint="default" w:ascii="宋体" w:hAnsi="宋体" w:eastAsia="宋体" w:cs="宋体"/>
                <w:bCs/>
                <w:color w:val="auto"/>
                <w:kern w:val="44"/>
                <w:sz w:val="21"/>
                <w:szCs w:val="21"/>
                <w:highlight w:val="none"/>
              </w:rPr>
              <w:t>（电机72V/7.5KW、电池磷酸铁锂电池；满载爬坡度35度）</w:t>
            </w:r>
            <w:r>
              <w:rPr>
                <w:rFonts w:hint="eastAsia" w:ascii="宋体" w:hAnsi="宋体" w:eastAsia="宋体" w:cs="宋体"/>
                <w:bCs/>
                <w:color w:val="auto"/>
                <w:kern w:val="44"/>
                <w:sz w:val="21"/>
                <w:szCs w:val="21"/>
                <w:highlight w:val="none"/>
              </w:rPr>
              <w:t>、</w:t>
            </w:r>
            <w:r>
              <w:rPr>
                <w:rFonts w:hint="default" w:ascii="宋体" w:hAnsi="宋体" w:eastAsia="宋体" w:cs="宋体"/>
                <w:bCs/>
                <w:color w:val="auto"/>
                <w:kern w:val="44"/>
                <w:sz w:val="21"/>
                <w:szCs w:val="21"/>
                <w:highlight w:val="none"/>
              </w:rPr>
              <w:t>3</w:t>
            </w:r>
            <w:r>
              <w:rPr>
                <w:rFonts w:hint="eastAsia" w:ascii="宋体" w:hAnsi="宋体" w:eastAsia="宋体" w:cs="宋体"/>
                <w:bCs/>
                <w:color w:val="auto"/>
                <w:kern w:val="44"/>
                <w:sz w:val="21"/>
                <w:szCs w:val="21"/>
                <w:highlight w:val="none"/>
              </w:rPr>
              <w:t>辆</w:t>
            </w:r>
            <w:r>
              <w:rPr>
                <w:rFonts w:hint="default" w:ascii="宋体" w:hAnsi="宋体" w:eastAsia="宋体" w:cs="宋体"/>
                <w:bCs/>
                <w:color w:val="auto"/>
                <w:kern w:val="44"/>
                <w:sz w:val="21"/>
                <w:szCs w:val="21"/>
                <w:highlight w:val="none"/>
              </w:rPr>
              <w:t>8座</w:t>
            </w:r>
            <w:r>
              <w:rPr>
                <w:rFonts w:hint="eastAsia" w:ascii="宋体" w:hAnsi="宋体" w:eastAsia="宋体" w:cs="宋体"/>
                <w:bCs/>
                <w:color w:val="auto"/>
                <w:kern w:val="44"/>
                <w:sz w:val="21"/>
                <w:szCs w:val="21"/>
                <w:highlight w:val="none"/>
              </w:rPr>
              <w:t>巡</w:t>
            </w:r>
            <w:r>
              <w:rPr>
                <w:rFonts w:hint="default" w:ascii="宋体" w:hAnsi="宋体" w:eastAsia="宋体" w:cs="宋体"/>
                <w:bCs/>
                <w:color w:val="auto"/>
                <w:kern w:val="44"/>
                <w:sz w:val="21"/>
                <w:szCs w:val="21"/>
                <w:highlight w:val="none"/>
              </w:rPr>
              <w:t>逻电瓶车（电机72V/7.5KW、电池磷酸铁锂电池；满载爬坡度35度）、1辆5座货斗电瓶车（电机72V/7.5KW、电池磷酸铁锂电池；满载爬坡度35度）、</w:t>
            </w:r>
            <w:r>
              <w:rPr>
                <w:rFonts w:hint="eastAsia" w:ascii="宋体" w:hAnsi="宋体" w:eastAsia="宋体" w:cs="宋体"/>
                <w:bCs/>
                <w:color w:val="auto"/>
                <w:kern w:val="44"/>
                <w:sz w:val="21"/>
                <w:szCs w:val="21"/>
                <w:highlight w:val="none"/>
              </w:rPr>
              <w:t>1辆巡查工作车辆（7座）</w:t>
            </w:r>
            <w:r>
              <w:rPr>
                <w:rFonts w:hint="eastAsia" w:ascii="宋体" w:hAnsi="宋体" w:eastAsia="宋体" w:cs="宋体"/>
                <w:bCs/>
                <w:color w:val="auto"/>
                <w:kern w:val="44"/>
                <w:sz w:val="21"/>
                <w:szCs w:val="21"/>
                <w:highlight w:val="none"/>
                <w:lang w:eastAsia="zh-CN"/>
              </w:rPr>
              <w:t>、</w:t>
            </w:r>
            <w:r>
              <w:rPr>
                <w:rFonts w:hint="eastAsia" w:ascii="宋体" w:hAnsi="宋体" w:eastAsia="宋体" w:cs="宋体"/>
                <w:bCs/>
                <w:color w:val="auto"/>
                <w:kern w:val="44"/>
                <w:sz w:val="21"/>
                <w:szCs w:val="21"/>
                <w:highlight w:val="none"/>
              </w:rPr>
              <w:t>2台无人机供本项目使用，用于</w:t>
            </w:r>
            <w:r>
              <w:rPr>
                <w:rFonts w:hint="eastAsia" w:ascii="宋体" w:hAnsi="宋体" w:eastAsia="宋体" w:cs="宋体"/>
                <w:color w:val="auto"/>
                <w:sz w:val="21"/>
                <w:szCs w:val="21"/>
                <w:highlight w:val="none"/>
                <w:lang w:eastAsia="zh-CN"/>
              </w:rPr>
              <w:t>凤凰山森林</w:t>
            </w:r>
            <w:r>
              <w:rPr>
                <w:rFonts w:hint="eastAsia" w:ascii="宋体" w:hAnsi="宋体" w:eastAsia="宋体" w:cs="宋体"/>
                <w:color w:val="auto"/>
                <w:sz w:val="21"/>
                <w:szCs w:val="21"/>
                <w:highlight w:val="none"/>
              </w:rPr>
              <w:t>公园</w:t>
            </w:r>
            <w:r>
              <w:rPr>
                <w:rFonts w:hint="eastAsia" w:ascii="宋体" w:hAnsi="宋体" w:eastAsia="宋体" w:cs="宋体"/>
                <w:bCs/>
                <w:color w:val="auto"/>
                <w:kern w:val="44"/>
                <w:sz w:val="21"/>
                <w:szCs w:val="21"/>
                <w:highlight w:val="none"/>
              </w:rPr>
              <w:t>日常巡查、应急、救助、处理突发事件等，并在合同签订日起10个工作日内配置到位。 逾期未配备的按照：[车辆：未到位车辆×500元×逾期天数（自然日）]、[其他设备：未到位设备×100元×逾期天数（自然日）]扣除相关费用，逾期超过7个自然日仍未配齐的，采购单位有权解除合同，由中标单位承担相关违约责任，并向采购单位赔偿中标价20%的金额作为违约金。</w:t>
            </w:r>
          </w:p>
          <w:p w14:paraId="3D311A2A">
            <w:pPr>
              <w:numPr>
                <w:ilvl w:val="0"/>
                <w:numId w:val="7"/>
              </w:numPr>
              <w:spacing w:after="0" w:line="320" w:lineRule="exact"/>
              <w:ind w:firstLine="0" w:firstLineChars="0"/>
              <w:jc w:val="left"/>
              <w:rPr>
                <w:rFonts w:hint="eastAsia" w:ascii="宋体" w:hAnsi="宋体" w:eastAsia="宋体" w:cs="宋体"/>
                <w:b/>
                <w:bCs/>
                <w:color w:val="0000FF"/>
                <w:kern w:val="44"/>
                <w:sz w:val="21"/>
                <w:szCs w:val="21"/>
                <w:highlight w:val="none"/>
              </w:rPr>
            </w:pPr>
            <w:r>
              <w:rPr>
                <w:rFonts w:hint="eastAsia" w:ascii="宋体" w:hAnsi="宋体" w:eastAsia="宋体" w:cs="宋体"/>
                <w:bCs/>
                <w:color w:val="auto"/>
                <w:kern w:val="44"/>
                <w:sz w:val="21"/>
                <w:szCs w:val="21"/>
                <w:highlight w:val="none"/>
              </w:rPr>
              <w:t>投标单位必须安排经费用于搭建凤凰山森林公园安保视频监控（临时）指挥平台（国庆）租赁服务和凤凰山森林公园安保视频监控（临时）指挥平台（春节）租赁服务（</w:t>
            </w:r>
            <w:r>
              <w:rPr>
                <w:rFonts w:hint="eastAsia" w:ascii="宋体" w:hAnsi="宋体" w:cs="宋体"/>
                <w:bCs/>
                <w:color w:val="auto"/>
                <w:kern w:val="44"/>
                <w:sz w:val="21"/>
                <w:szCs w:val="21"/>
                <w:highlight w:val="yellow"/>
                <w:lang w:val="en-US" w:eastAsia="zh-CN"/>
              </w:rPr>
              <w:t>中标后根据采购人要求实施</w:t>
            </w:r>
            <w:r>
              <w:rPr>
                <w:rFonts w:hint="eastAsia" w:ascii="宋体" w:hAnsi="宋体" w:eastAsia="宋体" w:cs="宋体"/>
                <w:bCs/>
                <w:color w:val="auto"/>
                <w:kern w:val="44"/>
                <w:sz w:val="21"/>
                <w:szCs w:val="21"/>
                <w:highlight w:val="none"/>
              </w:rPr>
              <w:t>）。</w:t>
            </w:r>
            <w:r>
              <w:rPr>
                <w:rFonts w:hint="eastAsia" w:ascii="宋体" w:hAnsi="宋体" w:eastAsia="宋体" w:cs="宋体"/>
                <w:b/>
                <w:bCs/>
                <w:color w:val="0000FF"/>
                <w:kern w:val="44"/>
                <w:sz w:val="21"/>
                <w:szCs w:val="21"/>
                <w:highlight w:val="none"/>
              </w:rPr>
              <w:t>（</w:t>
            </w:r>
            <w:r>
              <w:rPr>
                <w:rFonts w:hint="eastAsia" w:ascii="宋体" w:hAnsi="宋体" w:eastAsia="宋体" w:cs="宋体"/>
                <w:b/>
                <w:color w:val="0000FF"/>
                <w:sz w:val="21"/>
                <w:szCs w:val="21"/>
                <w:highlight w:val="none"/>
              </w:rPr>
              <w:t>供应商可根据实际情况自行测算报价</w:t>
            </w:r>
            <w:r>
              <w:rPr>
                <w:rFonts w:hint="eastAsia" w:ascii="宋体" w:hAnsi="宋体" w:eastAsia="宋体" w:cs="宋体"/>
                <w:b/>
                <w:bCs/>
                <w:color w:val="0000FF"/>
                <w:kern w:val="44"/>
                <w:sz w:val="21"/>
                <w:szCs w:val="21"/>
                <w:highlight w:val="none"/>
              </w:rPr>
              <w:t>）</w:t>
            </w:r>
          </w:p>
          <w:p w14:paraId="55239BD4">
            <w:pPr>
              <w:pStyle w:val="2"/>
              <w:numPr>
                <w:ilvl w:val="-1"/>
                <w:numId w:val="0"/>
              </w:numPr>
              <w:ind w:firstLine="0"/>
              <w:rPr>
                <w:rFonts w:hint="default" w:eastAsia="宋体"/>
                <w:lang w:val="en-US" w:eastAsia="zh-CN"/>
              </w:rPr>
            </w:pPr>
            <w:r>
              <w:rPr>
                <w:rFonts w:hint="eastAsia" w:ascii="宋体" w:hAnsi="宋体" w:cs="宋体"/>
                <w:b w:val="0"/>
                <w:bCs w:val="0"/>
                <w:color w:val="0000FF"/>
                <w:kern w:val="44"/>
                <w:sz w:val="21"/>
                <w:szCs w:val="21"/>
                <w:highlight w:val="none"/>
                <w:lang w:val="en-US" w:eastAsia="zh-CN"/>
              </w:rPr>
              <w:t>4.1</w:t>
            </w:r>
            <w:r>
              <w:rPr>
                <w:rFonts w:hint="eastAsia" w:ascii="宋体" w:hAnsi="宋体" w:cs="宋体"/>
                <w:b w:val="0"/>
                <w:bCs w:val="0"/>
                <w:color w:val="0000FF"/>
                <w:kern w:val="44"/>
                <w:sz w:val="21"/>
                <w:szCs w:val="21"/>
                <w:highlight w:val="none"/>
                <w:lang w:val="en-US" w:eastAsia="zh-CN"/>
              </w:rPr>
              <w:t>中标人需根据安保视频监控（临时）服务方案组件</w:t>
            </w:r>
            <w:r>
              <w:rPr>
                <w:rFonts w:hint="eastAsia" w:ascii="宋体" w:hAnsi="宋体" w:eastAsia="宋体" w:cs="宋体"/>
                <w:b w:val="0"/>
                <w:bCs w:val="0"/>
                <w:color w:val="0000FF"/>
                <w:kern w:val="44"/>
                <w:sz w:val="21"/>
                <w:szCs w:val="21"/>
                <w:highlight w:val="none"/>
                <w:u w:val="none"/>
              </w:rPr>
              <w:t>安保视频监控(临时)指挥平台组</w:t>
            </w:r>
            <w:r>
              <w:rPr>
                <w:rFonts w:hint="eastAsia" w:ascii="宋体" w:hAnsi="宋体" w:cs="宋体"/>
                <w:b w:val="0"/>
                <w:bCs w:val="0"/>
                <w:color w:val="0000FF"/>
                <w:kern w:val="44"/>
                <w:sz w:val="21"/>
                <w:szCs w:val="21"/>
                <w:highlight w:val="none"/>
                <w:lang w:val="en-US" w:eastAsia="zh-CN"/>
              </w:rPr>
              <w:t>，人员不得少于</w:t>
            </w:r>
            <w:r>
              <w:rPr>
                <w:rFonts w:hint="eastAsia" w:ascii="宋体" w:hAnsi="宋体" w:cs="宋体"/>
                <w:b w:val="0"/>
                <w:bCs w:val="0"/>
                <w:color w:val="0000FF"/>
                <w:kern w:val="44"/>
                <w:sz w:val="21"/>
                <w:szCs w:val="21"/>
                <w:highlight w:val="none"/>
                <w:lang w:val="en-US" w:eastAsia="zh-CN"/>
              </w:rPr>
              <w:t>5人</w:t>
            </w:r>
            <w:r>
              <w:rPr>
                <w:rFonts w:hint="eastAsia" w:ascii="宋体" w:hAnsi="宋体" w:cs="宋体"/>
                <w:b w:val="0"/>
                <w:bCs w:val="0"/>
                <w:color w:val="0000FF"/>
                <w:kern w:val="44"/>
                <w:sz w:val="21"/>
                <w:szCs w:val="21"/>
                <w:highlight w:val="none"/>
                <w:lang w:val="en-US" w:eastAsia="zh-CN"/>
              </w:rPr>
              <w:t>包括</w:t>
            </w:r>
            <w:r>
              <w:rPr>
                <w:rFonts w:hint="eastAsia" w:ascii="宋体" w:hAnsi="宋体" w:cs="宋体"/>
                <w:b w:val="0"/>
                <w:bCs w:val="0"/>
                <w:color w:val="0000FF"/>
                <w:kern w:val="44"/>
                <w:sz w:val="21"/>
                <w:szCs w:val="21"/>
                <w:highlight w:val="none"/>
                <w:lang w:val="en-US" w:eastAsia="zh-CN"/>
              </w:rPr>
              <w:t>：1名组长，组长需具有信息安全、系统运维、计算机相关等知识，能很好的统筹团队工作，协调项目产生的一系列问题；1名技术负责人协助组长的工作具有计算机网络相关知识；3名组员负责本项目的本项目信息安全保障工作，具有安防相关知识</w:t>
            </w:r>
            <w:r>
              <w:rPr>
                <w:rFonts w:hint="eastAsia" w:ascii="宋体" w:hAnsi="宋体" w:cs="宋体"/>
                <w:b w:val="0"/>
                <w:bCs w:val="0"/>
                <w:color w:val="0000FF"/>
                <w:kern w:val="44"/>
                <w:sz w:val="21"/>
                <w:szCs w:val="21"/>
                <w:highlight w:val="none"/>
                <w:lang w:val="en-US" w:eastAsia="zh-CN"/>
              </w:rPr>
              <w:t>。</w:t>
            </w:r>
          </w:p>
          <w:p w14:paraId="1FB1C038">
            <w:pPr>
              <w:spacing w:after="0" w:line="320" w:lineRule="exact"/>
              <w:ind w:firstLine="0" w:firstLineChars="0"/>
              <w:jc w:val="left"/>
              <w:rPr>
                <w:rFonts w:hint="eastAsia" w:ascii="宋体" w:hAnsi="宋体" w:eastAsia="宋体" w:cs="宋体"/>
                <w:bCs/>
                <w:color w:val="auto"/>
                <w:kern w:val="44"/>
                <w:sz w:val="21"/>
                <w:szCs w:val="21"/>
                <w:highlight w:val="none"/>
              </w:rPr>
            </w:pPr>
            <w:r>
              <w:rPr>
                <w:rFonts w:hint="eastAsia" w:ascii="宋体" w:hAnsi="宋体" w:eastAsia="宋体" w:cs="宋体"/>
                <w:bCs/>
                <w:color w:val="auto"/>
                <w:kern w:val="44"/>
                <w:sz w:val="21"/>
                <w:szCs w:val="21"/>
                <w:highlight w:val="none"/>
                <w:lang w:val="en-US" w:eastAsia="zh-CN"/>
              </w:rPr>
              <w:t>5</w:t>
            </w:r>
            <w:r>
              <w:rPr>
                <w:rFonts w:hint="eastAsia" w:ascii="宋体" w:hAnsi="宋体" w:eastAsia="宋体" w:cs="宋体"/>
                <w:bCs/>
                <w:color w:val="auto"/>
                <w:kern w:val="44"/>
                <w:sz w:val="21"/>
                <w:szCs w:val="21"/>
                <w:highlight w:val="none"/>
              </w:rPr>
              <w:t>、投标单位为本项目配备5台不低于45座的车辆，用于凤凰山森林公园节假日安保增聘人员的及时运送，</w:t>
            </w:r>
            <w:r>
              <w:rPr>
                <w:rFonts w:hint="eastAsia" w:ascii="宋体" w:hAnsi="宋体" w:eastAsia="宋体" w:cs="宋体"/>
                <w:color w:val="auto"/>
                <w:sz w:val="21"/>
                <w:szCs w:val="21"/>
                <w:highlight w:val="none"/>
              </w:rPr>
              <w:t>此项费用包含在投标报价中。</w:t>
            </w:r>
          </w:p>
          <w:p w14:paraId="056BFC22">
            <w:pPr>
              <w:spacing w:before="0" w:after="60" w:afterLines="25" w:line="320" w:lineRule="exact"/>
              <w:ind w:firstLine="0" w:firstLineChars="0"/>
              <w:jc w:val="left"/>
              <w:rPr>
                <w:rFonts w:hint="eastAsia" w:ascii="宋体" w:hAnsi="宋体" w:eastAsia="宋体" w:cs="宋体"/>
                <w:color w:val="auto"/>
                <w:sz w:val="21"/>
                <w:szCs w:val="21"/>
                <w:highlight w:val="none"/>
              </w:rPr>
            </w:pPr>
            <w:r>
              <w:rPr>
                <w:rFonts w:hint="eastAsia" w:ascii="宋体" w:hAnsi="宋体" w:eastAsia="宋体" w:cs="宋体"/>
                <w:bCs/>
                <w:color w:val="auto"/>
                <w:kern w:val="44"/>
                <w:sz w:val="21"/>
                <w:szCs w:val="21"/>
                <w:highlight w:val="none"/>
                <w:lang w:val="en-US" w:eastAsia="zh-CN"/>
              </w:rPr>
              <w:t>6</w:t>
            </w:r>
            <w:r>
              <w:rPr>
                <w:rFonts w:hint="eastAsia" w:ascii="宋体" w:hAnsi="宋体" w:eastAsia="宋体" w:cs="宋体"/>
                <w:bCs/>
                <w:color w:val="auto"/>
                <w:kern w:val="44"/>
                <w:sz w:val="21"/>
                <w:szCs w:val="21"/>
                <w:highlight w:val="none"/>
              </w:rPr>
              <w:t>、中标单位应在服务标段附近的街道辖区设立项目管理人员办公场所，并在合同签订日起15天内设立和运作，办公场所租金、水电费用、办公设备及日常用品等</w:t>
            </w:r>
            <w:r>
              <w:rPr>
                <w:rFonts w:hint="eastAsia" w:ascii="宋体" w:hAnsi="宋体" w:eastAsia="宋体" w:cs="宋体"/>
                <w:bCs/>
                <w:color w:val="auto"/>
                <w:kern w:val="44"/>
                <w:sz w:val="21"/>
                <w:szCs w:val="21"/>
                <w:highlight w:val="none"/>
                <w:lang w:eastAsia="zh-CN"/>
              </w:rPr>
              <w:t>，</w:t>
            </w:r>
            <w:r>
              <w:rPr>
                <w:rFonts w:hint="eastAsia" w:ascii="宋体" w:hAnsi="宋体" w:eastAsia="宋体" w:cs="宋体"/>
                <w:color w:val="auto"/>
                <w:sz w:val="21"/>
                <w:szCs w:val="21"/>
                <w:highlight w:val="none"/>
              </w:rPr>
              <w:t>此项费用包含在投标报价中。</w:t>
            </w:r>
          </w:p>
          <w:p w14:paraId="2C0076A0">
            <w:pPr>
              <w:spacing w:before="0" w:after="60" w:afterLines="25" w:line="320" w:lineRule="exact"/>
              <w:ind w:firstLine="0" w:firstLineChars="0"/>
              <w:jc w:val="left"/>
              <w:rPr>
                <w:rFonts w:hint="eastAsia" w:ascii="宋体" w:hAnsi="宋体" w:eastAsia="宋体" w:cs="宋体"/>
                <w:color w:val="auto"/>
                <w:sz w:val="21"/>
                <w:szCs w:val="21"/>
                <w:highlight w:val="none"/>
              </w:rPr>
            </w:pPr>
            <w:r>
              <w:rPr>
                <w:rFonts w:hint="eastAsia" w:ascii="宋体" w:hAnsi="宋体" w:eastAsia="宋体" w:cs="宋体"/>
                <w:bCs/>
                <w:color w:val="auto"/>
                <w:kern w:val="44"/>
                <w:sz w:val="21"/>
                <w:szCs w:val="21"/>
                <w:highlight w:val="none"/>
                <w:lang w:val="en-US" w:eastAsia="zh-CN"/>
              </w:rPr>
              <w:t>7</w:t>
            </w:r>
            <w:r>
              <w:rPr>
                <w:rFonts w:hint="eastAsia" w:ascii="宋体" w:hAnsi="宋体" w:eastAsia="宋体" w:cs="宋体"/>
                <w:bCs/>
                <w:color w:val="auto"/>
                <w:kern w:val="44"/>
                <w:sz w:val="21"/>
                <w:szCs w:val="21"/>
                <w:highlight w:val="none"/>
              </w:rPr>
              <w:t>、中标单位在服务期内自行到有关部门为作业车辆办理进出高速公路和处理场所的有关证件，进出高速公路等所产生的一切费用等</w:t>
            </w:r>
            <w:r>
              <w:rPr>
                <w:rFonts w:hint="eastAsia" w:ascii="宋体" w:hAnsi="宋体" w:eastAsia="宋体" w:cs="宋体"/>
                <w:bCs/>
                <w:color w:val="auto"/>
                <w:kern w:val="44"/>
                <w:sz w:val="21"/>
                <w:szCs w:val="21"/>
                <w:highlight w:val="none"/>
                <w:lang w:eastAsia="zh-CN"/>
              </w:rPr>
              <w:t>，</w:t>
            </w:r>
            <w:r>
              <w:rPr>
                <w:rFonts w:hint="eastAsia" w:ascii="宋体" w:hAnsi="宋体" w:eastAsia="宋体" w:cs="宋体"/>
                <w:color w:val="auto"/>
                <w:sz w:val="21"/>
                <w:szCs w:val="21"/>
                <w:highlight w:val="none"/>
              </w:rPr>
              <w:t>此项费用包含在投标报价中。</w:t>
            </w:r>
          </w:p>
          <w:p w14:paraId="072CDB13">
            <w:pPr>
              <w:spacing w:after="60" w:afterLines="25" w:line="240" w:lineRule="auto"/>
              <w:ind w:firstLine="0" w:firstLineChars="0"/>
              <w:jc w:val="left"/>
              <w:rPr>
                <w:rFonts w:hint="eastAsia" w:ascii="宋体" w:hAnsi="宋体" w:eastAsia="宋体" w:cs="宋体"/>
                <w:b w:val="0"/>
                <w:bCs/>
                <w:color w:val="auto"/>
                <w:sz w:val="21"/>
                <w:szCs w:val="21"/>
                <w:highlight w:val="none"/>
              </w:rPr>
            </w:pPr>
            <w:r>
              <w:rPr>
                <w:rFonts w:hint="eastAsia" w:ascii="宋体" w:hAnsi="宋体" w:eastAsia="宋体" w:cs="宋体"/>
                <w:color w:val="auto"/>
                <w:sz w:val="21"/>
                <w:szCs w:val="21"/>
                <w:highlight w:val="none"/>
                <w:lang w:val="en-US" w:eastAsia="zh-CN"/>
              </w:rPr>
              <w:t>8、中</w:t>
            </w:r>
            <w:r>
              <w:rPr>
                <w:rFonts w:hint="eastAsia" w:ascii="宋体" w:hAnsi="宋体" w:eastAsia="宋体" w:cs="宋体"/>
                <w:bCs/>
                <w:color w:val="auto"/>
                <w:kern w:val="44"/>
                <w:sz w:val="21"/>
                <w:szCs w:val="21"/>
                <w:highlight w:val="none"/>
                <w:lang w:val="en-US" w:eastAsia="zh-CN"/>
              </w:rPr>
              <w:t>标单位须配备所规定的最低数量同种车辆和设备以及中标单位认为需要配备的其它车辆和设备，并根据类型购买车辆和设备所需的商业保险，中标后向采购单位提供相关证明材料（购置发票扫描或所有权证明，保证设备为本项目专用，及商业保险保险单）。中标服务期间有损坏的车辆和设备要及时维修或更换到位，不得因设备原因而影响日常作业。</w:t>
            </w:r>
          </w:p>
        </w:tc>
      </w:tr>
      <w:tr w14:paraId="3C3D81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1123" w:type="dxa"/>
            <w:tcBorders>
              <w:top w:val="single" w:color="auto" w:sz="4" w:space="0"/>
              <w:left w:val="single" w:color="auto" w:sz="4" w:space="0"/>
              <w:bottom w:val="single" w:color="auto" w:sz="4" w:space="0"/>
              <w:right w:val="single" w:color="auto" w:sz="4" w:space="0"/>
            </w:tcBorders>
            <w:noWrap w:val="0"/>
            <w:vAlign w:val="top"/>
          </w:tcPr>
          <w:p w14:paraId="4580940E">
            <w:pPr>
              <w:spacing w:after="60" w:afterLines="25" w:line="360" w:lineRule="auto"/>
              <w:rPr>
                <w:rFonts w:hint="eastAsia" w:ascii="宋体" w:hAnsi="宋体" w:eastAsia="宋体" w:cs="宋体"/>
                <w:b w:val="0"/>
                <w:bCs/>
                <w:color w:val="auto"/>
                <w:kern w:val="0"/>
                <w:sz w:val="21"/>
                <w:szCs w:val="21"/>
                <w:highlight w:val="none"/>
              </w:rPr>
            </w:pPr>
            <w:r>
              <w:rPr>
                <w:rFonts w:hint="eastAsia" w:ascii="宋体" w:hAnsi="宋体" w:eastAsia="宋体" w:cs="宋体"/>
                <w:b w:val="0"/>
                <w:bCs/>
                <w:color w:val="auto"/>
                <w:kern w:val="0"/>
                <w:sz w:val="21"/>
                <w:szCs w:val="21"/>
                <w:highlight w:val="none"/>
              </w:rPr>
              <w:t>后续服务要求</w:t>
            </w:r>
          </w:p>
        </w:tc>
        <w:tc>
          <w:tcPr>
            <w:tcW w:w="8546" w:type="dxa"/>
            <w:gridSpan w:val="2"/>
            <w:tcBorders>
              <w:top w:val="single" w:color="auto" w:sz="4" w:space="0"/>
              <w:left w:val="single" w:color="auto" w:sz="4" w:space="0"/>
              <w:bottom w:val="single" w:color="auto" w:sz="4" w:space="0"/>
              <w:right w:val="single" w:color="auto" w:sz="4" w:space="0"/>
            </w:tcBorders>
            <w:noWrap w:val="0"/>
            <w:vAlign w:val="top"/>
          </w:tcPr>
          <w:p w14:paraId="10EEAB08">
            <w:pPr>
              <w:spacing w:after="60" w:afterLines="25" w:line="240" w:lineRule="auto"/>
              <w:ind w:firstLine="0" w:firstLineChars="0"/>
              <w:jc w:val="left"/>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eastAsia="zh-CN"/>
              </w:rPr>
              <w:t>1.</w:t>
            </w:r>
            <w:r>
              <w:rPr>
                <w:rFonts w:hint="eastAsia" w:ascii="宋体" w:hAnsi="宋体" w:eastAsia="宋体" w:cs="宋体"/>
                <w:b w:val="0"/>
                <w:bCs/>
                <w:color w:val="auto"/>
                <w:kern w:val="0"/>
                <w:sz w:val="21"/>
                <w:szCs w:val="21"/>
                <w:highlight w:val="none"/>
                <w:lang w:eastAsia="zh-CN"/>
              </w:rPr>
              <w:t xml:space="preserve"> 中标单位</w:t>
            </w:r>
            <w:r>
              <w:rPr>
                <w:rFonts w:hint="eastAsia" w:ascii="宋体" w:hAnsi="宋体" w:eastAsia="宋体" w:cs="宋体"/>
                <w:b w:val="0"/>
                <w:bCs/>
                <w:color w:val="auto"/>
                <w:sz w:val="21"/>
                <w:szCs w:val="21"/>
                <w:highlight w:val="none"/>
                <w:lang w:eastAsia="zh-CN"/>
              </w:rPr>
              <w:t>对工作必须认真负责，积极排查和控制安全隐患，确保公园游客人生安全。若出现重大安全事故或意外，除承担全部经济和法律责任外，还要向当地派出所、公园公开道歉，严肃承诺今后不再出现类似事件。</w:t>
            </w:r>
          </w:p>
          <w:p w14:paraId="7C9631C1">
            <w:pPr>
              <w:spacing w:after="60" w:afterLines="25" w:line="240" w:lineRule="auto"/>
              <w:ind w:firstLine="0" w:firstLineChars="0"/>
              <w:jc w:val="left"/>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eastAsia="zh-CN"/>
              </w:rPr>
              <w:t>2.</w:t>
            </w:r>
            <w:r>
              <w:rPr>
                <w:rFonts w:hint="eastAsia" w:ascii="宋体" w:hAnsi="宋体" w:eastAsia="宋体" w:cs="宋体"/>
                <w:b w:val="0"/>
                <w:bCs/>
                <w:color w:val="auto"/>
                <w:kern w:val="0"/>
                <w:sz w:val="21"/>
                <w:szCs w:val="21"/>
                <w:highlight w:val="none"/>
                <w:lang w:eastAsia="zh-CN"/>
              </w:rPr>
              <w:t xml:space="preserve"> 中标单位</w:t>
            </w:r>
            <w:r>
              <w:rPr>
                <w:rFonts w:hint="eastAsia" w:ascii="宋体" w:hAnsi="宋体" w:eastAsia="宋体" w:cs="宋体"/>
                <w:b w:val="0"/>
                <w:bCs/>
                <w:color w:val="auto"/>
                <w:sz w:val="21"/>
                <w:szCs w:val="21"/>
                <w:highlight w:val="none"/>
                <w:lang w:eastAsia="zh-CN"/>
              </w:rPr>
              <w:t>必须认真做好控制摆卖、秩序维护工作，在每月公园抽检时有乱摆卖现象，按《深圳市宝安区公园管理中心（罗田林场）公园（广场）安保服务考核方案》进行扣分、扣款。</w:t>
            </w:r>
          </w:p>
          <w:p w14:paraId="245E9DC7">
            <w:pPr>
              <w:spacing w:after="60" w:afterLines="25" w:line="240" w:lineRule="auto"/>
              <w:ind w:firstLine="0" w:firstLineChars="0"/>
              <w:jc w:val="left"/>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eastAsia="zh-CN"/>
              </w:rPr>
              <w:t>3.要认真做好严禁单车、宠物入园的工作，若连续遭游客对此方面工作的投诉，采购单位有权对</w:t>
            </w:r>
            <w:r>
              <w:rPr>
                <w:rFonts w:hint="eastAsia" w:ascii="宋体" w:hAnsi="宋体" w:eastAsia="宋体" w:cs="宋体"/>
                <w:b w:val="0"/>
                <w:bCs/>
                <w:color w:val="auto"/>
                <w:kern w:val="0"/>
                <w:sz w:val="21"/>
                <w:szCs w:val="21"/>
                <w:highlight w:val="none"/>
                <w:lang w:eastAsia="zh-CN"/>
              </w:rPr>
              <w:t>中标单位</w:t>
            </w:r>
            <w:r>
              <w:rPr>
                <w:rFonts w:hint="eastAsia" w:ascii="宋体" w:hAnsi="宋体" w:eastAsia="宋体" w:cs="宋体"/>
                <w:b w:val="0"/>
                <w:bCs/>
                <w:color w:val="auto"/>
                <w:sz w:val="21"/>
                <w:szCs w:val="21"/>
                <w:highlight w:val="none"/>
                <w:lang w:eastAsia="zh-CN"/>
              </w:rPr>
              <w:t>作出经济处罚。</w:t>
            </w:r>
          </w:p>
          <w:p w14:paraId="52333FFF">
            <w:pPr>
              <w:spacing w:after="60" w:afterLines="25" w:line="240" w:lineRule="auto"/>
              <w:ind w:firstLine="0" w:firstLineChars="0"/>
              <w:jc w:val="left"/>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eastAsia="zh-CN"/>
              </w:rPr>
              <w:t>4.</w:t>
            </w:r>
            <w:r>
              <w:rPr>
                <w:rFonts w:hint="eastAsia" w:ascii="宋体" w:hAnsi="宋体" w:eastAsia="宋体" w:cs="宋体"/>
                <w:b w:val="0"/>
                <w:bCs/>
                <w:color w:val="auto"/>
                <w:kern w:val="0"/>
                <w:sz w:val="21"/>
                <w:szCs w:val="21"/>
                <w:highlight w:val="none"/>
                <w:lang w:eastAsia="zh-CN"/>
              </w:rPr>
              <w:t xml:space="preserve"> 中标单位</w:t>
            </w:r>
            <w:r>
              <w:rPr>
                <w:rFonts w:hint="eastAsia" w:ascii="宋体" w:hAnsi="宋体" w:eastAsia="宋体" w:cs="宋体"/>
                <w:b w:val="0"/>
                <w:bCs/>
                <w:color w:val="auto"/>
                <w:sz w:val="21"/>
                <w:szCs w:val="21"/>
                <w:highlight w:val="none"/>
                <w:lang w:eastAsia="zh-CN"/>
              </w:rPr>
              <w:t>队长每星期均要做好周工作安排和工作小结工作，不足部分要及时修正，做好重要节假日的工作安排和应急预案。</w:t>
            </w:r>
          </w:p>
          <w:p w14:paraId="722BC94D">
            <w:pPr>
              <w:spacing w:after="60" w:afterLines="25" w:line="240" w:lineRule="auto"/>
              <w:ind w:firstLine="0" w:firstLineChars="0"/>
              <w:jc w:val="left"/>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eastAsia="zh-CN"/>
              </w:rPr>
              <w:t>5.采购单位有权更换不称职的队长，</w:t>
            </w:r>
            <w:r>
              <w:rPr>
                <w:rFonts w:hint="eastAsia" w:ascii="宋体" w:hAnsi="宋体" w:eastAsia="宋体" w:cs="宋体"/>
                <w:b w:val="0"/>
                <w:bCs/>
                <w:color w:val="auto"/>
                <w:kern w:val="0"/>
                <w:sz w:val="21"/>
                <w:szCs w:val="21"/>
                <w:highlight w:val="none"/>
                <w:lang w:eastAsia="zh-CN"/>
              </w:rPr>
              <w:t>中标单位</w:t>
            </w:r>
            <w:r>
              <w:rPr>
                <w:rFonts w:hint="eastAsia" w:ascii="宋体" w:hAnsi="宋体" w:eastAsia="宋体" w:cs="宋体"/>
                <w:b w:val="0"/>
                <w:bCs/>
                <w:color w:val="auto"/>
                <w:sz w:val="21"/>
                <w:szCs w:val="21"/>
                <w:highlight w:val="none"/>
                <w:lang w:eastAsia="zh-CN"/>
              </w:rPr>
              <w:t>要配合、服从采购单位的临时调配。</w:t>
            </w:r>
          </w:p>
          <w:p w14:paraId="6E23D88F">
            <w:pPr>
              <w:spacing w:after="60" w:afterLines="25" w:line="240" w:lineRule="auto"/>
              <w:ind w:firstLine="0" w:firstLineChars="0"/>
              <w:jc w:val="left"/>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eastAsia="zh-CN"/>
              </w:rPr>
              <w:t>6.中标单位确保对公园范围的无缝巡逻，做到公园范围内无火灾及重特大治安、交通、刑事等事件发生。如在公园范围内发生火灾及重特大治安、交通、刑事等事件，属于公园管理责任的，投标单位需承担相关法律责任和承担赔偿责任。</w:t>
            </w:r>
          </w:p>
        </w:tc>
      </w:tr>
      <w:tr w14:paraId="79A0E8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 w:hRule="atLeast"/>
          <w:jc w:val="center"/>
        </w:trPr>
        <w:tc>
          <w:tcPr>
            <w:tcW w:w="1123" w:type="dxa"/>
            <w:tcBorders>
              <w:top w:val="single" w:color="auto" w:sz="4" w:space="0"/>
              <w:left w:val="single" w:color="auto" w:sz="4" w:space="0"/>
              <w:bottom w:val="single" w:color="auto" w:sz="4" w:space="0"/>
              <w:right w:val="single" w:color="auto" w:sz="4" w:space="0"/>
            </w:tcBorders>
            <w:noWrap w:val="0"/>
            <w:vAlign w:val="top"/>
          </w:tcPr>
          <w:p w14:paraId="70008109">
            <w:pPr>
              <w:spacing w:after="60" w:afterLines="25" w:line="360" w:lineRule="auto"/>
              <w:jc w:val="center"/>
              <w:rPr>
                <w:rFonts w:hint="eastAsia" w:ascii="宋体" w:hAnsi="宋体" w:eastAsia="宋体" w:cs="宋体"/>
                <w:b w:val="0"/>
                <w:bCs/>
                <w:color w:val="auto"/>
                <w:kern w:val="0"/>
                <w:sz w:val="21"/>
                <w:szCs w:val="21"/>
                <w:highlight w:val="none"/>
              </w:rPr>
            </w:pPr>
            <w:r>
              <w:rPr>
                <w:rFonts w:hint="eastAsia" w:ascii="宋体" w:hAnsi="宋体" w:eastAsia="宋体" w:cs="宋体"/>
                <w:b w:val="0"/>
                <w:bCs/>
                <w:color w:val="auto"/>
                <w:kern w:val="0"/>
                <w:sz w:val="21"/>
                <w:szCs w:val="21"/>
                <w:highlight w:val="none"/>
              </w:rPr>
              <w:t>考核办法</w:t>
            </w:r>
          </w:p>
        </w:tc>
        <w:tc>
          <w:tcPr>
            <w:tcW w:w="8546" w:type="dxa"/>
            <w:gridSpan w:val="2"/>
            <w:tcBorders>
              <w:top w:val="single" w:color="auto" w:sz="4" w:space="0"/>
              <w:left w:val="single" w:color="auto" w:sz="4" w:space="0"/>
              <w:bottom w:val="single" w:color="auto" w:sz="4" w:space="0"/>
              <w:right w:val="single" w:color="auto" w:sz="4" w:space="0"/>
            </w:tcBorders>
            <w:noWrap w:val="0"/>
            <w:vAlign w:val="top"/>
          </w:tcPr>
          <w:p w14:paraId="6CE16557">
            <w:pPr>
              <w:spacing w:after="0" w:afterLines="0" w:line="240" w:lineRule="auto"/>
              <w:jc w:val="left"/>
              <w:rPr>
                <w:rFonts w:hint="default"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eastAsia="zh-CN"/>
              </w:rPr>
              <w:t>详见《深圳市宝安区公园管理中心（罗田林场）公园（广场）安保服务考核方案》</w:t>
            </w:r>
          </w:p>
        </w:tc>
      </w:tr>
      <w:tr w14:paraId="335298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9" w:hRule="atLeast"/>
          <w:jc w:val="center"/>
        </w:trPr>
        <w:tc>
          <w:tcPr>
            <w:tcW w:w="1123" w:type="dxa"/>
            <w:tcBorders>
              <w:top w:val="single" w:color="auto" w:sz="4" w:space="0"/>
              <w:left w:val="single" w:color="auto" w:sz="4" w:space="0"/>
              <w:bottom w:val="single" w:color="auto" w:sz="4" w:space="0"/>
              <w:right w:val="single" w:color="auto" w:sz="4" w:space="0"/>
            </w:tcBorders>
            <w:noWrap w:val="0"/>
            <w:vAlign w:val="top"/>
          </w:tcPr>
          <w:p w14:paraId="4C2E027B">
            <w:pPr>
              <w:spacing w:after="60" w:afterLines="25" w:line="360" w:lineRule="auto"/>
              <w:rPr>
                <w:rFonts w:hint="eastAsia" w:ascii="宋体" w:hAnsi="宋体" w:eastAsia="宋体" w:cs="宋体"/>
                <w:b w:val="0"/>
                <w:bCs/>
                <w:color w:val="auto"/>
                <w:kern w:val="0"/>
                <w:sz w:val="21"/>
                <w:szCs w:val="21"/>
                <w:highlight w:val="none"/>
              </w:rPr>
            </w:pPr>
            <w:r>
              <w:rPr>
                <w:rFonts w:hint="eastAsia" w:ascii="宋体" w:hAnsi="宋体" w:eastAsia="宋体" w:cs="宋体"/>
                <w:b w:val="0"/>
                <w:bCs/>
                <w:color w:val="auto"/>
                <w:kern w:val="0"/>
                <w:sz w:val="21"/>
                <w:szCs w:val="21"/>
                <w:highlight w:val="none"/>
              </w:rPr>
              <w:t>付款方式</w:t>
            </w:r>
          </w:p>
        </w:tc>
        <w:tc>
          <w:tcPr>
            <w:tcW w:w="8546" w:type="dxa"/>
            <w:gridSpan w:val="2"/>
            <w:tcBorders>
              <w:top w:val="single" w:color="auto" w:sz="4" w:space="0"/>
              <w:left w:val="single" w:color="auto" w:sz="4" w:space="0"/>
              <w:bottom w:val="single" w:color="auto" w:sz="4" w:space="0"/>
              <w:right w:val="single" w:color="auto" w:sz="4" w:space="0"/>
            </w:tcBorders>
            <w:noWrap w:val="0"/>
            <w:vAlign w:val="top"/>
          </w:tcPr>
          <w:p w14:paraId="7EF62B3A">
            <w:pPr>
              <w:spacing w:after="0" w:afterLines="0" w:line="240" w:lineRule="auto"/>
              <w:ind w:firstLine="0" w:firstLineChars="0"/>
              <w:rPr>
                <w:rFonts w:hint="default" w:ascii="宋体" w:hAnsi="宋体" w:eastAsia="宋体" w:cs="宋体"/>
                <w:b w:val="0"/>
                <w:bCs/>
                <w:color w:val="auto"/>
                <w:sz w:val="21"/>
                <w:szCs w:val="21"/>
                <w:highlight w:val="none"/>
                <w:lang w:eastAsia="zh-CN"/>
              </w:rPr>
            </w:pPr>
            <w:r>
              <w:rPr>
                <w:rFonts w:hint="default" w:ascii="宋体" w:hAnsi="宋体" w:eastAsia="宋体" w:cs="宋体"/>
                <w:b w:val="0"/>
                <w:bCs/>
                <w:color w:val="auto"/>
                <w:sz w:val="21"/>
                <w:szCs w:val="21"/>
                <w:highlight w:val="none"/>
                <w:lang w:eastAsia="zh-CN"/>
              </w:rPr>
              <w:t>1、</w:t>
            </w:r>
            <w:r>
              <w:rPr>
                <w:rFonts w:hint="eastAsia" w:ascii="宋体" w:hAnsi="宋体" w:eastAsia="宋体" w:cs="宋体"/>
                <w:b w:val="0"/>
                <w:bCs/>
                <w:color w:val="auto"/>
                <w:sz w:val="21"/>
                <w:szCs w:val="21"/>
                <w:highlight w:val="none"/>
                <w:lang w:eastAsia="zh-CN"/>
              </w:rPr>
              <w:t>采购单位</w:t>
            </w:r>
            <w:r>
              <w:rPr>
                <w:rFonts w:hint="default" w:ascii="宋体" w:hAnsi="宋体" w:eastAsia="宋体" w:cs="宋体"/>
                <w:b w:val="0"/>
                <w:bCs/>
                <w:color w:val="auto"/>
                <w:sz w:val="21"/>
                <w:szCs w:val="21"/>
                <w:highlight w:val="none"/>
                <w:lang w:eastAsia="zh-CN"/>
              </w:rPr>
              <w:t>每月向</w:t>
            </w:r>
            <w:r>
              <w:rPr>
                <w:rFonts w:hint="eastAsia" w:ascii="宋体" w:hAnsi="宋体" w:eastAsia="宋体" w:cs="宋体"/>
                <w:b w:val="0"/>
                <w:bCs/>
                <w:color w:val="auto"/>
                <w:sz w:val="21"/>
                <w:szCs w:val="21"/>
                <w:highlight w:val="none"/>
                <w:lang w:eastAsia="zh-CN"/>
              </w:rPr>
              <w:t>中标单位</w:t>
            </w:r>
            <w:r>
              <w:rPr>
                <w:rFonts w:hint="default" w:ascii="宋体" w:hAnsi="宋体" w:eastAsia="宋体" w:cs="宋体"/>
                <w:b w:val="0"/>
                <w:bCs/>
                <w:color w:val="auto"/>
                <w:sz w:val="21"/>
                <w:szCs w:val="21"/>
                <w:highlight w:val="none"/>
                <w:lang w:eastAsia="zh-CN"/>
              </w:rPr>
              <w:t>先行支付当月基本服务费的80%【（合同价-节假日安保增聘费用-搭建安保视频监控指挥平台费用）÷12】，剩余20%的基本服务费由</w:t>
            </w:r>
            <w:r>
              <w:rPr>
                <w:rFonts w:hint="eastAsia" w:ascii="宋体" w:hAnsi="宋体" w:eastAsia="宋体" w:cs="宋体"/>
                <w:b w:val="0"/>
                <w:bCs/>
                <w:color w:val="auto"/>
                <w:sz w:val="21"/>
                <w:szCs w:val="21"/>
                <w:highlight w:val="none"/>
                <w:lang w:eastAsia="zh-CN"/>
              </w:rPr>
              <w:t>采购单位</w:t>
            </w:r>
            <w:r>
              <w:rPr>
                <w:rFonts w:hint="default" w:ascii="宋体" w:hAnsi="宋体" w:eastAsia="宋体" w:cs="宋体"/>
                <w:b w:val="0"/>
                <w:bCs/>
                <w:color w:val="auto"/>
                <w:sz w:val="21"/>
                <w:szCs w:val="21"/>
                <w:highlight w:val="none"/>
                <w:lang w:eastAsia="zh-CN"/>
              </w:rPr>
              <w:t>根据考核结果进行核算，并与下一月的80%基本服务费一同向</w:t>
            </w:r>
            <w:r>
              <w:rPr>
                <w:rFonts w:hint="eastAsia" w:ascii="宋体" w:hAnsi="宋体" w:eastAsia="宋体" w:cs="宋体"/>
                <w:b w:val="0"/>
                <w:bCs/>
                <w:color w:val="auto"/>
                <w:sz w:val="21"/>
                <w:szCs w:val="21"/>
                <w:highlight w:val="none"/>
                <w:lang w:eastAsia="zh-CN"/>
              </w:rPr>
              <w:t>中标单位</w:t>
            </w:r>
            <w:r>
              <w:rPr>
                <w:rFonts w:hint="default" w:ascii="宋体" w:hAnsi="宋体" w:eastAsia="宋体" w:cs="宋体"/>
                <w:b w:val="0"/>
                <w:bCs/>
                <w:color w:val="auto"/>
                <w:sz w:val="21"/>
                <w:szCs w:val="21"/>
                <w:highlight w:val="none"/>
                <w:lang w:eastAsia="zh-CN"/>
              </w:rPr>
              <w:t>支付。每次基本服务费由</w:t>
            </w:r>
            <w:r>
              <w:rPr>
                <w:rFonts w:hint="eastAsia" w:ascii="宋体" w:hAnsi="宋体" w:eastAsia="宋体" w:cs="宋体"/>
                <w:b w:val="0"/>
                <w:bCs/>
                <w:color w:val="auto"/>
                <w:sz w:val="21"/>
                <w:szCs w:val="21"/>
                <w:highlight w:val="none"/>
                <w:lang w:eastAsia="zh-CN"/>
              </w:rPr>
              <w:t>采购单位</w:t>
            </w:r>
            <w:r>
              <w:rPr>
                <w:rFonts w:hint="default" w:ascii="宋体" w:hAnsi="宋体" w:eastAsia="宋体" w:cs="宋体"/>
                <w:b w:val="0"/>
                <w:bCs/>
                <w:color w:val="auto"/>
                <w:sz w:val="21"/>
                <w:szCs w:val="21"/>
                <w:highlight w:val="none"/>
                <w:lang w:eastAsia="zh-CN"/>
              </w:rPr>
              <w:t>按政府财政资金支付管理相关规定和程序办理支付手续且在财政资金拨款到位后立即向</w:t>
            </w:r>
            <w:r>
              <w:rPr>
                <w:rFonts w:hint="eastAsia" w:ascii="宋体" w:hAnsi="宋体" w:eastAsia="宋体" w:cs="宋体"/>
                <w:b w:val="0"/>
                <w:bCs/>
                <w:color w:val="auto"/>
                <w:sz w:val="21"/>
                <w:szCs w:val="21"/>
                <w:highlight w:val="none"/>
                <w:lang w:eastAsia="zh-CN"/>
              </w:rPr>
              <w:t>中标单位</w:t>
            </w:r>
            <w:r>
              <w:rPr>
                <w:rFonts w:hint="default" w:ascii="宋体" w:hAnsi="宋体" w:eastAsia="宋体" w:cs="宋体"/>
                <w:b w:val="0"/>
                <w:bCs/>
                <w:color w:val="auto"/>
                <w:sz w:val="21"/>
                <w:szCs w:val="21"/>
                <w:highlight w:val="none"/>
                <w:lang w:eastAsia="zh-CN"/>
              </w:rPr>
              <w:t>支付。</w:t>
            </w:r>
          </w:p>
          <w:p w14:paraId="2B461695">
            <w:pPr>
              <w:spacing w:after="0" w:afterLines="0" w:line="240" w:lineRule="auto"/>
              <w:ind w:firstLine="0" w:firstLineChars="0"/>
              <w:rPr>
                <w:rFonts w:hint="default" w:ascii="宋体" w:hAnsi="宋体" w:eastAsia="宋体" w:cs="宋体"/>
                <w:bCs/>
                <w:color w:val="auto"/>
                <w:sz w:val="21"/>
                <w:szCs w:val="21"/>
                <w:highlight w:val="none"/>
              </w:rPr>
            </w:pPr>
            <w:r>
              <w:rPr>
                <w:rFonts w:hint="default" w:ascii="宋体" w:hAnsi="宋体" w:eastAsia="宋体" w:cs="宋体"/>
                <w:b w:val="0"/>
                <w:bCs/>
                <w:color w:val="auto"/>
                <w:sz w:val="21"/>
                <w:szCs w:val="21"/>
                <w:highlight w:val="none"/>
                <w:lang w:eastAsia="zh-CN"/>
              </w:rPr>
              <w:t>2、考核分数在95分以上（含95分）的，按约定足额拨付当月基本服务费；考核分数在95分以下的，需扣除当月费用，扣除规则如下：考核分数在95分以下，90分以上的（含90分），每低1分按0.2%的增幅比例扣除当月费用；考核分数在90分以下，85分以上的（含85分），在扣除考核95分以下，90分以上的（含90分）的扣款基础上，每低1分按1%的增幅比例扣除当月费用；考核分数在85分以下，70分以上的（含70分），在扣除上述两个分值的扣款基础上，每低1分按1.5%的增幅比例扣除当月费用；考核分数在70分以下的，在扣款上述三个分值的扣款基础上，每低1分按2%的增幅比例扣除当月费用，且</w:t>
            </w:r>
            <w:r>
              <w:rPr>
                <w:rFonts w:hint="eastAsia" w:ascii="宋体" w:hAnsi="宋体" w:eastAsia="宋体" w:cs="宋体"/>
                <w:b w:val="0"/>
                <w:bCs/>
                <w:color w:val="auto"/>
                <w:sz w:val="21"/>
                <w:szCs w:val="21"/>
                <w:highlight w:val="none"/>
                <w:lang w:eastAsia="zh-CN"/>
              </w:rPr>
              <w:t>采购单位</w:t>
            </w:r>
            <w:r>
              <w:rPr>
                <w:rFonts w:hint="default" w:ascii="宋体" w:hAnsi="宋体" w:eastAsia="宋体" w:cs="宋体"/>
                <w:b w:val="0"/>
                <w:bCs/>
                <w:color w:val="auto"/>
                <w:sz w:val="21"/>
                <w:szCs w:val="21"/>
                <w:highlight w:val="none"/>
                <w:lang w:eastAsia="zh-CN"/>
              </w:rPr>
              <w:t>有权提前终止合同；不够1分的，按1分计算</w:t>
            </w:r>
            <w:r>
              <w:rPr>
                <w:rFonts w:hint="default" w:ascii="宋体" w:hAnsi="宋体" w:eastAsia="宋体" w:cs="宋体"/>
                <w:bCs/>
                <w:color w:val="auto"/>
                <w:sz w:val="21"/>
                <w:szCs w:val="21"/>
                <w:highlight w:val="none"/>
              </w:rPr>
              <w:t>。</w:t>
            </w:r>
          </w:p>
          <w:p w14:paraId="5707B387">
            <w:pPr>
              <w:spacing w:after="0" w:afterLines="0" w:line="240" w:lineRule="auto"/>
              <w:ind w:firstLine="0" w:firstLineChars="0"/>
              <w:rPr>
                <w:rFonts w:hint="eastAsia" w:ascii="宋体" w:hAnsi="宋体" w:eastAsia="宋体" w:cs="宋体"/>
                <w:b w:val="0"/>
                <w:bCs/>
                <w:color w:val="auto"/>
                <w:kern w:val="0"/>
                <w:sz w:val="21"/>
                <w:szCs w:val="21"/>
                <w:highlight w:val="none"/>
              </w:rPr>
            </w:pPr>
            <w:r>
              <w:rPr>
                <w:rFonts w:hint="eastAsia" w:ascii="宋体" w:hAnsi="宋体" w:eastAsia="宋体" w:cs="宋体"/>
                <w:bCs/>
                <w:color w:val="auto"/>
                <w:sz w:val="21"/>
                <w:szCs w:val="21"/>
                <w:highlight w:val="none"/>
                <w:lang w:val="en-US" w:eastAsia="zh-CN"/>
              </w:rPr>
              <w:t>3、根据投标单位实际使用情况，进行支付节假日安保增聘费用和搭建安保视频监控指挥平台费用。付节假日安保增聘费用和搭建安保视频监控指挥平台费用所发生的费用采取包干使用的方式，不发生不支付，超出部分采购单位不再另行支付。</w:t>
            </w:r>
          </w:p>
        </w:tc>
      </w:tr>
      <w:tr w14:paraId="54E3BE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jc w:val="center"/>
        </w:trPr>
        <w:tc>
          <w:tcPr>
            <w:tcW w:w="1123" w:type="dxa"/>
            <w:tcBorders>
              <w:top w:val="single" w:color="auto" w:sz="4" w:space="0"/>
              <w:left w:val="single" w:color="auto" w:sz="4" w:space="0"/>
              <w:right w:val="single" w:color="auto" w:sz="4" w:space="0"/>
            </w:tcBorders>
            <w:noWrap w:val="0"/>
            <w:vAlign w:val="top"/>
          </w:tcPr>
          <w:p w14:paraId="392E5D5B">
            <w:pPr>
              <w:spacing w:after="60" w:afterLines="25" w:line="360" w:lineRule="auto"/>
              <w:rPr>
                <w:rFonts w:hint="default" w:ascii="宋体" w:hAnsi="宋体" w:eastAsia="宋体" w:cs="宋体"/>
                <w:b w:val="0"/>
                <w:bCs/>
                <w:color w:val="auto"/>
                <w:kern w:val="0"/>
                <w:sz w:val="21"/>
                <w:szCs w:val="21"/>
                <w:highlight w:val="none"/>
              </w:rPr>
            </w:pPr>
            <w:r>
              <w:rPr>
                <w:rFonts w:hint="eastAsia" w:ascii="宋体" w:hAnsi="宋体" w:eastAsia="宋体" w:cs="宋体"/>
                <w:b w:val="0"/>
                <w:bCs/>
                <w:color w:val="auto"/>
                <w:kern w:val="0"/>
                <w:sz w:val="21"/>
                <w:szCs w:val="21"/>
                <w:highlight w:val="none"/>
              </w:rPr>
              <w:t>其他需说明的事项</w:t>
            </w:r>
          </w:p>
        </w:tc>
        <w:tc>
          <w:tcPr>
            <w:tcW w:w="8546" w:type="dxa"/>
            <w:gridSpan w:val="2"/>
            <w:tcBorders>
              <w:top w:val="single" w:color="auto" w:sz="4" w:space="0"/>
              <w:left w:val="single" w:color="auto" w:sz="4" w:space="0"/>
              <w:bottom w:val="single" w:color="auto" w:sz="4" w:space="0"/>
              <w:right w:val="single" w:color="auto" w:sz="4" w:space="0"/>
            </w:tcBorders>
            <w:noWrap w:val="0"/>
            <w:vAlign w:val="top"/>
          </w:tcPr>
          <w:p w14:paraId="24865CCF">
            <w:pPr>
              <w:pStyle w:val="34"/>
              <w:ind w:left="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报价以人民币报价。本项目服务费采用全包干制，需包含以上所有工作内容的费用，投标单位须根据采购单位关于服务范围的要求、人员配备、机械设备、工具及装备要求，进行实地勘察并测算成本，并报价。本项目服务费包括但不限于：</w:t>
            </w:r>
          </w:p>
          <w:p w14:paraId="777EB5D6">
            <w:pPr>
              <w:pStyle w:val="34"/>
              <w:ind w:left="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人工费、食宿费、交通费、通讯设备和装备费（对讲机、执法记录仪、安全防护用具、人员服装和其他装备）等服务成本。其中，作业人员基本工资及福利待遇必须符合《中华人民共和国劳动法》、《深圳市员工工资支付条例》、《深圳市社会保险条例》、以及深圳市人力和社会保障局《关于调整我市最低工资标准的通知》。投标单位应承担合同履约期间人工工资、物价上涨等因素对服务价格造成的影响和由此产生的风险，在合同期内不得以任何理由要求采购单位增加任何。</w:t>
            </w:r>
          </w:p>
          <w:p w14:paraId="0E024F3D">
            <w:pPr>
              <w:pStyle w:val="34"/>
              <w:ind w:left="0"/>
              <w:rPr>
                <w:rFonts w:hint="default" w:ascii="宋体" w:hAnsi="宋体" w:eastAsia="宋体" w:cs="宋体"/>
                <w:bCs/>
                <w:color w:val="auto"/>
                <w:sz w:val="21"/>
                <w:szCs w:val="21"/>
                <w:highlight w:val="none"/>
                <w:lang w:val="en-US"/>
              </w:rPr>
            </w:pPr>
            <w:r>
              <w:rPr>
                <w:rFonts w:hint="eastAsia" w:ascii="宋体" w:hAnsi="宋体" w:eastAsia="宋体" w:cs="宋体"/>
                <w:bCs/>
                <w:color w:val="auto"/>
                <w:sz w:val="21"/>
                <w:szCs w:val="21"/>
                <w:highlight w:val="none"/>
              </w:rPr>
              <w:t>（2）</w:t>
            </w:r>
            <w:r>
              <w:rPr>
                <w:rFonts w:hint="eastAsia" w:ascii="宋体" w:hAnsi="宋体" w:eastAsia="宋体" w:cs="宋体"/>
                <w:bCs/>
                <w:color w:val="auto"/>
                <w:sz w:val="21"/>
                <w:szCs w:val="21"/>
                <w:highlight w:val="none"/>
                <w:lang w:eastAsia="zh-CN"/>
              </w:rPr>
              <w:t>节假日安保增聘费用和搭建安保视频监控指挥平台费用</w:t>
            </w:r>
          </w:p>
          <w:p w14:paraId="6F2A1B01">
            <w:pPr>
              <w:pStyle w:val="34"/>
              <w:ind w:left="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（3）劳动保护及防暑降温费、管理费用、法定税费和合理利润；</w:t>
            </w:r>
          </w:p>
          <w:p w14:paraId="0122A46D">
            <w:pPr>
              <w:pStyle w:val="34"/>
              <w:ind w:left="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（4）公共财产及公共责任保险、意外伤害保险；</w:t>
            </w:r>
          </w:p>
          <w:p w14:paraId="5680B6CE">
            <w:pPr>
              <w:pStyle w:val="34"/>
              <w:ind w:left="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Cs/>
                <w:color w:val="auto"/>
                <w:sz w:val="21"/>
                <w:szCs w:val="21"/>
                <w:highlight w:val="none"/>
                <w:lang w:eastAsia="zh-CN"/>
              </w:rPr>
              <w:t>（</w:t>
            </w:r>
            <w:r>
              <w:rPr>
                <w:rFonts w:hint="eastAsia" w:ascii="宋体" w:hAnsi="宋体" w:eastAsia="宋体" w:cs="宋体"/>
                <w:bCs/>
                <w:color w:val="auto"/>
                <w:sz w:val="21"/>
                <w:szCs w:val="21"/>
                <w:highlight w:val="none"/>
                <w:lang w:val="en-US" w:eastAsia="zh-CN"/>
              </w:rPr>
              <w:t>5</w:t>
            </w:r>
            <w:r>
              <w:rPr>
                <w:rFonts w:hint="eastAsia" w:ascii="宋体" w:hAnsi="宋体" w:eastAsia="宋体" w:cs="宋体"/>
                <w:bCs/>
                <w:color w:val="auto"/>
                <w:sz w:val="21"/>
                <w:szCs w:val="21"/>
                <w:highlight w:val="none"/>
                <w:lang w:eastAsia="zh-CN"/>
              </w:rPr>
              <w:t>）</w:t>
            </w:r>
            <w:r>
              <w:rPr>
                <w:rFonts w:hint="eastAsia" w:ascii="宋体" w:hAnsi="宋体" w:eastAsia="宋体" w:cs="宋体"/>
                <w:bCs/>
                <w:color w:val="auto"/>
                <w:sz w:val="21"/>
                <w:szCs w:val="21"/>
                <w:highlight w:val="none"/>
              </w:rPr>
              <w:t>管理范围内因偷盗、抢劫等案件所产生的人身伤亡及财产损失赔偿金、不可预见责任风险预备金以及依据当时管理情况和责任承担的相应赔偿费用。</w:t>
            </w:r>
          </w:p>
          <w:p w14:paraId="28118D47">
            <w:pPr>
              <w:spacing w:after="0" w:afterLines="0" w:line="240" w:lineRule="auto"/>
              <w:ind w:firstLine="0" w:firstLineChars="0"/>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2、投标单位须对其在服务期内所发生的生产、安全和交通事故负责，采购单位不承担任何责任。</w:t>
            </w:r>
          </w:p>
          <w:p w14:paraId="628C7FAB">
            <w:pPr>
              <w:spacing w:after="0" w:afterLines="0" w:line="240" w:lineRule="auto"/>
              <w:ind w:firstLine="0" w:firstLineChars="0"/>
              <w:rPr>
                <w:rFonts w:hint="eastAsia" w:ascii="宋体" w:hAnsi="宋体" w:eastAsia="宋体" w:cs="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3</w:t>
            </w:r>
            <w:r>
              <w:rPr>
                <w:rFonts w:hint="eastAsia" w:ascii="宋体" w:hAnsi="宋体" w:eastAsia="宋体" w:cs="宋体"/>
                <w:b w:val="0"/>
                <w:bCs/>
                <w:color w:val="auto"/>
                <w:sz w:val="21"/>
                <w:szCs w:val="21"/>
                <w:highlight w:val="none"/>
                <w:lang w:val="en-US" w:eastAsia="zh-CN"/>
              </w:rPr>
              <w:t>、</w:t>
            </w:r>
            <w:r>
              <w:rPr>
                <w:rFonts w:hint="eastAsia" w:ascii="宋体" w:hAnsi="宋体" w:eastAsia="宋体" w:cs="宋体"/>
                <w:bCs/>
                <w:color w:val="auto"/>
                <w:sz w:val="21"/>
                <w:szCs w:val="21"/>
                <w:highlight w:val="none"/>
                <w:lang w:val="en-US" w:eastAsia="zh-CN"/>
              </w:rPr>
              <w:t>本项目采用全包干的方式，即管理任务包干、经费包干的方式实行全承包。采购单位将管理任务及相应的经费交给中标单位，中标单位按照国家和行业有关标准、规范、合同约定和服务承诺开展服务工作，在提供服务过程中接受采购单位的指导、监督和检查验收。</w:t>
            </w:r>
          </w:p>
          <w:p w14:paraId="6473F446">
            <w:pPr>
              <w:spacing w:after="0" w:afterLines="0" w:line="240" w:lineRule="auto"/>
              <w:ind w:firstLine="0" w:firstLineChars="0"/>
              <w:rPr>
                <w:rFonts w:hint="eastAsia" w:ascii="宋体" w:hAnsi="宋体" w:eastAsia="宋体" w:cs="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4</w:t>
            </w:r>
            <w:r>
              <w:rPr>
                <w:rFonts w:hint="eastAsia" w:ascii="宋体" w:hAnsi="宋体" w:eastAsia="宋体" w:cs="宋体"/>
                <w:b w:val="0"/>
                <w:bCs/>
                <w:color w:val="auto"/>
                <w:sz w:val="21"/>
                <w:szCs w:val="21"/>
                <w:highlight w:val="none"/>
                <w:lang w:val="en-US" w:eastAsia="zh-CN"/>
              </w:rPr>
              <w:t>、投标单位使用的标准必须是国际公认或国家、或地方政府颁布的同等或更高的标准，如投标单位使用的标准低于上述标准,评标委员会将有权不予接受，投标单位必须列表将明显的差异详细说明。</w:t>
            </w:r>
          </w:p>
          <w:p w14:paraId="670226EA">
            <w:pPr>
              <w:spacing w:after="0" w:afterLines="0" w:line="240" w:lineRule="auto"/>
              <w:ind w:firstLine="0" w:firstLineChars="0"/>
              <w:rPr>
                <w:rFonts w:hint="eastAsia" w:ascii="宋体" w:hAnsi="宋体" w:eastAsia="宋体" w:cs="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5</w:t>
            </w:r>
            <w:r>
              <w:rPr>
                <w:rFonts w:hint="eastAsia" w:ascii="宋体" w:hAnsi="宋体" w:eastAsia="宋体" w:cs="宋体"/>
                <w:b w:val="0"/>
                <w:bCs/>
                <w:color w:val="auto"/>
                <w:sz w:val="21"/>
                <w:szCs w:val="21"/>
                <w:highlight w:val="none"/>
                <w:lang w:val="en-US" w:eastAsia="zh-CN"/>
              </w:rPr>
              <w:t>、采购单位根据招投标文件和相关规定制定凤凰山森林公园安保服务项目考核办法，并有权采取日常检查、综合检查、年度考评等方式对中标单位的服务质量进行考核、评分，发现问题及时向中标单位提出书面或口头整改意见。</w:t>
            </w:r>
          </w:p>
          <w:p w14:paraId="19E52001">
            <w:pPr>
              <w:spacing w:after="0" w:afterLines="0" w:line="240" w:lineRule="auto"/>
              <w:ind w:firstLine="0" w:firstLineChars="0"/>
              <w:rPr>
                <w:rFonts w:hint="default" w:ascii="宋体" w:hAnsi="宋体" w:eastAsia="宋体" w:cs="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6</w:t>
            </w:r>
            <w:r>
              <w:rPr>
                <w:rFonts w:hint="eastAsia" w:ascii="宋体" w:hAnsi="宋体" w:eastAsia="宋体" w:cs="宋体"/>
                <w:b w:val="0"/>
                <w:bCs/>
                <w:color w:val="auto"/>
                <w:sz w:val="21"/>
                <w:szCs w:val="21"/>
                <w:highlight w:val="none"/>
                <w:lang w:val="en-US" w:eastAsia="zh-CN"/>
              </w:rPr>
              <w:t>、如投标单位的服务质量经考核后累计3次或连续2个月度考核为85分（不含）以下或1个月度考核为70分（不含）以下的，采购单位有权解除合同。</w:t>
            </w:r>
          </w:p>
          <w:p w14:paraId="50C3D309">
            <w:pPr>
              <w:spacing w:after="0" w:afterLines="0" w:line="240" w:lineRule="auto"/>
              <w:ind w:firstLine="0" w:firstLineChars="0"/>
              <w:rPr>
                <w:rFonts w:hint="eastAsia" w:ascii="宋体" w:hAnsi="宋体" w:eastAsia="宋体" w:cs="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7</w:t>
            </w:r>
            <w:r>
              <w:rPr>
                <w:rFonts w:hint="eastAsia" w:ascii="宋体" w:hAnsi="宋体" w:eastAsia="宋体" w:cs="宋体"/>
                <w:b w:val="0"/>
                <w:bCs/>
                <w:color w:val="auto"/>
                <w:sz w:val="21"/>
                <w:szCs w:val="21"/>
                <w:highlight w:val="none"/>
                <w:lang w:val="en-US" w:eastAsia="zh-CN"/>
              </w:rPr>
              <w:t>、采购单位有权对中标单位落实本项目服务承诺情况和安全生产措施进行监督检查，发现中标单位不符合服务要求的问题，有权要求中标单位限期整改，如整改不达标则采购单位有权提前终止合同。</w:t>
            </w:r>
          </w:p>
          <w:p w14:paraId="7744FF95">
            <w:pPr>
              <w:spacing w:after="0" w:afterLines="0" w:line="240" w:lineRule="auto"/>
              <w:ind w:firstLine="0" w:firstLineChars="0"/>
              <w:rPr>
                <w:rFonts w:hint="eastAsia" w:ascii="宋体" w:hAnsi="宋体" w:eastAsia="宋体" w:cs="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8</w:t>
            </w:r>
            <w:r>
              <w:rPr>
                <w:rFonts w:hint="eastAsia" w:ascii="宋体" w:hAnsi="宋体" w:eastAsia="宋体" w:cs="宋体"/>
                <w:b w:val="0"/>
                <w:bCs/>
                <w:color w:val="auto"/>
                <w:sz w:val="21"/>
                <w:szCs w:val="21"/>
                <w:highlight w:val="none"/>
                <w:lang w:val="en-US" w:eastAsia="zh-CN"/>
              </w:rPr>
              <w:t>、采购单位有权监督检查中标单位对项目服务人员的培训和管理情况，如存在拖欠薪资或其他严重违法情形，有权停止支付服务费用和提前解除合同。</w:t>
            </w:r>
          </w:p>
          <w:p w14:paraId="40020746">
            <w:pPr>
              <w:spacing w:after="0" w:afterLines="0" w:line="240" w:lineRule="auto"/>
              <w:ind w:firstLine="0" w:firstLineChars="0"/>
              <w:rPr>
                <w:rFonts w:hint="eastAsia" w:ascii="宋体" w:hAnsi="宋体" w:eastAsia="宋体" w:cs="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9</w:t>
            </w:r>
            <w:r>
              <w:rPr>
                <w:rFonts w:hint="eastAsia" w:ascii="宋体" w:hAnsi="宋体" w:eastAsia="宋体" w:cs="宋体"/>
                <w:b w:val="0"/>
                <w:bCs/>
                <w:color w:val="auto"/>
                <w:sz w:val="21"/>
                <w:szCs w:val="21"/>
                <w:highlight w:val="none"/>
                <w:lang w:val="en-US" w:eastAsia="zh-CN"/>
              </w:rPr>
              <w:t>、采购单位有权要求中标单位更换不符合服务项目要求（如未取得相应上岗证书、罢工、歇业等）的工作人员，中标单位应在三个工作日内保证更换后的工作人员到岗。</w:t>
            </w:r>
          </w:p>
          <w:p w14:paraId="5C2D2713">
            <w:pPr>
              <w:spacing w:after="0" w:afterLines="0" w:line="240" w:lineRule="auto"/>
              <w:ind w:firstLine="0" w:firstLineChars="0"/>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1</w:t>
            </w:r>
            <w:r>
              <w:rPr>
                <w:rFonts w:hint="eastAsia" w:ascii="宋体" w:hAnsi="宋体" w:cs="宋体"/>
                <w:b w:val="0"/>
                <w:bCs/>
                <w:color w:val="auto"/>
                <w:sz w:val="21"/>
                <w:szCs w:val="21"/>
                <w:highlight w:val="none"/>
                <w:lang w:val="en-US" w:eastAsia="zh-CN"/>
              </w:rPr>
              <w:t>0</w:t>
            </w:r>
            <w:r>
              <w:rPr>
                <w:rFonts w:hint="eastAsia" w:ascii="宋体" w:hAnsi="宋体" w:eastAsia="宋体" w:cs="宋体"/>
                <w:b w:val="0"/>
                <w:bCs/>
                <w:color w:val="auto"/>
                <w:sz w:val="21"/>
                <w:szCs w:val="21"/>
                <w:highlight w:val="none"/>
                <w:lang w:val="en-US" w:eastAsia="zh-CN"/>
              </w:rPr>
              <w:t>、采购单位有权对中标单位的资金投入情况进行监督。如：每月是否按时发放员工的工资、补贴、津贴、社保、意外保险和水电等。若中标单位工作不到位，采购单位有权要求中标单位限期整改。</w:t>
            </w:r>
          </w:p>
          <w:p w14:paraId="50E17495">
            <w:pPr>
              <w:spacing w:after="0" w:afterLines="0" w:line="240" w:lineRule="auto"/>
              <w:ind w:firstLine="0" w:firstLineChars="0"/>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1</w:t>
            </w:r>
            <w:r>
              <w:rPr>
                <w:rFonts w:hint="eastAsia" w:ascii="宋体" w:hAnsi="宋体" w:cs="宋体"/>
                <w:b w:val="0"/>
                <w:bCs/>
                <w:color w:val="auto"/>
                <w:sz w:val="21"/>
                <w:szCs w:val="21"/>
                <w:highlight w:val="none"/>
                <w:lang w:val="en-US" w:eastAsia="zh-CN"/>
              </w:rPr>
              <w:t>1</w:t>
            </w:r>
            <w:r>
              <w:rPr>
                <w:rFonts w:hint="eastAsia" w:ascii="宋体" w:hAnsi="宋体" w:eastAsia="宋体" w:cs="宋体"/>
                <w:b w:val="0"/>
                <w:bCs/>
                <w:color w:val="auto"/>
                <w:sz w:val="21"/>
                <w:szCs w:val="21"/>
                <w:highlight w:val="none"/>
                <w:lang w:val="en-US" w:eastAsia="zh-CN"/>
              </w:rPr>
              <w:t>、采购单位根据考核结果计算服务经费，扣除中标单位应扣款后，将服务经费支付给中标单位。</w:t>
            </w:r>
          </w:p>
          <w:p w14:paraId="7CDCA619">
            <w:pPr>
              <w:spacing w:after="0" w:afterLines="0" w:line="240" w:lineRule="auto"/>
              <w:ind w:firstLine="0" w:firstLineChars="0"/>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1</w:t>
            </w:r>
            <w:r>
              <w:rPr>
                <w:rFonts w:hint="eastAsia" w:ascii="宋体" w:hAnsi="宋体" w:cs="宋体"/>
                <w:b w:val="0"/>
                <w:bCs/>
                <w:color w:val="auto"/>
                <w:sz w:val="21"/>
                <w:szCs w:val="21"/>
                <w:highlight w:val="none"/>
                <w:lang w:val="en-US" w:eastAsia="zh-CN"/>
              </w:rPr>
              <w:t>2</w:t>
            </w:r>
            <w:r>
              <w:rPr>
                <w:rFonts w:hint="eastAsia" w:ascii="宋体" w:hAnsi="宋体" w:eastAsia="宋体" w:cs="宋体"/>
                <w:b w:val="0"/>
                <w:bCs/>
                <w:color w:val="auto"/>
                <w:sz w:val="21"/>
                <w:szCs w:val="21"/>
                <w:highlight w:val="none"/>
                <w:lang w:val="en-US" w:eastAsia="zh-CN"/>
              </w:rPr>
              <w:t>、合同服务经费由政府拨款，如因政策影响，拨款未能及时到位，中标单位不得以此为由不履行合同规定的义务或要求采购单位支付迟延付款违约金。</w:t>
            </w:r>
          </w:p>
          <w:p w14:paraId="47964AA6">
            <w:pPr>
              <w:spacing w:after="0" w:afterLines="0" w:line="240" w:lineRule="auto"/>
              <w:ind w:firstLine="0" w:firstLineChars="0"/>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1</w:t>
            </w:r>
            <w:r>
              <w:rPr>
                <w:rFonts w:hint="eastAsia" w:ascii="宋体" w:hAnsi="宋体" w:cs="宋体"/>
                <w:b w:val="0"/>
                <w:bCs/>
                <w:color w:val="auto"/>
                <w:sz w:val="21"/>
                <w:szCs w:val="21"/>
                <w:highlight w:val="none"/>
                <w:lang w:val="en-US" w:eastAsia="zh-CN"/>
              </w:rPr>
              <w:t>3</w:t>
            </w:r>
            <w:r>
              <w:rPr>
                <w:rFonts w:hint="eastAsia" w:ascii="宋体" w:hAnsi="宋体" w:eastAsia="宋体" w:cs="宋体"/>
                <w:b w:val="0"/>
                <w:bCs/>
                <w:color w:val="auto"/>
                <w:sz w:val="21"/>
                <w:szCs w:val="21"/>
                <w:highlight w:val="none"/>
                <w:lang w:val="en-US" w:eastAsia="zh-CN"/>
              </w:rPr>
              <w:t>、除采购单位提供使用的设施设备外，中标单位负责提供本服务项目所需的人员、设施、设备和材料等，承担项目实施所需的人工费、材料费、设施费等一切费用。</w:t>
            </w:r>
          </w:p>
          <w:p w14:paraId="4984BDF1">
            <w:pPr>
              <w:spacing w:after="0" w:afterLines="0" w:line="240" w:lineRule="auto"/>
              <w:ind w:firstLine="0" w:firstLineChars="0"/>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1</w:t>
            </w:r>
            <w:r>
              <w:rPr>
                <w:rFonts w:hint="eastAsia" w:ascii="宋体" w:hAnsi="宋体" w:cs="宋体"/>
                <w:b w:val="0"/>
                <w:bCs/>
                <w:color w:val="auto"/>
                <w:sz w:val="21"/>
                <w:szCs w:val="21"/>
                <w:highlight w:val="none"/>
                <w:lang w:val="en-US" w:eastAsia="zh-CN"/>
              </w:rPr>
              <w:t>4</w:t>
            </w:r>
            <w:r>
              <w:rPr>
                <w:rFonts w:hint="eastAsia" w:ascii="宋体" w:hAnsi="宋体" w:eastAsia="宋体" w:cs="宋体"/>
                <w:b w:val="0"/>
                <w:bCs/>
                <w:color w:val="auto"/>
                <w:sz w:val="21"/>
                <w:szCs w:val="21"/>
                <w:highlight w:val="none"/>
                <w:lang w:val="en-US" w:eastAsia="zh-CN"/>
              </w:rPr>
              <w:t>、中标单位做好相关人员的培训工作，其中安全生产培训每季度不少于1次、反恐应急演练每季度不少于1次，森林消防拉动演练每月不少于1次。</w:t>
            </w:r>
          </w:p>
          <w:p w14:paraId="66E2D0C8">
            <w:pPr>
              <w:spacing w:after="0" w:afterLines="0" w:line="240" w:lineRule="auto"/>
              <w:ind w:firstLine="0" w:firstLineChars="0"/>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1</w:t>
            </w:r>
            <w:r>
              <w:rPr>
                <w:rFonts w:hint="eastAsia" w:ascii="宋体" w:hAnsi="宋体" w:cs="宋体"/>
                <w:b w:val="0"/>
                <w:bCs/>
                <w:color w:val="auto"/>
                <w:sz w:val="21"/>
                <w:szCs w:val="21"/>
                <w:highlight w:val="none"/>
                <w:lang w:val="en-US" w:eastAsia="zh-CN"/>
              </w:rPr>
              <w:t>5</w:t>
            </w:r>
            <w:r>
              <w:rPr>
                <w:rFonts w:hint="eastAsia" w:ascii="宋体" w:hAnsi="宋体" w:eastAsia="宋体" w:cs="宋体"/>
                <w:b w:val="0"/>
                <w:bCs/>
                <w:color w:val="auto"/>
                <w:sz w:val="21"/>
                <w:szCs w:val="21"/>
                <w:highlight w:val="none"/>
                <w:lang w:val="en-US" w:eastAsia="zh-CN"/>
              </w:rPr>
              <w:t>、中标单位按相关要求配置项目管理班子及其他人员，未按规定配置项目班子的，每缺1岗，每天扣减服务费500元；其他人员每缺1岗，每天扣减服务费300元。</w:t>
            </w:r>
          </w:p>
          <w:p w14:paraId="5B79EABA">
            <w:pPr>
              <w:spacing w:after="0" w:afterLines="0" w:line="240" w:lineRule="auto"/>
              <w:ind w:firstLine="0" w:firstLineChars="0"/>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1</w:t>
            </w:r>
            <w:r>
              <w:rPr>
                <w:rFonts w:hint="eastAsia" w:ascii="宋体" w:hAnsi="宋体" w:cs="宋体"/>
                <w:b w:val="0"/>
                <w:bCs/>
                <w:color w:val="auto"/>
                <w:sz w:val="21"/>
                <w:szCs w:val="21"/>
                <w:highlight w:val="none"/>
                <w:lang w:val="en-US" w:eastAsia="zh-CN"/>
              </w:rPr>
              <w:t>6</w:t>
            </w:r>
            <w:r>
              <w:rPr>
                <w:rFonts w:hint="eastAsia" w:ascii="宋体" w:hAnsi="宋体" w:eastAsia="宋体" w:cs="宋体"/>
                <w:b w:val="0"/>
                <w:bCs/>
                <w:color w:val="auto"/>
                <w:sz w:val="21"/>
                <w:szCs w:val="21"/>
                <w:highlight w:val="none"/>
                <w:lang w:val="en-US" w:eastAsia="zh-CN"/>
              </w:rPr>
              <w:t>、中标单位服务过程中应接受采购单位的监督和指导，不得以任何理由拒绝采购单位监督人员的检查、考核等要求。</w:t>
            </w:r>
          </w:p>
          <w:p w14:paraId="14009B6B">
            <w:pPr>
              <w:spacing w:after="0" w:afterLines="0" w:line="240" w:lineRule="auto"/>
              <w:ind w:firstLine="0" w:firstLineChars="0"/>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1</w:t>
            </w:r>
            <w:r>
              <w:rPr>
                <w:rFonts w:hint="eastAsia" w:ascii="宋体" w:hAnsi="宋体" w:cs="宋体"/>
                <w:b w:val="0"/>
                <w:bCs/>
                <w:color w:val="auto"/>
                <w:sz w:val="21"/>
                <w:szCs w:val="21"/>
                <w:highlight w:val="none"/>
                <w:lang w:val="en-US" w:eastAsia="zh-CN"/>
              </w:rPr>
              <w:t>7</w:t>
            </w:r>
            <w:r>
              <w:rPr>
                <w:rFonts w:hint="eastAsia" w:ascii="宋体" w:hAnsi="宋体" w:eastAsia="宋体" w:cs="宋体"/>
                <w:b w:val="0"/>
                <w:bCs/>
                <w:color w:val="auto"/>
                <w:sz w:val="21"/>
                <w:szCs w:val="21"/>
                <w:highlight w:val="none"/>
                <w:lang w:val="en-US" w:eastAsia="zh-CN"/>
              </w:rPr>
              <w:t>、中标单位服务过程中应接受采购单位及其上级主管部门组织的检查和考评，并积极参加市、区开展的各类竞赛活动。</w:t>
            </w:r>
          </w:p>
          <w:p w14:paraId="688E0410">
            <w:pPr>
              <w:spacing w:after="0" w:afterLines="0" w:line="240" w:lineRule="auto"/>
              <w:ind w:firstLine="0" w:firstLineChars="0"/>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1</w:t>
            </w:r>
            <w:r>
              <w:rPr>
                <w:rFonts w:hint="eastAsia" w:ascii="宋体" w:hAnsi="宋体" w:cs="宋体"/>
                <w:b w:val="0"/>
                <w:bCs/>
                <w:color w:val="auto"/>
                <w:sz w:val="21"/>
                <w:szCs w:val="21"/>
                <w:highlight w:val="none"/>
                <w:lang w:val="en-US" w:eastAsia="zh-CN"/>
              </w:rPr>
              <w:t>8</w:t>
            </w:r>
            <w:r>
              <w:rPr>
                <w:rFonts w:hint="eastAsia" w:ascii="宋体" w:hAnsi="宋体" w:eastAsia="宋体" w:cs="宋体"/>
                <w:b w:val="0"/>
                <w:bCs/>
                <w:color w:val="auto"/>
                <w:sz w:val="21"/>
                <w:szCs w:val="21"/>
                <w:highlight w:val="none"/>
                <w:lang w:val="en-US" w:eastAsia="zh-CN"/>
              </w:rPr>
              <w:t>、中标单位负责安排员工参加相应的业务技术的培训学习，需持证上岗的员工，必须在到岗前获得从事相应岗位的证书。</w:t>
            </w:r>
          </w:p>
          <w:p w14:paraId="6C5439C8">
            <w:pPr>
              <w:spacing w:after="0" w:afterLines="0" w:line="240" w:lineRule="auto"/>
              <w:ind w:firstLine="0" w:firstLineChars="0"/>
              <w:rPr>
                <w:rFonts w:hint="eastAsia" w:ascii="宋体" w:hAnsi="宋体" w:eastAsia="宋体" w:cs="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19</w:t>
            </w:r>
            <w:r>
              <w:rPr>
                <w:rFonts w:hint="eastAsia" w:ascii="宋体" w:hAnsi="宋体" w:eastAsia="宋体" w:cs="宋体"/>
                <w:b w:val="0"/>
                <w:bCs/>
                <w:color w:val="auto"/>
                <w:sz w:val="21"/>
                <w:szCs w:val="21"/>
                <w:highlight w:val="none"/>
                <w:lang w:val="en-US" w:eastAsia="zh-CN"/>
              </w:rPr>
              <w:t>、中标单位应为其服务项目的工作人员购买统一的工作服、工作鞋等劳动保护用品，要求按规定统一着装，保障安全。</w:t>
            </w:r>
          </w:p>
          <w:p w14:paraId="265AEDCE">
            <w:pPr>
              <w:spacing w:after="0" w:afterLines="0" w:line="240" w:lineRule="auto"/>
              <w:ind w:firstLine="0" w:firstLineChars="0"/>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2</w:t>
            </w:r>
            <w:r>
              <w:rPr>
                <w:rFonts w:hint="eastAsia" w:ascii="宋体" w:hAnsi="宋体" w:cs="宋体"/>
                <w:b w:val="0"/>
                <w:bCs/>
                <w:color w:val="auto"/>
                <w:sz w:val="21"/>
                <w:szCs w:val="21"/>
                <w:highlight w:val="none"/>
                <w:lang w:val="en-US" w:eastAsia="zh-CN"/>
              </w:rPr>
              <w:t>0</w:t>
            </w:r>
            <w:r>
              <w:rPr>
                <w:rFonts w:hint="eastAsia" w:ascii="宋体" w:hAnsi="宋体" w:eastAsia="宋体" w:cs="宋体"/>
                <w:b w:val="0"/>
                <w:bCs/>
                <w:color w:val="auto"/>
                <w:sz w:val="21"/>
                <w:szCs w:val="21"/>
                <w:highlight w:val="none"/>
                <w:lang w:val="en-US" w:eastAsia="zh-CN"/>
              </w:rPr>
              <w:t>、如遇天气恶劣（如深圳电视台发出中小学生停课通知时）无法正常开展服务工作，中标单位应安排人员坚守岗位并做好防灾、安保等应急准备，台风或暴雨过后，中标单位应立即组织人员开展服务工作。特殊情况，如需协助抢险救灾工作的，中标单位应服从采购单位的统一指挥和调动。</w:t>
            </w:r>
          </w:p>
          <w:p w14:paraId="4A5FB8B9">
            <w:pPr>
              <w:spacing w:after="0" w:afterLines="0" w:line="240" w:lineRule="auto"/>
              <w:ind w:firstLine="0" w:firstLineChars="0"/>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2</w:t>
            </w:r>
            <w:r>
              <w:rPr>
                <w:rFonts w:hint="eastAsia" w:ascii="宋体" w:hAnsi="宋体" w:cs="宋体"/>
                <w:b w:val="0"/>
                <w:bCs/>
                <w:color w:val="auto"/>
                <w:sz w:val="21"/>
                <w:szCs w:val="21"/>
                <w:highlight w:val="none"/>
                <w:lang w:val="en-US" w:eastAsia="zh-CN"/>
              </w:rPr>
              <w:t>1</w:t>
            </w:r>
            <w:r>
              <w:rPr>
                <w:rFonts w:hint="eastAsia" w:ascii="宋体" w:hAnsi="宋体" w:eastAsia="宋体" w:cs="宋体"/>
                <w:b w:val="0"/>
                <w:bCs/>
                <w:color w:val="auto"/>
                <w:sz w:val="21"/>
                <w:szCs w:val="21"/>
                <w:highlight w:val="none"/>
                <w:lang w:val="en-US" w:eastAsia="zh-CN"/>
              </w:rPr>
              <w:t>、中标单位根据合同所承担的服务内容，自行到有关部门为其聘请的人员申办用工、社会保险和居住证件等手续。中标单位人员与采购单位不存在任何形式的劳动关系、劳务关系。依照《劳动法》合法用工，按照《深圳市员工工资支付条例》等有关规定和中标单位投标承诺按时足额发放员工工资（不得低于深圳市最低工资标准和中标单位投标报价水平）、按国家及深圳市规定的缴交比例为人员购买养老、医疗、工伤、失业、生育保险并缴纳住房公积金；安排好员工的生活、生产、培训及管理等工作。如中标单位或其员工发生违法事件，或因用工劳务合同、劳资等产生纠纷，由中标单位承担一切相关经济和法律责任，不得向采购单位主张任何权利。</w:t>
            </w:r>
          </w:p>
          <w:p w14:paraId="5258BC8A">
            <w:pPr>
              <w:spacing w:after="0" w:afterLines="0" w:line="240" w:lineRule="auto"/>
              <w:ind w:firstLine="0" w:firstLineChars="0"/>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2</w:t>
            </w:r>
            <w:r>
              <w:rPr>
                <w:rFonts w:hint="eastAsia" w:ascii="宋体" w:hAnsi="宋体" w:cs="宋体"/>
                <w:b w:val="0"/>
                <w:bCs/>
                <w:color w:val="auto"/>
                <w:sz w:val="21"/>
                <w:szCs w:val="21"/>
                <w:highlight w:val="none"/>
                <w:lang w:val="en-US" w:eastAsia="zh-CN"/>
              </w:rPr>
              <w:t>2</w:t>
            </w:r>
            <w:r>
              <w:rPr>
                <w:rFonts w:hint="eastAsia" w:ascii="宋体" w:hAnsi="宋体" w:eastAsia="宋体" w:cs="宋体"/>
                <w:b w:val="0"/>
                <w:bCs/>
                <w:color w:val="auto"/>
                <w:sz w:val="21"/>
                <w:szCs w:val="21"/>
                <w:highlight w:val="none"/>
                <w:lang w:val="en-US" w:eastAsia="zh-CN"/>
              </w:rPr>
              <w:t>、中标单位根据有关法律、法规、规章、政策和合同的规定开展服务内容时，不得损害国家、集体及第三人的合法权益，不得获取不当利益，否则，由此所产生的一切法律责任由中标单位承担。</w:t>
            </w:r>
          </w:p>
          <w:p w14:paraId="6606BD1F">
            <w:pPr>
              <w:spacing w:after="0" w:afterLines="0" w:line="240" w:lineRule="auto"/>
              <w:ind w:firstLine="0" w:firstLineChars="0"/>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2</w:t>
            </w:r>
            <w:r>
              <w:rPr>
                <w:rFonts w:hint="eastAsia" w:ascii="宋体" w:hAnsi="宋体" w:cs="宋体"/>
                <w:b w:val="0"/>
                <w:bCs/>
                <w:color w:val="auto"/>
                <w:sz w:val="21"/>
                <w:szCs w:val="21"/>
                <w:highlight w:val="none"/>
                <w:lang w:val="en-US" w:eastAsia="zh-CN"/>
              </w:rPr>
              <w:t>3</w:t>
            </w:r>
            <w:r>
              <w:rPr>
                <w:rFonts w:hint="eastAsia" w:ascii="宋体" w:hAnsi="宋体" w:eastAsia="宋体" w:cs="宋体"/>
                <w:b w:val="0"/>
                <w:bCs/>
                <w:color w:val="auto"/>
                <w:sz w:val="21"/>
                <w:szCs w:val="21"/>
                <w:highlight w:val="none"/>
                <w:lang w:val="en-US" w:eastAsia="zh-CN"/>
              </w:rPr>
              <w:t>、中标单位未经采购单位同意，不得将本服务项目整体或部分分包、转包给第三方。</w:t>
            </w:r>
          </w:p>
          <w:p w14:paraId="6A4FCED0">
            <w:pPr>
              <w:spacing w:after="0" w:afterLines="0" w:line="240" w:lineRule="auto"/>
              <w:ind w:firstLine="0" w:firstLineChars="0"/>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2</w:t>
            </w:r>
            <w:r>
              <w:rPr>
                <w:rFonts w:hint="eastAsia" w:ascii="宋体" w:hAnsi="宋体" w:cs="宋体"/>
                <w:b w:val="0"/>
                <w:bCs/>
                <w:color w:val="auto"/>
                <w:sz w:val="21"/>
                <w:szCs w:val="21"/>
                <w:highlight w:val="none"/>
                <w:lang w:val="en-US" w:eastAsia="zh-CN"/>
              </w:rPr>
              <w:t>4</w:t>
            </w:r>
            <w:r>
              <w:rPr>
                <w:rFonts w:hint="eastAsia" w:ascii="宋体" w:hAnsi="宋体" w:eastAsia="宋体" w:cs="宋体"/>
                <w:b w:val="0"/>
                <w:bCs/>
                <w:color w:val="auto"/>
                <w:sz w:val="21"/>
                <w:szCs w:val="21"/>
                <w:highlight w:val="none"/>
                <w:lang w:val="en-US" w:eastAsia="zh-CN"/>
              </w:rPr>
              <w:t>、中标单位为实施本项目服务的行为，及为实施本项目服务提供的技术、材料、设施均不会对任何第三方构成侵权或引起第三方索赔，否则如有第三方因中标单位之服务行为而向采购单位索赔，采购单位因此发生的所有费用及损失均应由中标单位予以赔偿。</w:t>
            </w:r>
          </w:p>
          <w:p w14:paraId="49218EA5">
            <w:pPr>
              <w:spacing w:after="0" w:afterLines="0" w:line="240" w:lineRule="auto"/>
              <w:ind w:firstLine="0" w:firstLineChars="0"/>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2</w:t>
            </w:r>
            <w:r>
              <w:rPr>
                <w:rFonts w:hint="eastAsia" w:ascii="宋体" w:hAnsi="宋体" w:cs="宋体"/>
                <w:b w:val="0"/>
                <w:bCs/>
                <w:color w:val="auto"/>
                <w:sz w:val="21"/>
                <w:szCs w:val="21"/>
                <w:highlight w:val="none"/>
                <w:lang w:val="en-US" w:eastAsia="zh-CN"/>
              </w:rPr>
              <w:t>5</w:t>
            </w:r>
            <w:r>
              <w:rPr>
                <w:rFonts w:hint="eastAsia" w:ascii="宋体" w:hAnsi="宋体" w:eastAsia="宋体" w:cs="宋体"/>
                <w:b w:val="0"/>
                <w:bCs/>
                <w:color w:val="auto"/>
                <w:sz w:val="21"/>
                <w:szCs w:val="21"/>
                <w:highlight w:val="none"/>
                <w:lang w:val="en-US" w:eastAsia="zh-CN"/>
              </w:rPr>
              <w:t>、在合同期内，因政府政策变化或采购单位管理需要等原因需要调整中标单位的服务方案时，中标单位要服从大局和采购单位意见，由此造成的经济损失，采购单位无需承担赔偿责任。</w:t>
            </w:r>
          </w:p>
          <w:p w14:paraId="51C7CD48">
            <w:pPr>
              <w:spacing w:after="0" w:afterLines="0" w:line="240" w:lineRule="auto"/>
              <w:ind w:firstLine="0" w:firstLineChars="0"/>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2</w:t>
            </w:r>
            <w:r>
              <w:rPr>
                <w:rFonts w:hint="eastAsia" w:ascii="宋体" w:hAnsi="宋体" w:cs="宋体"/>
                <w:b w:val="0"/>
                <w:bCs/>
                <w:color w:val="auto"/>
                <w:sz w:val="21"/>
                <w:szCs w:val="21"/>
                <w:highlight w:val="none"/>
                <w:lang w:val="en-US" w:eastAsia="zh-CN"/>
              </w:rPr>
              <w:t>6</w:t>
            </w:r>
            <w:r>
              <w:rPr>
                <w:rFonts w:hint="eastAsia" w:ascii="宋体" w:hAnsi="宋体" w:eastAsia="宋体" w:cs="宋体"/>
                <w:b w:val="0"/>
                <w:bCs/>
                <w:color w:val="auto"/>
                <w:sz w:val="21"/>
                <w:szCs w:val="21"/>
                <w:highlight w:val="none"/>
                <w:lang w:val="en-US" w:eastAsia="zh-CN"/>
              </w:rPr>
              <w:t>、中标单位应在服务已完成的15个工作日内按照采购单位的要求提交相关资料文件，协助采购单位制定《项目验收报告》；合同履行完毕的10日内按照采购单位的要求提交相关资料文件，协助采购单位制定《合同履约考核报告》。</w:t>
            </w:r>
          </w:p>
          <w:p w14:paraId="6F5D7442">
            <w:pPr>
              <w:spacing w:after="0" w:afterLines="0" w:line="240" w:lineRule="auto"/>
              <w:ind w:firstLine="0" w:firstLineChars="0"/>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2</w:t>
            </w:r>
            <w:r>
              <w:rPr>
                <w:rFonts w:hint="eastAsia" w:ascii="宋体" w:hAnsi="宋体" w:cs="宋体"/>
                <w:b w:val="0"/>
                <w:bCs/>
                <w:color w:val="auto"/>
                <w:sz w:val="21"/>
                <w:szCs w:val="21"/>
                <w:highlight w:val="none"/>
                <w:lang w:val="en-US" w:eastAsia="zh-CN"/>
              </w:rPr>
              <w:t>7</w:t>
            </w:r>
            <w:r>
              <w:rPr>
                <w:rFonts w:hint="eastAsia" w:ascii="宋体" w:hAnsi="宋体" w:eastAsia="宋体" w:cs="宋体"/>
                <w:b w:val="0"/>
                <w:bCs/>
                <w:color w:val="auto"/>
                <w:sz w:val="21"/>
                <w:szCs w:val="21"/>
                <w:highlight w:val="none"/>
                <w:lang w:val="en-US" w:eastAsia="zh-CN"/>
              </w:rPr>
              <w:t>、中标单位对其在履行合同过程中所了解到的采购单位所有文件、资料、等信息负责保密义务，未经采购单位书面同意，中标单位不得引用、发表或向第三方提供。保密期限为永久，不论合同是否变更、解除或终止，该条款不受限制。中标单位若违反的，赔偿采购单位由此遭受的全部损失。</w:t>
            </w:r>
          </w:p>
          <w:p w14:paraId="552450D1">
            <w:pPr>
              <w:spacing w:after="0" w:afterLines="0" w:line="240" w:lineRule="auto"/>
              <w:ind w:firstLine="0" w:firstLineChars="0"/>
              <w:rPr>
                <w:rFonts w:hint="default"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2</w:t>
            </w:r>
            <w:r>
              <w:rPr>
                <w:rFonts w:hint="eastAsia" w:ascii="宋体" w:hAnsi="宋体" w:cs="宋体"/>
                <w:b w:val="0"/>
                <w:bCs/>
                <w:color w:val="auto"/>
                <w:sz w:val="21"/>
                <w:szCs w:val="21"/>
                <w:highlight w:val="none"/>
                <w:lang w:val="en-US" w:eastAsia="zh-CN"/>
              </w:rPr>
              <w:t>8</w:t>
            </w:r>
            <w:r>
              <w:rPr>
                <w:rFonts w:hint="eastAsia" w:ascii="宋体" w:hAnsi="宋体" w:eastAsia="宋体" w:cs="宋体"/>
                <w:b w:val="0"/>
                <w:bCs/>
                <w:color w:val="auto"/>
                <w:sz w:val="21"/>
                <w:szCs w:val="21"/>
                <w:highlight w:val="none"/>
                <w:lang w:val="en-US" w:eastAsia="zh-CN"/>
              </w:rPr>
              <w:t>、确保对公园范围的无缝巡逻，做到公园范围内无火灾及重特大治安、交通、刑事等事件发生。如在公园范围内发生火灾及重特大治安、交通、刑事等事件，属于公园管理责任的，中标单位需承担相关法律责任和承担赔偿责任。</w:t>
            </w:r>
          </w:p>
          <w:p w14:paraId="619D3DF4">
            <w:pPr>
              <w:spacing w:after="0" w:afterLines="0" w:line="240" w:lineRule="auto"/>
              <w:ind w:firstLine="0" w:firstLineChars="0"/>
              <w:rPr>
                <w:rFonts w:hint="eastAsia" w:ascii="宋体" w:hAnsi="宋体" w:eastAsia="宋体" w:cs="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29</w:t>
            </w:r>
            <w:r>
              <w:rPr>
                <w:rFonts w:hint="eastAsia" w:ascii="宋体" w:hAnsi="宋体" w:eastAsia="宋体" w:cs="宋体"/>
                <w:b w:val="0"/>
                <w:bCs/>
                <w:color w:val="auto"/>
                <w:sz w:val="21"/>
                <w:szCs w:val="21"/>
                <w:highlight w:val="none"/>
                <w:lang w:val="en-US" w:eastAsia="zh-CN"/>
              </w:rPr>
              <w:t xml:space="preserve">、中标单位应在合同生效之日起10天内将服务方案、人员聘请情况、设施设备购置配备情况和交接计划等交由采购单位验收，验收发现的问题由中标单位在限期内整改完毕再交采购单位验收，采购单位验收合格后确认中标单位正式接管服务项目。       </w:t>
            </w:r>
          </w:p>
          <w:p w14:paraId="481B600D">
            <w:pPr>
              <w:spacing w:after="0" w:afterLines="0" w:line="240" w:lineRule="auto"/>
              <w:ind w:firstLine="0" w:firstLineChars="0"/>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3</w:t>
            </w:r>
            <w:r>
              <w:rPr>
                <w:rFonts w:hint="eastAsia" w:ascii="宋体" w:hAnsi="宋体" w:cs="宋体"/>
                <w:b w:val="0"/>
                <w:bCs/>
                <w:color w:val="auto"/>
                <w:sz w:val="21"/>
                <w:szCs w:val="21"/>
                <w:highlight w:val="none"/>
                <w:lang w:val="en-US" w:eastAsia="zh-CN"/>
              </w:rPr>
              <w:t>0</w:t>
            </w:r>
            <w:r>
              <w:rPr>
                <w:rFonts w:hint="eastAsia" w:ascii="宋体" w:hAnsi="宋体" w:eastAsia="宋体" w:cs="宋体"/>
                <w:b w:val="0"/>
                <w:bCs/>
                <w:color w:val="auto"/>
                <w:sz w:val="21"/>
                <w:szCs w:val="21"/>
                <w:highlight w:val="none"/>
                <w:lang w:val="en-US" w:eastAsia="zh-CN"/>
              </w:rPr>
              <w:t>、采购单位应在服务项目开始运作之日起10天内将应由采购单位提供的设施设备移交给中标单位，并做好交接清单的签收和保管，中标单位需做好设施设备的保管和维护工作。</w:t>
            </w:r>
          </w:p>
          <w:p w14:paraId="6D59E328">
            <w:pPr>
              <w:spacing w:after="0" w:afterLines="0" w:line="240" w:lineRule="auto"/>
              <w:ind w:firstLine="0" w:firstLineChars="0"/>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3</w:t>
            </w:r>
            <w:r>
              <w:rPr>
                <w:rFonts w:hint="eastAsia" w:ascii="宋体" w:hAnsi="宋体" w:cs="宋体"/>
                <w:b w:val="0"/>
                <w:bCs/>
                <w:color w:val="auto"/>
                <w:sz w:val="21"/>
                <w:szCs w:val="21"/>
                <w:highlight w:val="none"/>
                <w:lang w:val="en-US" w:eastAsia="zh-CN"/>
              </w:rPr>
              <w:t>1</w:t>
            </w:r>
            <w:r>
              <w:rPr>
                <w:rFonts w:hint="eastAsia" w:ascii="宋体" w:hAnsi="宋体" w:eastAsia="宋体" w:cs="宋体"/>
                <w:b w:val="0"/>
                <w:bCs/>
                <w:color w:val="auto"/>
                <w:sz w:val="21"/>
                <w:szCs w:val="21"/>
                <w:highlight w:val="none"/>
                <w:lang w:val="en-US" w:eastAsia="zh-CN"/>
              </w:rPr>
              <w:t>、合同终止（或解除）或合同服务期限届满后不再续签合同时，中标单位应在接到采购单位通知后10天内向采购单位提出最终考核验收移交申请，将全部服务工作和采购单位设施设备及时移交采购单位，并处理好与作业人员的劳动关系。</w:t>
            </w:r>
          </w:p>
          <w:p w14:paraId="50F85DB0">
            <w:pPr>
              <w:spacing w:after="0" w:afterLines="0" w:line="240" w:lineRule="auto"/>
              <w:ind w:firstLine="0" w:firstLineChars="0"/>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3</w:t>
            </w:r>
            <w:r>
              <w:rPr>
                <w:rFonts w:hint="eastAsia" w:ascii="宋体" w:hAnsi="宋体" w:cs="宋体"/>
                <w:b w:val="0"/>
                <w:bCs/>
                <w:color w:val="auto"/>
                <w:sz w:val="21"/>
                <w:szCs w:val="21"/>
                <w:highlight w:val="none"/>
                <w:lang w:val="en-US" w:eastAsia="zh-CN"/>
              </w:rPr>
              <w:t>2</w:t>
            </w:r>
            <w:r>
              <w:rPr>
                <w:rFonts w:hint="eastAsia" w:ascii="宋体" w:hAnsi="宋体" w:eastAsia="宋体" w:cs="宋体"/>
                <w:b w:val="0"/>
                <w:bCs/>
                <w:color w:val="auto"/>
                <w:sz w:val="21"/>
                <w:szCs w:val="21"/>
                <w:highlight w:val="none"/>
                <w:lang w:val="en-US" w:eastAsia="zh-CN"/>
              </w:rPr>
              <w:t>、中标单位在移交期内应有计划的将所有设施设备完好地返还给采购单位并配合采购单位移交给新的服务单位。必要时采购单位将委托有相关资质的第三方质量检测部门对中标单位返还的设施设备进行完好率查验，查验结果需符合相关标准，如不符合标准的，中标单位负责无条件修复及赔偿，查验费涵盖在本次招标费用中，供应商报价时需重复考虑该因素。</w:t>
            </w:r>
          </w:p>
          <w:p w14:paraId="4F9E9401">
            <w:pPr>
              <w:spacing w:after="0" w:afterLines="0" w:line="240" w:lineRule="auto"/>
              <w:ind w:firstLine="0" w:firstLineChars="0"/>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3</w:t>
            </w:r>
            <w:r>
              <w:rPr>
                <w:rFonts w:hint="eastAsia" w:ascii="宋体" w:hAnsi="宋体" w:cs="宋体"/>
                <w:b w:val="0"/>
                <w:bCs/>
                <w:color w:val="auto"/>
                <w:sz w:val="21"/>
                <w:szCs w:val="21"/>
                <w:highlight w:val="none"/>
                <w:lang w:val="en-US" w:eastAsia="zh-CN"/>
              </w:rPr>
              <w:t>3</w:t>
            </w:r>
            <w:r>
              <w:rPr>
                <w:rFonts w:hint="eastAsia" w:ascii="宋体" w:hAnsi="宋体" w:eastAsia="宋体" w:cs="宋体"/>
                <w:b w:val="0"/>
                <w:bCs/>
                <w:color w:val="auto"/>
                <w:sz w:val="21"/>
                <w:szCs w:val="21"/>
                <w:highlight w:val="none"/>
                <w:lang w:val="en-US" w:eastAsia="zh-CN"/>
              </w:rPr>
              <w:t>、中标单位须承诺在服务期将满或合同即将终止时，在新的服务单位尚未确定或暂未进行接管时，中标单位将按照原合同规定全力配合采购单位继续做好服务项目的工作。</w:t>
            </w:r>
          </w:p>
          <w:p w14:paraId="0E984C53">
            <w:pPr>
              <w:spacing w:after="0" w:afterLines="0" w:line="240" w:lineRule="auto"/>
              <w:ind w:firstLine="0" w:firstLineChars="0"/>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3</w:t>
            </w:r>
            <w:r>
              <w:rPr>
                <w:rFonts w:hint="eastAsia" w:ascii="宋体" w:hAnsi="宋体" w:cs="宋体"/>
                <w:b w:val="0"/>
                <w:bCs/>
                <w:color w:val="auto"/>
                <w:sz w:val="21"/>
                <w:szCs w:val="21"/>
                <w:highlight w:val="none"/>
                <w:lang w:val="en-US" w:eastAsia="zh-CN"/>
              </w:rPr>
              <w:t>4</w:t>
            </w:r>
            <w:r>
              <w:rPr>
                <w:rFonts w:hint="eastAsia" w:ascii="宋体" w:hAnsi="宋体" w:eastAsia="宋体" w:cs="宋体"/>
                <w:b w:val="0"/>
                <w:bCs/>
                <w:color w:val="auto"/>
                <w:sz w:val="21"/>
                <w:szCs w:val="21"/>
                <w:highlight w:val="none"/>
                <w:lang w:val="en-US" w:eastAsia="zh-CN"/>
              </w:rPr>
              <w:t>、甲乙双方应协商在 15 天内完成项目及设施设备的移交工作，每逾期一天中标单位须向采购单位支付年服务费用的  1 ‰违约金。</w:t>
            </w:r>
          </w:p>
          <w:p w14:paraId="6DDEFE06">
            <w:pPr>
              <w:spacing w:after="0" w:afterLines="0" w:line="240" w:lineRule="auto"/>
              <w:ind w:firstLine="0" w:firstLineChars="0"/>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3</w:t>
            </w:r>
            <w:r>
              <w:rPr>
                <w:rFonts w:hint="eastAsia" w:ascii="宋体" w:hAnsi="宋体" w:cs="宋体"/>
                <w:b w:val="0"/>
                <w:bCs/>
                <w:color w:val="auto"/>
                <w:sz w:val="21"/>
                <w:szCs w:val="21"/>
                <w:highlight w:val="none"/>
                <w:lang w:val="en-US" w:eastAsia="zh-CN"/>
              </w:rPr>
              <w:t>5</w:t>
            </w:r>
            <w:r>
              <w:rPr>
                <w:rFonts w:hint="eastAsia" w:ascii="宋体" w:hAnsi="宋体" w:eastAsia="宋体" w:cs="宋体"/>
                <w:b w:val="0"/>
                <w:bCs/>
                <w:color w:val="auto"/>
                <w:sz w:val="21"/>
                <w:szCs w:val="21"/>
                <w:highlight w:val="none"/>
                <w:lang w:val="en-US" w:eastAsia="zh-CN"/>
              </w:rPr>
              <w:t>、采购单位可根据政府服务质量要求制定和完善《深圳市宝安区公园管理中心（罗田林场）公园（广场）安保服务考核方案》，</w:t>
            </w:r>
            <w:r>
              <w:rPr>
                <w:rFonts w:hint="eastAsia" w:ascii="宋体" w:hAnsi="宋体" w:eastAsia="宋体" w:cs="宋体"/>
                <w:bCs/>
                <w:color w:val="auto"/>
                <w:sz w:val="21"/>
                <w:szCs w:val="21"/>
                <w:highlight w:val="none"/>
                <w:lang w:val="en-US" w:eastAsia="zh-CN"/>
              </w:rPr>
              <w:t>如完善后的</w:t>
            </w:r>
            <w:r>
              <w:rPr>
                <w:rFonts w:hint="eastAsia" w:ascii="宋体" w:hAnsi="宋体" w:eastAsia="宋体" w:cs="宋体"/>
                <w:b w:val="0"/>
                <w:bCs/>
                <w:color w:val="auto"/>
                <w:sz w:val="21"/>
                <w:szCs w:val="21"/>
                <w:highlight w:val="none"/>
                <w:lang w:val="en-US" w:eastAsia="zh-CN"/>
              </w:rPr>
              <w:t>《深圳市宝安区公园管理中心（罗田林场）公园（广场）安保服务考核方案》</w:t>
            </w:r>
            <w:r>
              <w:rPr>
                <w:rFonts w:hint="eastAsia" w:ascii="宋体" w:hAnsi="宋体" w:eastAsia="宋体" w:cs="宋体"/>
                <w:bCs/>
                <w:color w:val="auto"/>
                <w:sz w:val="21"/>
                <w:szCs w:val="21"/>
                <w:highlight w:val="none"/>
                <w:lang w:val="en-US" w:eastAsia="zh-CN"/>
              </w:rPr>
              <w:t>与签订的合同相冲突，中标单位根据新修订的标准提供服务。</w:t>
            </w:r>
            <w:r>
              <w:rPr>
                <w:rFonts w:hint="eastAsia" w:ascii="宋体" w:hAnsi="宋体" w:eastAsia="宋体" w:cs="宋体"/>
                <w:b w:val="0"/>
                <w:bCs/>
                <w:color w:val="auto"/>
                <w:sz w:val="21"/>
                <w:szCs w:val="21"/>
                <w:highlight w:val="none"/>
                <w:lang w:val="en-US" w:eastAsia="zh-CN"/>
              </w:rPr>
              <w:t>解释权归属深圳市宝安区公园管理中心。</w:t>
            </w:r>
          </w:p>
          <w:p w14:paraId="02E1ACF7">
            <w:pPr>
              <w:spacing w:after="0" w:afterLines="0" w:line="240" w:lineRule="auto"/>
              <w:ind w:firstLine="0" w:firstLineChars="0"/>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3</w:t>
            </w:r>
            <w:r>
              <w:rPr>
                <w:rFonts w:hint="eastAsia" w:ascii="宋体" w:hAnsi="宋体" w:cs="宋体"/>
                <w:b w:val="0"/>
                <w:bCs/>
                <w:color w:val="auto"/>
                <w:sz w:val="21"/>
                <w:szCs w:val="21"/>
                <w:highlight w:val="none"/>
                <w:lang w:val="en-US" w:eastAsia="zh-CN"/>
              </w:rPr>
              <w:t>6</w:t>
            </w:r>
            <w:r>
              <w:rPr>
                <w:rFonts w:hint="eastAsia" w:ascii="宋体" w:hAnsi="宋体" w:eastAsia="宋体" w:cs="宋体"/>
                <w:b w:val="0"/>
                <w:bCs/>
                <w:color w:val="auto"/>
                <w:sz w:val="21"/>
                <w:szCs w:val="21"/>
                <w:highlight w:val="none"/>
                <w:lang w:val="en-US" w:eastAsia="zh-CN"/>
              </w:rPr>
              <w:t>、因采购单位管理需要或政府政策变动原因，采购单位需解除合同的，应提前30天以书面形式通知中标单位，由此造成的经济损失，采购单位不负赔偿（补偿）责任。</w:t>
            </w:r>
          </w:p>
          <w:p w14:paraId="694DCABA">
            <w:pPr>
              <w:spacing w:after="0" w:afterLines="0" w:line="240" w:lineRule="auto"/>
              <w:ind w:firstLine="0" w:firstLineChars="0"/>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3</w:t>
            </w:r>
            <w:r>
              <w:rPr>
                <w:rFonts w:hint="eastAsia" w:ascii="宋体" w:hAnsi="宋体" w:cs="宋体"/>
                <w:b w:val="0"/>
                <w:bCs/>
                <w:color w:val="auto"/>
                <w:sz w:val="21"/>
                <w:szCs w:val="21"/>
                <w:highlight w:val="none"/>
                <w:lang w:val="en-US" w:eastAsia="zh-CN"/>
              </w:rPr>
              <w:t>7</w:t>
            </w:r>
            <w:r>
              <w:rPr>
                <w:rFonts w:hint="default" w:ascii="宋体" w:hAnsi="宋体" w:eastAsia="宋体" w:cs="宋体"/>
                <w:b w:val="0"/>
                <w:bCs/>
                <w:color w:val="auto"/>
                <w:sz w:val="21"/>
                <w:szCs w:val="21"/>
                <w:highlight w:val="none"/>
                <w:lang w:eastAsia="zh-CN"/>
              </w:rPr>
              <w:t>、</w:t>
            </w:r>
            <w:r>
              <w:rPr>
                <w:rFonts w:hint="eastAsia" w:ascii="宋体" w:hAnsi="宋体" w:eastAsia="宋体" w:cs="宋体"/>
                <w:b w:val="0"/>
                <w:bCs/>
                <w:color w:val="auto"/>
                <w:sz w:val="21"/>
                <w:szCs w:val="21"/>
                <w:highlight w:val="none"/>
                <w:lang w:val="en-US" w:eastAsia="zh-CN"/>
              </w:rPr>
              <w:t>投标单位若认为招标文件的技术要求或其他要求有倾向性或不公正性，可在招标答疑阶段提出，以维护招标行为的公平、公正。</w:t>
            </w:r>
          </w:p>
          <w:p w14:paraId="58348D1E">
            <w:pPr>
              <w:spacing w:after="0" w:afterLines="0" w:line="240" w:lineRule="auto"/>
              <w:ind w:firstLine="0" w:firstLineChars="0"/>
              <w:rPr>
                <w:rFonts w:hint="default" w:ascii="宋体" w:hAnsi="宋体" w:eastAsia="宋体" w:cs="宋体"/>
                <w:bCs/>
                <w:color w:val="auto"/>
                <w:sz w:val="21"/>
                <w:szCs w:val="21"/>
                <w:highlight w:val="none"/>
                <w:lang w:eastAsia="zh-CN"/>
              </w:rPr>
            </w:pPr>
            <w:r>
              <w:rPr>
                <w:rFonts w:hint="eastAsia" w:ascii="宋体" w:hAnsi="宋体" w:eastAsia="宋体" w:cs="宋体"/>
                <w:b w:val="0"/>
                <w:bCs/>
                <w:color w:val="auto"/>
                <w:sz w:val="21"/>
                <w:szCs w:val="21"/>
                <w:highlight w:val="none"/>
                <w:lang w:val="en-US" w:eastAsia="zh-CN"/>
              </w:rPr>
              <w:t>3</w:t>
            </w:r>
            <w:r>
              <w:rPr>
                <w:rFonts w:hint="eastAsia" w:ascii="宋体" w:hAnsi="宋体" w:cs="宋体"/>
                <w:b w:val="0"/>
                <w:bCs/>
                <w:color w:val="auto"/>
                <w:sz w:val="21"/>
                <w:szCs w:val="21"/>
                <w:highlight w:val="none"/>
                <w:lang w:val="en-US" w:eastAsia="zh-CN"/>
              </w:rPr>
              <w:t>8</w:t>
            </w:r>
            <w:r>
              <w:rPr>
                <w:rFonts w:hint="default" w:ascii="宋体" w:hAnsi="宋体" w:eastAsia="宋体" w:cs="宋体"/>
                <w:b w:val="0"/>
                <w:bCs/>
                <w:color w:val="auto"/>
                <w:sz w:val="21"/>
                <w:szCs w:val="21"/>
                <w:highlight w:val="none"/>
                <w:lang w:eastAsia="zh-CN"/>
              </w:rPr>
              <w:t>、</w:t>
            </w:r>
            <w:r>
              <w:rPr>
                <w:rFonts w:hint="default" w:ascii="宋体" w:hAnsi="宋体" w:eastAsia="宋体" w:cs="宋体"/>
                <w:bCs/>
                <w:color w:val="auto"/>
                <w:sz w:val="21"/>
                <w:szCs w:val="21"/>
                <w:highlight w:val="none"/>
                <w:lang w:eastAsia="zh-CN"/>
              </w:rPr>
              <w:t>本文所涉及附件清单（中标后由采购单位提供）</w:t>
            </w:r>
          </w:p>
          <w:p w14:paraId="2C89A469">
            <w:pPr>
              <w:spacing w:after="0" w:afterLines="0" w:line="240" w:lineRule="auto"/>
              <w:ind w:firstLine="0" w:firstLineChars="0"/>
              <w:rPr>
                <w:rFonts w:hint="default"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val="en-US" w:eastAsia="zh-CN"/>
              </w:rPr>
              <w:t>3</w:t>
            </w:r>
            <w:r>
              <w:rPr>
                <w:rFonts w:hint="eastAsia" w:ascii="宋体" w:hAnsi="宋体" w:cs="宋体"/>
                <w:bCs/>
                <w:color w:val="auto"/>
                <w:sz w:val="21"/>
                <w:szCs w:val="21"/>
                <w:highlight w:val="none"/>
                <w:lang w:val="en-US" w:eastAsia="zh-CN"/>
              </w:rPr>
              <w:t>8</w:t>
            </w:r>
            <w:r>
              <w:rPr>
                <w:rFonts w:hint="default" w:ascii="宋体" w:hAnsi="宋体" w:eastAsia="宋体" w:cs="宋体"/>
                <w:bCs/>
                <w:color w:val="auto"/>
                <w:sz w:val="21"/>
                <w:szCs w:val="21"/>
                <w:highlight w:val="none"/>
                <w:lang w:eastAsia="zh-CN"/>
              </w:rPr>
              <w:t>.1《深圳市宝安区公园管理中心（罗田林场）公园（广场）安保服务考核方案》</w:t>
            </w:r>
          </w:p>
          <w:p w14:paraId="5509B20D">
            <w:pPr>
              <w:spacing w:after="0" w:afterLines="0" w:line="240" w:lineRule="auto"/>
              <w:ind w:firstLine="0" w:firstLineChars="0"/>
              <w:rPr>
                <w:rFonts w:hint="default"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val="en-US" w:eastAsia="zh-CN"/>
              </w:rPr>
              <w:t>3</w:t>
            </w:r>
            <w:r>
              <w:rPr>
                <w:rFonts w:hint="eastAsia" w:ascii="宋体" w:hAnsi="宋体" w:cs="宋体"/>
                <w:bCs/>
                <w:color w:val="auto"/>
                <w:sz w:val="21"/>
                <w:szCs w:val="21"/>
                <w:highlight w:val="none"/>
                <w:lang w:val="en-US" w:eastAsia="zh-CN"/>
              </w:rPr>
              <w:t>8</w:t>
            </w:r>
            <w:r>
              <w:rPr>
                <w:rFonts w:hint="default" w:ascii="宋体" w:hAnsi="宋体" w:eastAsia="宋体" w:cs="宋体"/>
                <w:bCs/>
                <w:color w:val="auto"/>
                <w:sz w:val="21"/>
                <w:szCs w:val="21"/>
                <w:highlight w:val="none"/>
                <w:lang w:eastAsia="zh-CN"/>
              </w:rPr>
              <w:t>.2《宝安区公园行业安保服务标准化配备指引》</w:t>
            </w:r>
          </w:p>
          <w:p w14:paraId="7E5C0B5C">
            <w:pPr>
              <w:spacing w:after="0" w:afterLines="0" w:line="240" w:lineRule="auto"/>
              <w:ind w:firstLine="0" w:firstLineChars="0"/>
              <w:rPr>
                <w:rFonts w:hint="eastAsia" w:ascii="宋体" w:hAnsi="宋体" w:eastAsia="宋体" w:cs="宋体"/>
                <w:color w:val="auto"/>
                <w:spacing w:val="0"/>
                <w:kern w:val="2"/>
                <w:sz w:val="21"/>
                <w:szCs w:val="21"/>
                <w:highlight w:val="none"/>
                <w:lang w:val="en-US" w:eastAsia="zh-CN" w:bidi="ar-SA"/>
              </w:rPr>
            </w:pPr>
            <w:r>
              <w:rPr>
                <w:rFonts w:hint="eastAsia" w:ascii="宋体" w:hAnsi="宋体" w:eastAsia="宋体" w:cs="宋体"/>
                <w:bCs/>
                <w:color w:val="auto"/>
                <w:sz w:val="21"/>
                <w:szCs w:val="21"/>
                <w:highlight w:val="none"/>
                <w:lang w:val="en-US" w:eastAsia="zh-CN"/>
              </w:rPr>
              <w:t>3</w:t>
            </w:r>
            <w:r>
              <w:rPr>
                <w:rFonts w:hint="eastAsia" w:ascii="宋体" w:hAnsi="宋体" w:cs="宋体"/>
                <w:bCs/>
                <w:color w:val="auto"/>
                <w:sz w:val="21"/>
                <w:szCs w:val="21"/>
                <w:highlight w:val="none"/>
                <w:lang w:val="en-US" w:eastAsia="zh-CN"/>
              </w:rPr>
              <w:t>8</w:t>
            </w:r>
            <w:r>
              <w:rPr>
                <w:rFonts w:hint="default" w:ascii="宋体" w:hAnsi="宋体" w:eastAsia="宋体" w:cs="宋体"/>
                <w:bCs/>
                <w:color w:val="auto"/>
                <w:sz w:val="21"/>
                <w:szCs w:val="21"/>
                <w:highlight w:val="none"/>
                <w:lang w:eastAsia="zh-CN"/>
              </w:rPr>
              <w:t>.3</w:t>
            </w:r>
            <w:r>
              <w:rPr>
                <w:rFonts w:hint="eastAsia" w:ascii="宋体" w:hAnsi="宋体" w:eastAsia="宋体" w:cs="宋体"/>
                <w:color w:val="auto"/>
                <w:spacing w:val="0"/>
                <w:kern w:val="2"/>
                <w:sz w:val="21"/>
                <w:szCs w:val="21"/>
                <w:highlight w:val="none"/>
                <w:lang w:val="en-US" w:eastAsia="zh-CN" w:bidi="ar-SA"/>
              </w:rPr>
              <w:t>《宝安区公园管理中心(罗田林场)直管公园（广场）外包服务公司人员考勤管理制度（试行）》执行</w:t>
            </w:r>
          </w:p>
          <w:p w14:paraId="08221578">
            <w:pPr>
              <w:spacing w:after="0" w:afterLines="0" w:line="240" w:lineRule="auto"/>
              <w:ind w:firstLine="0" w:firstLineChars="0"/>
              <w:rPr>
                <w:rFonts w:hint="default" w:ascii="宋体" w:hAnsi="宋体" w:eastAsia="宋体" w:cs="宋体"/>
                <w:b w:val="0"/>
                <w:bCs w:val="0"/>
                <w:color w:val="auto"/>
                <w:kern w:val="2"/>
                <w:sz w:val="21"/>
                <w:szCs w:val="21"/>
                <w:highlight w:val="none"/>
                <w:lang w:eastAsia="zh-CN" w:bidi="ar-SA"/>
              </w:rPr>
            </w:pPr>
            <w:r>
              <w:rPr>
                <w:rFonts w:hint="eastAsia" w:ascii="宋体" w:hAnsi="宋体" w:cs="宋体"/>
                <w:color w:val="auto"/>
                <w:spacing w:val="0"/>
                <w:kern w:val="2"/>
                <w:sz w:val="21"/>
                <w:szCs w:val="21"/>
                <w:highlight w:val="none"/>
                <w:lang w:val="en-US" w:eastAsia="zh-CN" w:bidi="ar-SA"/>
              </w:rPr>
              <w:t>39</w:t>
            </w:r>
            <w:r>
              <w:rPr>
                <w:rFonts w:hint="default" w:ascii="宋体" w:hAnsi="宋体" w:eastAsia="宋体" w:cs="宋体"/>
                <w:color w:val="auto"/>
                <w:spacing w:val="0"/>
                <w:kern w:val="2"/>
                <w:sz w:val="21"/>
                <w:szCs w:val="21"/>
                <w:highlight w:val="none"/>
                <w:lang w:eastAsia="zh-CN" w:bidi="ar-SA"/>
              </w:rPr>
              <w:t>、</w:t>
            </w:r>
            <w:r>
              <w:rPr>
                <w:rFonts w:hint="default" w:ascii="宋体" w:hAnsi="宋体" w:eastAsia="宋体" w:cs="宋体"/>
                <w:color w:val="auto"/>
                <w:kern w:val="2"/>
                <w:sz w:val="21"/>
                <w:szCs w:val="21"/>
                <w:highlight w:val="none"/>
                <w:lang w:eastAsia="zh-CN" w:bidi="ar-SA"/>
              </w:rPr>
              <w:t>安保服务人员经费标准按深宝城管[2019]71号《</w:t>
            </w:r>
            <w:r>
              <w:rPr>
                <w:rFonts w:hint="default" w:ascii="宋体" w:hAnsi="宋体" w:eastAsia="宋体" w:cs="宋体"/>
                <w:color w:val="auto"/>
                <w:kern w:val="2"/>
                <w:sz w:val="21"/>
                <w:szCs w:val="21"/>
                <w:highlight w:val="yellow"/>
                <w:lang w:eastAsia="zh-CN" w:bidi="ar-SA"/>
              </w:rPr>
              <w:t>关于印发&lt;宝安区公园分类分级管理工作指引&gt;的通知</w:t>
            </w:r>
            <w:r>
              <w:rPr>
                <w:rFonts w:hint="default" w:ascii="宋体" w:hAnsi="宋体" w:eastAsia="宋体" w:cs="宋体"/>
                <w:color w:val="auto"/>
                <w:kern w:val="2"/>
                <w:sz w:val="21"/>
                <w:szCs w:val="21"/>
                <w:highlight w:val="none"/>
                <w:lang w:eastAsia="zh-CN" w:bidi="ar-SA"/>
              </w:rPr>
              <w:t>》中标准执行。</w:t>
            </w:r>
          </w:p>
        </w:tc>
      </w:tr>
    </w:tbl>
    <w:p w14:paraId="5564FC10">
      <w:pPr>
        <w:ind w:firstLine="420" w:firstLineChars="200"/>
        <w:rPr>
          <w:rFonts w:asciiTheme="minorEastAsia" w:hAnsiTheme="minorEastAsia" w:eastAsiaTheme="minorEastAsia"/>
        </w:rPr>
      </w:pPr>
    </w:p>
    <w:p w14:paraId="61607B66"/>
    <w:p w14:paraId="3F7B25A8">
      <w:pPr>
        <w:pStyle w:val="5"/>
        <w:spacing w:before="120" w:beforeLines="50" w:after="120" w:afterLines="50"/>
        <w:rPr>
          <w:szCs w:val="24"/>
        </w:rPr>
      </w:pPr>
      <w:r>
        <w:rPr>
          <w:rFonts w:hint="eastAsia"/>
          <w:szCs w:val="24"/>
          <w:lang w:val="en-US" w:eastAsia="zh-CN"/>
        </w:rPr>
        <w:t>六</w:t>
      </w:r>
      <w:r>
        <w:rPr>
          <w:rFonts w:hint="eastAsia"/>
          <w:szCs w:val="24"/>
        </w:rPr>
        <w:t>、其他重要条款</w:t>
      </w:r>
    </w:p>
    <w:p w14:paraId="188E75D3">
      <w:pPr>
        <w:ind w:firstLine="420" w:firstLineChars="200"/>
        <w:rPr>
          <w:bCs/>
          <w:szCs w:val="21"/>
        </w:rPr>
      </w:pPr>
      <w:r>
        <w:rPr>
          <w:rFonts w:hint="eastAsia"/>
          <w:bCs/>
          <w:szCs w:val="21"/>
          <w:lang w:eastAsia="zh-CN"/>
        </w:rPr>
        <w:t>1.</w:t>
      </w:r>
      <w:r>
        <w:rPr>
          <w:rFonts w:hint="eastAsia"/>
          <w:bCs/>
          <w:szCs w:val="21"/>
        </w:rPr>
        <w:t>本项目投标报价采用包干制，应包括成本、法定税费和相应的利润，应涵盖本项目招标范围和招标文件所列的各项内容中所述的全部。由投标人根据招标需求自行测算投标报价；一经中标，投标报价即作为中标单位与采购人签订的合同金额。</w:t>
      </w:r>
    </w:p>
    <w:p w14:paraId="4BE935F7">
      <w:pPr>
        <w:pStyle w:val="2"/>
        <w:spacing w:before="60" w:beforeLines="25" w:after="60" w:afterLines="25"/>
        <w:ind w:firstLine="392" w:firstLineChars="187"/>
        <w:rPr>
          <w:rFonts w:ascii="宋体" w:hAnsi="宋体"/>
          <w:szCs w:val="21"/>
        </w:rPr>
      </w:pPr>
      <w:r>
        <w:rPr>
          <w:rFonts w:hint="eastAsia"/>
          <w:bCs/>
          <w:szCs w:val="21"/>
          <w:lang w:eastAsia="zh-CN"/>
        </w:rPr>
        <w:t>2.</w:t>
      </w:r>
      <w:r>
        <w:rPr>
          <w:rFonts w:hint="eastAsia"/>
          <w:bCs/>
          <w:szCs w:val="21"/>
        </w:rPr>
        <w:t>投标人应充分了解项目的位置、情况、道路及任何其它足以影响投标报价的情况，任何因忽视或误解项目情况而导致的索赔或服务期限延长申请将不获批准。</w:t>
      </w:r>
    </w:p>
    <w:p w14:paraId="7B622BD8">
      <w:pPr>
        <w:ind w:firstLine="420" w:firstLineChars="200"/>
        <w:rPr>
          <w:bCs/>
          <w:szCs w:val="21"/>
        </w:rPr>
      </w:pPr>
      <w:r>
        <w:rPr>
          <w:rFonts w:hint="eastAsia"/>
          <w:bCs/>
          <w:szCs w:val="21"/>
          <w:lang w:eastAsia="zh-CN"/>
        </w:rPr>
        <w:t>3.</w:t>
      </w:r>
      <w:r>
        <w:rPr>
          <w:rFonts w:hint="eastAsia"/>
          <w:bCs/>
          <w:szCs w:val="21"/>
        </w:rPr>
        <w:t>投标人不得期望通过索赔等方式获取补偿，否则，除可能遭到拒绝外，还可能将被作为不良行为记录在案，并可能影响其以后参加政府采购的项目投标。各投标人在投标报价时，应充分考虑投标报价的风险。</w:t>
      </w:r>
    </w:p>
    <w:p w14:paraId="1D06FB74">
      <w:pPr>
        <w:ind w:firstLine="420" w:firstLineChars="200"/>
        <w:rPr>
          <w:bCs/>
          <w:szCs w:val="21"/>
        </w:rPr>
      </w:pPr>
      <w:r>
        <w:rPr>
          <w:rFonts w:hint="eastAsia"/>
          <w:bCs/>
          <w:szCs w:val="21"/>
          <w:lang w:val="en-US" w:eastAsia="zh-CN"/>
        </w:rPr>
        <w:t>4.</w:t>
      </w:r>
      <w:r>
        <w:rPr>
          <w:rFonts w:hint="eastAsia"/>
          <w:bCs/>
          <w:szCs w:val="21"/>
        </w:rPr>
        <w:t>除政府采购合同继续履行将损害国家利益和社会公共利益外，双方当事人不得擅自变更、中止或者终止合同。</w:t>
      </w:r>
    </w:p>
    <w:p w14:paraId="273E7B18">
      <w:pPr>
        <w:ind w:firstLine="420" w:firstLineChars="200"/>
        <w:rPr>
          <w:rFonts w:hint="eastAsia" w:eastAsia="宋体"/>
          <w:bCs/>
          <w:szCs w:val="21"/>
          <w:lang w:val="en-US" w:eastAsia="zh-CN"/>
        </w:rPr>
      </w:pPr>
      <w:r>
        <w:rPr>
          <w:rFonts w:hint="eastAsia"/>
          <w:bCs/>
          <w:szCs w:val="21"/>
          <w:lang w:val="en-US" w:eastAsia="zh-CN"/>
        </w:rPr>
        <w:t>5.</w:t>
      </w:r>
      <w:r>
        <w:rPr>
          <w:rFonts w:hint="eastAsia"/>
          <w:bCs/>
          <w:szCs w:val="21"/>
        </w:rPr>
        <w:t>“信用中国”中“信用服务”栏的“重大税收违法失信主体”“失信被执行人”，“中国政府采购网”中的“政府采购严重违法失信行为记录名单”，“深圳市政府采购监管网”</w:t>
      </w:r>
      <w:r>
        <w:rPr>
          <w:rFonts w:hint="eastAsia" w:asciiTheme="minorEastAsia" w:hAnsiTheme="minorEastAsia" w:eastAsiaTheme="minorEastAsia" w:cstheme="minorEastAsia"/>
          <w:b w:val="0"/>
          <w:bCs w:val="0"/>
          <w:sz w:val="21"/>
          <w:szCs w:val="21"/>
          <w:lang w:val="en-US" w:eastAsia="zh-CN"/>
        </w:rPr>
        <w:t>以及深圳市、区财政部门认可的“供应商诚信档案库”</w:t>
      </w:r>
      <w:r>
        <w:rPr>
          <w:rFonts w:hint="eastAsia"/>
          <w:bCs/>
          <w:szCs w:val="21"/>
        </w:rPr>
        <w:t>为供应商信用信息的查询渠道，相关信息以开标当日的查询结果为准</w:t>
      </w:r>
      <w:r>
        <w:rPr>
          <w:rFonts w:hint="eastAsia" w:ascii="Times New Roman" w:eastAsia="宋体"/>
          <w:bCs/>
          <w:szCs w:val="21"/>
          <w:lang w:val="en-US" w:eastAsia="zh-CN"/>
        </w:rPr>
        <w:t>。</w:t>
      </w:r>
    </w:p>
    <w:p w14:paraId="6A014569">
      <w:pPr>
        <w:pStyle w:val="2"/>
        <w:spacing w:before="60" w:beforeLines="25" w:after="60" w:afterLines="25"/>
        <w:ind w:firstLine="392" w:firstLineChars="187"/>
        <w:rPr>
          <w:rFonts w:ascii="宋体" w:hAnsi="宋体"/>
          <w:szCs w:val="21"/>
        </w:rPr>
      </w:pPr>
    </w:p>
    <w:p w14:paraId="2586329E">
      <w:pPr>
        <w:pStyle w:val="2"/>
        <w:spacing w:before="60" w:beforeLines="25" w:after="60" w:afterLines="25"/>
        <w:ind w:firstLine="392" w:firstLineChars="187"/>
        <w:rPr>
          <w:rFonts w:ascii="宋体" w:hAnsi="宋体"/>
          <w:szCs w:val="21"/>
        </w:rPr>
      </w:pPr>
    </w:p>
    <w:p w14:paraId="19BFB3AC">
      <w:pPr>
        <w:pStyle w:val="2"/>
        <w:spacing w:before="60" w:beforeLines="25" w:after="60" w:afterLines="25"/>
        <w:ind w:firstLine="392" w:firstLineChars="187"/>
        <w:rPr>
          <w:rFonts w:ascii="宋体" w:hAnsi="宋体"/>
          <w:szCs w:val="21"/>
        </w:rPr>
      </w:pPr>
    </w:p>
    <w:p w14:paraId="2E7E1C84">
      <w:r>
        <w:br w:type="page"/>
      </w:r>
    </w:p>
    <w:p w14:paraId="2A6D6D7D">
      <w:pPr>
        <w:pStyle w:val="5"/>
        <w:rPr>
          <w:kern w:val="2"/>
        </w:rPr>
      </w:pPr>
      <w:r>
        <w:rPr>
          <w:rFonts w:hint="eastAsia"/>
          <w:kern w:val="2"/>
        </w:rPr>
        <w:t>第四章 投标文件组成要求及格式</w:t>
      </w:r>
    </w:p>
    <w:p w14:paraId="135D1BA4">
      <w:pPr>
        <w:rPr>
          <w:rStyle w:val="64"/>
          <w:sz w:val="24"/>
        </w:rPr>
      </w:pPr>
      <w:r>
        <w:rPr>
          <w:rStyle w:val="64"/>
          <w:rFonts w:hint="eastAsia"/>
          <w:sz w:val="24"/>
        </w:rPr>
        <w:t>特别提醒：</w:t>
      </w:r>
    </w:p>
    <w:p w14:paraId="09FA2F3F">
      <w:pPr>
        <w:ind w:firstLine="480" w:firstLineChars="200"/>
        <w:rPr>
          <w:rFonts w:ascii="仿宋_GB2312" w:eastAsia="仿宋_GB2312"/>
          <w:sz w:val="24"/>
        </w:rPr>
      </w:pPr>
      <w:r>
        <w:rPr>
          <w:rFonts w:hint="eastAsia" w:ascii="仿宋_GB2312" w:eastAsia="仿宋_GB2312"/>
          <w:sz w:val="24"/>
        </w:rPr>
        <w:t>中标（成交）供应商的投标文件正文将对外公开，投标文件附件不公开；未中标（成交）供应商的投标文件一律不公开。投标人在编辑投标文件时，在投标文件目录中属于本节点内容的必须在本节点中填写，填写到其他节点或附件的将可能导致投标无效，一切后果由供应商自行承担。</w:t>
      </w:r>
    </w:p>
    <w:p w14:paraId="0EE2D431">
      <w:pPr>
        <w:rPr>
          <w:rFonts w:ascii="仿宋_GB2312" w:eastAsia="仿宋_GB2312"/>
          <w:sz w:val="24"/>
        </w:rPr>
      </w:pPr>
      <w:r>
        <w:rPr>
          <w:rFonts w:hint="eastAsia" w:ascii="仿宋_GB2312" w:eastAsia="仿宋_GB2312"/>
          <w:sz w:val="24"/>
        </w:rPr>
        <w:t xml:space="preserve">    投标文件正文（信息公开部分）必须编制于“正文（公开部分）”，投标文件附件（非信息公开部分）必须编制于“附件（不公开部分）”，如下图所示。</w:t>
      </w:r>
    </w:p>
    <w:p w14:paraId="321D0482">
      <w:pPr>
        <w:widowControl/>
        <w:jc w:val="left"/>
        <w:rPr>
          <w:rFonts w:ascii="宋体" w:hAnsi="宋体" w:cs="宋体"/>
          <w:kern w:val="0"/>
          <w:sz w:val="24"/>
        </w:rPr>
      </w:pPr>
      <w:r>
        <w:drawing>
          <wp:inline distT="0" distB="0" distL="114300" distR="114300">
            <wp:extent cx="5203190" cy="4043045"/>
            <wp:effectExtent l="0" t="0" r="8890" b="10795"/>
            <wp:docPr id="3" name="_x0000_i1027" descr="c66f322b8feee32c1a3f0d48f365c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_x0000_i1027" descr="c66f322b8feee32c1a3f0d48f365c82"/>
                    <pic:cNvPicPr>
                      <a:picLocks noChangeAspect="1"/>
                    </pic:cNvPicPr>
                  </pic:nvPicPr>
                  <pic:blipFill>
                    <a:blip r:embed="rId8"/>
                    <a:stretch>
                      <a:fillRect/>
                    </a:stretch>
                  </pic:blipFill>
                  <pic:spPr>
                    <a:xfrm>
                      <a:off x="0" y="0"/>
                      <a:ext cx="5203190" cy="4043045"/>
                    </a:xfrm>
                    <a:prstGeom prst="rect">
                      <a:avLst/>
                    </a:prstGeom>
                  </pic:spPr>
                </pic:pic>
              </a:graphicData>
            </a:graphic>
          </wp:inline>
        </w:drawing>
      </w:r>
    </w:p>
    <w:p w14:paraId="23B28F57">
      <w:pPr>
        <w:ind w:firstLine="480" w:firstLineChars="200"/>
        <w:rPr>
          <w:rFonts w:ascii="仿宋_GB2312" w:eastAsia="仿宋_GB2312"/>
          <w:sz w:val="24"/>
        </w:rPr>
      </w:pPr>
      <w:r>
        <w:rPr>
          <w:rFonts w:hint="eastAsia" w:ascii="仿宋_GB2312" w:eastAsia="仿宋_GB2312"/>
          <w:sz w:val="24"/>
        </w:rPr>
        <w:t>政府集中采购机构公布投标文件正文（信息公开部分）时为计算机截取信息自动公布，供应商登录深圳政府采购智慧平台后下载附件。</w:t>
      </w:r>
      <w:r>
        <w:rPr>
          <w:rFonts w:hint="eastAsia" w:ascii="仿宋_GB2312" w:eastAsia="仿宋_GB2312"/>
          <w:b/>
          <w:bCs/>
          <w:sz w:val="24"/>
        </w:rPr>
        <w:t>如投标人误将涉及个人隐私的信息放入投标文件正文，相关后果由投标人自负；</w:t>
      </w:r>
      <w:r>
        <w:rPr>
          <w:rFonts w:hint="eastAsia" w:ascii="仿宋_GB2312" w:eastAsia="仿宋_GB2312"/>
          <w:sz w:val="24"/>
          <w:highlight w:val="yellow"/>
        </w:rPr>
        <w:t>如投标人将必须放于投标文件正文（信息公开部分）的内容放入投标文件附件（非信息公开部分），将作投标无效处理。</w:t>
      </w:r>
    </w:p>
    <w:p w14:paraId="363E8F82">
      <w:pPr>
        <w:ind w:firstLine="480" w:firstLineChars="200"/>
        <w:rPr>
          <w:rFonts w:ascii="仿宋_GB2312" w:eastAsia="仿宋_GB2312"/>
          <w:sz w:val="24"/>
        </w:rPr>
      </w:pPr>
    </w:p>
    <w:p w14:paraId="1C16C43B">
      <w:pPr>
        <w:ind w:firstLine="482" w:firstLineChars="200"/>
        <w:rPr>
          <w:rFonts w:ascii="宋体" w:hAnsi="宋体"/>
          <w:b/>
          <w:sz w:val="24"/>
        </w:rPr>
      </w:pPr>
    </w:p>
    <w:p w14:paraId="69B3485F">
      <w:pPr>
        <w:rPr>
          <w:rFonts w:hint="eastAsia" w:ascii="宋体" w:hAnsi="宋体"/>
          <w:sz w:val="24"/>
        </w:rPr>
      </w:pPr>
      <w:r>
        <w:br w:type="page"/>
      </w:r>
    </w:p>
    <w:p w14:paraId="2FAD439F">
      <w:pPr>
        <w:rPr>
          <w:rFonts w:ascii="宋体" w:hAnsi="宋体"/>
          <w:sz w:val="24"/>
        </w:rPr>
      </w:pPr>
      <w:r>
        <w:rPr>
          <w:rFonts w:hint="eastAsia" w:ascii="宋体" w:hAnsi="宋体"/>
          <w:sz w:val="24"/>
        </w:rPr>
        <w:t>投标文件组成：</w:t>
      </w:r>
    </w:p>
    <w:p w14:paraId="3AE570F3">
      <w:pPr>
        <w:ind w:firstLine="1200" w:firstLineChars="500"/>
        <w:outlineLvl w:val="9"/>
        <w:rPr>
          <w:rFonts w:ascii="宋体" w:hAnsi="宋体"/>
          <w:sz w:val="24"/>
        </w:rPr>
      </w:pPr>
      <w:r>
        <w:rPr>
          <w:rFonts w:hint="eastAsia" w:ascii="宋体" w:hAnsi="宋体"/>
          <w:sz w:val="24"/>
        </w:rPr>
        <w:t>1.投标文件正文</w:t>
      </w:r>
      <w:r>
        <w:rPr>
          <w:rFonts w:hint="eastAsia" w:ascii="宋体" w:hAnsi="宋体"/>
          <w:b/>
          <w:color w:val="FF0000"/>
          <w:sz w:val="24"/>
        </w:rPr>
        <w:t>（信息公开部分）</w:t>
      </w:r>
      <w:r>
        <w:rPr>
          <w:rFonts w:hint="eastAsia" w:ascii="宋体" w:hAnsi="宋体"/>
          <w:sz w:val="24"/>
        </w:rPr>
        <w:t>，主要包括以下内容：</w:t>
      </w:r>
    </w:p>
    <w:p w14:paraId="55CEEC66">
      <w:pPr>
        <w:ind w:left="718" w:leftChars="342" w:firstLine="1417" w:firstLineChars="675"/>
        <w:rPr>
          <w:szCs w:val="21"/>
        </w:rPr>
      </w:pPr>
      <w:r>
        <w:rPr>
          <w:rFonts w:hint="eastAsia"/>
          <w:szCs w:val="21"/>
        </w:rPr>
        <w:t>（1）</w:t>
      </w:r>
      <w:bookmarkStart w:id="32" w:name="_Hlk72070784"/>
      <w:r>
        <w:rPr>
          <w:rFonts w:hint="eastAsia"/>
          <w:szCs w:val="21"/>
        </w:rPr>
        <w:t>投标函</w:t>
      </w:r>
      <w:bookmarkEnd w:id="32"/>
    </w:p>
    <w:p w14:paraId="1FF03DF4">
      <w:pPr>
        <w:ind w:left="718" w:leftChars="342" w:firstLine="1417" w:firstLineChars="675"/>
        <w:rPr>
          <w:szCs w:val="21"/>
        </w:rPr>
      </w:pPr>
      <w:r>
        <w:rPr>
          <w:rFonts w:hint="eastAsia"/>
          <w:szCs w:val="21"/>
        </w:rPr>
        <w:t>（2）</w:t>
      </w:r>
      <w:bookmarkStart w:id="33" w:name="_Hlk72062521"/>
      <w:r>
        <w:rPr>
          <w:rFonts w:hint="eastAsia"/>
          <w:szCs w:val="21"/>
        </w:rPr>
        <w:t>政府采购投标及履约承诺函</w:t>
      </w:r>
      <w:bookmarkEnd w:id="33"/>
    </w:p>
    <w:p w14:paraId="535CF029">
      <w:pPr>
        <w:ind w:left="718" w:leftChars="342" w:firstLine="1417" w:firstLineChars="675"/>
        <w:rPr>
          <w:szCs w:val="21"/>
          <w:highlight w:val="none"/>
        </w:rPr>
      </w:pPr>
      <w:r>
        <w:rPr>
          <w:rFonts w:hint="eastAsia"/>
          <w:szCs w:val="21"/>
        </w:rPr>
        <w:t>（</w:t>
      </w:r>
      <w:r>
        <w:rPr>
          <w:szCs w:val="21"/>
        </w:rPr>
        <w:t>3</w:t>
      </w:r>
      <w:r>
        <w:rPr>
          <w:rFonts w:hint="eastAsia"/>
          <w:szCs w:val="21"/>
          <w:highlight w:val="none"/>
        </w:rPr>
        <w:t>）投标人情况及资格证明文件</w:t>
      </w:r>
    </w:p>
    <w:p w14:paraId="38AC040D">
      <w:pPr>
        <w:ind w:left="718" w:leftChars="342" w:firstLine="1417" w:firstLineChars="675"/>
        <w:rPr>
          <w:rFonts w:hint="eastAsia"/>
          <w:szCs w:val="21"/>
          <w:highlight w:val="none"/>
        </w:rPr>
      </w:pPr>
      <w:bookmarkStart w:id="34" w:name="_Hlk72257201"/>
      <w:r>
        <w:rPr>
          <w:rFonts w:hint="eastAsia"/>
          <w:szCs w:val="21"/>
          <w:highlight w:val="none"/>
        </w:rPr>
        <w:t>（</w:t>
      </w:r>
      <w:r>
        <w:rPr>
          <w:szCs w:val="21"/>
          <w:highlight w:val="none"/>
        </w:rPr>
        <w:t>4</w:t>
      </w:r>
      <w:r>
        <w:rPr>
          <w:rFonts w:hint="eastAsia"/>
          <w:szCs w:val="21"/>
          <w:highlight w:val="none"/>
        </w:rPr>
        <w:t>）</w:t>
      </w:r>
      <w:bookmarkEnd w:id="34"/>
      <w:r>
        <w:rPr>
          <w:rFonts w:hint="eastAsia"/>
          <w:szCs w:val="21"/>
          <w:highlight w:val="none"/>
        </w:rPr>
        <w:t>体系认证情况</w:t>
      </w:r>
    </w:p>
    <w:p w14:paraId="07700121">
      <w:pPr>
        <w:ind w:left="718" w:leftChars="342" w:firstLine="1417" w:firstLineChars="675"/>
        <w:rPr>
          <w:rFonts w:hint="eastAsia"/>
          <w:szCs w:val="21"/>
          <w:highlight w:val="none"/>
        </w:rPr>
      </w:pPr>
      <w:r>
        <w:rPr>
          <w:rFonts w:hint="eastAsia"/>
          <w:szCs w:val="21"/>
          <w:highlight w:val="none"/>
          <w:lang w:eastAsia="zh-CN"/>
        </w:rPr>
        <w:t>（</w:t>
      </w:r>
      <w:r>
        <w:rPr>
          <w:rFonts w:hint="eastAsia"/>
          <w:szCs w:val="21"/>
          <w:highlight w:val="none"/>
          <w:lang w:val="en-US" w:eastAsia="zh-CN"/>
        </w:rPr>
        <w:t>5</w:t>
      </w:r>
      <w:r>
        <w:rPr>
          <w:rFonts w:hint="eastAsia"/>
          <w:szCs w:val="21"/>
          <w:highlight w:val="none"/>
          <w:lang w:eastAsia="zh-CN"/>
        </w:rPr>
        <w:t>）</w:t>
      </w:r>
      <w:r>
        <w:rPr>
          <w:rFonts w:hint="eastAsia"/>
          <w:szCs w:val="21"/>
          <w:highlight w:val="none"/>
        </w:rPr>
        <w:t>应急维稳处突及反恐能力</w:t>
      </w:r>
    </w:p>
    <w:p w14:paraId="1F587B05">
      <w:pPr>
        <w:ind w:left="718" w:leftChars="342" w:firstLine="1417" w:firstLineChars="675"/>
        <w:rPr>
          <w:rFonts w:hint="eastAsia"/>
          <w:szCs w:val="21"/>
          <w:highlight w:val="none"/>
          <w:lang w:eastAsia="zh-CN"/>
        </w:rPr>
      </w:pPr>
      <w:r>
        <w:rPr>
          <w:rFonts w:hint="eastAsia"/>
          <w:szCs w:val="21"/>
          <w:highlight w:val="none"/>
          <w:lang w:eastAsia="zh-CN"/>
        </w:rPr>
        <w:t>（</w:t>
      </w:r>
      <w:r>
        <w:rPr>
          <w:rFonts w:hint="eastAsia"/>
          <w:szCs w:val="21"/>
          <w:highlight w:val="none"/>
          <w:lang w:val="en-US" w:eastAsia="zh-CN"/>
        </w:rPr>
        <w:t>6</w:t>
      </w:r>
      <w:r>
        <w:rPr>
          <w:rFonts w:hint="eastAsia"/>
          <w:szCs w:val="21"/>
          <w:highlight w:val="none"/>
          <w:lang w:eastAsia="zh-CN"/>
        </w:rPr>
        <w:t>）</w:t>
      </w:r>
      <w:r>
        <w:rPr>
          <w:rFonts w:hint="eastAsia"/>
          <w:szCs w:val="21"/>
          <w:highlight w:val="none"/>
        </w:rPr>
        <w:t>投标人荣誉情况</w:t>
      </w:r>
      <w:r>
        <w:rPr>
          <w:rFonts w:hint="eastAsia"/>
          <w:szCs w:val="21"/>
          <w:highlight w:val="none"/>
          <w:lang w:eastAsia="zh-CN"/>
        </w:rPr>
        <w:t>；</w:t>
      </w:r>
    </w:p>
    <w:p w14:paraId="01E4FEFE">
      <w:pPr>
        <w:ind w:left="718" w:leftChars="342" w:firstLine="1417" w:firstLineChars="675"/>
        <w:rPr>
          <w:rFonts w:hint="eastAsia"/>
          <w:szCs w:val="21"/>
          <w:highlight w:val="none"/>
          <w:lang w:eastAsia="zh-CN"/>
        </w:rPr>
      </w:pPr>
      <w:r>
        <w:rPr>
          <w:rFonts w:hint="eastAsia"/>
          <w:szCs w:val="21"/>
          <w:highlight w:val="none"/>
        </w:rPr>
        <w:t>（</w:t>
      </w:r>
      <w:r>
        <w:rPr>
          <w:rFonts w:hint="eastAsia"/>
          <w:szCs w:val="21"/>
          <w:highlight w:val="none"/>
          <w:lang w:val="en-US" w:eastAsia="zh-CN"/>
        </w:rPr>
        <w:t>7</w:t>
      </w:r>
      <w:r>
        <w:rPr>
          <w:rFonts w:hint="eastAsia"/>
          <w:szCs w:val="21"/>
          <w:highlight w:val="none"/>
        </w:rPr>
        <w:t>）投标人认为需要加以说明的其他内容（公开）</w:t>
      </w:r>
      <w:r>
        <w:rPr>
          <w:rFonts w:hint="eastAsia"/>
          <w:szCs w:val="21"/>
          <w:highlight w:val="none"/>
          <w:lang w:eastAsia="zh-CN"/>
        </w:rPr>
        <w:t>；</w:t>
      </w:r>
    </w:p>
    <w:p w14:paraId="70FADB41">
      <w:pPr>
        <w:ind w:firstLine="1200" w:firstLineChars="500"/>
        <w:outlineLvl w:val="9"/>
        <w:rPr>
          <w:rFonts w:ascii="宋体" w:hAnsi="宋体"/>
          <w:sz w:val="24"/>
        </w:rPr>
      </w:pPr>
      <w:r>
        <w:rPr>
          <w:rFonts w:hint="eastAsia" w:ascii="宋体" w:hAnsi="宋体"/>
          <w:sz w:val="24"/>
        </w:rPr>
        <w:t>2.投标文件附件</w:t>
      </w:r>
      <w:r>
        <w:rPr>
          <w:rFonts w:hint="eastAsia" w:ascii="宋体" w:hAnsi="宋体"/>
          <w:b/>
          <w:color w:val="FF0000"/>
          <w:sz w:val="24"/>
        </w:rPr>
        <w:t>（信息不公开部分）</w:t>
      </w:r>
      <w:r>
        <w:rPr>
          <w:rFonts w:hint="eastAsia" w:ascii="宋体" w:hAnsi="宋体"/>
          <w:sz w:val="24"/>
        </w:rPr>
        <w:t>：主要包括以下内容：</w:t>
      </w:r>
    </w:p>
    <w:p w14:paraId="703775FF">
      <w:pPr>
        <w:ind w:firstLine="2100" w:firstLineChars="1000"/>
        <w:rPr>
          <w:rFonts w:hint="eastAsia"/>
          <w:szCs w:val="21"/>
        </w:rPr>
      </w:pPr>
      <w:r>
        <w:rPr>
          <w:rFonts w:hint="eastAsia" w:eastAsia="宋体"/>
          <w:szCs w:val="21"/>
          <w:lang w:eastAsia="zh-CN"/>
        </w:rPr>
        <w:t>（</w:t>
      </w:r>
      <w:r>
        <w:rPr>
          <w:rFonts w:hint="eastAsia" w:ascii="Times New Roman" w:eastAsia="宋体"/>
          <w:szCs w:val="21"/>
          <w:lang w:val="en-US" w:eastAsia="zh-CN"/>
        </w:rPr>
        <w:t>1</w:t>
      </w:r>
      <w:r>
        <w:rPr>
          <w:rFonts w:hint="eastAsia" w:eastAsia="宋体"/>
          <w:szCs w:val="21"/>
          <w:lang w:eastAsia="zh-CN"/>
        </w:rPr>
        <w:t>）供应商基本情况表</w:t>
      </w:r>
    </w:p>
    <w:p w14:paraId="5E278CAC">
      <w:pPr>
        <w:ind w:firstLine="2100" w:firstLineChars="1000"/>
        <w:rPr>
          <w:szCs w:val="21"/>
        </w:rPr>
      </w:pPr>
      <w:r>
        <w:rPr>
          <w:rFonts w:hint="eastAsia"/>
          <w:szCs w:val="21"/>
        </w:rPr>
        <w:t>（</w:t>
      </w:r>
      <w:r>
        <w:rPr>
          <w:rFonts w:hint="eastAsia"/>
          <w:szCs w:val="21"/>
          <w:lang w:val="en-US" w:eastAsia="zh-CN"/>
        </w:rPr>
        <w:t>2</w:t>
      </w:r>
      <w:r>
        <w:rPr>
          <w:rFonts w:hint="eastAsia"/>
          <w:szCs w:val="21"/>
        </w:rPr>
        <w:t>）法定代表人（负责人）证明书</w:t>
      </w:r>
    </w:p>
    <w:p w14:paraId="218D99D5">
      <w:pPr>
        <w:ind w:left="718" w:leftChars="342" w:firstLine="1417" w:firstLineChars="675"/>
        <w:rPr>
          <w:szCs w:val="21"/>
        </w:rPr>
      </w:pPr>
      <w:r>
        <w:rPr>
          <w:rFonts w:hint="eastAsia"/>
          <w:szCs w:val="21"/>
        </w:rPr>
        <w:t>（</w:t>
      </w:r>
      <w:r>
        <w:rPr>
          <w:rFonts w:hint="eastAsia"/>
          <w:szCs w:val="21"/>
          <w:lang w:val="en-US" w:eastAsia="zh-CN"/>
        </w:rPr>
        <w:t>3</w:t>
      </w:r>
      <w:r>
        <w:rPr>
          <w:rFonts w:hint="eastAsia"/>
          <w:szCs w:val="21"/>
        </w:rPr>
        <w:t>）投标文件签署授权委托书</w:t>
      </w:r>
    </w:p>
    <w:p w14:paraId="198E70F8">
      <w:pPr>
        <w:ind w:left="718" w:leftChars="342" w:firstLine="1417" w:firstLineChars="675"/>
        <w:rPr>
          <w:rFonts w:hint="eastAsia"/>
          <w:szCs w:val="21"/>
        </w:rPr>
      </w:pPr>
      <w:r>
        <w:rPr>
          <w:rFonts w:hint="eastAsia"/>
          <w:szCs w:val="21"/>
        </w:rPr>
        <w:t>（</w:t>
      </w:r>
      <w:r>
        <w:rPr>
          <w:rFonts w:hint="eastAsia"/>
          <w:szCs w:val="21"/>
          <w:lang w:val="en-US" w:eastAsia="zh-CN"/>
        </w:rPr>
        <w:t>4</w:t>
      </w:r>
      <w:r>
        <w:rPr>
          <w:rFonts w:hint="eastAsia"/>
          <w:szCs w:val="21"/>
        </w:rPr>
        <w:t>）项目详细报价</w:t>
      </w:r>
    </w:p>
    <w:p w14:paraId="6B52A9C7">
      <w:pPr>
        <w:ind w:left="718" w:leftChars="342" w:firstLine="1417" w:firstLineChars="675"/>
        <w:rPr>
          <w:szCs w:val="21"/>
        </w:rPr>
      </w:pPr>
      <w:r>
        <w:rPr>
          <w:rFonts w:hint="eastAsia"/>
          <w:szCs w:val="21"/>
        </w:rPr>
        <w:t>（5）</w:t>
      </w:r>
      <w:r>
        <w:rPr>
          <w:szCs w:val="21"/>
        </w:rPr>
        <w:t>实质性条款响应情况表</w:t>
      </w:r>
    </w:p>
    <w:p w14:paraId="3F97566F">
      <w:pPr>
        <w:ind w:left="718" w:leftChars="342" w:firstLine="1417" w:firstLineChars="675"/>
        <w:rPr>
          <w:rFonts w:hint="eastAsia"/>
          <w:szCs w:val="21"/>
          <w:lang w:eastAsia="zh-CN"/>
        </w:rPr>
      </w:pPr>
      <w:r>
        <w:rPr>
          <w:rFonts w:hint="eastAsia"/>
          <w:szCs w:val="21"/>
          <w:lang w:eastAsia="zh-CN"/>
        </w:rPr>
        <w:t>（</w:t>
      </w:r>
      <w:r>
        <w:rPr>
          <w:rFonts w:hint="eastAsia"/>
          <w:szCs w:val="21"/>
          <w:lang w:val="en-US" w:eastAsia="zh-CN"/>
        </w:rPr>
        <w:t>6</w:t>
      </w:r>
      <w:r>
        <w:rPr>
          <w:rFonts w:hint="eastAsia"/>
          <w:szCs w:val="21"/>
          <w:lang w:eastAsia="zh-CN"/>
        </w:rPr>
        <w:t>）实施方案；</w:t>
      </w:r>
    </w:p>
    <w:p w14:paraId="7B604C9C">
      <w:pPr>
        <w:ind w:left="718" w:leftChars="342" w:firstLine="1417" w:firstLineChars="675"/>
        <w:rPr>
          <w:rFonts w:hint="eastAsia"/>
          <w:szCs w:val="21"/>
          <w:lang w:eastAsia="zh-CN"/>
        </w:rPr>
      </w:pPr>
      <w:r>
        <w:rPr>
          <w:rFonts w:hint="eastAsia"/>
          <w:szCs w:val="21"/>
          <w:lang w:eastAsia="zh-CN"/>
        </w:rPr>
        <w:t>（</w:t>
      </w:r>
      <w:r>
        <w:rPr>
          <w:rFonts w:hint="eastAsia"/>
          <w:szCs w:val="21"/>
          <w:lang w:val="en-US" w:eastAsia="zh-CN"/>
        </w:rPr>
        <w:t>7</w:t>
      </w:r>
      <w:r>
        <w:rPr>
          <w:rFonts w:hint="eastAsia"/>
          <w:szCs w:val="21"/>
          <w:lang w:eastAsia="zh-CN"/>
        </w:rPr>
        <w:t>）质量保障措施、季度质量安全管理巡查方案及应急方案；</w:t>
      </w:r>
    </w:p>
    <w:p w14:paraId="22736CB4">
      <w:pPr>
        <w:ind w:left="718" w:leftChars="342" w:firstLine="1417" w:firstLineChars="675"/>
        <w:rPr>
          <w:rFonts w:hint="eastAsia"/>
          <w:szCs w:val="21"/>
          <w:lang w:eastAsia="zh-CN"/>
        </w:rPr>
      </w:pPr>
      <w:r>
        <w:rPr>
          <w:rFonts w:hint="eastAsia"/>
          <w:szCs w:val="21"/>
          <w:lang w:eastAsia="zh-CN"/>
        </w:rPr>
        <w:t>（</w:t>
      </w:r>
      <w:r>
        <w:rPr>
          <w:rFonts w:hint="eastAsia"/>
          <w:szCs w:val="21"/>
          <w:lang w:val="en-US" w:eastAsia="zh-CN"/>
        </w:rPr>
        <w:t>8</w:t>
      </w:r>
      <w:r>
        <w:rPr>
          <w:rFonts w:hint="eastAsia"/>
          <w:szCs w:val="21"/>
          <w:lang w:eastAsia="zh-CN"/>
        </w:rPr>
        <w:t>）项目重点难点分析、应对措施及相关的合理化建议；</w:t>
      </w:r>
    </w:p>
    <w:p w14:paraId="1ACABAF7">
      <w:pPr>
        <w:ind w:left="718" w:leftChars="342" w:firstLine="1417" w:firstLineChars="675"/>
        <w:rPr>
          <w:rFonts w:hint="eastAsia"/>
          <w:szCs w:val="21"/>
          <w:lang w:eastAsia="zh-CN"/>
        </w:rPr>
      </w:pPr>
      <w:r>
        <w:rPr>
          <w:rFonts w:hint="eastAsia"/>
          <w:szCs w:val="21"/>
          <w:lang w:eastAsia="zh-CN"/>
        </w:rPr>
        <w:t>（</w:t>
      </w:r>
      <w:r>
        <w:rPr>
          <w:rFonts w:hint="eastAsia"/>
          <w:szCs w:val="21"/>
          <w:lang w:val="en-US" w:eastAsia="zh-CN"/>
        </w:rPr>
        <w:t>9</w:t>
      </w:r>
      <w:r>
        <w:rPr>
          <w:rFonts w:hint="eastAsia"/>
          <w:szCs w:val="21"/>
          <w:lang w:eastAsia="zh-CN"/>
        </w:rPr>
        <w:t>）项目服务期满后的服务承诺；</w:t>
      </w:r>
    </w:p>
    <w:p w14:paraId="6EE8C3DD">
      <w:pPr>
        <w:ind w:left="718" w:leftChars="342" w:firstLine="1417" w:firstLineChars="675"/>
        <w:rPr>
          <w:rFonts w:hint="eastAsia"/>
          <w:szCs w:val="21"/>
          <w:lang w:eastAsia="zh-CN"/>
        </w:rPr>
      </w:pPr>
      <w:r>
        <w:rPr>
          <w:rFonts w:hint="eastAsia"/>
          <w:szCs w:val="21"/>
          <w:lang w:eastAsia="zh-CN"/>
        </w:rPr>
        <w:t>（</w:t>
      </w:r>
      <w:r>
        <w:rPr>
          <w:rFonts w:hint="eastAsia"/>
          <w:szCs w:val="21"/>
          <w:lang w:val="en-US" w:eastAsia="zh-CN"/>
        </w:rPr>
        <w:t>10</w:t>
      </w:r>
      <w:r>
        <w:rPr>
          <w:rFonts w:hint="eastAsia"/>
          <w:szCs w:val="21"/>
          <w:lang w:eastAsia="zh-CN"/>
        </w:rPr>
        <w:t>）违约承诺；</w:t>
      </w:r>
    </w:p>
    <w:p w14:paraId="4841CEB4">
      <w:pPr>
        <w:ind w:left="718" w:leftChars="342" w:firstLine="1417" w:firstLineChars="675"/>
        <w:rPr>
          <w:rFonts w:hint="eastAsia"/>
          <w:szCs w:val="21"/>
          <w:lang w:eastAsia="zh-CN"/>
        </w:rPr>
      </w:pPr>
      <w:r>
        <w:rPr>
          <w:rFonts w:hint="eastAsia"/>
          <w:szCs w:val="21"/>
          <w:lang w:eastAsia="zh-CN"/>
        </w:rPr>
        <w:t>（</w:t>
      </w:r>
      <w:r>
        <w:rPr>
          <w:rFonts w:hint="eastAsia"/>
          <w:szCs w:val="21"/>
          <w:lang w:val="en-US" w:eastAsia="zh-CN"/>
        </w:rPr>
        <w:t>11</w:t>
      </w:r>
      <w:r>
        <w:rPr>
          <w:rFonts w:hint="eastAsia"/>
          <w:szCs w:val="21"/>
          <w:lang w:eastAsia="zh-CN"/>
        </w:rPr>
        <w:t>）拟安排项目负责人（仅限1人）情况；</w:t>
      </w:r>
    </w:p>
    <w:p w14:paraId="7C1175FB">
      <w:pPr>
        <w:ind w:left="718" w:leftChars="342" w:firstLine="1417" w:firstLineChars="675"/>
        <w:rPr>
          <w:rFonts w:hint="eastAsia"/>
          <w:szCs w:val="21"/>
          <w:highlight w:val="none"/>
          <w:lang w:eastAsia="zh-CN"/>
        </w:rPr>
      </w:pPr>
      <w:r>
        <w:rPr>
          <w:rFonts w:hint="eastAsia"/>
          <w:szCs w:val="21"/>
          <w:lang w:eastAsia="zh-CN"/>
        </w:rPr>
        <w:t>（</w:t>
      </w:r>
      <w:r>
        <w:rPr>
          <w:rFonts w:hint="eastAsia"/>
          <w:szCs w:val="21"/>
          <w:lang w:val="en-US" w:eastAsia="zh-CN"/>
        </w:rPr>
        <w:t>12</w:t>
      </w:r>
      <w:r>
        <w:rPr>
          <w:rFonts w:hint="eastAsia"/>
          <w:szCs w:val="21"/>
          <w:lang w:eastAsia="zh-CN"/>
        </w:rPr>
        <w:t>）拟安排的安保</w:t>
      </w:r>
      <w:r>
        <w:rPr>
          <w:rFonts w:hint="eastAsia"/>
          <w:szCs w:val="21"/>
          <w:highlight w:val="none"/>
          <w:lang w:eastAsia="zh-CN"/>
        </w:rPr>
        <w:t>视频监控(临时)指挥平台组；</w:t>
      </w:r>
    </w:p>
    <w:p w14:paraId="6C574EC2">
      <w:pPr>
        <w:ind w:left="718" w:leftChars="342" w:firstLine="1417" w:firstLineChars="675"/>
        <w:rPr>
          <w:rFonts w:hint="eastAsia"/>
          <w:szCs w:val="21"/>
          <w:highlight w:val="none"/>
          <w:lang w:eastAsia="zh-CN"/>
        </w:rPr>
      </w:pPr>
      <w:r>
        <w:rPr>
          <w:rFonts w:hint="eastAsia"/>
          <w:szCs w:val="21"/>
          <w:highlight w:val="none"/>
          <w:lang w:eastAsia="zh-CN"/>
        </w:rPr>
        <w:t>（</w:t>
      </w:r>
      <w:r>
        <w:rPr>
          <w:rFonts w:hint="eastAsia"/>
          <w:szCs w:val="21"/>
          <w:highlight w:val="none"/>
          <w:lang w:val="en-US" w:eastAsia="zh-CN"/>
        </w:rPr>
        <w:t>13</w:t>
      </w:r>
      <w:r>
        <w:rPr>
          <w:rFonts w:hint="eastAsia"/>
          <w:szCs w:val="21"/>
          <w:highlight w:val="none"/>
          <w:lang w:eastAsia="zh-CN"/>
        </w:rPr>
        <w:t>）拟安排团队成员情况；</w:t>
      </w:r>
    </w:p>
    <w:p w14:paraId="1082E8FA">
      <w:pPr>
        <w:ind w:left="718" w:leftChars="342" w:firstLine="1417" w:firstLineChars="675"/>
        <w:rPr>
          <w:rFonts w:hint="eastAsia" w:eastAsia="宋体"/>
          <w:szCs w:val="21"/>
          <w:highlight w:val="none"/>
          <w:lang w:eastAsia="zh-CN"/>
        </w:rPr>
      </w:pPr>
      <w:r>
        <w:rPr>
          <w:rFonts w:hint="eastAsia"/>
          <w:szCs w:val="21"/>
          <w:highlight w:val="none"/>
          <w:lang w:eastAsia="zh-CN"/>
        </w:rPr>
        <w:t>（</w:t>
      </w:r>
      <w:r>
        <w:rPr>
          <w:rFonts w:hint="eastAsia"/>
          <w:szCs w:val="21"/>
          <w:highlight w:val="none"/>
          <w:lang w:val="en-US" w:eastAsia="zh-CN"/>
        </w:rPr>
        <w:t>14</w:t>
      </w:r>
      <w:r>
        <w:rPr>
          <w:rFonts w:hint="eastAsia"/>
          <w:szCs w:val="21"/>
          <w:highlight w:val="none"/>
          <w:lang w:eastAsia="zh-CN"/>
        </w:rPr>
        <w:t>）培训能力；</w:t>
      </w:r>
    </w:p>
    <w:p w14:paraId="433ABEBA">
      <w:pPr>
        <w:ind w:left="718" w:leftChars="342" w:firstLine="1417" w:firstLineChars="675"/>
        <w:rPr>
          <w:rFonts w:hint="eastAsia"/>
          <w:szCs w:val="21"/>
          <w:highlight w:val="none"/>
          <w:lang w:eastAsia="zh-CN"/>
        </w:rPr>
      </w:pPr>
      <w:r>
        <w:rPr>
          <w:rFonts w:hint="eastAsia"/>
          <w:szCs w:val="21"/>
          <w:highlight w:val="none"/>
        </w:rPr>
        <w:t>（</w:t>
      </w:r>
      <w:r>
        <w:rPr>
          <w:rFonts w:hint="eastAsia"/>
          <w:szCs w:val="21"/>
          <w:highlight w:val="none"/>
          <w:lang w:val="en-US" w:eastAsia="zh-CN"/>
        </w:rPr>
        <w:t>15</w:t>
      </w:r>
      <w:r>
        <w:rPr>
          <w:rFonts w:hint="eastAsia"/>
          <w:szCs w:val="21"/>
          <w:highlight w:val="none"/>
        </w:rPr>
        <w:t>）投标人同类项目经验情况</w:t>
      </w:r>
      <w:r>
        <w:rPr>
          <w:rFonts w:hint="eastAsia"/>
          <w:szCs w:val="21"/>
          <w:highlight w:val="none"/>
          <w:lang w:eastAsia="zh-CN"/>
        </w:rPr>
        <w:t>；</w:t>
      </w:r>
    </w:p>
    <w:p w14:paraId="446C0DEC">
      <w:pPr>
        <w:ind w:left="718" w:leftChars="342" w:firstLine="1417" w:firstLineChars="675"/>
        <w:rPr>
          <w:rFonts w:hint="eastAsia" w:eastAsia="宋体"/>
          <w:szCs w:val="21"/>
          <w:lang w:eastAsia="zh-CN"/>
        </w:rPr>
      </w:pPr>
      <w:r>
        <w:rPr>
          <w:rFonts w:hint="eastAsia"/>
          <w:szCs w:val="21"/>
          <w:highlight w:val="none"/>
          <w:lang w:eastAsia="zh-CN"/>
        </w:rPr>
        <w:t>（</w:t>
      </w:r>
      <w:r>
        <w:rPr>
          <w:rFonts w:hint="eastAsia"/>
          <w:szCs w:val="21"/>
          <w:highlight w:val="none"/>
          <w:lang w:val="en-US" w:eastAsia="zh-CN"/>
        </w:rPr>
        <w:t>16</w:t>
      </w:r>
      <w:r>
        <w:rPr>
          <w:rFonts w:hint="eastAsia"/>
          <w:szCs w:val="21"/>
          <w:highlight w:val="none"/>
          <w:lang w:eastAsia="zh-CN"/>
        </w:rPr>
        <w:t>）</w:t>
      </w:r>
      <w:r>
        <w:rPr>
          <w:rFonts w:hint="eastAsia"/>
          <w:szCs w:val="21"/>
          <w:highlight w:val="none"/>
        </w:rPr>
        <w:t>投标人认为需要加以说明的其他</w:t>
      </w:r>
      <w:r>
        <w:rPr>
          <w:rFonts w:hint="eastAsia"/>
          <w:szCs w:val="21"/>
        </w:rPr>
        <w:t>内容</w:t>
      </w:r>
      <w:r>
        <w:rPr>
          <w:rFonts w:hint="eastAsia"/>
          <w:szCs w:val="21"/>
          <w:lang w:eastAsia="zh-CN"/>
        </w:rPr>
        <w:t>（</w:t>
      </w:r>
      <w:r>
        <w:rPr>
          <w:rFonts w:hint="eastAsia"/>
          <w:szCs w:val="21"/>
          <w:lang w:val="en-US" w:eastAsia="zh-CN"/>
        </w:rPr>
        <w:t>不公开</w:t>
      </w:r>
      <w:r>
        <w:rPr>
          <w:rFonts w:hint="eastAsia"/>
          <w:szCs w:val="21"/>
          <w:lang w:eastAsia="zh-CN"/>
        </w:rPr>
        <w:t>）；</w:t>
      </w:r>
    </w:p>
    <w:p w14:paraId="2A2342BE">
      <w:pPr>
        <w:pStyle w:val="19"/>
      </w:pPr>
    </w:p>
    <w:p w14:paraId="7BF92786">
      <w:pPr>
        <w:pStyle w:val="2"/>
        <w:ind w:left="0" w:leftChars="0" w:firstLine="0" w:firstLineChars="0"/>
        <w:rPr>
          <w:rFonts w:ascii="宋体" w:hAnsi="宋体"/>
          <w:szCs w:val="21"/>
        </w:rPr>
      </w:pPr>
    </w:p>
    <w:p w14:paraId="723F767B">
      <w:pPr>
        <w:rPr>
          <w:rFonts w:ascii="仿宋_GB2312" w:eastAsia="仿宋_GB2312"/>
          <w:sz w:val="24"/>
        </w:rPr>
      </w:pPr>
    </w:p>
    <w:p w14:paraId="46646F95">
      <w:pPr>
        <w:ind w:firstLine="426" w:firstLineChars="202"/>
        <w:rPr>
          <w:rFonts w:ascii="宋体" w:hAnsi="宋体"/>
          <w:b/>
          <w:szCs w:val="21"/>
        </w:rPr>
      </w:pPr>
      <w:r>
        <w:rPr>
          <w:rFonts w:hint="eastAsia" w:ascii="宋体" w:hAnsi="宋体"/>
          <w:b/>
          <w:szCs w:val="21"/>
        </w:rPr>
        <w:t>备注：</w:t>
      </w:r>
    </w:p>
    <w:p w14:paraId="3E1E629D">
      <w:pPr>
        <w:ind w:firstLine="426" w:firstLineChars="202"/>
        <w:rPr>
          <w:rFonts w:ascii="宋体" w:hAnsi="宋体"/>
          <w:b/>
          <w:szCs w:val="21"/>
        </w:rPr>
      </w:pPr>
      <w:r>
        <w:rPr>
          <w:rFonts w:hint="eastAsia" w:ascii="宋体" w:hAnsi="宋体"/>
          <w:b/>
          <w:szCs w:val="21"/>
        </w:rPr>
        <w:t>1.本项目为网上电子投标项目，投标文件不需法人或授权委托人另行签字，无需加盖单位公章，招标文件另有规定的除外。</w:t>
      </w:r>
    </w:p>
    <w:p w14:paraId="084B2279">
      <w:pPr>
        <w:ind w:firstLine="426" w:firstLineChars="202"/>
        <w:rPr>
          <w:rFonts w:ascii="宋体" w:hAnsi="宋体"/>
          <w:b/>
          <w:szCs w:val="21"/>
        </w:rPr>
      </w:pPr>
      <w:r>
        <w:rPr>
          <w:rFonts w:hint="eastAsia" w:ascii="宋体" w:hAnsi="宋体"/>
          <w:b/>
          <w:szCs w:val="21"/>
        </w:rPr>
        <w:t>2.关于填写“开标一览表”的说明：“开标一览表”中除“投标总价”外，其他信息不作评审依据。</w:t>
      </w:r>
    </w:p>
    <w:p w14:paraId="581CEB10">
      <w:pPr>
        <w:rPr>
          <w:rFonts w:ascii="仿宋_GB2312" w:eastAsia="仿宋_GB2312"/>
          <w:sz w:val="24"/>
        </w:rPr>
      </w:pPr>
    </w:p>
    <w:p w14:paraId="51DE5D42">
      <w:pPr>
        <w:rPr>
          <w:rFonts w:ascii="宋体" w:hAnsi="宋体"/>
          <w:b/>
          <w:szCs w:val="21"/>
        </w:rPr>
      </w:pPr>
    </w:p>
    <w:p w14:paraId="3108FE3F">
      <w:pPr>
        <w:rPr>
          <w:rFonts w:ascii="宋体" w:hAnsi="宋体"/>
          <w:b/>
          <w:szCs w:val="21"/>
        </w:rPr>
      </w:pPr>
    </w:p>
    <w:p w14:paraId="0901045E">
      <w:pPr>
        <w:jc w:val="left"/>
        <w:rPr>
          <w:rFonts w:ascii="宋体" w:hAnsi="宋体"/>
          <w:b/>
          <w:color w:val="FF0000"/>
          <w:sz w:val="36"/>
          <w:szCs w:val="36"/>
        </w:rPr>
      </w:pPr>
      <w:r>
        <w:br w:type="page"/>
      </w:r>
    </w:p>
    <w:p w14:paraId="51860F35">
      <w:pPr>
        <w:outlineLvl w:val="1"/>
        <w:rPr>
          <w:rFonts w:ascii="宋体" w:hAnsi="宋体"/>
          <w:b/>
          <w:color w:val="FF0000"/>
          <w:sz w:val="28"/>
          <w:szCs w:val="28"/>
        </w:rPr>
      </w:pPr>
      <w:r>
        <w:rPr>
          <w:rFonts w:hint="eastAsia" w:ascii="宋体" w:hAnsi="宋体"/>
          <w:b/>
          <w:color w:val="FF0000"/>
          <w:sz w:val="28"/>
          <w:szCs w:val="28"/>
        </w:rPr>
        <w:t>投标文件正文（信息公开部分）</w:t>
      </w:r>
    </w:p>
    <w:p w14:paraId="09850419">
      <w:pPr>
        <w:pStyle w:val="4"/>
        <w:jc w:val="center"/>
        <w:rPr>
          <w:rFonts w:ascii="黑体" w:eastAsia="黑体"/>
          <w:b w:val="0"/>
          <w:kern w:val="0"/>
          <w:sz w:val="24"/>
        </w:rPr>
      </w:pPr>
      <w:r>
        <w:rPr>
          <w:rFonts w:hint="eastAsia" w:ascii="黑体" w:eastAsia="黑体"/>
          <w:b w:val="0"/>
          <w:kern w:val="0"/>
          <w:sz w:val="24"/>
        </w:rPr>
        <w:t>一、投标函</w:t>
      </w:r>
    </w:p>
    <w:p w14:paraId="42E6BCB4">
      <w:pPr>
        <w:spacing w:line="360" w:lineRule="auto"/>
        <w:rPr>
          <w:rFonts w:ascii="宋体" w:hAnsi="宋体"/>
          <w:szCs w:val="21"/>
        </w:rPr>
      </w:pPr>
      <w:r>
        <w:rPr>
          <w:rFonts w:hint="eastAsia" w:ascii="宋体" w:hAnsi="宋体"/>
          <w:szCs w:val="21"/>
        </w:rPr>
        <w:t>致：</w:t>
      </w:r>
      <w:r>
        <w:rPr>
          <w:rFonts w:hint="eastAsia" w:ascii="宋体" w:hAnsi="宋体"/>
          <w:szCs w:val="21"/>
          <w:u w:val="single"/>
        </w:rPr>
        <w:t xml:space="preserve">  </w:t>
      </w:r>
      <w:r>
        <w:rPr>
          <w:rFonts w:hint="eastAsia" w:ascii="宋体" w:hAnsi="宋体"/>
          <w:color w:val="FF0000"/>
          <w:szCs w:val="21"/>
          <w:u w:val="single"/>
        </w:rPr>
        <w:t>深圳公共资源交易中心</w:t>
      </w:r>
      <w:r>
        <w:rPr>
          <w:rFonts w:hint="eastAsia" w:ascii="宋体" w:hAnsi="宋体"/>
          <w:szCs w:val="21"/>
          <w:u w:val="single"/>
        </w:rPr>
        <w:t xml:space="preserve">  </w:t>
      </w:r>
    </w:p>
    <w:p w14:paraId="51F2FC49">
      <w:pPr>
        <w:ind w:firstLine="420" w:firstLineChars="200"/>
        <w:rPr>
          <w:rFonts w:ascii="宋体" w:hAnsi="宋体"/>
          <w:szCs w:val="21"/>
        </w:rPr>
      </w:pPr>
      <w:bookmarkStart w:id="35" w:name="_Hlk73818812"/>
      <w:r>
        <w:rPr>
          <w:rFonts w:hint="eastAsia"/>
          <w:szCs w:val="21"/>
          <w:lang w:eastAsia="zh-CN"/>
        </w:rPr>
        <w:t>1.</w:t>
      </w:r>
      <w:r>
        <w:rPr>
          <w:rFonts w:hint="eastAsia"/>
          <w:szCs w:val="21"/>
        </w:rPr>
        <w:t>根据已收到贵单位的项目编号为</w:t>
      </w:r>
      <w:r>
        <w:rPr>
          <w:rFonts w:hint="eastAsia"/>
          <w:szCs w:val="21"/>
          <w:u w:val="thick"/>
        </w:rPr>
        <w:t xml:space="preserve">     </w:t>
      </w:r>
      <w:r>
        <w:rPr>
          <w:rFonts w:hint="eastAsia"/>
          <w:sz w:val="21"/>
          <w:szCs w:val="21"/>
          <w:u w:val="thick"/>
          <w:lang w:eastAsia="zh-CN"/>
        </w:rPr>
        <w:t>BACG2026000358</w:t>
      </w:r>
      <w:r>
        <w:rPr>
          <w:rFonts w:hint="eastAsia"/>
          <w:szCs w:val="21"/>
          <w:u w:val="thick"/>
        </w:rPr>
        <w:t xml:space="preserve">    </w:t>
      </w:r>
      <w:r>
        <w:rPr>
          <w:rFonts w:hint="eastAsia"/>
          <w:szCs w:val="21"/>
        </w:rPr>
        <w:t>的</w:t>
      </w:r>
      <w:r>
        <w:rPr>
          <w:rFonts w:hint="eastAsia"/>
          <w:szCs w:val="21"/>
          <w:u w:val="thick"/>
        </w:rPr>
        <w:t xml:space="preserve">    </w:t>
      </w:r>
      <w:r>
        <w:rPr>
          <w:rFonts w:hint="eastAsia"/>
          <w:sz w:val="21"/>
          <w:szCs w:val="21"/>
          <w:u w:val="thick"/>
          <w:lang w:eastAsia="zh-CN"/>
        </w:rPr>
        <w:t>深圳市宝安区公园管理中心凤凰山森林公园安保服务</w:t>
      </w:r>
      <w:r>
        <w:rPr>
          <w:rFonts w:hint="eastAsia"/>
          <w:szCs w:val="21"/>
          <w:u w:val="thick"/>
        </w:rPr>
        <w:t xml:space="preserve">       </w:t>
      </w:r>
      <w:r>
        <w:rPr>
          <w:rFonts w:hint="eastAsia"/>
          <w:szCs w:val="21"/>
        </w:rPr>
        <w:t>项目的招标文件，遵照《深圳经济特区政府采购条例》和《深圳网上政府采购管理暂行办法》等有关规定，我单位经研究上述招标文件的专用条款及通用条款后，</w:t>
      </w:r>
      <w:bookmarkStart w:id="36" w:name="_Hlk72263588"/>
      <w:r>
        <w:rPr>
          <w:rFonts w:hint="eastAsia"/>
          <w:szCs w:val="21"/>
        </w:rPr>
        <w:t>愿意按照招标文件要求承包上述项目并修补其任何缺陷。</w:t>
      </w:r>
      <w:bookmarkEnd w:id="36"/>
    </w:p>
    <w:p w14:paraId="3C46D273">
      <w:pPr>
        <w:ind w:firstLine="420" w:firstLineChars="200"/>
        <w:rPr>
          <w:rFonts w:ascii="宋体" w:hAnsi="宋体"/>
          <w:szCs w:val="21"/>
        </w:rPr>
      </w:pPr>
      <w:r>
        <w:rPr>
          <w:rFonts w:hint="eastAsia" w:ascii="宋体" w:hAnsi="宋体"/>
          <w:szCs w:val="21"/>
          <w:lang w:eastAsia="zh-CN"/>
        </w:rPr>
        <w:t>2.</w:t>
      </w:r>
      <w:r>
        <w:rPr>
          <w:rFonts w:hint="eastAsia" w:ascii="宋体" w:hAnsi="宋体"/>
          <w:szCs w:val="21"/>
        </w:rPr>
        <w:t>投标价格见</w:t>
      </w:r>
      <w:r>
        <w:rPr>
          <w:rFonts w:hint="eastAsia"/>
          <w:szCs w:val="21"/>
        </w:rPr>
        <w:t>投标书编制软件中《开标一览表》中填写的投标总价。</w:t>
      </w:r>
    </w:p>
    <w:p w14:paraId="514970AA">
      <w:pPr>
        <w:ind w:firstLine="420" w:firstLineChars="200"/>
        <w:rPr>
          <w:rFonts w:ascii="宋体" w:hAnsi="宋体"/>
          <w:szCs w:val="21"/>
        </w:rPr>
      </w:pPr>
      <w:r>
        <w:rPr>
          <w:rFonts w:hint="eastAsia" w:ascii="宋体" w:hAnsi="宋体"/>
          <w:szCs w:val="21"/>
          <w:lang w:eastAsia="zh-CN"/>
        </w:rPr>
        <w:t>3.</w:t>
      </w:r>
      <w:r>
        <w:rPr>
          <w:rFonts w:hint="eastAsia" w:ascii="宋体" w:hAnsi="宋体"/>
          <w:szCs w:val="21"/>
        </w:rPr>
        <w:t>如果我单位中标，我单位将按照招标文件的要求足额提交履约担保。</w:t>
      </w:r>
    </w:p>
    <w:p w14:paraId="0263286D">
      <w:pPr>
        <w:ind w:firstLine="420" w:firstLineChars="200"/>
        <w:rPr>
          <w:rFonts w:ascii="宋体" w:hAnsi="宋体"/>
          <w:szCs w:val="21"/>
        </w:rPr>
      </w:pPr>
      <w:r>
        <w:rPr>
          <w:rFonts w:hint="eastAsia" w:ascii="宋体" w:hAnsi="宋体"/>
          <w:szCs w:val="21"/>
          <w:lang w:eastAsia="zh-CN"/>
        </w:rPr>
        <w:t>4.</w:t>
      </w:r>
      <w:r>
        <w:rPr>
          <w:rFonts w:hint="eastAsia" w:ascii="宋体" w:hAnsi="宋体"/>
          <w:szCs w:val="21"/>
        </w:rPr>
        <w:t>我单位同意所递交的投标文件在“对通用条款的补充内容”中明确的投标有效期内有效，在此期间内我单位的投标有可能中标，我方将受此约束。</w:t>
      </w:r>
    </w:p>
    <w:p w14:paraId="71D5D30B">
      <w:pPr>
        <w:ind w:firstLine="420" w:firstLineChars="200"/>
        <w:rPr>
          <w:rFonts w:ascii="宋体" w:hAnsi="宋体"/>
          <w:szCs w:val="21"/>
        </w:rPr>
      </w:pPr>
      <w:r>
        <w:rPr>
          <w:rFonts w:hint="eastAsia" w:ascii="宋体" w:hAnsi="宋体"/>
          <w:szCs w:val="21"/>
          <w:lang w:eastAsia="zh-CN"/>
        </w:rPr>
        <w:t>5.</w:t>
      </w:r>
      <w:r>
        <w:rPr>
          <w:rFonts w:hint="eastAsia" w:ascii="宋体" w:hAnsi="宋体"/>
          <w:szCs w:val="21"/>
        </w:rPr>
        <w:t>除非另外达成协议并生效，贵单位的中标通知书和本投标文件将构成合同的重要内容。</w:t>
      </w:r>
    </w:p>
    <w:p w14:paraId="4E5DD5B7">
      <w:pPr>
        <w:ind w:left="420" w:leftChars="200"/>
        <w:rPr>
          <w:rFonts w:hint="eastAsia" w:ascii="宋体" w:hAnsi="宋体"/>
          <w:szCs w:val="21"/>
        </w:rPr>
      </w:pPr>
      <w:r>
        <w:rPr>
          <w:rFonts w:hint="eastAsia" w:ascii="宋体" w:hAnsi="宋体"/>
          <w:szCs w:val="21"/>
          <w:lang w:eastAsia="zh-CN"/>
        </w:rPr>
        <w:t>6.</w:t>
      </w:r>
      <w:r>
        <w:rPr>
          <w:rFonts w:hint="eastAsia" w:ascii="宋体" w:hAnsi="宋体"/>
          <w:szCs w:val="21"/>
        </w:rPr>
        <w:t>我单位理解贵单位将不受必须接受所收到的最低报价或其它任何投标文件的约束。</w:t>
      </w:r>
      <w:bookmarkEnd w:id="35"/>
    </w:p>
    <w:p w14:paraId="10A393E2">
      <w:pPr>
        <w:ind w:firstLine="422" w:firstLineChars="200"/>
        <w:rPr>
          <w:rFonts w:ascii="宋体" w:hAnsi="宋体"/>
          <w:b/>
          <w:szCs w:val="21"/>
        </w:rPr>
      </w:pPr>
      <w:r>
        <w:rPr>
          <w:rFonts w:hint="eastAsia" w:ascii="宋体" w:hAnsi="宋体"/>
          <w:b/>
          <w:szCs w:val="21"/>
          <w:lang w:eastAsia="zh-CN"/>
        </w:rPr>
        <w:t>7.</w:t>
      </w:r>
      <w:r>
        <w:rPr>
          <w:rFonts w:ascii="宋体" w:hAnsi="宋体"/>
          <w:b/>
          <w:szCs w:val="21"/>
        </w:rPr>
        <w:t>如我单位提交样品，且未在规定时间内取回样品的，视</w:t>
      </w:r>
      <w:r>
        <w:rPr>
          <w:rFonts w:hint="eastAsia" w:ascii="宋体" w:hAnsi="宋体"/>
          <w:b/>
          <w:szCs w:val="21"/>
          <w:lang w:val="en-US" w:eastAsia="zh-CN"/>
        </w:rPr>
        <w:t>为</w:t>
      </w:r>
      <w:r>
        <w:rPr>
          <w:rFonts w:ascii="宋体" w:hAnsi="宋体"/>
          <w:b/>
          <w:szCs w:val="21"/>
        </w:rPr>
        <w:t>放弃</w:t>
      </w:r>
      <w:r>
        <w:rPr>
          <w:rFonts w:hint="eastAsia" w:ascii="宋体" w:hAnsi="宋体"/>
          <w:b/>
          <w:szCs w:val="21"/>
          <w:lang w:val="en-US" w:eastAsia="zh-CN"/>
        </w:rPr>
        <w:t>对样品的所有权</w:t>
      </w:r>
      <w:r>
        <w:rPr>
          <w:rFonts w:ascii="宋体" w:hAnsi="宋体"/>
          <w:b/>
          <w:szCs w:val="21"/>
        </w:rPr>
        <w:t>，同意深圳公共资源交易中心对我单位提交的样品进行清理</w:t>
      </w:r>
      <w:r>
        <w:rPr>
          <w:rFonts w:hint="eastAsia" w:ascii="宋体" w:hAnsi="宋体"/>
          <w:b/>
          <w:szCs w:val="21"/>
          <w:lang w:val="en-US" w:eastAsia="zh-CN"/>
        </w:rPr>
        <w:t>处置</w:t>
      </w:r>
      <w:r>
        <w:rPr>
          <w:rFonts w:ascii="宋体" w:hAnsi="宋体"/>
          <w:b/>
          <w:szCs w:val="21"/>
        </w:rPr>
        <w:t>。</w:t>
      </w:r>
    </w:p>
    <w:p w14:paraId="745992DE">
      <w:pPr>
        <w:ind w:left="420" w:leftChars="200"/>
        <w:rPr>
          <w:rFonts w:ascii="宋体" w:hAnsi="宋体"/>
          <w:b/>
          <w:szCs w:val="21"/>
        </w:rPr>
      </w:pPr>
    </w:p>
    <w:p w14:paraId="1B038675">
      <w:pPr>
        <w:ind w:left="420" w:leftChars="200" w:firstLine="210" w:firstLineChars="100"/>
        <w:rPr>
          <w:rFonts w:hint="eastAsia"/>
          <w:szCs w:val="21"/>
          <w:u w:val="none"/>
          <w:lang w:eastAsia="zh-CN"/>
        </w:rPr>
      </w:pPr>
      <w:r>
        <w:rPr>
          <w:rFonts w:hint="eastAsia"/>
          <w:szCs w:val="21"/>
        </w:rPr>
        <w:t>投标人：</w:t>
      </w:r>
      <w:r>
        <w:rPr>
          <w:rFonts w:hint="eastAsia"/>
          <w:szCs w:val="21"/>
          <w:u w:val="thick"/>
        </w:rPr>
        <w:t xml:space="preserve">       </w:t>
      </w:r>
      <w:r>
        <w:rPr>
          <w:rFonts w:hint="eastAsia" w:eastAsia="宋体"/>
          <w:szCs w:val="21"/>
          <w:lang w:eastAsia="zh-CN"/>
        </w:rPr>
        <w:t>；</w:t>
      </w:r>
      <w:r>
        <w:rPr>
          <w:rFonts w:hint="eastAsia"/>
          <w:szCs w:val="21"/>
        </w:rPr>
        <w:t xml:space="preserve">  单位地址：</w:t>
      </w:r>
      <w:r>
        <w:rPr>
          <w:rFonts w:hint="eastAsia"/>
          <w:szCs w:val="21"/>
          <w:u w:val="thick"/>
        </w:rPr>
        <w:t xml:space="preserve">       </w:t>
      </w:r>
      <w:r>
        <w:rPr>
          <w:rFonts w:hint="eastAsia" w:ascii="Times New Roman" w:eastAsia="宋体"/>
          <w:szCs w:val="21"/>
          <w:u w:val="thick"/>
          <w:lang w:val="en-US" w:eastAsia="zh-CN"/>
        </w:rPr>
        <w:t xml:space="preserve">          </w:t>
      </w:r>
      <w:r>
        <w:rPr>
          <w:rFonts w:hint="eastAsia"/>
          <w:szCs w:val="21"/>
          <w:u w:val="thick"/>
          <w:lang w:val="en-US" w:eastAsia="zh-CN"/>
        </w:rPr>
        <w:t xml:space="preserve"> </w:t>
      </w:r>
      <w:r>
        <w:rPr>
          <w:rFonts w:hint="eastAsia" w:ascii="Times New Roman" w:eastAsia="宋体"/>
          <w:szCs w:val="21"/>
          <w:u w:val="thick"/>
          <w:lang w:val="en-US" w:eastAsia="zh-CN"/>
        </w:rPr>
        <w:t xml:space="preserve">  </w:t>
      </w:r>
      <w:r>
        <w:rPr>
          <w:rFonts w:hint="eastAsia" w:eastAsia="宋体"/>
          <w:szCs w:val="21"/>
          <w:u w:val="none"/>
          <w:lang w:eastAsia="zh-CN"/>
        </w:rPr>
        <w:t>；</w:t>
      </w:r>
    </w:p>
    <w:p w14:paraId="1181957C">
      <w:pPr>
        <w:ind w:left="420" w:leftChars="200" w:firstLine="210" w:firstLineChars="100"/>
        <w:rPr>
          <w:rFonts w:hint="eastAsia"/>
          <w:szCs w:val="21"/>
          <w:u w:val="none"/>
          <w:lang w:eastAsia="zh-CN"/>
        </w:rPr>
      </w:pPr>
      <w:r>
        <w:rPr>
          <w:rFonts w:hint="eastAsia"/>
          <w:szCs w:val="21"/>
        </w:rPr>
        <w:t>法定代表人（负责人）或其</w:t>
      </w:r>
      <w:r>
        <w:rPr>
          <w:rFonts w:hint="eastAsia" w:ascii="Times New Roman" w:eastAsia="宋体"/>
          <w:szCs w:val="21"/>
          <w:lang w:val="en-US" w:eastAsia="zh-CN"/>
        </w:rPr>
        <w:t>授权</w:t>
      </w:r>
      <w:r>
        <w:rPr>
          <w:rFonts w:hint="eastAsia"/>
          <w:szCs w:val="21"/>
        </w:rPr>
        <w:t>委托代理人：</w:t>
      </w:r>
      <w:r>
        <w:rPr>
          <w:rFonts w:hint="eastAsia"/>
          <w:szCs w:val="21"/>
          <w:u w:val="thick"/>
        </w:rPr>
        <w:t xml:space="preserve">         </w:t>
      </w:r>
      <w:r>
        <w:rPr>
          <w:rFonts w:hint="eastAsia" w:eastAsia="宋体"/>
          <w:szCs w:val="21"/>
          <w:u w:val="none"/>
          <w:lang w:eastAsia="zh-CN"/>
        </w:rPr>
        <w:t>；</w:t>
      </w:r>
    </w:p>
    <w:p w14:paraId="5288911F">
      <w:pPr>
        <w:ind w:left="420" w:leftChars="200" w:firstLine="210" w:firstLineChars="100"/>
        <w:rPr>
          <w:rFonts w:hint="eastAsia"/>
          <w:szCs w:val="21"/>
          <w:u w:val="none"/>
        </w:rPr>
      </w:pPr>
      <w:r>
        <w:rPr>
          <w:rFonts w:hint="eastAsia"/>
          <w:szCs w:val="21"/>
        </w:rPr>
        <w:t>电话</w:t>
      </w:r>
      <w:r>
        <w:rPr>
          <w:rFonts w:hint="eastAsia"/>
          <w:szCs w:val="21"/>
          <w:u w:val="none"/>
        </w:rPr>
        <w:t>：</w:t>
      </w:r>
      <w:r>
        <w:rPr>
          <w:rFonts w:hint="eastAsia"/>
          <w:szCs w:val="21"/>
          <w:u w:val="thick"/>
        </w:rPr>
        <w:t xml:space="preserve">         </w:t>
      </w:r>
      <w:r>
        <w:rPr>
          <w:rFonts w:hint="eastAsia"/>
          <w:szCs w:val="21"/>
        </w:rPr>
        <w:t xml:space="preserve"> </w:t>
      </w:r>
      <w:r>
        <w:rPr>
          <w:rFonts w:hint="eastAsia" w:eastAsia="宋体"/>
          <w:szCs w:val="21"/>
          <w:u w:val="none"/>
          <w:lang w:eastAsia="zh-CN"/>
        </w:rPr>
        <w:t>；</w:t>
      </w:r>
      <w:r>
        <w:rPr>
          <w:rFonts w:hint="eastAsia"/>
          <w:szCs w:val="21"/>
          <w:u w:val="none"/>
        </w:rPr>
        <w:t xml:space="preserve">     </w:t>
      </w:r>
    </w:p>
    <w:p w14:paraId="0AEC3511">
      <w:pPr>
        <w:ind w:left="420" w:leftChars="200" w:firstLine="210" w:firstLineChars="100"/>
        <w:rPr>
          <w:sz w:val="24"/>
        </w:rPr>
      </w:pPr>
      <w:r>
        <w:rPr>
          <w:rFonts w:hint="eastAsia" w:ascii="宋体" w:hAnsi="宋体"/>
          <w:szCs w:val="21"/>
        </w:rPr>
        <w:t>日期：</w:t>
      </w:r>
      <w:r>
        <w:rPr>
          <w:rFonts w:hint="eastAsia" w:ascii="宋体" w:hAnsi="宋体"/>
          <w:szCs w:val="21"/>
          <w:u w:val="thick"/>
        </w:rPr>
        <w:t xml:space="preserve">       </w:t>
      </w:r>
      <w:r>
        <w:rPr>
          <w:rFonts w:hint="eastAsia" w:ascii="宋体" w:hAnsi="宋体"/>
          <w:szCs w:val="21"/>
        </w:rPr>
        <w:t>年</w:t>
      </w:r>
      <w:r>
        <w:rPr>
          <w:rFonts w:hint="eastAsia" w:ascii="宋体" w:hAnsi="宋体"/>
          <w:szCs w:val="21"/>
          <w:u w:val="thick"/>
        </w:rPr>
        <w:t xml:space="preserve">     </w:t>
      </w:r>
      <w:r>
        <w:rPr>
          <w:rFonts w:hint="eastAsia" w:ascii="宋体" w:hAnsi="宋体"/>
          <w:szCs w:val="21"/>
        </w:rPr>
        <w:t>月</w:t>
      </w:r>
      <w:r>
        <w:rPr>
          <w:rFonts w:hint="eastAsia" w:ascii="宋体" w:hAnsi="宋体"/>
          <w:szCs w:val="21"/>
          <w:u w:val="thick"/>
        </w:rPr>
        <w:t xml:space="preserve">    </w:t>
      </w:r>
      <w:r>
        <w:rPr>
          <w:rFonts w:hint="eastAsia" w:ascii="宋体" w:hAnsi="宋体"/>
          <w:szCs w:val="21"/>
        </w:rPr>
        <w:t>日</w:t>
      </w:r>
      <w:r>
        <w:rPr>
          <w:rFonts w:hint="eastAsia"/>
          <w:sz w:val="24"/>
        </w:rPr>
        <w:t xml:space="preserve">                                </w:t>
      </w:r>
    </w:p>
    <w:p w14:paraId="709B7615">
      <w:pPr>
        <w:ind w:left="420" w:leftChars="200"/>
        <w:rPr>
          <w:sz w:val="24"/>
        </w:rPr>
      </w:pPr>
      <w:r>
        <w:rPr>
          <w:rFonts w:hint="eastAsia"/>
          <w:sz w:val="24"/>
        </w:rPr>
        <w:t xml:space="preserve">                       </w:t>
      </w:r>
    </w:p>
    <w:p w14:paraId="7CD37072">
      <w:pPr>
        <w:rPr>
          <w:rFonts w:ascii="黑体" w:hAnsi="宋体" w:eastAsia="黑体"/>
        </w:rPr>
      </w:pPr>
    </w:p>
    <w:p w14:paraId="78A82127">
      <w:pPr>
        <w:rPr>
          <w:rFonts w:ascii="宋体" w:hAnsi="宋体"/>
          <w:szCs w:val="21"/>
        </w:rPr>
      </w:pPr>
    </w:p>
    <w:p w14:paraId="65315FB0">
      <w:pPr>
        <w:pStyle w:val="4"/>
        <w:jc w:val="center"/>
        <w:rPr>
          <w:rFonts w:ascii="黑体" w:eastAsia="黑体"/>
          <w:b w:val="0"/>
          <w:kern w:val="0"/>
          <w:sz w:val="24"/>
        </w:rPr>
      </w:pPr>
      <w:r>
        <w:rPr>
          <w:rFonts w:hint="eastAsia" w:ascii="黑体" w:eastAsia="黑体"/>
          <w:b w:val="0"/>
          <w:kern w:val="0"/>
          <w:sz w:val="24"/>
        </w:rPr>
        <w:t>二、政府采购投标及履约承诺函</w:t>
      </w:r>
    </w:p>
    <w:p w14:paraId="649DD94E">
      <w:pPr>
        <w:rPr>
          <w:rFonts w:ascii="宋体" w:hAnsi="宋体"/>
          <w:sz w:val="24"/>
        </w:rPr>
      </w:pPr>
    </w:p>
    <w:p w14:paraId="139CAC78">
      <w:pPr>
        <w:rPr>
          <w:rFonts w:ascii="宋体" w:hAnsi="宋体"/>
          <w:color w:val="FF0000"/>
          <w:szCs w:val="21"/>
        </w:rPr>
      </w:pPr>
      <w:r>
        <w:rPr>
          <w:rFonts w:hint="eastAsia" w:ascii="宋体" w:hAnsi="宋体"/>
          <w:color w:val="FF0000"/>
          <w:szCs w:val="21"/>
        </w:rPr>
        <w:t>致：</w:t>
      </w:r>
      <w:r>
        <w:rPr>
          <w:rFonts w:hint="eastAsia" w:ascii="宋体" w:hAnsi="宋体"/>
          <w:color w:val="FF0000"/>
          <w:szCs w:val="21"/>
          <w:u w:val="single"/>
        </w:rPr>
        <w:t>深圳公共资源交易中心</w:t>
      </w:r>
    </w:p>
    <w:p w14:paraId="7FE66724">
      <w:pPr>
        <w:ind w:right="-815" w:firstLine="420" w:firstLineChars="200"/>
        <w:rPr>
          <w:rFonts w:ascii="宋体" w:hAnsi="宋体"/>
          <w:szCs w:val="21"/>
        </w:rPr>
      </w:pPr>
      <w:r>
        <w:rPr>
          <w:rFonts w:hint="eastAsia" w:ascii="宋体" w:hAnsi="宋体"/>
          <w:szCs w:val="21"/>
        </w:rPr>
        <w:t>我单位承诺：</w:t>
      </w:r>
    </w:p>
    <w:p w14:paraId="68E02E7D">
      <w:pPr>
        <w:ind w:firstLine="420" w:firstLineChars="200"/>
        <w:rPr>
          <w:rFonts w:hint="eastAsia"/>
          <w:lang w:eastAsia="zh-CN"/>
        </w:rPr>
      </w:pPr>
      <w:r>
        <w:rPr>
          <w:rFonts w:hint="eastAsia" w:ascii="宋体" w:hAnsi="宋体"/>
          <w:b w:val="0"/>
          <w:bCs/>
          <w:szCs w:val="21"/>
          <w:lang w:val="en-US" w:eastAsia="zh-CN"/>
        </w:rPr>
        <w:t>1.我单位</w:t>
      </w:r>
      <w:r>
        <w:rPr>
          <w:rFonts w:hint="eastAsia" w:ascii="宋体" w:hAnsi="宋体"/>
          <w:b w:val="0"/>
          <w:bCs/>
          <w:szCs w:val="21"/>
        </w:rPr>
        <w:t>参与本</w:t>
      </w:r>
      <w:r>
        <w:rPr>
          <w:rFonts w:hint="eastAsia" w:ascii="宋体" w:hAnsi="宋体"/>
          <w:b w:val="0"/>
          <w:bCs/>
          <w:szCs w:val="21"/>
          <w:lang w:val="en-US" w:eastAsia="zh-CN"/>
        </w:rPr>
        <w:t>项目符合资格条件关于联合体、进口产品的要求</w:t>
      </w:r>
      <w:r>
        <w:rPr>
          <w:rFonts w:hint="eastAsia"/>
          <w:lang w:eastAsia="zh-CN"/>
        </w:rPr>
        <w:t>。</w:t>
      </w:r>
    </w:p>
    <w:p w14:paraId="4BAEA756">
      <w:pPr>
        <w:ind w:firstLine="420" w:firstLineChars="200"/>
        <w:rPr>
          <w:rFonts w:ascii="宋体" w:hAnsi="宋体"/>
          <w:szCs w:val="21"/>
        </w:rPr>
      </w:pPr>
      <w:r>
        <w:rPr>
          <w:rFonts w:hint="eastAsia" w:ascii="宋体" w:hAnsi="宋体"/>
          <w:szCs w:val="21"/>
          <w:lang w:val="en-US" w:eastAsia="zh-CN"/>
        </w:rPr>
        <w:t>2</w:t>
      </w:r>
      <w:r>
        <w:rPr>
          <w:rFonts w:hint="eastAsia" w:ascii="宋体" w:hAnsi="宋体"/>
          <w:szCs w:val="21"/>
        </w:rPr>
        <w:t>.我单位参与本项目</w:t>
      </w:r>
      <w:r>
        <w:rPr>
          <w:rFonts w:hint="eastAsia" w:ascii="宋体" w:hAnsi="宋体"/>
        </w:rPr>
        <w:t>所投标（响应）的货物、工程或服务，不存在侵犯知识产权的情况。</w:t>
      </w:r>
    </w:p>
    <w:p w14:paraId="65351B0A">
      <w:pPr>
        <w:ind w:firstLine="420" w:firstLineChars="200"/>
        <w:rPr>
          <w:rFonts w:ascii="宋体" w:hAnsi="宋体"/>
          <w:szCs w:val="21"/>
        </w:rPr>
      </w:pPr>
      <w:r>
        <w:rPr>
          <w:rFonts w:hint="eastAsia" w:ascii="宋体" w:hAnsi="宋体"/>
          <w:szCs w:val="21"/>
          <w:lang w:val="en-US" w:eastAsia="zh-CN"/>
        </w:rPr>
        <w:t>3</w:t>
      </w:r>
      <w:r>
        <w:rPr>
          <w:rFonts w:hint="eastAsia" w:ascii="宋体" w:hAnsi="宋体"/>
          <w:szCs w:val="21"/>
        </w:rPr>
        <w:t>.我单位参与本项目</w:t>
      </w:r>
      <w:r>
        <w:rPr>
          <w:rFonts w:hint="eastAsia"/>
        </w:rPr>
        <w:t>政府采购活动时不存在被有关部门禁止参与政府采购活动且在有效期内的情况。</w:t>
      </w:r>
    </w:p>
    <w:p w14:paraId="2FC00523">
      <w:pPr>
        <w:ind w:firstLine="420" w:firstLineChars="200"/>
        <w:rPr>
          <w:rFonts w:ascii="宋体" w:hAnsi="宋体"/>
          <w:szCs w:val="21"/>
        </w:rPr>
      </w:pPr>
      <w:r>
        <w:rPr>
          <w:rFonts w:hint="eastAsia" w:ascii="宋体" w:hAnsi="宋体"/>
          <w:szCs w:val="21"/>
          <w:lang w:val="en-US" w:eastAsia="zh-CN"/>
        </w:rPr>
        <w:t>4</w:t>
      </w:r>
      <w:r>
        <w:rPr>
          <w:rFonts w:hint="eastAsia" w:ascii="宋体" w:hAnsi="宋体"/>
          <w:szCs w:val="21"/>
        </w:rPr>
        <w:t>.我单位具备《中华人民共和国政府采购法》第二十二条第一款规定的六项条件。</w:t>
      </w:r>
    </w:p>
    <w:p w14:paraId="2FC4C06A">
      <w:pPr>
        <w:ind w:firstLine="420" w:firstLineChars="200"/>
        <w:rPr>
          <w:rFonts w:hint="eastAsia"/>
          <w:lang w:eastAsia="zh-CN"/>
        </w:rPr>
      </w:pPr>
      <w:r>
        <w:rPr>
          <w:rFonts w:hint="eastAsia" w:ascii="宋体" w:hAnsi="宋体"/>
          <w:szCs w:val="21"/>
          <w:lang w:val="en-US" w:eastAsia="zh-CN"/>
        </w:rPr>
        <w:t>5</w:t>
      </w:r>
      <w:r>
        <w:rPr>
          <w:rFonts w:hint="eastAsia" w:ascii="宋体" w:hAnsi="宋体"/>
          <w:szCs w:val="21"/>
        </w:rPr>
        <w:t>.我单位</w:t>
      </w:r>
      <w:r>
        <w:rPr>
          <w:rFonts w:hint="eastAsia"/>
        </w:rPr>
        <w:t>未被列入失信被执行人、重大税收违法案件当事人名单、政府采购严重违法失信行为记录名单</w:t>
      </w:r>
      <w:r>
        <w:rPr>
          <w:rFonts w:hint="eastAsia"/>
          <w:lang w:eastAsia="zh-CN"/>
        </w:rPr>
        <w:t>。</w:t>
      </w:r>
    </w:p>
    <w:p w14:paraId="5B2422A6">
      <w:pPr>
        <w:ind w:firstLine="420" w:firstLineChars="200"/>
        <w:rPr>
          <w:rFonts w:hint="eastAsia"/>
          <w:lang w:eastAsia="zh-CN"/>
        </w:rPr>
      </w:pPr>
      <w:r>
        <w:rPr>
          <w:rFonts w:hint="eastAsia"/>
          <w:color w:val="FF0000"/>
          <w:lang w:val="en-US" w:eastAsia="zh-CN"/>
        </w:rPr>
        <w:t>6</w:t>
      </w:r>
      <w:r>
        <w:rPr>
          <w:rFonts w:hint="eastAsia" w:ascii="Times New Roman" w:eastAsia="宋体"/>
          <w:color w:val="FF0000"/>
          <w:lang w:val="en-US" w:eastAsia="zh-CN"/>
        </w:rPr>
        <w:t>.我单位不存在《深圳市财政局政府采购供应商信用信息管理办法》（深财规〔2023〕3号）列明的严重违法失信行为。</w:t>
      </w:r>
    </w:p>
    <w:p w14:paraId="4CF81F0E">
      <w:pPr>
        <w:ind w:firstLine="420" w:firstLineChars="200"/>
        <w:rPr>
          <w:rFonts w:ascii="宋体" w:hAnsi="宋体"/>
          <w:szCs w:val="21"/>
        </w:rPr>
      </w:pPr>
      <w:r>
        <w:rPr>
          <w:rFonts w:hint="eastAsia" w:ascii="宋体" w:hAnsi="宋体"/>
          <w:szCs w:val="21"/>
          <w:lang w:val="en-US" w:eastAsia="zh-CN"/>
        </w:rPr>
        <w:t>7</w:t>
      </w:r>
      <w:r>
        <w:rPr>
          <w:rFonts w:hint="eastAsia" w:ascii="宋体" w:hAnsi="宋体"/>
          <w:szCs w:val="21"/>
        </w:rPr>
        <w:t>.我单位参与该项目投标，严格遵守政府采购相关法律，不造假，不围标、串标、陪标。我单位已清楚，如违反上述要求，投标将作无效处理，被列入不良记录名单并在网上曝光，同时将被提请政府采购主管部门给予一定年限内禁止参与政府采购活动或其他处罚。</w:t>
      </w:r>
    </w:p>
    <w:p w14:paraId="65D88E34">
      <w:pPr>
        <w:ind w:firstLine="420" w:firstLineChars="200"/>
        <w:rPr>
          <w:rFonts w:ascii="宋体" w:hAnsi="宋体"/>
          <w:szCs w:val="21"/>
        </w:rPr>
      </w:pPr>
      <w:r>
        <w:rPr>
          <w:rFonts w:hint="eastAsia" w:ascii="宋体" w:hAnsi="宋体"/>
          <w:szCs w:val="21"/>
          <w:lang w:val="en-US" w:eastAsia="zh-CN"/>
        </w:rPr>
        <w:t>8</w:t>
      </w:r>
      <w:r>
        <w:rPr>
          <w:rFonts w:hint="eastAsia" w:ascii="宋体" w:hAnsi="宋体"/>
          <w:szCs w:val="21"/>
        </w:rPr>
        <w:t>.我单位如果中标，做到守信，不偷工减料，依照本项目招标文件需求内容、签署的采购合同及本单位在投标中所作的一切承诺履约。我单位对本项目的报价负责，中标后将严格按照本项目招标文件需求、签署的采购合同及我单位在投标中所作的全部承诺履行。</w:t>
      </w:r>
    </w:p>
    <w:p w14:paraId="7FC656A3">
      <w:pPr>
        <w:ind w:firstLine="420" w:firstLineChars="200"/>
        <w:rPr>
          <w:rFonts w:ascii="宋体" w:hAnsi="宋体"/>
          <w:szCs w:val="21"/>
        </w:rPr>
      </w:pPr>
      <w:r>
        <w:rPr>
          <w:rFonts w:hint="eastAsia" w:ascii="宋体" w:hAnsi="宋体"/>
          <w:szCs w:val="21"/>
        </w:rPr>
        <w:t>我单位清楚，若以“报价太低而无法履约”为理由放弃本项目中标资格时，愿意接受主管部门的处理处罚。若我单位中标本项目，我单位的报价明显低于其他投标人的报价时，我单位清楚，本项目将成为重点监管、重点验收项目，我单位将按时保质保量完成，并全力配合有关监管、验收工作；若我单位未按上述要求履约，我单位愿意接受主管部门的处理处罚。</w:t>
      </w:r>
    </w:p>
    <w:p w14:paraId="1ABCABC7">
      <w:pPr>
        <w:ind w:firstLine="420" w:firstLineChars="200"/>
        <w:rPr>
          <w:rFonts w:ascii="宋体" w:hAnsi="宋体"/>
          <w:szCs w:val="21"/>
        </w:rPr>
      </w:pPr>
      <w:r>
        <w:rPr>
          <w:rFonts w:hint="eastAsia" w:ascii="宋体" w:hAnsi="宋体"/>
          <w:szCs w:val="21"/>
          <w:lang w:val="en-US" w:eastAsia="zh-CN"/>
        </w:rPr>
        <w:t>9</w:t>
      </w:r>
      <w:r>
        <w:rPr>
          <w:rFonts w:hint="eastAsia" w:ascii="宋体" w:hAnsi="宋体"/>
          <w:szCs w:val="21"/>
        </w:rPr>
        <w:t>.我单位已认真核实了投标文件的全部内容，所有资料均为真实资料。我单位对投标文件中全部投标资料的真实性负责，如被证实我单位的投标文件中存在虚假资料的，则视为我单位隐瞒真实情况、提供虚假资料，我单位愿意接受主管部门作出的行政处罚。</w:t>
      </w:r>
    </w:p>
    <w:p w14:paraId="58AB945F">
      <w:pPr>
        <w:ind w:firstLine="420" w:firstLineChars="200"/>
        <w:rPr>
          <w:rFonts w:ascii="宋体" w:hAnsi="宋体"/>
          <w:szCs w:val="21"/>
        </w:rPr>
      </w:pPr>
      <w:r>
        <w:rPr>
          <w:rFonts w:hint="eastAsia" w:ascii="宋体" w:hAnsi="宋体"/>
          <w:szCs w:val="21"/>
          <w:lang w:val="en-US" w:eastAsia="zh-CN"/>
        </w:rPr>
        <w:t>10</w:t>
      </w:r>
      <w:r>
        <w:rPr>
          <w:rFonts w:hint="eastAsia" w:ascii="宋体" w:hAnsi="宋体"/>
          <w:szCs w:val="21"/>
        </w:rPr>
        <w:t>.我单位承诺中标后项目不转包，未经采购人同意不进行分包。</w:t>
      </w:r>
    </w:p>
    <w:p w14:paraId="6E2BCA1C">
      <w:pPr>
        <w:ind w:firstLine="420" w:firstLineChars="200"/>
        <w:rPr>
          <w:rFonts w:ascii="宋体" w:hAnsi="宋体"/>
        </w:rPr>
      </w:pPr>
      <w:r>
        <w:rPr>
          <w:rFonts w:hint="eastAsia" w:ascii="宋体" w:hAnsi="宋体"/>
          <w:szCs w:val="21"/>
          <w:lang w:val="en-US" w:eastAsia="zh-CN"/>
        </w:rPr>
        <w:t>11</w:t>
      </w:r>
      <w:r>
        <w:rPr>
          <w:rFonts w:ascii="宋体" w:hAnsi="宋体"/>
          <w:szCs w:val="21"/>
        </w:rPr>
        <w:t>.</w:t>
      </w:r>
      <w:r>
        <w:rPr>
          <w:rFonts w:hint="eastAsia" w:ascii="宋体" w:hAnsi="宋体"/>
        </w:rPr>
        <w:t>我单位保证，其所提供的货物通过合法正规渠道供货，在提供给采购人前具有完全的所有权，采购人在中华人民共和国使用该货物或货物的任何一部分时，不会产生因第三方提出的包括但不限于侵犯其专利权、商标权、工业设计权等知识产权和侵犯其所有权、抵押权等物权及其他权利而引发的纠纷；如有纠纷，我单位承担全部责任。</w:t>
      </w:r>
    </w:p>
    <w:p w14:paraId="02710506">
      <w:pPr>
        <w:ind w:firstLine="420" w:firstLineChars="200"/>
        <w:rPr>
          <w:rFonts w:ascii="宋体" w:hAnsi="宋体" w:cs="宋体"/>
          <w:b/>
          <w:kern w:val="0"/>
          <w:szCs w:val="21"/>
        </w:rPr>
      </w:pPr>
      <w:r>
        <w:rPr>
          <w:rFonts w:hint="eastAsia" w:ascii="宋体" w:hAnsi="宋体"/>
        </w:rPr>
        <w:t>1</w:t>
      </w:r>
      <w:r>
        <w:rPr>
          <w:rFonts w:hint="eastAsia" w:ascii="宋体" w:hAnsi="宋体"/>
          <w:lang w:val="en-US" w:eastAsia="zh-CN"/>
        </w:rPr>
        <w:t>2</w:t>
      </w:r>
      <w:r>
        <w:rPr>
          <w:rFonts w:ascii="宋体" w:hAnsi="宋体"/>
        </w:rPr>
        <w:t>.</w:t>
      </w:r>
      <w:r>
        <w:rPr>
          <w:rFonts w:hint="eastAsia" w:ascii="宋体" w:hAnsi="宋体"/>
        </w:rPr>
        <w:t>我单位保证，若所投货物涉及</w:t>
      </w:r>
      <w:r>
        <w:rPr>
          <w:rFonts w:ascii="宋体" w:hAnsi="宋体"/>
        </w:rPr>
        <w:t>《</w:t>
      </w:r>
      <w:r>
        <w:rPr>
          <w:rFonts w:hint="eastAsia" w:ascii="宋体" w:hAnsi="宋体"/>
        </w:rPr>
        <w:t>关于印发节能产品政府采购品目清单的通知》（财库〔20</w:t>
      </w:r>
      <w:r>
        <w:rPr>
          <w:rFonts w:ascii="宋体" w:hAnsi="宋体"/>
        </w:rPr>
        <w:t>19</w:t>
      </w:r>
      <w:r>
        <w:rPr>
          <w:rFonts w:hint="eastAsia" w:ascii="宋体" w:hAnsi="宋体"/>
        </w:rPr>
        <w:t>〕</w:t>
      </w:r>
      <w:r>
        <w:rPr>
          <w:rFonts w:ascii="宋体" w:hAnsi="宋体"/>
        </w:rPr>
        <w:t>19</w:t>
      </w:r>
      <w:r>
        <w:rPr>
          <w:rFonts w:hint="eastAsia" w:ascii="宋体" w:hAnsi="宋体"/>
        </w:rPr>
        <w:t>号）列明的政府采购强制产品，则所投该产品符合节能产品的认证要求。</w:t>
      </w:r>
      <w:r>
        <w:rPr>
          <w:rFonts w:hint="eastAsia" w:ascii="宋体" w:hAnsi="宋体"/>
          <w:lang w:val="en-US" w:eastAsia="zh-CN"/>
        </w:rPr>
        <w:t>若所投产品包括数据中心相关设备的，应满足</w:t>
      </w:r>
      <w:r>
        <w:rPr>
          <w:rFonts w:hint="eastAsia"/>
        </w:rPr>
        <w:t>《财政部 生态环境部 工业和信息化部关于印发&lt;绿色数据中心政府采购需求标准（试行）&gt;的通知》</w:t>
      </w:r>
      <w:r>
        <w:rPr>
          <w:rFonts w:hint="eastAsia" w:eastAsia="宋体"/>
          <w:lang w:eastAsia="zh-CN"/>
        </w:rPr>
        <w:t>（</w:t>
      </w:r>
      <w:r>
        <w:rPr>
          <w:rFonts w:hint="eastAsia"/>
        </w:rPr>
        <w:t>财库〔2023〕7号）</w:t>
      </w:r>
      <w:r>
        <w:rPr>
          <w:rFonts w:hint="eastAsia" w:ascii="Times New Roman" w:eastAsia="宋体"/>
          <w:lang w:val="en-US" w:eastAsia="zh-CN"/>
        </w:rPr>
        <w:t>要求。若所投产品涉及国家强制性标准的，所投产品应符合国家强制性标准相关要求。</w:t>
      </w:r>
    </w:p>
    <w:p w14:paraId="42AD3214">
      <w:pPr>
        <w:ind w:firstLine="420" w:firstLineChars="200"/>
        <w:rPr>
          <w:rFonts w:hint="eastAsia" w:ascii="宋体" w:hAnsi="宋体"/>
          <w:b w:val="0"/>
          <w:bCs/>
        </w:rPr>
      </w:pPr>
      <w:r>
        <w:rPr>
          <w:rFonts w:hint="eastAsia" w:ascii="宋体" w:hAnsi="宋体" w:cs="宋体"/>
          <w:b w:val="0"/>
          <w:bCs/>
          <w:kern w:val="0"/>
          <w:szCs w:val="21"/>
        </w:rPr>
        <w:t>1</w:t>
      </w:r>
      <w:r>
        <w:rPr>
          <w:rFonts w:hint="eastAsia" w:ascii="宋体" w:hAnsi="宋体" w:cs="宋体"/>
          <w:b w:val="0"/>
          <w:bCs/>
          <w:kern w:val="0"/>
          <w:szCs w:val="21"/>
          <w:lang w:val="en-US" w:eastAsia="zh-CN"/>
        </w:rPr>
        <w:t>3</w:t>
      </w:r>
      <w:r>
        <w:rPr>
          <w:rFonts w:hint="eastAsia" w:ascii="宋体" w:hAnsi="宋体" w:cs="宋体"/>
          <w:b w:val="0"/>
          <w:bCs/>
          <w:kern w:val="0"/>
          <w:szCs w:val="21"/>
        </w:rPr>
        <w:t>.</w:t>
      </w:r>
      <w:r>
        <w:rPr>
          <w:rFonts w:hint="eastAsia" w:ascii="宋体" w:hAnsi="宋体"/>
          <w:b w:val="0"/>
          <w:bCs/>
        </w:rPr>
        <w:t>我单位已知悉并同意中标（成交）结果信息公示（公开）的内容。</w:t>
      </w:r>
    </w:p>
    <w:p w14:paraId="347CE63C">
      <w:pPr>
        <w:ind w:firstLine="420" w:firstLineChars="200"/>
        <w:rPr>
          <w:rFonts w:hint="eastAsia" w:ascii="宋体" w:hAnsi="宋体"/>
          <w:b w:val="0"/>
          <w:bCs/>
        </w:rPr>
      </w:pPr>
      <w:r>
        <w:rPr>
          <w:rFonts w:hint="eastAsia" w:ascii="宋体" w:hAnsi="宋体"/>
          <w:b w:val="0"/>
          <w:bCs/>
        </w:rPr>
        <w:t>1</w:t>
      </w:r>
      <w:r>
        <w:rPr>
          <w:rFonts w:hint="eastAsia" w:ascii="宋体" w:hAnsi="宋体"/>
          <w:b w:val="0"/>
          <w:bCs/>
          <w:lang w:val="en-US" w:eastAsia="zh-CN"/>
        </w:rPr>
        <w:t>4</w:t>
      </w:r>
      <w:r>
        <w:rPr>
          <w:rFonts w:hint="eastAsia" w:ascii="宋体" w:hAnsi="宋体"/>
          <w:b w:val="0"/>
          <w:bCs/>
        </w:rPr>
        <w:t>.我单位保证，符合《中华人民共和国政府采购法实施条例》第十八条规定，与其他投标供应商不存在单位负责人为同一人或者存在直接控股、管理关系；</w:t>
      </w:r>
      <w:r>
        <w:rPr>
          <w:rFonts w:hint="eastAsia" w:ascii="宋体" w:hAnsi="宋体"/>
          <w:b w:val="0"/>
          <w:bCs/>
          <w:color w:val="auto"/>
          <w:lang w:val="en-US" w:eastAsia="zh-CN"/>
        </w:rPr>
        <w:t>不存在为</w:t>
      </w:r>
      <w:r>
        <w:rPr>
          <w:rFonts w:hint="eastAsia" w:ascii="宋体" w:hAnsi="宋体"/>
          <w:b w:val="0"/>
          <w:bCs/>
        </w:rPr>
        <w:t>本次采购项目提供整体设计、规范编制或者项目管理、监理、检测等服务的情</w:t>
      </w:r>
      <w:r>
        <w:rPr>
          <w:rFonts w:hint="eastAsia" w:ascii="宋体" w:hAnsi="宋体"/>
          <w:b w:val="0"/>
          <w:bCs/>
          <w:color w:val="auto"/>
        </w:rPr>
        <w:t>形。</w:t>
      </w:r>
      <w:r>
        <w:rPr>
          <w:rFonts w:hint="eastAsia" w:ascii="宋体" w:hAnsi="宋体"/>
          <w:b w:val="0"/>
          <w:bCs/>
          <w:color w:val="auto"/>
          <w:lang w:val="en-US" w:eastAsia="zh-CN"/>
        </w:rPr>
        <w:t>若</w:t>
      </w:r>
      <w:r>
        <w:rPr>
          <w:rFonts w:hint="eastAsia" w:ascii="宋体" w:hAnsi="宋体"/>
          <w:b w:val="0"/>
          <w:bCs/>
          <w:color w:val="auto"/>
        </w:rPr>
        <w:t>存在“不同供应商的董事、股东或其他高级管理人员为同一人的”情形的，</w:t>
      </w:r>
      <w:r>
        <w:rPr>
          <w:rFonts w:hint="eastAsia" w:ascii="宋体" w:hAnsi="宋体"/>
          <w:b w:val="0"/>
          <w:bCs/>
          <w:color w:val="auto"/>
          <w:lang w:val="en-US" w:eastAsia="zh-CN"/>
        </w:rPr>
        <w:t>我单位保证</w:t>
      </w:r>
      <w:r>
        <w:rPr>
          <w:rFonts w:hint="eastAsia" w:ascii="宋体" w:hAnsi="宋体"/>
          <w:b w:val="0"/>
          <w:bCs/>
          <w:color w:val="auto"/>
        </w:rPr>
        <w:t>不存在串通投标、恶意串通或者视为串通投标的情形</w:t>
      </w:r>
      <w:r>
        <w:rPr>
          <w:rFonts w:hint="eastAsia" w:ascii="宋体" w:hAnsi="宋体"/>
          <w:b w:val="0"/>
          <w:bCs/>
          <w:color w:val="auto"/>
          <w:lang w:eastAsia="zh-CN"/>
        </w:rPr>
        <w:t>。</w:t>
      </w:r>
    </w:p>
    <w:p w14:paraId="5ED77BB9">
      <w:pPr>
        <w:ind w:firstLine="422" w:firstLineChars="200"/>
        <w:rPr>
          <w:rFonts w:ascii="宋体" w:hAnsi="宋体"/>
          <w:b/>
        </w:rPr>
      </w:pPr>
      <w:r>
        <w:rPr>
          <w:rFonts w:hint="eastAsia" w:ascii="宋体" w:hAnsi="宋体"/>
          <w:b/>
          <w:bCs w:val="0"/>
          <w:sz w:val="21"/>
          <w:lang w:val="en-US" w:eastAsia="zh-CN"/>
        </w:rPr>
        <w:t>15.我单位清楚，如存在违反投标承诺行为情节严重的，将根据《深圳市财政局关于印发&lt;深圳市财政局政府采购供应商信用信息管理办法&gt;的通知》，依法被列入失信信息。</w:t>
      </w:r>
    </w:p>
    <w:p w14:paraId="269720B0">
      <w:pPr>
        <w:pStyle w:val="19"/>
        <w:ind w:firstLine="482" w:firstLineChars="200"/>
        <w:rPr>
          <w:rFonts w:ascii="宋体" w:hAnsi="宋体"/>
        </w:rPr>
      </w:pPr>
    </w:p>
    <w:p w14:paraId="2850BABE">
      <w:pPr>
        <w:ind w:firstLine="420" w:firstLineChars="200"/>
        <w:rPr>
          <w:rFonts w:ascii="宋体" w:hAnsi="宋体"/>
          <w:szCs w:val="21"/>
        </w:rPr>
      </w:pPr>
      <w:r>
        <w:rPr>
          <w:rFonts w:hint="eastAsia" w:ascii="宋体" w:hAnsi="宋体"/>
          <w:szCs w:val="21"/>
        </w:rPr>
        <w:t>以上承诺，如有违反，愿依照国家相关法律法规处理，并承担由此给采购人带来的损失。</w:t>
      </w:r>
    </w:p>
    <w:p w14:paraId="0C177D05">
      <w:pPr>
        <w:spacing w:before="60" w:beforeLines="25" w:after="60" w:afterLines="25"/>
        <w:ind w:firstLine="5460" w:firstLineChars="2600"/>
        <w:rPr>
          <w:rFonts w:ascii="宋体" w:hAnsi="宋体"/>
          <w:szCs w:val="21"/>
        </w:rPr>
      </w:pPr>
      <w:r>
        <w:rPr>
          <w:rFonts w:hint="eastAsia" w:ascii="宋体" w:hAnsi="宋体"/>
          <w:szCs w:val="21"/>
        </w:rPr>
        <w:t xml:space="preserve">                                    </w:t>
      </w:r>
    </w:p>
    <w:p w14:paraId="03250B67">
      <w:pPr>
        <w:spacing w:before="60" w:beforeLines="25" w:after="60" w:afterLines="25"/>
        <w:ind w:firstLine="5460" w:firstLineChars="2600"/>
        <w:rPr>
          <w:color w:val="FF0000"/>
        </w:rPr>
      </w:pPr>
      <w:r>
        <w:rPr>
          <w:rFonts w:hint="eastAsia"/>
          <w:color w:val="FF0000"/>
          <w:szCs w:val="21"/>
        </w:rPr>
        <w:t>投标人：</w:t>
      </w:r>
      <w:r>
        <w:rPr>
          <w:rFonts w:hint="eastAsia"/>
          <w:color w:val="FF0000"/>
          <w:szCs w:val="21"/>
          <w:u w:val="single"/>
        </w:rPr>
        <w:t xml:space="preserve">              </w:t>
      </w:r>
    </w:p>
    <w:p w14:paraId="558B2A60">
      <w:pPr>
        <w:ind w:firstLine="645"/>
        <w:rPr>
          <w:rFonts w:ascii="宋体" w:hAnsi="宋体"/>
          <w:color w:val="FF0000"/>
          <w:szCs w:val="21"/>
        </w:rPr>
      </w:pPr>
      <w:r>
        <w:rPr>
          <w:rFonts w:hint="eastAsia" w:ascii="宋体" w:hAnsi="宋体"/>
          <w:color w:val="FF0000"/>
          <w:szCs w:val="21"/>
        </w:rPr>
        <w:t xml:space="preserve">                                              日期：</w:t>
      </w:r>
      <w:r>
        <w:rPr>
          <w:rFonts w:hint="eastAsia" w:ascii="宋体" w:hAnsi="宋体"/>
          <w:color w:val="FF0000"/>
          <w:szCs w:val="21"/>
          <w:u w:val="single"/>
        </w:rPr>
        <w:t xml:space="preserve">    </w:t>
      </w:r>
      <w:r>
        <w:rPr>
          <w:rFonts w:hint="eastAsia" w:ascii="宋体" w:hAnsi="宋体"/>
          <w:color w:val="FF0000"/>
          <w:szCs w:val="21"/>
        </w:rPr>
        <w:t>年</w:t>
      </w:r>
      <w:r>
        <w:rPr>
          <w:rFonts w:hint="eastAsia" w:ascii="宋体" w:hAnsi="宋体"/>
          <w:color w:val="FF0000"/>
          <w:szCs w:val="21"/>
          <w:u w:val="single"/>
        </w:rPr>
        <w:t xml:space="preserve">   </w:t>
      </w:r>
      <w:r>
        <w:rPr>
          <w:rFonts w:hint="eastAsia" w:ascii="宋体" w:hAnsi="宋体"/>
          <w:color w:val="FF0000"/>
          <w:szCs w:val="21"/>
        </w:rPr>
        <w:t>月</w:t>
      </w:r>
      <w:r>
        <w:rPr>
          <w:rFonts w:hint="eastAsia" w:ascii="宋体" w:hAnsi="宋体"/>
          <w:color w:val="FF0000"/>
          <w:szCs w:val="21"/>
          <w:u w:val="single"/>
        </w:rPr>
        <w:t xml:space="preserve">   </w:t>
      </w:r>
      <w:r>
        <w:rPr>
          <w:rFonts w:hint="eastAsia" w:ascii="宋体" w:hAnsi="宋体"/>
          <w:color w:val="FF0000"/>
          <w:szCs w:val="21"/>
        </w:rPr>
        <w:t>日</w:t>
      </w:r>
    </w:p>
    <w:p w14:paraId="35CA53F9">
      <w:pPr>
        <w:rPr>
          <w:rFonts w:ascii="宋体" w:hAnsi="宋体"/>
          <w:szCs w:val="21"/>
        </w:rPr>
      </w:pPr>
    </w:p>
    <w:p w14:paraId="1DBA5DC1">
      <w:pPr>
        <w:rPr>
          <w:rFonts w:ascii="宋体" w:hAnsi="宋体"/>
          <w:szCs w:val="21"/>
        </w:rPr>
      </w:pPr>
    </w:p>
    <w:p w14:paraId="2E2B9A70">
      <w:pPr>
        <w:pStyle w:val="4"/>
        <w:spacing w:before="120" w:after="120"/>
        <w:jc w:val="center"/>
        <w:rPr>
          <w:rFonts w:ascii="黑体" w:eastAsia="黑体"/>
          <w:b w:val="0"/>
          <w:kern w:val="0"/>
          <w:sz w:val="24"/>
        </w:rPr>
      </w:pPr>
      <w:r>
        <w:rPr>
          <w:rFonts w:hint="eastAsia" w:ascii="黑体" w:eastAsia="黑体"/>
          <w:b w:val="0"/>
          <w:kern w:val="0"/>
          <w:sz w:val="24"/>
        </w:rPr>
        <w:t>三、投标人情况及资格证明文件</w:t>
      </w:r>
    </w:p>
    <w:p w14:paraId="50D00DB5">
      <w:pPr>
        <w:ind w:firstLine="2640" w:firstLineChars="1100"/>
        <w:outlineLvl w:val="9"/>
        <w:rPr>
          <w:rFonts w:ascii="黑体" w:hAnsi="宋体" w:eastAsia="黑体"/>
          <w:bCs/>
          <w:kern w:val="0"/>
          <w:sz w:val="24"/>
          <w:szCs w:val="32"/>
        </w:rPr>
      </w:pPr>
      <w:r>
        <w:rPr>
          <w:rFonts w:hint="eastAsia" w:ascii="黑体" w:hAnsi="宋体" w:eastAsia="黑体"/>
          <w:bCs/>
          <w:kern w:val="0"/>
          <w:sz w:val="24"/>
          <w:szCs w:val="32"/>
        </w:rPr>
        <w:t>（一）投标人资格证明文件</w:t>
      </w:r>
    </w:p>
    <w:p w14:paraId="40E4540E">
      <w:pPr>
        <w:spacing w:before="120" w:beforeLines="50"/>
        <w:ind w:firstLine="422" w:firstLineChars="200"/>
        <w:rPr>
          <w:b/>
          <w:bCs/>
          <w:color w:val="FF0000"/>
        </w:rPr>
      </w:pPr>
      <w:r>
        <w:rPr>
          <w:rFonts w:hint="eastAsia"/>
          <w:b/>
          <w:bCs/>
          <w:color w:val="FF0000"/>
        </w:rPr>
        <w:t>（特别提示：投标人须按本招标文件第一册第一章招标公告“申请人的资格要求”（即投标人资格要求）提供相关的资格证明资料，未提供或提供不完整、不符合要求的，将作投标无效处理</w:t>
      </w:r>
      <w:r>
        <w:rPr>
          <w:rFonts w:hint="eastAsia"/>
          <w:b/>
          <w:bCs/>
          <w:color w:val="FF0000"/>
          <w:lang w:eastAsia="zh-CN"/>
        </w:rPr>
        <w:t>，</w:t>
      </w:r>
      <w:r>
        <w:rPr>
          <w:rFonts w:hint="eastAsia" w:ascii="Times New Roman" w:eastAsia="宋体"/>
          <w:b/>
          <w:bCs/>
          <w:color w:val="FF0000"/>
          <w:lang w:val="en-US" w:eastAsia="zh-CN"/>
        </w:rPr>
        <w:t>其中要求提供《政府采购投标及履约承诺函》《供应商基本情况表》且已在规定章节中提供的，此处不重复提供</w:t>
      </w:r>
      <w:r>
        <w:rPr>
          <w:rFonts w:hint="eastAsia"/>
          <w:b/>
          <w:bCs/>
          <w:color w:val="FF0000"/>
        </w:rPr>
        <w:t>。）</w:t>
      </w:r>
    </w:p>
    <w:p w14:paraId="08C548ED">
      <w:pPr>
        <w:ind w:firstLine="482" w:firstLineChars="200"/>
        <w:rPr>
          <w:b/>
          <w:sz w:val="24"/>
        </w:rPr>
      </w:pPr>
    </w:p>
    <w:p w14:paraId="35BBF178">
      <w:pPr>
        <w:ind w:firstLine="480" w:firstLineChars="200"/>
        <w:outlineLvl w:val="9"/>
        <w:rPr>
          <w:rFonts w:ascii="黑体" w:hAnsi="宋体" w:eastAsia="黑体"/>
          <w:bCs/>
          <w:kern w:val="0"/>
          <w:sz w:val="24"/>
          <w:szCs w:val="32"/>
        </w:rPr>
      </w:pPr>
      <w:r>
        <w:rPr>
          <w:rFonts w:hint="eastAsia" w:ascii="黑体" w:hAnsi="宋体" w:eastAsia="黑体"/>
          <w:bCs/>
          <w:kern w:val="0"/>
          <w:sz w:val="24"/>
          <w:szCs w:val="32"/>
        </w:rPr>
        <w:t>（二）中小企业声明函、残疾人福利性单位声明函及监狱企业声明函</w:t>
      </w:r>
    </w:p>
    <w:p w14:paraId="4314D3DA">
      <w:pPr>
        <w:jc w:val="left"/>
        <w:outlineLvl w:val="9"/>
        <w:rPr>
          <w:rFonts w:ascii="黑体" w:hAnsi="宋体" w:eastAsia="黑体"/>
          <w:bCs/>
          <w:kern w:val="0"/>
          <w:sz w:val="24"/>
          <w:szCs w:val="32"/>
        </w:rPr>
      </w:pPr>
    </w:p>
    <w:p w14:paraId="115F6987">
      <w:pPr>
        <w:ind w:firstLine="420" w:firstLineChars="200"/>
        <w:outlineLvl w:val="9"/>
        <w:rPr>
          <w:rFonts w:ascii="黑体" w:hAnsi="宋体" w:eastAsia="黑体"/>
          <w:bCs/>
          <w:color w:val="FF0000"/>
          <w:kern w:val="0"/>
          <w:szCs w:val="21"/>
        </w:rPr>
      </w:pPr>
      <w:r>
        <w:rPr>
          <w:rFonts w:hint="eastAsia" w:ascii="黑体" w:hAnsi="宋体" w:eastAsia="黑体"/>
          <w:bCs/>
          <w:color w:val="FF0000"/>
          <w:kern w:val="0"/>
          <w:szCs w:val="21"/>
        </w:rPr>
        <w:t>填写指引：</w:t>
      </w:r>
    </w:p>
    <w:p w14:paraId="260F143E">
      <w:pPr>
        <w:ind w:firstLine="420" w:firstLineChars="200"/>
        <w:outlineLvl w:val="9"/>
        <w:rPr>
          <w:rFonts w:ascii="黑体" w:hAnsi="黑体" w:eastAsia="黑体"/>
          <w:color w:val="FF0000"/>
          <w:szCs w:val="21"/>
        </w:rPr>
      </w:pPr>
      <w:r>
        <w:rPr>
          <w:rFonts w:hint="eastAsia" w:ascii="黑体" w:hAnsi="宋体" w:eastAsia="黑体"/>
          <w:bCs/>
          <w:color w:val="FF0000"/>
          <w:kern w:val="0"/>
          <w:szCs w:val="21"/>
          <w:lang w:eastAsia="zh-CN"/>
        </w:rPr>
        <w:t>1.</w:t>
      </w:r>
      <w:r>
        <w:rPr>
          <w:rFonts w:hint="eastAsia" w:ascii="黑体" w:hAnsi="宋体" w:eastAsia="黑体"/>
          <w:bCs/>
          <w:color w:val="FF0000"/>
          <w:kern w:val="0"/>
          <w:szCs w:val="21"/>
        </w:rPr>
        <w:t>该部分内容由投标人根据自身实际情况填写，不符合要求的投标人可以不填写或直接删除相应的声明函。</w:t>
      </w:r>
      <w:r>
        <w:rPr>
          <w:rFonts w:hint="eastAsia" w:ascii="黑体" w:hAnsi="黑体" w:eastAsia="黑体"/>
          <w:color w:val="FF0000"/>
          <w:szCs w:val="21"/>
        </w:rPr>
        <w:t>投标人提供的声明函不属实的，属于提供虚假资料谋取中标，依照《中华人民共和国政府采购法》等国家有关规定追究相应责任。</w:t>
      </w:r>
    </w:p>
    <w:p w14:paraId="57BBFD52">
      <w:pPr>
        <w:ind w:firstLine="420" w:firstLineChars="200"/>
        <w:outlineLvl w:val="9"/>
        <w:rPr>
          <w:rFonts w:ascii="黑体" w:hAnsi="黑体" w:eastAsia="黑体"/>
          <w:color w:val="FF0000"/>
          <w:szCs w:val="21"/>
        </w:rPr>
      </w:pPr>
      <w:r>
        <w:rPr>
          <w:rFonts w:hint="eastAsia" w:ascii="黑体" w:hAnsi="黑体" w:eastAsia="黑体"/>
          <w:color w:val="FF0000"/>
          <w:szCs w:val="21"/>
          <w:lang w:eastAsia="zh-CN"/>
        </w:rPr>
        <w:t>2.</w:t>
      </w:r>
      <w:r>
        <w:rPr>
          <w:rFonts w:hint="eastAsia" w:ascii="黑体" w:hAnsi="黑体" w:eastAsia="黑体"/>
          <w:color w:val="FF0000"/>
          <w:szCs w:val="21"/>
        </w:rPr>
        <w:t>该部分内容填写需要参考的相关文件：</w:t>
      </w:r>
    </w:p>
    <w:p w14:paraId="2B86C6F7">
      <w:pPr>
        <w:ind w:firstLine="420" w:firstLineChars="200"/>
        <w:outlineLvl w:val="9"/>
        <w:rPr>
          <w:rFonts w:ascii="黑体" w:hAnsi="黑体" w:eastAsia="黑体"/>
          <w:color w:val="FF0000"/>
          <w:szCs w:val="21"/>
        </w:rPr>
      </w:pPr>
      <w:r>
        <w:rPr>
          <w:rFonts w:hint="eastAsia" w:ascii="黑体" w:hAnsi="黑体" w:eastAsia="黑体"/>
          <w:color w:val="FF0000"/>
          <w:szCs w:val="21"/>
        </w:rPr>
        <w:t>(</w:t>
      </w:r>
      <w:r>
        <w:rPr>
          <w:rFonts w:ascii="黑体" w:hAnsi="黑体" w:eastAsia="黑体"/>
          <w:color w:val="FF0000"/>
          <w:szCs w:val="21"/>
        </w:rPr>
        <w:t>1</w:t>
      </w:r>
      <w:r>
        <w:rPr>
          <w:rFonts w:hint="eastAsia" w:ascii="黑体" w:hAnsi="黑体" w:eastAsia="黑体"/>
          <w:color w:val="FF0000"/>
          <w:szCs w:val="21"/>
        </w:rPr>
        <w:t>)财政部《政府采购促进中小企业发展管理办法》（财库〔2020〕46号）</w:t>
      </w:r>
    </w:p>
    <w:p w14:paraId="3294E761">
      <w:pPr>
        <w:ind w:firstLine="420" w:firstLineChars="200"/>
        <w:outlineLvl w:val="9"/>
        <w:rPr>
          <w:rFonts w:ascii="黑体" w:hAnsi="黑体" w:eastAsia="黑体"/>
          <w:color w:val="FF0000"/>
          <w:szCs w:val="21"/>
        </w:rPr>
      </w:pPr>
      <w:r>
        <w:rPr>
          <w:rFonts w:hint="eastAsia" w:ascii="黑体" w:hAnsi="黑体" w:eastAsia="黑体"/>
          <w:color w:val="FF0000"/>
          <w:szCs w:val="21"/>
        </w:rPr>
        <w:t>(</w:t>
      </w:r>
      <w:r>
        <w:rPr>
          <w:rFonts w:ascii="黑体" w:hAnsi="黑体" w:eastAsia="黑体"/>
          <w:color w:val="FF0000"/>
          <w:szCs w:val="21"/>
        </w:rPr>
        <w:t>2</w:t>
      </w:r>
      <w:r>
        <w:rPr>
          <w:rFonts w:hint="eastAsia" w:ascii="黑体" w:hAnsi="黑体" w:eastAsia="黑体"/>
          <w:color w:val="FF0000"/>
          <w:szCs w:val="21"/>
        </w:rPr>
        <w:t>)</w:t>
      </w:r>
      <w:bookmarkStart w:id="37" w:name="_Hlk71925120"/>
      <w:r>
        <w:rPr>
          <w:rFonts w:hint="eastAsia" w:ascii="黑体" w:hAnsi="黑体" w:eastAsia="黑体"/>
          <w:color w:val="FF0000"/>
          <w:szCs w:val="21"/>
        </w:rPr>
        <w:t>《工业和信息化部、国家统计局、国家发展和改革委员会、财政部关于印发中小企业划型标准规定的通知》（工信部联企业〔2011〕300号</w:t>
      </w:r>
      <w:bookmarkEnd w:id="37"/>
      <w:r>
        <w:rPr>
          <w:rFonts w:hint="eastAsia" w:ascii="黑体" w:hAnsi="黑体" w:eastAsia="黑体"/>
          <w:color w:val="FF0000"/>
          <w:szCs w:val="21"/>
        </w:rPr>
        <w:t>）</w:t>
      </w:r>
    </w:p>
    <w:p w14:paraId="47222671">
      <w:pPr>
        <w:ind w:firstLine="420" w:firstLineChars="200"/>
        <w:outlineLvl w:val="9"/>
        <w:rPr>
          <w:rFonts w:ascii="黑体" w:hAnsi="黑体" w:eastAsia="黑体"/>
          <w:color w:val="FF0000"/>
          <w:szCs w:val="21"/>
        </w:rPr>
      </w:pPr>
      <w:r>
        <w:rPr>
          <w:rFonts w:hint="eastAsia" w:ascii="黑体" w:hAnsi="黑体" w:eastAsia="黑体"/>
          <w:color w:val="FF0000"/>
          <w:szCs w:val="21"/>
        </w:rPr>
        <w:t>(3)《统计上大中小微型企业划分办法(2017)》（国统字〔2017〕213号）</w:t>
      </w:r>
    </w:p>
    <w:p w14:paraId="57249FFF">
      <w:pPr>
        <w:ind w:firstLine="420" w:firstLineChars="200"/>
        <w:outlineLvl w:val="9"/>
        <w:rPr>
          <w:rFonts w:ascii="黑体" w:hAnsi="黑体" w:eastAsia="黑体"/>
          <w:color w:val="FF0000"/>
          <w:szCs w:val="21"/>
        </w:rPr>
      </w:pPr>
      <w:r>
        <w:rPr>
          <w:rFonts w:hint="eastAsia" w:ascii="黑体" w:hAnsi="黑体" w:eastAsia="黑体"/>
          <w:color w:val="FF0000"/>
          <w:szCs w:val="21"/>
        </w:rPr>
        <w:t>(4)《关于促进残疾人就业政府采购政策的通知》（财库〔2017〕141号）</w:t>
      </w:r>
    </w:p>
    <w:p w14:paraId="52BDF619">
      <w:pPr>
        <w:ind w:firstLine="420" w:firstLineChars="200"/>
        <w:outlineLvl w:val="9"/>
        <w:rPr>
          <w:rFonts w:ascii="黑体" w:hAnsi="黑体" w:eastAsia="黑体"/>
          <w:color w:val="FF0000"/>
          <w:szCs w:val="21"/>
        </w:rPr>
      </w:pPr>
      <w:r>
        <w:rPr>
          <w:rFonts w:hint="eastAsia" w:ascii="黑体" w:hAnsi="黑体" w:eastAsia="黑体"/>
          <w:color w:val="FF0000"/>
          <w:szCs w:val="21"/>
        </w:rPr>
        <w:t>(5)《关于政府采购支持监狱企业发展有关问题的通知》（财库〔2014〕68号）</w:t>
      </w:r>
    </w:p>
    <w:p w14:paraId="1F45C876">
      <w:pPr>
        <w:ind w:firstLine="420" w:firstLineChars="200"/>
        <w:outlineLvl w:val="9"/>
        <w:rPr>
          <w:rFonts w:ascii="黑体" w:hAnsi="宋体" w:eastAsia="黑体"/>
          <w:bCs/>
          <w:color w:val="FF0000"/>
          <w:kern w:val="0"/>
          <w:szCs w:val="21"/>
        </w:rPr>
      </w:pPr>
      <w:r>
        <w:rPr>
          <w:rFonts w:hint="eastAsia" w:ascii="黑体" w:hAnsi="宋体" w:eastAsia="黑体"/>
          <w:bCs/>
          <w:color w:val="FF0000"/>
          <w:kern w:val="0"/>
          <w:szCs w:val="21"/>
          <w:lang w:eastAsia="zh-CN"/>
        </w:rPr>
        <w:t>3.</w:t>
      </w:r>
      <w:r>
        <w:rPr>
          <w:rFonts w:hint="eastAsia" w:ascii="黑体" w:hAnsi="宋体" w:eastAsia="黑体"/>
          <w:bCs/>
          <w:color w:val="FF0000"/>
          <w:kern w:val="0"/>
          <w:szCs w:val="21"/>
        </w:rPr>
        <w:t>请依照提供的格式和内容填写声明函，不要随意变更格式；声明函不需要盖章或签字</w:t>
      </w:r>
      <w:r>
        <w:rPr>
          <w:rFonts w:hint="eastAsia" w:ascii="黑体" w:hAnsi="黑体" w:eastAsia="黑体"/>
          <w:color w:val="FF0000"/>
          <w:szCs w:val="21"/>
        </w:rPr>
        <w:t>。</w:t>
      </w:r>
    </w:p>
    <w:p w14:paraId="6CB74562">
      <w:pPr>
        <w:ind w:firstLine="420" w:firstLineChars="200"/>
        <w:outlineLvl w:val="9"/>
        <w:rPr>
          <w:rFonts w:ascii="黑体" w:hAnsi="宋体" w:eastAsia="黑体"/>
          <w:bCs/>
          <w:color w:val="FF0000"/>
          <w:kern w:val="0"/>
          <w:szCs w:val="21"/>
        </w:rPr>
      </w:pPr>
      <w:r>
        <w:rPr>
          <w:rFonts w:hint="eastAsia" w:ascii="黑体" w:hAnsi="宋体" w:eastAsia="黑体"/>
          <w:bCs/>
          <w:color w:val="FF0000"/>
          <w:kern w:val="0"/>
          <w:szCs w:val="21"/>
          <w:lang w:eastAsia="zh-CN"/>
        </w:rPr>
        <w:t>4.</w:t>
      </w:r>
      <w:r>
        <w:rPr>
          <w:rFonts w:hint="eastAsia" w:ascii="黑体" w:hAnsi="宋体" w:eastAsia="黑体"/>
          <w:bCs/>
          <w:color w:val="FF0000"/>
          <w:kern w:val="0"/>
          <w:szCs w:val="21"/>
        </w:rPr>
        <w:t>声明函具体填写要求：</w:t>
      </w:r>
    </w:p>
    <w:p w14:paraId="3301395F">
      <w:pPr>
        <w:ind w:firstLine="420" w:firstLineChars="200"/>
        <w:outlineLvl w:val="9"/>
        <w:rPr>
          <w:rFonts w:ascii="黑体" w:hAnsi="宋体" w:eastAsia="黑体"/>
          <w:bCs/>
          <w:color w:val="FF0000"/>
          <w:kern w:val="0"/>
          <w:szCs w:val="21"/>
        </w:rPr>
      </w:pPr>
      <w:r>
        <w:rPr>
          <w:rFonts w:hint="eastAsia" w:ascii="黑体" w:hAnsi="宋体" w:eastAsia="黑体"/>
          <w:bCs/>
          <w:color w:val="FF0000"/>
          <w:kern w:val="0"/>
          <w:szCs w:val="21"/>
        </w:rPr>
        <w:t>（1）声明是中小企业须填写《中小企业声明函》的以下内容：</w:t>
      </w:r>
    </w:p>
    <w:p w14:paraId="4948F2AD">
      <w:pPr>
        <w:ind w:firstLine="420" w:firstLineChars="200"/>
        <w:outlineLvl w:val="9"/>
        <w:rPr>
          <w:rFonts w:ascii="黑体" w:hAnsi="宋体" w:eastAsia="黑体"/>
          <w:bCs/>
          <w:color w:val="FF0000"/>
          <w:kern w:val="0"/>
          <w:szCs w:val="21"/>
        </w:rPr>
      </w:pPr>
      <w:r>
        <w:rPr>
          <w:rFonts w:hint="eastAsia" w:ascii="黑体" w:hAnsi="宋体" w:eastAsia="黑体"/>
          <w:bCs/>
          <w:color w:val="FF0000"/>
          <w:kern w:val="0"/>
          <w:szCs w:val="21"/>
        </w:rPr>
        <w:t>第一处，在“单位名称”下划线处如实填写采购人名称（深圳公共资源交易中心不是本项目的采购人，而是组织实施机构）；</w:t>
      </w:r>
    </w:p>
    <w:p w14:paraId="2D7BA95F">
      <w:pPr>
        <w:ind w:firstLine="420" w:firstLineChars="200"/>
        <w:outlineLvl w:val="9"/>
        <w:rPr>
          <w:rFonts w:ascii="黑体" w:hAnsi="宋体" w:eastAsia="黑体"/>
          <w:bCs/>
          <w:color w:val="FF0000"/>
          <w:kern w:val="0"/>
          <w:szCs w:val="21"/>
        </w:rPr>
      </w:pPr>
      <w:r>
        <w:rPr>
          <w:rFonts w:hint="eastAsia" w:ascii="黑体" w:hAnsi="宋体" w:eastAsia="黑体"/>
          <w:bCs/>
          <w:color w:val="FF0000"/>
          <w:kern w:val="0"/>
          <w:szCs w:val="21"/>
        </w:rPr>
        <w:t>第二处，在“项目名称”下划线处如实填写采购</w:t>
      </w:r>
      <w:r>
        <w:rPr>
          <w:rFonts w:hint="eastAsia" w:ascii="黑体" w:hAnsi="宋体" w:eastAsia="黑体"/>
          <w:bCs/>
          <w:color w:val="FF0000"/>
          <w:kern w:val="0"/>
          <w:szCs w:val="21"/>
          <w:lang w:val="en-US" w:eastAsia="zh-CN"/>
        </w:rPr>
        <w:t>文件中确定的</w:t>
      </w:r>
      <w:r>
        <w:rPr>
          <w:rFonts w:hint="eastAsia" w:ascii="黑体" w:hAnsi="宋体" w:eastAsia="黑体"/>
          <w:bCs/>
          <w:color w:val="FF0000"/>
          <w:kern w:val="0"/>
          <w:szCs w:val="21"/>
        </w:rPr>
        <w:t>项目名称</w:t>
      </w:r>
      <w:r>
        <w:rPr>
          <w:rFonts w:hint="eastAsia" w:ascii="黑体" w:hAnsi="宋体" w:eastAsia="黑体"/>
          <w:bCs/>
          <w:color w:val="FF0000"/>
          <w:kern w:val="0"/>
          <w:szCs w:val="21"/>
          <w:lang w:eastAsia="zh-CN"/>
        </w:rPr>
        <w:t>。对于分包方式面向中小企业采购的项目，应标明中小企业的具体分包内容；对于以联合体方式面向中小企业采购的项目，应标明联合体中中小企业所承担的具体内容</w:t>
      </w:r>
      <w:r>
        <w:rPr>
          <w:rFonts w:hint="eastAsia" w:ascii="黑体" w:hAnsi="宋体" w:eastAsia="黑体"/>
          <w:bCs/>
          <w:color w:val="FF0000"/>
          <w:kern w:val="0"/>
          <w:szCs w:val="21"/>
        </w:rPr>
        <w:t>；</w:t>
      </w:r>
    </w:p>
    <w:p w14:paraId="4405B2D0">
      <w:pPr>
        <w:ind w:firstLine="420" w:firstLineChars="200"/>
        <w:outlineLvl w:val="9"/>
        <w:rPr>
          <w:rFonts w:ascii="黑体" w:hAnsi="宋体" w:eastAsia="黑体"/>
          <w:bCs/>
          <w:color w:val="FF0000"/>
          <w:kern w:val="0"/>
          <w:szCs w:val="21"/>
        </w:rPr>
      </w:pPr>
      <w:r>
        <w:rPr>
          <w:rFonts w:hint="eastAsia" w:ascii="黑体" w:hAnsi="宋体" w:eastAsia="黑体"/>
          <w:bCs/>
          <w:color w:val="FF0000"/>
          <w:kern w:val="0"/>
          <w:szCs w:val="21"/>
        </w:rPr>
        <w:t>第三处，在“标的名称”下划线处填写所采购标的具体名称（以招标文件第一册第三章用户需求书“</w:t>
      </w:r>
      <w:r>
        <w:rPr>
          <w:rFonts w:hint="eastAsia" w:ascii="黑体" w:hAnsi="宋体" w:eastAsia="黑体"/>
          <w:bCs/>
          <w:color w:val="FF0000"/>
          <w:kern w:val="0"/>
          <w:szCs w:val="21"/>
          <w:lang w:val="en-US" w:eastAsia="zh-CN"/>
        </w:rPr>
        <w:t>服务需求</w:t>
      </w:r>
      <w:r>
        <w:rPr>
          <w:rFonts w:hint="eastAsia" w:ascii="黑体" w:hAnsi="宋体" w:eastAsia="黑体"/>
          <w:bCs/>
          <w:color w:val="FF0000"/>
          <w:kern w:val="0"/>
          <w:szCs w:val="21"/>
        </w:rPr>
        <w:t>明细”的“服务需求名称（标的名称）”一栏为准）；如果涉及多项</w:t>
      </w:r>
      <w:r>
        <w:rPr>
          <w:rFonts w:hint="eastAsia" w:ascii="黑体" w:hAnsi="宋体" w:eastAsia="黑体"/>
          <w:bCs/>
          <w:color w:val="FF0000"/>
          <w:kern w:val="0"/>
          <w:szCs w:val="21"/>
          <w:lang w:val="en-US" w:eastAsia="zh-CN"/>
        </w:rPr>
        <w:t>服务</w:t>
      </w:r>
      <w:r>
        <w:rPr>
          <w:rFonts w:hint="eastAsia" w:ascii="黑体" w:hAnsi="宋体" w:eastAsia="黑体"/>
          <w:bCs/>
          <w:color w:val="FF0000"/>
          <w:kern w:val="0"/>
          <w:szCs w:val="21"/>
        </w:rPr>
        <w:t>（标的）为同一企业</w:t>
      </w:r>
      <w:r>
        <w:rPr>
          <w:rFonts w:hint="eastAsia" w:ascii="黑体" w:hAnsi="宋体" w:eastAsia="黑体"/>
          <w:bCs/>
          <w:color w:val="FF0000"/>
          <w:kern w:val="0"/>
          <w:szCs w:val="21"/>
          <w:lang w:val="en-US" w:eastAsia="zh-CN"/>
        </w:rPr>
        <w:t>承接的</w:t>
      </w:r>
      <w:r>
        <w:rPr>
          <w:rFonts w:hint="eastAsia" w:ascii="黑体" w:hAnsi="宋体" w:eastAsia="黑体"/>
          <w:bCs/>
          <w:color w:val="FF0000"/>
          <w:kern w:val="0"/>
          <w:szCs w:val="21"/>
        </w:rPr>
        <w:t>，“标的名称”下划线处可以如实填写多项</w:t>
      </w:r>
      <w:r>
        <w:rPr>
          <w:rFonts w:hint="eastAsia" w:ascii="黑体" w:hAnsi="宋体" w:eastAsia="黑体"/>
          <w:bCs/>
          <w:color w:val="FF0000"/>
          <w:kern w:val="0"/>
          <w:szCs w:val="21"/>
          <w:lang w:val="en-US" w:eastAsia="zh-CN"/>
        </w:rPr>
        <w:t>服务</w:t>
      </w:r>
      <w:r>
        <w:rPr>
          <w:rFonts w:hint="eastAsia" w:ascii="黑体" w:hAnsi="宋体" w:eastAsia="黑体"/>
          <w:bCs/>
          <w:color w:val="FF0000"/>
          <w:kern w:val="0"/>
          <w:szCs w:val="21"/>
        </w:rPr>
        <w:t>；对于分包方式面向中小企业采购的项目</w:t>
      </w:r>
      <w:r>
        <w:rPr>
          <w:rFonts w:hint="eastAsia" w:ascii="黑体" w:hAnsi="宋体" w:eastAsia="黑体"/>
          <w:bCs/>
          <w:color w:val="FF0000"/>
          <w:kern w:val="0"/>
          <w:szCs w:val="21"/>
          <w:lang w:eastAsia="zh-CN"/>
        </w:rPr>
        <w:t>，</w:t>
      </w:r>
      <w:r>
        <w:rPr>
          <w:rFonts w:hint="eastAsia" w:ascii="黑体" w:hAnsi="宋体" w:eastAsia="黑体"/>
          <w:bCs/>
          <w:color w:val="FF0000"/>
          <w:kern w:val="0"/>
          <w:szCs w:val="21"/>
        </w:rPr>
        <w:t>“标的名称”应填写采购文件中注明的分包给中小企业的采购标的名称；对于以联合体方式面向中小企业采购的项目“标的名称”应填写采购文件中注明的联合体中中小企业承担的采购标的名称。</w:t>
      </w:r>
    </w:p>
    <w:p w14:paraId="77A002AA">
      <w:pPr>
        <w:ind w:firstLine="420" w:firstLineChars="200"/>
        <w:outlineLvl w:val="9"/>
        <w:rPr>
          <w:rFonts w:ascii="黑体" w:hAnsi="宋体" w:eastAsia="黑体"/>
          <w:bCs/>
          <w:color w:val="FF0000"/>
          <w:kern w:val="0"/>
          <w:szCs w:val="21"/>
        </w:rPr>
      </w:pPr>
      <w:r>
        <w:rPr>
          <w:rFonts w:hint="eastAsia" w:ascii="黑体" w:hAnsi="宋体" w:eastAsia="黑体"/>
          <w:bCs/>
          <w:color w:val="FF0000"/>
          <w:kern w:val="0"/>
          <w:szCs w:val="21"/>
        </w:rPr>
        <w:t>第四处，在“</w:t>
      </w:r>
      <w:r>
        <w:rPr>
          <w:rFonts w:hint="eastAsia" w:ascii="黑体" w:hAnsi="宋体" w:eastAsia="黑体"/>
          <w:bCs/>
          <w:color w:val="FF0000"/>
          <w:kern w:val="0"/>
          <w:szCs w:val="21"/>
          <w:lang w:val="en-US" w:eastAsia="zh-CN"/>
        </w:rPr>
        <w:t>采购</w:t>
      </w:r>
      <w:r>
        <w:rPr>
          <w:rFonts w:hint="eastAsia" w:ascii="黑体" w:hAnsi="宋体" w:eastAsia="黑体"/>
          <w:bCs/>
          <w:color w:val="FF0000"/>
          <w:kern w:val="0"/>
          <w:szCs w:val="21"/>
        </w:rPr>
        <w:t>文件中明确的所属行业”下划线处填写采购标的对应的中小企业划分标准所属行业（所属行业以招标文件第一册第三章用户需求书“</w:t>
      </w:r>
      <w:r>
        <w:rPr>
          <w:rFonts w:hint="eastAsia" w:ascii="黑体" w:hAnsi="宋体" w:eastAsia="黑体"/>
          <w:bCs/>
          <w:color w:val="FF0000"/>
          <w:kern w:val="0"/>
          <w:szCs w:val="21"/>
          <w:lang w:val="en-US" w:eastAsia="zh-CN"/>
        </w:rPr>
        <w:t>服务需求</w:t>
      </w:r>
      <w:r>
        <w:rPr>
          <w:rFonts w:hint="eastAsia" w:ascii="黑体" w:hAnsi="宋体" w:eastAsia="黑体"/>
          <w:bCs/>
          <w:color w:val="FF0000"/>
          <w:kern w:val="0"/>
          <w:szCs w:val="21"/>
        </w:rPr>
        <w:t>明细”的“</w:t>
      </w:r>
      <w:r>
        <w:rPr>
          <w:rFonts w:hint="eastAsia" w:ascii="黑体" w:hAnsi="宋体" w:eastAsia="黑体"/>
          <w:bCs/>
          <w:color w:val="FF0000"/>
          <w:kern w:val="0"/>
          <w:szCs w:val="21"/>
          <w:lang w:val="en-US" w:eastAsia="zh-CN"/>
        </w:rPr>
        <w:t>标的所属行业</w:t>
      </w:r>
      <w:r>
        <w:rPr>
          <w:rFonts w:hint="eastAsia" w:ascii="黑体" w:hAnsi="宋体" w:eastAsia="黑体"/>
          <w:bCs/>
          <w:color w:val="FF0000"/>
          <w:kern w:val="0"/>
          <w:szCs w:val="21"/>
        </w:rPr>
        <w:t>”一栏为准）</w:t>
      </w:r>
      <w:r>
        <w:rPr>
          <w:rFonts w:hint="eastAsia" w:ascii="黑体" w:hAnsi="宋体" w:eastAsia="黑体"/>
          <w:bCs/>
          <w:color w:val="FF0000"/>
          <w:kern w:val="0"/>
          <w:szCs w:val="21"/>
          <w:lang w:eastAsia="zh-CN"/>
        </w:rPr>
        <w:t>，并应确保与采购标的涉及的服务承接商本身的所属行业保持一致。对于分包方式面向中小企业采购的项目，“采购文件中明确的所属行业”应按照采购文件中注明的分包给中小企业的采购标的所属行业填写，并应确保与该分包部分采购标的涉及的服务承接商本身的所属行业保持一致；对于以联合体方式面向中小企业采购的项目，“采购文件中明确的所属行业”应按照采购文件中注明的联合体中中小企业承担的采购标的所属行业填写，并应确保与该分包部分采购标的涉及的服务承接商本身的所属行业保持一致；</w:t>
      </w:r>
    </w:p>
    <w:p w14:paraId="2C39EBDA">
      <w:pPr>
        <w:ind w:firstLine="420" w:firstLineChars="200"/>
        <w:outlineLvl w:val="9"/>
        <w:rPr>
          <w:rFonts w:hint="eastAsia" w:ascii="黑体" w:hAnsi="宋体" w:eastAsia="黑体"/>
          <w:bCs/>
          <w:color w:val="FF0000"/>
          <w:kern w:val="0"/>
          <w:szCs w:val="21"/>
          <w:lang w:eastAsia="zh-CN"/>
        </w:rPr>
      </w:pPr>
      <w:r>
        <w:rPr>
          <w:rFonts w:hint="eastAsia" w:ascii="黑体" w:hAnsi="宋体" w:eastAsia="黑体"/>
          <w:bCs/>
          <w:color w:val="FF0000"/>
          <w:kern w:val="0"/>
          <w:szCs w:val="21"/>
        </w:rPr>
        <w:t>第五处，在“企业名称”下划线处如实填写</w:t>
      </w:r>
      <w:r>
        <w:rPr>
          <w:rFonts w:hint="eastAsia" w:ascii="黑体" w:hAnsi="宋体" w:eastAsia="黑体"/>
          <w:b/>
          <w:bCs w:val="0"/>
          <w:color w:val="FF0000"/>
          <w:kern w:val="0"/>
          <w:szCs w:val="21"/>
          <w:lang w:eastAsia="zh-CN"/>
        </w:rPr>
        <w:t>服务承接商</w:t>
      </w:r>
      <w:r>
        <w:rPr>
          <w:rFonts w:hint="eastAsia" w:ascii="黑体" w:hAnsi="宋体" w:eastAsia="黑体"/>
          <w:b/>
          <w:bCs w:val="0"/>
          <w:color w:val="FF0000"/>
          <w:kern w:val="0"/>
          <w:szCs w:val="21"/>
        </w:rPr>
        <w:t>名称</w:t>
      </w:r>
      <w:r>
        <w:rPr>
          <w:rFonts w:hint="eastAsia" w:ascii="黑体" w:hAnsi="宋体" w:eastAsia="黑体"/>
          <w:b/>
          <w:bCs w:val="0"/>
          <w:color w:val="FF0000"/>
          <w:kern w:val="0"/>
          <w:szCs w:val="21"/>
          <w:lang w:eastAsia="zh-CN"/>
        </w:rPr>
        <w:t>。</w:t>
      </w:r>
      <w:r>
        <w:rPr>
          <w:rFonts w:hint="eastAsia" w:ascii="黑体" w:hAnsi="宋体" w:eastAsia="黑体"/>
          <w:bCs/>
          <w:color w:val="FF0000"/>
          <w:kern w:val="0"/>
          <w:szCs w:val="21"/>
          <w:lang w:eastAsia="zh-CN"/>
        </w:rPr>
        <w:t>对于分包方式面向中小企业采购的项目，“企业名称”应填写分包部分采购标的对应的服务承接商；对于以联合体方式面向中小企业采购的项目，“企业名称”应填写联合体中中小企业承担采购标的对应的服务承接商；</w:t>
      </w:r>
    </w:p>
    <w:p w14:paraId="25ED5D8F">
      <w:pPr>
        <w:numPr>
          <w:ilvl w:val="0"/>
          <w:numId w:val="0"/>
        </w:numPr>
        <w:ind w:firstLine="420" w:firstLineChars="200"/>
        <w:outlineLvl w:val="9"/>
        <w:rPr>
          <w:rFonts w:hint="eastAsia" w:ascii="黑体" w:hAnsi="宋体" w:eastAsia="黑体"/>
          <w:bCs/>
          <w:color w:val="FF0000"/>
          <w:kern w:val="0"/>
          <w:szCs w:val="21"/>
        </w:rPr>
      </w:pPr>
      <w:r>
        <w:rPr>
          <w:rFonts w:hint="eastAsia" w:ascii="黑体" w:hAnsi="宋体" w:eastAsia="黑体" w:cs="Times New Roman"/>
          <w:bCs/>
          <w:color w:val="FF0000"/>
          <w:kern w:val="0"/>
          <w:sz w:val="21"/>
          <w:szCs w:val="21"/>
          <w:lang w:val="en-US" w:eastAsia="zh-CN" w:bidi="ar-SA"/>
        </w:rPr>
        <w:t>第六、</w:t>
      </w:r>
      <w:r>
        <w:rPr>
          <w:rFonts w:hint="eastAsia" w:ascii="黑体" w:hAnsi="宋体" w:eastAsia="黑体"/>
          <w:bCs/>
          <w:color w:val="FF0000"/>
          <w:kern w:val="0"/>
          <w:szCs w:val="21"/>
          <w:lang w:val="en-US" w:eastAsia="zh-CN"/>
        </w:rPr>
        <w:t>七、八处，</w:t>
      </w:r>
      <w:r>
        <w:rPr>
          <w:rFonts w:hint="eastAsia" w:ascii="黑体" w:hAnsi="宋体" w:eastAsia="黑体"/>
          <w:bCs/>
          <w:color w:val="FF0000"/>
          <w:kern w:val="0"/>
          <w:szCs w:val="21"/>
        </w:rPr>
        <w:t>在“从业人员</w:t>
      </w:r>
      <w:r>
        <w:rPr>
          <w:rFonts w:hint="eastAsia" w:ascii="黑体" w:hAnsi="宋体" w:eastAsia="黑体"/>
          <w:bCs/>
          <w:color w:val="FF0000"/>
          <w:kern w:val="0"/>
          <w:szCs w:val="21"/>
          <w:lang w:eastAsia="zh-CN"/>
        </w:rPr>
        <w:t>”“</w:t>
      </w:r>
      <w:r>
        <w:rPr>
          <w:rFonts w:hint="eastAsia" w:ascii="黑体" w:hAnsi="宋体" w:eastAsia="黑体"/>
          <w:bCs/>
          <w:color w:val="FF0000"/>
          <w:kern w:val="0"/>
          <w:szCs w:val="21"/>
        </w:rPr>
        <w:t>营业收入</w:t>
      </w:r>
      <w:r>
        <w:rPr>
          <w:rFonts w:hint="eastAsia" w:ascii="黑体" w:hAnsi="宋体" w:eastAsia="黑体"/>
          <w:bCs/>
          <w:color w:val="FF0000"/>
          <w:kern w:val="0"/>
          <w:szCs w:val="21"/>
          <w:lang w:eastAsia="zh-CN"/>
        </w:rPr>
        <w:t>”“</w:t>
      </w:r>
      <w:r>
        <w:rPr>
          <w:rFonts w:hint="eastAsia" w:ascii="黑体" w:hAnsi="宋体" w:eastAsia="黑体"/>
          <w:bCs/>
          <w:color w:val="FF0000"/>
          <w:kern w:val="0"/>
          <w:szCs w:val="21"/>
        </w:rPr>
        <w:t>资产总额”下划线处如实填写从业人员、营业收入、资产总额</w:t>
      </w:r>
      <w:r>
        <w:rPr>
          <w:rFonts w:hint="eastAsia" w:ascii="黑体" w:hAnsi="宋体" w:eastAsia="黑体"/>
          <w:bCs/>
          <w:color w:val="FF0000"/>
          <w:kern w:val="0"/>
          <w:szCs w:val="21"/>
          <w:lang w:eastAsia="zh-CN"/>
        </w:rPr>
        <w:t>。从业人员、资产总额指标以上年度末数据为依据，营业收入指标以上年度累计数据为依据。无上年度数据的新成立企业可不填报。</w:t>
      </w:r>
    </w:p>
    <w:p w14:paraId="31B8D7F4">
      <w:pPr>
        <w:numPr>
          <w:ilvl w:val="0"/>
          <w:numId w:val="0"/>
        </w:numPr>
        <w:ind w:firstLine="420" w:firstLineChars="200"/>
        <w:outlineLvl w:val="9"/>
        <w:rPr>
          <w:rFonts w:hint="eastAsia" w:ascii="黑体" w:hAnsi="宋体" w:eastAsia="黑体"/>
          <w:bCs/>
          <w:color w:val="FF0000"/>
          <w:kern w:val="0"/>
          <w:szCs w:val="21"/>
        </w:rPr>
      </w:pPr>
      <w:r>
        <w:rPr>
          <w:rFonts w:hint="eastAsia" w:ascii="黑体" w:hAnsi="宋体" w:eastAsia="黑体"/>
          <w:bCs/>
          <w:color w:val="FF0000"/>
          <w:kern w:val="0"/>
          <w:szCs w:val="21"/>
          <w:lang w:val="en-US" w:eastAsia="zh-CN"/>
        </w:rPr>
        <w:t>第九处，</w:t>
      </w:r>
      <w:r>
        <w:rPr>
          <w:rFonts w:hint="eastAsia" w:ascii="黑体" w:hAnsi="宋体" w:eastAsia="黑体"/>
          <w:bCs/>
          <w:color w:val="FF0000"/>
          <w:kern w:val="0"/>
          <w:szCs w:val="21"/>
        </w:rPr>
        <w:t>在“中型企业、小型企业、微型企业”下划线处应依据企业上年度从业人员、营业收入、资产总额等指标</w:t>
      </w:r>
      <w:r>
        <w:rPr>
          <w:rFonts w:hint="eastAsia" w:ascii="黑体" w:hAnsi="宋体" w:eastAsia="黑体"/>
          <w:bCs/>
          <w:color w:val="FF0000"/>
          <w:kern w:val="0"/>
          <w:szCs w:val="21"/>
          <w:lang w:eastAsia="zh-CN"/>
        </w:rPr>
        <w:t>，</w:t>
      </w:r>
      <w:r>
        <w:rPr>
          <w:rFonts w:hint="eastAsia" w:ascii="黑体" w:hAnsi="宋体" w:eastAsia="黑体"/>
          <w:bCs/>
          <w:color w:val="FF0000"/>
          <w:kern w:val="0"/>
          <w:szCs w:val="21"/>
        </w:rPr>
        <w:t>按照《中小企业划型标准规定》（工信部联企业〔2011〕300号）、《金融业企业划型标准规定》（银发〔2015〕309号）</w:t>
      </w:r>
      <w:r>
        <w:rPr>
          <w:rFonts w:hint="eastAsia" w:ascii="黑体" w:hAnsi="宋体" w:eastAsia="黑体"/>
          <w:bCs/>
          <w:color w:val="FF0000"/>
          <w:kern w:val="0"/>
          <w:szCs w:val="21"/>
          <w:lang w:eastAsia="zh-CN"/>
        </w:rPr>
        <w:t>，</w:t>
      </w:r>
      <w:r>
        <w:rPr>
          <w:rFonts w:hint="eastAsia" w:ascii="黑体" w:hAnsi="宋体" w:eastAsia="黑体"/>
          <w:bCs/>
          <w:color w:val="FF0000"/>
          <w:kern w:val="0"/>
          <w:szCs w:val="21"/>
        </w:rPr>
        <w:t>判断《中小企业声明函》载明的</w:t>
      </w:r>
      <w:r>
        <w:rPr>
          <w:rFonts w:hint="eastAsia" w:ascii="黑体" w:hAnsi="宋体" w:eastAsia="黑体"/>
          <w:bCs/>
          <w:color w:val="FF0000"/>
          <w:kern w:val="0"/>
          <w:szCs w:val="21"/>
          <w:lang w:eastAsia="zh-CN"/>
        </w:rPr>
        <w:t>服务承接商</w:t>
      </w:r>
      <w:r>
        <w:rPr>
          <w:rFonts w:hint="eastAsia" w:ascii="黑体" w:hAnsi="宋体" w:eastAsia="黑体"/>
          <w:bCs/>
          <w:color w:val="FF0000"/>
          <w:kern w:val="0"/>
          <w:szCs w:val="21"/>
        </w:rPr>
        <w:t>是否属于采购文件所属行业的中型企业/小型企业/微型企业。</w:t>
      </w:r>
    </w:p>
    <w:p w14:paraId="174DA0FE">
      <w:pPr>
        <w:pStyle w:val="201"/>
        <w:ind w:firstLine="420" w:firstLineChars="200"/>
        <w:rPr>
          <w:rFonts w:hint="eastAsia" w:ascii="黑体" w:hAnsi="宋体" w:eastAsia="黑体"/>
          <w:bCs/>
          <w:color w:val="FF0000"/>
          <w:kern w:val="0"/>
          <w:szCs w:val="21"/>
          <w:lang w:eastAsia="zh-CN"/>
        </w:rPr>
      </w:pPr>
      <w:r>
        <w:rPr>
          <w:rFonts w:hint="eastAsia" w:ascii="黑体" w:hAnsi="宋体" w:eastAsia="黑体"/>
          <w:bCs/>
          <w:color w:val="FF0000"/>
          <w:kern w:val="0"/>
          <w:szCs w:val="21"/>
          <w:lang w:eastAsia="zh-CN"/>
        </w:rPr>
        <w:t>（</w:t>
      </w:r>
      <w:r>
        <w:rPr>
          <w:rFonts w:hint="eastAsia" w:ascii="黑体" w:hAnsi="宋体" w:eastAsia="黑体"/>
          <w:bCs/>
          <w:color w:val="FF0000"/>
          <w:kern w:val="0"/>
          <w:szCs w:val="21"/>
          <w:lang w:val="en-US" w:eastAsia="zh-CN"/>
        </w:rPr>
        <w:t>2</w:t>
      </w:r>
      <w:r>
        <w:rPr>
          <w:rFonts w:hint="eastAsia" w:ascii="黑体" w:hAnsi="宋体" w:eastAsia="黑体"/>
          <w:bCs/>
          <w:color w:val="FF0000"/>
          <w:kern w:val="0"/>
          <w:szCs w:val="21"/>
          <w:lang w:eastAsia="zh-CN"/>
        </w:rPr>
        <w:t>）对于已纳入统计部门统计范围的企业，所属行业、从业人员、营业收入、资产总额、规模类型应与统计部门报表保持一致。对于未纳入统计部门统计范围的企业，应对照《国民经济行业分类》确定所属行业，当企业从事两种以上的经济活动时，按照企业从事的主要活动确定所属行业；从业人员、营业收入、资产总额应按照上年度末实际情况填报，并应确保在争议纠纷处理时，可提供相关数据的来源依据。</w:t>
      </w:r>
    </w:p>
    <w:p w14:paraId="36C9E9A4">
      <w:pPr>
        <w:ind w:firstLine="420" w:firstLineChars="200"/>
        <w:outlineLvl w:val="9"/>
        <w:rPr>
          <w:rFonts w:hint="eastAsia" w:ascii="黑体" w:hAnsi="宋体" w:eastAsia="黑体"/>
          <w:bCs/>
          <w:color w:val="FF0000"/>
          <w:kern w:val="0"/>
          <w:szCs w:val="21"/>
          <w:lang w:eastAsia="zh-CN"/>
        </w:rPr>
      </w:pPr>
      <w:r>
        <w:rPr>
          <w:rFonts w:hint="eastAsia" w:ascii="黑体" w:hAnsi="宋体" w:eastAsia="黑体"/>
          <w:bCs/>
          <w:color w:val="FF0000"/>
          <w:kern w:val="0"/>
          <w:szCs w:val="21"/>
          <w:lang w:eastAsia="zh-CN"/>
        </w:rPr>
        <w:t>（</w:t>
      </w:r>
      <w:r>
        <w:rPr>
          <w:rFonts w:hint="eastAsia" w:ascii="黑体" w:hAnsi="宋体" w:eastAsia="黑体"/>
          <w:bCs/>
          <w:color w:val="FF0000"/>
          <w:kern w:val="0"/>
          <w:szCs w:val="21"/>
          <w:lang w:val="en-US" w:eastAsia="zh-CN"/>
        </w:rPr>
        <w:t>3</w:t>
      </w:r>
      <w:r>
        <w:rPr>
          <w:rFonts w:hint="eastAsia" w:ascii="黑体" w:hAnsi="宋体" w:eastAsia="黑体"/>
          <w:bCs/>
          <w:color w:val="FF0000"/>
          <w:kern w:val="0"/>
          <w:szCs w:val="21"/>
          <w:lang w:eastAsia="zh-CN"/>
        </w:rPr>
        <w:t>）</w:t>
      </w:r>
      <w:r>
        <w:rPr>
          <w:rFonts w:hint="eastAsia" w:ascii="黑体" w:hAnsi="宋体" w:eastAsia="黑体"/>
          <w:bCs/>
          <w:color w:val="FF0000"/>
          <w:kern w:val="0"/>
          <w:szCs w:val="21"/>
        </w:rPr>
        <w:t>事业单位、社会组织等非企业主体不享受中小企业扶持政策</w:t>
      </w:r>
      <w:r>
        <w:rPr>
          <w:rFonts w:hint="eastAsia" w:ascii="黑体" w:hAnsi="宋体" w:eastAsia="黑体"/>
          <w:bCs/>
          <w:color w:val="FF0000"/>
          <w:kern w:val="0"/>
          <w:szCs w:val="21"/>
          <w:lang w:eastAsia="zh-CN"/>
        </w:rPr>
        <w:t>。</w:t>
      </w:r>
    </w:p>
    <w:p w14:paraId="734250C1">
      <w:pPr>
        <w:ind w:firstLine="420" w:firstLineChars="200"/>
        <w:outlineLvl w:val="9"/>
        <w:rPr>
          <w:rFonts w:ascii="黑体" w:hAnsi="宋体" w:eastAsia="黑体"/>
          <w:bCs/>
          <w:color w:val="FF0000"/>
          <w:kern w:val="0"/>
          <w:szCs w:val="21"/>
        </w:rPr>
      </w:pPr>
      <w:r>
        <w:rPr>
          <w:rFonts w:hint="eastAsia" w:ascii="黑体" w:hAnsi="宋体" w:eastAsia="黑体"/>
          <w:bCs/>
          <w:color w:val="FF0000"/>
          <w:kern w:val="0"/>
          <w:szCs w:val="21"/>
        </w:rPr>
        <w:t>（</w:t>
      </w:r>
      <w:r>
        <w:rPr>
          <w:rFonts w:hint="eastAsia" w:ascii="黑体" w:hAnsi="宋体" w:eastAsia="黑体"/>
          <w:bCs/>
          <w:color w:val="FF0000"/>
          <w:kern w:val="0"/>
          <w:szCs w:val="21"/>
          <w:lang w:val="en-US" w:eastAsia="zh-CN"/>
        </w:rPr>
        <w:t>4</w:t>
      </w:r>
      <w:r>
        <w:rPr>
          <w:rFonts w:hint="eastAsia" w:ascii="黑体" w:hAnsi="宋体" w:eastAsia="黑体"/>
          <w:bCs/>
          <w:color w:val="FF0000"/>
          <w:kern w:val="0"/>
          <w:szCs w:val="21"/>
        </w:rPr>
        <w:t>）声明是残疾人福利性单位须填写《残疾人福利性单位声明函》的相关内容，具体参照以上《中小企业声明函》填写要求执行。</w:t>
      </w:r>
    </w:p>
    <w:p w14:paraId="508CB99A">
      <w:pPr>
        <w:ind w:firstLine="420" w:firstLineChars="200"/>
        <w:outlineLvl w:val="9"/>
        <w:rPr>
          <w:rFonts w:ascii="黑体" w:hAnsi="宋体" w:eastAsia="黑体"/>
          <w:bCs/>
          <w:color w:val="FF0000"/>
          <w:kern w:val="0"/>
          <w:szCs w:val="21"/>
        </w:rPr>
      </w:pPr>
      <w:r>
        <w:rPr>
          <w:rFonts w:hint="eastAsia" w:ascii="黑体" w:hAnsi="宋体" w:eastAsia="黑体"/>
          <w:bCs/>
          <w:color w:val="FF0000"/>
          <w:kern w:val="0"/>
          <w:szCs w:val="21"/>
        </w:rPr>
        <w:t>（</w:t>
      </w:r>
      <w:r>
        <w:rPr>
          <w:rFonts w:hint="eastAsia" w:ascii="黑体" w:hAnsi="宋体" w:eastAsia="黑体"/>
          <w:bCs/>
          <w:color w:val="FF0000"/>
          <w:kern w:val="0"/>
          <w:szCs w:val="21"/>
          <w:lang w:val="en-US" w:eastAsia="zh-CN"/>
        </w:rPr>
        <w:t>5</w:t>
      </w:r>
      <w:r>
        <w:rPr>
          <w:rFonts w:hint="eastAsia" w:ascii="黑体" w:hAnsi="宋体" w:eastAsia="黑体"/>
          <w:bCs/>
          <w:color w:val="FF0000"/>
          <w:kern w:val="0"/>
          <w:szCs w:val="21"/>
        </w:rPr>
        <w:t>）声明是监狱企业须填写《监狱企业声明函》的三项内容（填写位置的字体已加粗），具体参照以上《中小企业声明函》填写要求执行。</w:t>
      </w:r>
    </w:p>
    <w:p w14:paraId="5F0BB920">
      <w:pPr>
        <w:ind w:firstLine="420" w:firstLineChars="200"/>
        <w:outlineLvl w:val="9"/>
        <w:rPr>
          <w:rFonts w:hint="eastAsia" w:ascii="黑体" w:hAnsi="宋体" w:eastAsia="黑体"/>
          <w:bCs/>
          <w:color w:val="FF0000"/>
          <w:kern w:val="0"/>
          <w:szCs w:val="21"/>
          <w:lang w:val="en-US" w:eastAsia="zh-CN"/>
        </w:rPr>
      </w:pPr>
      <w:r>
        <w:rPr>
          <w:rFonts w:hint="eastAsia" w:ascii="黑体" w:hAnsi="宋体" w:eastAsia="黑体"/>
          <w:bCs/>
          <w:color w:val="FF0000"/>
          <w:kern w:val="0"/>
          <w:szCs w:val="21"/>
          <w:lang w:val="en-US" w:eastAsia="zh-CN"/>
        </w:rPr>
        <w:t>5.本项目属于服务类项目，如包含硬件设备、产品等货物采购的，不再对其中涉及的货物制造商作出要求。</w:t>
      </w:r>
    </w:p>
    <w:p w14:paraId="3E73B5C2">
      <w:pPr>
        <w:ind w:firstLine="420" w:firstLineChars="200"/>
        <w:outlineLvl w:val="9"/>
        <w:rPr>
          <w:rFonts w:hint="eastAsia" w:ascii="黑体" w:hAnsi="宋体" w:eastAsia="黑体"/>
          <w:bCs/>
          <w:color w:val="FF0000"/>
          <w:kern w:val="0"/>
          <w:szCs w:val="21"/>
          <w:lang w:val="en-US" w:eastAsia="zh-CN"/>
        </w:rPr>
      </w:pPr>
      <w:r>
        <w:rPr>
          <w:rFonts w:hint="eastAsia" w:ascii="黑体" w:hAnsi="宋体" w:eastAsia="黑体"/>
          <w:bCs/>
          <w:color w:val="FF0000"/>
          <w:kern w:val="0"/>
          <w:szCs w:val="21"/>
          <w:lang w:val="en-US" w:eastAsia="zh-CN"/>
        </w:rPr>
        <w:t>6.若本项目属于专门面向中小企业、残疾人福利性单位或监狱企业，则声明函有效性由采购人或代理机构判定，如判定声明函无效的，相关供应商将作资格审查不通过处理；若本项目非专门面向中小企业、残疾人福利性单位或监狱企业，声明函的有效性由评审委员会判定，如评审委员会判定声明函无效，相关供应商不享受价格扣除（但不作投标无效处理）。</w:t>
      </w:r>
    </w:p>
    <w:p w14:paraId="3983247A">
      <w:pPr>
        <w:ind w:firstLine="420" w:firstLineChars="200"/>
        <w:outlineLvl w:val="9"/>
        <w:rPr>
          <w:rFonts w:hint="eastAsia" w:ascii="黑体" w:hAnsi="宋体" w:eastAsia="黑体"/>
          <w:bCs/>
          <w:color w:val="FF0000"/>
          <w:kern w:val="0"/>
          <w:szCs w:val="21"/>
          <w:lang w:val="en-US" w:eastAsia="zh-CN"/>
        </w:rPr>
      </w:pPr>
      <w:r>
        <w:rPr>
          <w:rFonts w:hint="eastAsia" w:ascii="黑体" w:hAnsi="宋体" w:eastAsia="黑体"/>
          <w:bCs/>
          <w:color w:val="FF0000"/>
          <w:kern w:val="0"/>
          <w:szCs w:val="21"/>
          <w:lang w:val="en-US" w:eastAsia="zh-CN"/>
        </w:rPr>
        <w:t>7.采购人、代理机构、评审委员会在依法进行资格审查、评审过程中，发现《中小企业声明函》存在明显笔误或含义不明确的，应按规定要求供应商进行澄清、说明或补正。澄清修改后符合中小企业条件的供应商，可以享受中小企业扶持政策。</w:t>
      </w:r>
    </w:p>
    <w:p w14:paraId="3BE509E8">
      <w:pPr>
        <w:pStyle w:val="19"/>
        <w:rPr>
          <w:rFonts w:hint="default"/>
          <w:lang w:val="en-US" w:eastAsia="zh-CN"/>
        </w:rPr>
      </w:pPr>
    </w:p>
    <w:p w14:paraId="1436AEE2">
      <w:pPr>
        <w:numPr>
          <w:ilvl w:val="0"/>
          <w:numId w:val="8"/>
        </w:numPr>
        <w:jc w:val="center"/>
        <w:outlineLvl w:val="9"/>
        <w:rPr>
          <w:b/>
          <w:sz w:val="24"/>
        </w:rPr>
      </w:pPr>
      <w:r>
        <w:rPr>
          <w:b/>
          <w:sz w:val="24"/>
        </w:rPr>
        <w:t>中小企业声明函（</w:t>
      </w:r>
      <w:r>
        <w:rPr>
          <w:rFonts w:hint="eastAsia"/>
          <w:b/>
          <w:sz w:val="24"/>
        </w:rPr>
        <w:t>服务</w:t>
      </w:r>
      <w:r>
        <w:rPr>
          <w:b/>
          <w:sz w:val="24"/>
        </w:rPr>
        <w:t>）</w:t>
      </w:r>
    </w:p>
    <w:p w14:paraId="598E1F62">
      <w:pPr>
        <w:pStyle w:val="19"/>
        <w:numPr>
          <w:ilvl w:val="0"/>
          <w:numId w:val="0"/>
        </w:numPr>
      </w:pPr>
    </w:p>
    <w:p w14:paraId="3CF64BEA">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outlineLvl w:val="9"/>
        <w:rPr>
          <w:rFonts w:hint="eastAsia" w:asciiTheme="minorEastAsia" w:hAnsiTheme="minorEastAsia" w:eastAsiaTheme="minorEastAsia" w:cstheme="minorEastAsia"/>
          <w:kern w:val="2"/>
          <w:sz w:val="21"/>
          <w:szCs w:val="21"/>
          <w:lang w:val="en-US" w:eastAsia="zh-CN" w:bidi="ar-SA"/>
        </w:rPr>
      </w:pPr>
      <w:r>
        <w:rPr>
          <w:rFonts w:hint="eastAsia" w:asciiTheme="minorEastAsia" w:hAnsiTheme="minorEastAsia" w:eastAsiaTheme="minorEastAsia" w:cstheme="minorEastAsia"/>
          <w:kern w:val="2"/>
          <w:sz w:val="21"/>
          <w:szCs w:val="21"/>
          <w:lang w:val="en-US" w:eastAsia="zh-CN" w:bidi="ar-SA"/>
        </w:rPr>
        <w:t>本公司（联合体）郑重声明，根据《政府采购促进中小企业发展管理办法》（财库﹝2020﹞46号）的规定，本公司（联合体）参加</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b/>
          <w:bCs/>
          <w:i/>
          <w:iCs/>
          <w:sz w:val="21"/>
          <w:szCs w:val="21"/>
          <w:u w:val="single"/>
        </w:rPr>
        <w:t>（单位名称）</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sz w:val="21"/>
          <w:szCs w:val="21"/>
        </w:rPr>
        <w:t>的</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b/>
          <w:bCs/>
          <w:i/>
          <w:iCs/>
          <w:sz w:val="21"/>
          <w:szCs w:val="21"/>
          <w:u w:val="single"/>
        </w:rPr>
        <w:t>（项目名称）</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kern w:val="2"/>
          <w:sz w:val="21"/>
          <w:szCs w:val="21"/>
          <w:lang w:val="en-US" w:eastAsia="zh-CN" w:bidi="ar-SA"/>
        </w:rPr>
        <w:t>采购活动，服务全部由符合政策要求的中小企业承接。相关企业（含联合体中的中小企业、签订分包意向协议的中小企业）的具体情况如下：</w:t>
      </w:r>
    </w:p>
    <w:p w14:paraId="0E5E25D4">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outlineLvl w:val="9"/>
        <w:rPr>
          <w:rFonts w:hint="eastAsia" w:asciiTheme="minorEastAsia" w:hAnsiTheme="minorEastAsia" w:eastAsiaTheme="minorEastAsia" w:cstheme="minorEastAsia"/>
          <w:kern w:val="2"/>
          <w:sz w:val="21"/>
          <w:szCs w:val="21"/>
          <w:lang w:val="en-US" w:eastAsia="zh-CN" w:bidi="ar-SA"/>
        </w:rPr>
      </w:pPr>
      <w:r>
        <w:rPr>
          <w:rFonts w:hint="eastAsia" w:asciiTheme="minorEastAsia" w:hAnsiTheme="minorEastAsia" w:eastAsiaTheme="minorEastAsia" w:cstheme="minorEastAsia"/>
          <w:kern w:val="2"/>
          <w:sz w:val="21"/>
          <w:szCs w:val="21"/>
          <w:lang w:val="en-US" w:eastAsia="zh-CN" w:bidi="ar-SA"/>
        </w:rPr>
        <w:t>1.</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b/>
          <w:bCs/>
          <w:i/>
          <w:iCs/>
          <w:sz w:val="21"/>
          <w:szCs w:val="21"/>
          <w:u w:val="single"/>
        </w:rPr>
        <w:t>（标的名称）</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b/>
          <w:bCs/>
          <w:i/>
          <w:iCs/>
          <w:sz w:val="21"/>
          <w:szCs w:val="21"/>
          <w:u w:val="single"/>
        </w:rPr>
        <w:t xml:space="preserve"> </w:t>
      </w:r>
      <w:r>
        <w:rPr>
          <w:rFonts w:hint="eastAsia" w:asciiTheme="minorEastAsia" w:hAnsiTheme="minorEastAsia" w:eastAsiaTheme="minorEastAsia" w:cstheme="minorEastAsia"/>
          <w:sz w:val="21"/>
          <w:szCs w:val="21"/>
        </w:rPr>
        <w:t>，属于</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b/>
          <w:bCs/>
          <w:i/>
          <w:iCs/>
          <w:sz w:val="21"/>
          <w:szCs w:val="21"/>
          <w:u w:val="single"/>
        </w:rPr>
        <w:t>（采购文件中明确的所属行业）</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sz w:val="21"/>
          <w:szCs w:val="21"/>
        </w:rPr>
        <w:t>行业</w:t>
      </w:r>
      <w:r>
        <w:rPr>
          <w:rFonts w:hint="eastAsia" w:asciiTheme="minorEastAsia" w:hAnsiTheme="minorEastAsia" w:eastAsiaTheme="minorEastAsia" w:cstheme="minorEastAsia"/>
          <w:kern w:val="2"/>
          <w:sz w:val="21"/>
          <w:szCs w:val="21"/>
          <w:lang w:val="en-US" w:eastAsia="zh-CN" w:bidi="ar-SA"/>
        </w:rPr>
        <w:t>；承接企业为</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b/>
          <w:bCs/>
          <w:i/>
          <w:iCs/>
          <w:sz w:val="21"/>
          <w:szCs w:val="21"/>
          <w:u w:val="single"/>
        </w:rPr>
        <w:t>（企业名称</w:t>
      </w:r>
      <w:r>
        <w:rPr>
          <w:rFonts w:hint="eastAsia" w:asciiTheme="minorEastAsia" w:hAnsiTheme="minorEastAsia" w:eastAsiaTheme="minorEastAsia" w:cstheme="minorEastAsia"/>
          <w:b/>
          <w:bCs/>
          <w:i/>
          <w:iCs/>
          <w:sz w:val="21"/>
          <w:szCs w:val="21"/>
          <w:u w:val="single"/>
          <w:lang w:eastAsia="zh-CN"/>
        </w:rPr>
        <w:t>，要求</w:t>
      </w:r>
      <w:r>
        <w:rPr>
          <w:rFonts w:hint="eastAsia" w:asciiTheme="minorEastAsia" w:hAnsiTheme="minorEastAsia" w:eastAsiaTheme="minorEastAsia" w:cstheme="minorEastAsia"/>
          <w:b/>
          <w:bCs/>
          <w:i/>
          <w:iCs/>
          <w:sz w:val="21"/>
          <w:szCs w:val="21"/>
          <w:u w:val="single"/>
          <w:lang w:val="en-US" w:eastAsia="zh-CN"/>
        </w:rPr>
        <w:t>承接企业本身</w:t>
      </w:r>
      <w:r>
        <w:rPr>
          <w:rFonts w:hint="eastAsia" w:asciiTheme="minorEastAsia" w:hAnsiTheme="minorEastAsia" w:eastAsiaTheme="minorEastAsia" w:cstheme="minorEastAsia"/>
          <w:b/>
          <w:bCs/>
          <w:i/>
          <w:iCs/>
          <w:sz w:val="21"/>
          <w:szCs w:val="21"/>
          <w:u w:val="single"/>
          <w:lang w:eastAsia="zh-CN"/>
        </w:rPr>
        <w:t>所属行业应当与招标文件要求的行业相一致</w:t>
      </w:r>
      <w:r>
        <w:rPr>
          <w:rFonts w:hint="eastAsia" w:asciiTheme="minorEastAsia" w:hAnsiTheme="minorEastAsia" w:eastAsiaTheme="minorEastAsia" w:cstheme="minorEastAsia"/>
          <w:b/>
          <w:bCs/>
          <w:i/>
          <w:iCs/>
          <w:sz w:val="21"/>
          <w:szCs w:val="21"/>
          <w:u w:val="single"/>
        </w:rPr>
        <w:t>）</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kern w:val="2"/>
          <w:sz w:val="21"/>
          <w:szCs w:val="21"/>
          <w:lang w:val="en-US" w:eastAsia="zh-CN" w:bidi="ar-SA"/>
        </w:rPr>
        <w:t>，从业人员</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kern w:val="2"/>
          <w:sz w:val="21"/>
          <w:szCs w:val="21"/>
          <w:lang w:val="en-US" w:eastAsia="zh-CN" w:bidi="ar-SA"/>
        </w:rPr>
        <w:t>人，营业收入为</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kern w:val="2"/>
          <w:sz w:val="21"/>
          <w:szCs w:val="21"/>
          <w:lang w:val="en-US" w:eastAsia="zh-CN" w:bidi="ar-SA"/>
        </w:rPr>
        <w:t>万元，资产总额为</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kern w:val="2"/>
          <w:sz w:val="21"/>
          <w:szCs w:val="21"/>
          <w:lang w:val="en-US" w:eastAsia="zh-CN" w:bidi="ar-SA"/>
        </w:rPr>
        <w:t>万元，属于</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b/>
          <w:bCs/>
          <w:i/>
          <w:iCs/>
          <w:sz w:val="21"/>
          <w:szCs w:val="21"/>
          <w:u w:val="single"/>
        </w:rPr>
        <w:t>（中型企业、小型企业、微型企业）</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kern w:val="2"/>
          <w:sz w:val="21"/>
          <w:szCs w:val="21"/>
          <w:lang w:val="en-US" w:eastAsia="zh-CN" w:bidi="ar-SA"/>
        </w:rPr>
        <w:t>；</w:t>
      </w:r>
    </w:p>
    <w:p w14:paraId="6DA94BD4">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outlineLvl w:val="9"/>
        <w:rPr>
          <w:rFonts w:hint="eastAsia" w:asciiTheme="minorEastAsia" w:hAnsiTheme="minorEastAsia" w:eastAsiaTheme="minorEastAsia" w:cstheme="minorEastAsia"/>
          <w:kern w:val="2"/>
          <w:sz w:val="21"/>
          <w:szCs w:val="21"/>
          <w:lang w:val="en-US" w:eastAsia="zh-CN" w:bidi="ar-SA"/>
        </w:rPr>
      </w:pPr>
      <w:r>
        <w:rPr>
          <w:rFonts w:hint="eastAsia" w:asciiTheme="minorEastAsia" w:hAnsiTheme="minorEastAsia" w:eastAsiaTheme="minorEastAsia" w:cstheme="minorEastAsia"/>
          <w:kern w:val="2"/>
          <w:sz w:val="21"/>
          <w:szCs w:val="21"/>
          <w:lang w:val="en-US" w:eastAsia="zh-CN" w:bidi="ar-SA"/>
        </w:rPr>
        <w:t>2.</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b/>
          <w:bCs/>
          <w:i/>
          <w:iCs/>
          <w:sz w:val="21"/>
          <w:szCs w:val="21"/>
          <w:u w:val="single"/>
        </w:rPr>
        <w:t>（标的名称）</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b/>
          <w:bCs/>
          <w:i/>
          <w:iCs/>
          <w:sz w:val="21"/>
          <w:szCs w:val="21"/>
          <w:u w:val="single"/>
        </w:rPr>
        <w:t xml:space="preserve"> </w:t>
      </w:r>
      <w:r>
        <w:rPr>
          <w:rFonts w:hint="eastAsia" w:asciiTheme="minorEastAsia" w:hAnsiTheme="minorEastAsia" w:eastAsiaTheme="minorEastAsia" w:cstheme="minorEastAsia"/>
          <w:sz w:val="21"/>
          <w:szCs w:val="21"/>
        </w:rPr>
        <w:t>，属于</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b/>
          <w:bCs/>
          <w:i/>
          <w:iCs/>
          <w:sz w:val="21"/>
          <w:szCs w:val="21"/>
          <w:u w:val="single"/>
        </w:rPr>
        <w:t>（采购文件中明确的所属行业）</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sz w:val="21"/>
          <w:szCs w:val="21"/>
        </w:rPr>
        <w:t>行业</w:t>
      </w:r>
      <w:r>
        <w:rPr>
          <w:rFonts w:hint="eastAsia" w:asciiTheme="minorEastAsia" w:hAnsiTheme="minorEastAsia" w:eastAsiaTheme="minorEastAsia" w:cstheme="minorEastAsia"/>
          <w:kern w:val="2"/>
          <w:sz w:val="21"/>
          <w:szCs w:val="21"/>
          <w:lang w:val="en-US" w:eastAsia="zh-CN" w:bidi="ar-SA"/>
        </w:rPr>
        <w:t>；承接企业为</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b/>
          <w:bCs/>
          <w:i/>
          <w:iCs/>
          <w:sz w:val="21"/>
          <w:szCs w:val="21"/>
          <w:u w:val="single"/>
        </w:rPr>
        <w:t>（企业名称</w:t>
      </w:r>
      <w:r>
        <w:rPr>
          <w:rFonts w:hint="eastAsia" w:asciiTheme="minorEastAsia" w:hAnsiTheme="minorEastAsia" w:eastAsiaTheme="minorEastAsia" w:cstheme="minorEastAsia"/>
          <w:b/>
          <w:bCs/>
          <w:i/>
          <w:iCs/>
          <w:sz w:val="21"/>
          <w:szCs w:val="21"/>
          <w:u w:val="single"/>
          <w:lang w:eastAsia="zh-CN"/>
        </w:rPr>
        <w:t>，要求</w:t>
      </w:r>
      <w:r>
        <w:rPr>
          <w:rFonts w:hint="eastAsia" w:asciiTheme="minorEastAsia" w:hAnsiTheme="minorEastAsia" w:eastAsiaTheme="minorEastAsia" w:cstheme="minorEastAsia"/>
          <w:b/>
          <w:bCs/>
          <w:i/>
          <w:iCs/>
          <w:sz w:val="21"/>
          <w:szCs w:val="21"/>
          <w:u w:val="single"/>
          <w:lang w:val="en-US" w:eastAsia="zh-CN"/>
        </w:rPr>
        <w:t>承接企业本身</w:t>
      </w:r>
      <w:r>
        <w:rPr>
          <w:rFonts w:hint="eastAsia" w:asciiTheme="minorEastAsia" w:hAnsiTheme="minorEastAsia" w:eastAsiaTheme="minorEastAsia" w:cstheme="minorEastAsia"/>
          <w:b/>
          <w:bCs/>
          <w:i/>
          <w:iCs/>
          <w:sz w:val="21"/>
          <w:szCs w:val="21"/>
          <w:u w:val="single"/>
          <w:lang w:eastAsia="zh-CN"/>
        </w:rPr>
        <w:t>所属行业应当与招标文件要求的行业相一致</w:t>
      </w:r>
      <w:r>
        <w:rPr>
          <w:rFonts w:hint="eastAsia" w:asciiTheme="minorEastAsia" w:hAnsiTheme="minorEastAsia" w:eastAsiaTheme="minorEastAsia" w:cstheme="minorEastAsia"/>
          <w:b/>
          <w:bCs/>
          <w:i/>
          <w:iCs/>
          <w:sz w:val="21"/>
          <w:szCs w:val="21"/>
          <w:u w:val="single"/>
        </w:rPr>
        <w:t>）</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kern w:val="2"/>
          <w:sz w:val="21"/>
          <w:szCs w:val="21"/>
          <w:lang w:val="en-US" w:eastAsia="zh-CN" w:bidi="ar-SA"/>
        </w:rPr>
        <w:t>，从业人员</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kern w:val="2"/>
          <w:sz w:val="21"/>
          <w:szCs w:val="21"/>
          <w:lang w:val="en-US" w:eastAsia="zh-CN" w:bidi="ar-SA"/>
        </w:rPr>
        <w:t>人，营业收入为</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kern w:val="2"/>
          <w:sz w:val="21"/>
          <w:szCs w:val="21"/>
          <w:lang w:val="en-US" w:eastAsia="zh-CN" w:bidi="ar-SA"/>
        </w:rPr>
        <w:t>万元，资产总额为</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kern w:val="2"/>
          <w:sz w:val="21"/>
          <w:szCs w:val="21"/>
          <w:lang w:val="en-US" w:eastAsia="zh-CN" w:bidi="ar-SA"/>
        </w:rPr>
        <w:t>万元，属于</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b/>
          <w:bCs/>
          <w:i/>
          <w:iCs/>
          <w:sz w:val="21"/>
          <w:szCs w:val="21"/>
          <w:u w:val="single"/>
        </w:rPr>
        <w:t>（中型企业、小型企业、微型企业）</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kern w:val="2"/>
          <w:sz w:val="21"/>
          <w:szCs w:val="21"/>
          <w:lang w:val="en-US" w:eastAsia="zh-CN" w:bidi="ar-SA"/>
        </w:rPr>
        <w:t>；</w:t>
      </w:r>
    </w:p>
    <w:p w14:paraId="5DE4CD45">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outlineLvl w:val="9"/>
        <w:rPr>
          <w:rFonts w:hint="eastAsia" w:asciiTheme="minorEastAsia" w:hAnsiTheme="minorEastAsia" w:eastAsiaTheme="minorEastAsia" w:cstheme="minorEastAsia"/>
          <w:kern w:val="2"/>
          <w:sz w:val="21"/>
          <w:szCs w:val="21"/>
          <w:lang w:val="en-US" w:eastAsia="zh-CN" w:bidi="ar-SA"/>
        </w:rPr>
      </w:pPr>
      <w:r>
        <w:rPr>
          <w:rFonts w:hint="eastAsia" w:asciiTheme="minorEastAsia" w:hAnsiTheme="minorEastAsia" w:eastAsiaTheme="minorEastAsia" w:cstheme="minorEastAsia"/>
          <w:kern w:val="2"/>
          <w:sz w:val="21"/>
          <w:szCs w:val="21"/>
          <w:lang w:val="en-US" w:eastAsia="zh-CN" w:bidi="ar-SA"/>
        </w:rPr>
        <w:t>……</w:t>
      </w:r>
    </w:p>
    <w:p w14:paraId="6DE8A8B1">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outlineLvl w:val="9"/>
        <w:rPr>
          <w:rFonts w:hint="eastAsia" w:asciiTheme="minorEastAsia" w:hAnsiTheme="minorEastAsia" w:eastAsiaTheme="minorEastAsia" w:cstheme="minorEastAsia"/>
          <w:kern w:val="2"/>
          <w:sz w:val="21"/>
          <w:szCs w:val="21"/>
          <w:lang w:val="en-US" w:eastAsia="zh-CN" w:bidi="ar-SA"/>
        </w:rPr>
      </w:pPr>
      <w:r>
        <w:rPr>
          <w:rFonts w:hint="eastAsia" w:asciiTheme="minorEastAsia" w:hAnsiTheme="minorEastAsia" w:eastAsiaTheme="minorEastAsia" w:cstheme="minorEastAsia"/>
          <w:kern w:val="2"/>
          <w:sz w:val="21"/>
          <w:szCs w:val="21"/>
          <w:lang w:val="en-US" w:eastAsia="zh-CN" w:bidi="ar-SA"/>
        </w:rPr>
        <w:t>以上企业，不属于大企业的分支机构，不存在控股股东为大企业的情形，也不存在与大企业的负责人为同一人的情形。</w:t>
      </w:r>
    </w:p>
    <w:p w14:paraId="3D515B50">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outlineLvl w:val="9"/>
        <w:rPr>
          <w:rFonts w:hint="eastAsia" w:asciiTheme="minorEastAsia" w:hAnsiTheme="minorEastAsia" w:eastAsiaTheme="minorEastAsia" w:cstheme="minorEastAsia"/>
          <w:kern w:val="2"/>
          <w:sz w:val="21"/>
          <w:szCs w:val="21"/>
          <w:lang w:val="en-US" w:eastAsia="zh-CN" w:bidi="ar-SA"/>
        </w:rPr>
      </w:pPr>
      <w:r>
        <w:rPr>
          <w:rFonts w:hint="eastAsia" w:asciiTheme="minorEastAsia" w:hAnsiTheme="minorEastAsia" w:eastAsiaTheme="minorEastAsia" w:cstheme="minorEastAsia"/>
          <w:kern w:val="2"/>
          <w:sz w:val="21"/>
          <w:szCs w:val="21"/>
          <w:lang w:val="en-US" w:eastAsia="zh-CN" w:bidi="ar-SA"/>
        </w:rPr>
        <w:t>本企业对上述声明内容的真实性负责。如有虚假，将依法承担相应责任。</w:t>
      </w:r>
    </w:p>
    <w:p w14:paraId="72937609">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outlineLvl w:val="9"/>
        <w:rPr>
          <w:rFonts w:hint="eastAsia" w:asciiTheme="minorEastAsia" w:hAnsiTheme="minorEastAsia" w:eastAsiaTheme="minorEastAsia" w:cstheme="minorEastAsia"/>
          <w:kern w:val="2"/>
          <w:sz w:val="21"/>
          <w:szCs w:val="21"/>
          <w:lang w:val="en-US" w:eastAsia="zh-CN" w:bidi="ar-SA"/>
        </w:rPr>
      </w:pPr>
      <w:bookmarkStart w:id="38" w:name="_Hlk73562275"/>
      <w:r>
        <w:rPr>
          <w:rFonts w:hint="eastAsia" w:asciiTheme="minorEastAsia" w:hAnsiTheme="minorEastAsia" w:eastAsiaTheme="minorEastAsia" w:cstheme="minorEastAsia"/>
          <w:kern w:val="2"/>
          <w:sz w:val="21"/>
          <w:szCs w:val="21"/>
          <w:lang w:val="en-US" w:eastAsia="zh-CN" w:bidi="ar-SA"/>
        </w:rPr>
        <w:t>本投标人已知悉《政府采购促进中小企业发展管理办法》（财库〔2020〕 46 号）、《中小企业划型标准规定》（工信部联企〔2011〕 300 号）、《统计上大中小微型企业划分办法（2017）》等规定，承诺提供的声明函内容是真实的，并知悉根据《政府采购促进中小企业发展管理办法》（财库〔2020〕46 号）第二十条规定，投标人按照本办法规定提供声明函内容不实的，属于提供虚假材料谋取中标，依照《政府采购法》等政府采购有关法律法规规定追究相应责任。</w:t>
      </w:r>
      <w:bookmarkEnd w:id="38"/>
    </w:p>
    <w:p w14:paraId="545742CC">
      <w:pPr>
        <w:ind w:firstLine="420" w:firstLineChars="200"/>
      </w:pPr>
    </w:p>
    <w:p w14:paraId="12FADE02">
      <w:pPr>
        <w:jc w:val="center"/>
        <w:outlineLvl w:val="9"/>
        <w:rPr>
          <w:b/>
          <w:sz w:val="24"/>
        </w:rPr>
      </w:pPr>
      <w:r>
        <w:rPr>
          <w:rFonts w:hint="eastAsia"/>
          <w:b/>
          <w:sz w:val="24"/>
          <w:lang w:eastAsia="zh-CN"/>
        </w:rPr>
        <w:t>2.</w:t>
      </w:r>
      <w:r>
        <w:rPr>
          <w:rFonts w:hint="eastAsia"/>
          <w:b/>
          <w:sz w:val="24"/>
        </w:rPr>
        <w:t>残疾人福利性单位声明函</w:t>
      </w:r>
      <w:r>
        <w:rPr>
          <w:rFonts w:hint="eastAsia"/>
          <w:b/>
          <w:sz w:val="24"/>
          <w:lang w:eastAsia="zh-CN"/>
        </w:rPr>
        <w:t>（</w:t>
      </w:r>
      <w:r>
        <w:rPr>
          <w:rFonts w:hint="eastAsia"/>
          <w:b/>
          <w:sz w:val="24"/>
          <w:lang w:val="en-US" w:eastAsia="zh-CN"/>
        </w:rPr>
        <w:t>服务</w:t>
      </w:r>
      <w:r>
        <w:rPr>
          <w:rFonts w:hint="eastAsia"/>
          <w:b/>
          <w:sz w:val="24"/>
        </w:rPr>
        <w:t>类）</w:t>
      </w:r>
    </w:p>
    <w:p w14:paraId="01A82D56">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heme="minorEastAsia" w:hAnsiTheme="minorEastAsia" w:eastAsiaTheme="minorEastAsia" w:cstheme="minorEastAsia"/>
          <w:kern w:val="2"/>
          <w:sz w:val="21"/>
          <w:szCs w:val="21"/>
          <w:lang w:val="en-US" w:eastAsia="zh-CN" w:bidi="ar-SA"/>
        </w:rPr>
      </w:pPr>
      <w:r>
        <w:rPr>
          <w:rFonts w:hint="eastAsia" w:asciiTheme="minorEastAsia" w:hAnsiTheme="minorEastAsia" w:eastAsiaTheme="minorEastAsia" w:cstheme="minorEastAsia"/>
          <w:kern w:val="2"/>
          <w:sz w:val="21"/>
          <w:szCs w:val="21"/>
          <w:lang w:val="en-US" w:eastAsia="zh-CN" w:bidi="ar-SA"/>
        </w:rPr>
        <w:t>本单位郑重声明，根据《财政部 民政部 中国残疾人联合会关于促进残疾人就业政府采购政策的通知》（财库〔2017〕141号）的规定，本单位为符合条件的残疾人福利性单位，且本单位参加</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b/>
          <w:bCs/>
          <w:i/>
          <w:iCs/>
          <w:sz w:val="21"/>
          <w:szCs w:val="21"/>
          <w:u w:val="single"/>
        </w:rPr>
        <w:t>（单位名称）</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kern w:val="2"/>
          <w:sz w:val="21"/>
          <w:szCs w:val="21"/>
          <w:lang w:val="en-US" w:eastAsia="zh-CN" w:bidi="ar-SA"/>
        </w:rPr>
        <w:t>单位的</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b/>
          <w:bCs/>
          <w:i/>
          <w:iCs/>
          <w:sz w:val="21"/>
          <w:szCs w:val="21"/>
          <w:u w:val="single"/>
        </w:rPr>
        <w:t>（项目名称）</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kern w:val="2"/>
          <w:sz w:val="21"/>
          <w:szCs w:val="21"/>
          <w:lang w:val="en-US" w:eastAsia="zh-CN" w:bidi="ar-SA"/>
        </w:rPr>
        <w:t>项目采购活动由本单位提供服务。</w:t>
      </w:r>
    </w:p>
    <w:p w14:paraId="7CB28AC7">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heme="minorEastAsia" w:hAnsiTheme="minorEastAsia" w:eastAsiaTheme="minorEastAsia" w:cstheme="minorEastAsia"/>
          <w:kern w:val="2"/>
          <w:sz w:val="21"/>
          <w:szCs w:val="21"/>
          <w:lang w:val="en-US" w:eastAsia="zh-CN" w:bidi="ar-SA"/>
        </w:rPr>
      </w:pPr>
      <w:r>
        <w:rPr>
          <w:rFonts w:hint="eastAsia" w:asciiTheme="minorEastAsia" w:hAnsiTheme="minorEastAsia" w:eastAsiaTheme="minorEastAsia" w:cstheme="minorEastAsia"/>
          <w:kern w:val="2"/>
          <w:sz w:val="21"/>
          <w:szCs w:val="21"/>
          <w:lang w:val="en-US" w:eastAsia="zh-CN" w:bidi="ar-SA"/>
        </w:rPr>
        <w:t>本单位对上述声明的真实性负责。如有虚假，将依法承担相应责任。</w:t>
      </w:r>
    </w:p>
    <w:p w14:paraId="5A63133A">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heme="minorEastAsia" w:hAnsiTheme="minorEastAsia" w:eastAsiaTheme="minorEastAsia" w:cstheme="minorEastAsia"/>
          <w:kern w:val="2"/>
          <w:sz w:val="21"/>
          <w:szCs w:val="21"/>
          <w:lang w:val="en-US" w:eastAsia="zh-CN" w:bidi="ar-SA"/>
        </w:rPr>
      </w:pPr>
      <w:r>
        <w:rPr>
          <w:rFonts w:hint="eastAsia" w:asciiTheme="minorEastAsia" w:hAnsiTheme="minorEastAsia" w:eastAsiaTheme="minorEastAsia" w:cstheme="minorEastAsia"/>
          <w:kern w:val="2"/>
          <w:sz w:val="21"/>
          <w:szCs w:val="21"/>
          <w:lang w:val="en-US" w:eastAsia="zh-CN" w:bidi="ar-SA"/>
        </w:rPr>
        <w:t>本投标人已知悉《财政部民政部中国残疾人联合会关于促进残疾人就业政府采购政策的通知》（财库〔2017〕141号）的规定，承诺提供的声明函内容是真实的，如提供声明函内容不实，则依法追究相关法律责任。</w:t>
      </w:r>
    </w:p>
    <w:p w14:paraId="79C93FD9">
      <w:pPr>
        <w:ind w:firstLine="420" w:firstLineChars="200"/>
        <w:rPr>
          <w:rFonts w:ascii="宋体" w:hAnsi="宋体"/>
          <w:szCs w:val="21"/>
        </w:rPr>
      </w:pPr>
    </w:p>
    <w:p w14:paraId="1F83B353">
      <w:pPr>
        <w:ind w:firstLine="420" w:firstLineChars="200"/>
        <w:rPr>
          <w:rFonts w:ascii="宋体" w:hAnsi="宋体"/>
          <w:szCs w:val="21"/>
        </w:rPr>
      </w:pPr>
    </w:p>
    <w:p w14:paraId="6974665E">
      <w:pPr>
        <w:ind w:firstLine="420" w:firstLineChars="200"/>
        <w:rPr>
          <w:rFonts w:ascii="宋体" w:hAnsi="宋体"/>
          <w:szCs w:val="21"/>
        </w:rPr>
      </w:pPr>
    </w:p>
    <w:p w14:paraId="6DF5C3BC">
      <w:pPr>
        <w:jc w:val="center"/>
        <w:outlineLvl w:val="9"/>
        <w:rPr>
          <w:b/>
          <w:sz w:val="24"/>
        </w:rPr>
      </w:pPr>
      <w:r>
        <w:rPr>
          <w:rFonts w:hint="eastAsia"/>
          <w:b/>
          <w:sz w:val="24"/>
          <w:lang w:eastAsia="zh-CN"/>
        </w:rPr>
        <w:t>3.</w:t>
      </w:r>
      <w:r>
        <w:rPr>
          <w:rFonts w:hint="eastAsia"/>
          <w:b/>
          <w:sz w:val="24"/>
        </w:rPr>
        <w:t>监狱企业声明函【服务类，监狱企业如需享受优惠政策，还须另行提供省级以上监狱管理局、戒毒管理局（含新疆生产建设兵团）出具的监狱企业证明文件】</w:t>
      </w:r>
    </w:p>
    <w:p w14:paraId="1691E1C0">
      <w:pPr>
        <w:ind w:firstLine="420" w:firstLineChars="200"/>
        <w:rPr>
          <w:rFonts w:ascii="宋体" w:hAnsi="宋体"/>
          <w:szCs w:val="21"/>
        </w:rPr>
      </w:pPr>
      <w:r>
        <w:rPr>
          <w:rFonts w:hint="eastAsia" w:ascii="宋体" w:hAnsi="宋体"/>
          <w:szCs w:val="21"/>
        </w:rPr>
        <w:t>本投标人郑重声明，根据《财政部司法部关于政府采购支持监狱企业发展有关问题的通知》（财库〔</w:t>
      </w:r>
      <w:r>
        <w:rPr>
          <w:rFonts w:ascii="宋体" w:hAnsi="宋体"/>
          <w:szCs w:val="21"/>
        </w:rPr>
        <w:t>2014</w:t>
      </w:r>
      <w:r>
        <w:rPr>
          <w:rFonts w:hint="eastAsia" w:ascii="宋体" w:hAnsi="宋体"/>
          <w:szCs w:val="21"/>
        </w:rPr>
        <w:t>〕</w:t>
      </w:r>
      <w:r>
        <w:rPr>
          <w:rFonts w:ascii="宋体" w:hAnsi="宋体"/>
          <w:szCs w:val="21"/>
        </w:rPr>
        <w:t>68</w:t>
      </w:r>
      <w:r>
        <w:rPr>
          <w:rFonts w:hint="eastAsia" w:ascii="宋体" w:hAnsi="宋体"/>
          <w:szCs w:val="21"/>
        </w:rPr>
        <w:t>号）的规定，本投标人</w:t>
      </w:r>
      <w:r>
        <w:rPr>
          <w:rFonts w:ascii="宋体" w:hAnsi="宋体" w:cstheme="minorBidi"/>
          <w:szCs w:val="21"/>
        </w:rPr>
        <w:t>参加</w:t>
      </w:r>
      <w:r>
        <w:rPr>
          <w:rFonts w:ascii="宋体" w:hAnsi="宋体"/>
          <w:b/>
          <w:bCs/>
          <w:szCs w:val="21"/>
          <w:u w:val="single"/>
        </w:rPr>
        <w:t>（</w:t>
      </w:r>
      <w:r>
        <w:rPr>
          <w:rFonts w:hint="eastAsia" w:ascii="宋体" w:hAnsi="宋体"/>
          <w:b/>
          <w:bCs/>
          <w:szCs w:val="21"/>
          <w:u w:val="single"/>
        </w:rPr>
        <w:t>采购人</w:t>
      </w:r>
      <w:r>
        <w:rPr>
          <w:rFonts w:ascii="宋体" w:hAnsi="宋体"/>
          <w:b/>
          <w:bCs/>
          <w:szCs w:val="21"/>
          <w:u w:val="single"/>
        </w:rPr>
        <w:t>名称）</w:t>
      </w:r>
      <w:r>
        <w:rPr>
          <w:rFonts w:ascii="宋体" w:hAnsi="宋体"/>
          <w:szCs w:val="21"/>
        </w:rPr>
        <w:t>的</w:t>
      </w:r>
      <w:r>
        <w:rPr>
          <w:rFonts w:ascii="宋体" w:hAnsi="宋体"/>
          <w:b/>
          <w:bCs/>
          <w:szCs w:val="21"/>
          <w:u w:val="single"/>
        </w:rPr>
        <w:t>（项目名称）</w:t>
      </w:r>
      <w:r>
        <w:rPr>
          <w:rFonts w:ascii="宋体" w:hAnsi="宋体"/>
          <w:szCs w:val="21"/>
        </w:rPr>
        <w:t>采购活动，</w:t>
      </w:r>
      <w:r>
        <w:rPr>
          <w:rFonts w:hint="eastAsia" w:ascii="宋体" w:hAnsi="宋体"/>
          <w:szCs w:val="21"/>
        </w:rPr>
        <w:t>服务</w:t>
      </w:r>
      <w:r>
        <w:rPr>
          <w:rFonts w:ascii="宋体" w:hAnsi="宋体"/>
          <w:szCs w:val="21"/>
        </w:rPr>
        <w:t>全部由符合政策要求的</w:t>
      </w:r>
      <w:r>
        <w:rPr>
          <w:rFonts w:hint="eastAsia" w:ascii="宋体" w:hAnsi="宋体"/>
          <w:szCs w:val="21"/>
        </w:rPr>
        <w:t>监狱企业承接</w:t>
      </w:r>
      <w:r>
        <w:rPr>
          <w:rFonts w:ascii="宋体" w:hAnsi="宋体"/>
          <w:szCs w:val="21"/>
        </w:rPr>
        <w:t>。相关</w:t>
      </w:r>
      <w:r>
        <w:rPr>
          <w:rFonts w:hint="eastAsia" w:ascii="宋体" w:hAnsi="宋体"/>
          <w:szCs w:val="21"/>
        </w:rPr>
        <w:t>监狱企业</w:t>
      </w:r>
      <w:r>
        <w:rPr>
          <w:rFonts w:ascii="宋体" w:hAnsi="宋体"/>
          <w:szCs w:val="21"/>
        </w:rPr>
        <w:t>的具体情况如下：</w:t>
      </w:r>
    </w:p>
    <w:p w14:paraId="0E23FFB0">
      <w:pPr>
        <w:ind w:firstLine="420" w:firstLineChars="200"/>
        <w:rPr>
          <w:rFonts w:ascii="宋体" w:hAnsi="宋体"/>
          <w:szCs w:val="21"/>
        </w:rPr>
      </w:pPr>
      <w:r>
        <w:rPr>
          <w:rFonts w:ascii="宋体" w:hAnsi="宋体"/>
          <w:szCs w:val="21"/>
        </w:rPr>
        <w:t>1.</w:t>
      </w:r>
      <w:r>
        <w:rPr>
          <w:rFonts w:ascii="宋体" w:hAnsi="宋体"/>
          <w:b/>
          <w:bCs/>
          <w:szCs w:val="21"/>
          <w:u w:val="single"/>
        </w:rPr>
        <w:t xml:space="preserve"> </w:t>
      </w:r>
      <w:r>
        <w:rPr>
          <w:rFonts w:ascii="宋体" w:hAnsi="宋体"/>
          <w:b/>
          <w:bCs/>
          <w:i/>
          <w:iCs/>
          <w:szCs w:val="21"/>
          <w:u w:val="single"/>
        </w:rPr>
        <w:t>（标的名称</w:t>
      </w:r>
      <w:r>
        <w:rPr>
          <w:rFonts w:ascii="宋体" w:hAnsi="宋体"/>
          <w:b/>
          <w:bCs/>
          <w:szCs w:val="21"/>
          <w:u w:val="single"/>
        </w:rPr>
        <w:t>）</w:t>
      </w:r>
      <w:r>
        <w:rPr>
          <w:rFonts w:ascii="宋体" w:hAnsi="宋体"/>
          <w:szCs w:val="21"/>
        </w:rPr>
        <w:t xml:space="preserve"> </w:t>
      </w:r>
      <w:r>
        <w:rPr>
          <w:rFonts w:hint="eastAsia" w:ascii="宋体" w:hAnsi="宋体"/>
          <w:szCs w:val="21"/>
        </w:rPr>
        <w:t>，承接单位</w:t>
      </w:r>
      <w:r>
        <w:rPr>
          <w:rFonts w:ascii="宋体" w:hAnsi="宋体"/>
          <w:szCs w:val="21"/>
        </w:rPr>
        <w:t>为</w:t>
      </w:r>
      <w:r>
        <w:rPr>
          <w:rFonts w:ascii="宋体" w:hAnsi="宋体"/>
          <w:b/>
          <w:bCs/>
          <w:i/>
          <w:iCs/>
          <w:szCs w:val="21"/>
          <w:u w:val="single"/>
        </w:rPr>
        <w:t>（</w:t>
      </w:r>
      <w:r>
        <w:rPr>
          <w:rFonts w:hint="eastAsia" w:ascii="宋体" w:hAnsi="宋体"/>
          <w:b/>
          <w:bCs/>
          <w:i/>
          <w:iCs/>
          <w:szCs w:val="21"/>
          <w:u w:val="single"/>
        </w:rPr>
        <w:t>企业</w:t>
      </w:r>
      <w:r>
        <w:rPr>
          <w:rFonts w:ascii="宋体" w:hAnsi="宋体"/>
          <w:b/>
          <w:bCs/>
          <w:i/>
          <w:iCs/>
          <w:szCs w:val="21"/>
          <w:u w:val="single"/>
        </w:rPr>
        <w:t>名称）</w:t>
      </w:r>
      <w:r>
        <w:rPr>
          <w:rFonts w:ascii="宋体" w:hAnsi="宋体"/>
          <w:szCs w:val="21"/>
        </w:rPr>
        <w:t>，属于</w:t>
      </w:r>
      <w:r>
        <w:rPr>
          <w:rFonts w:hint="eastAsia" w:ascii="宋体" w:hAnsi="宋体"/>
          <w:b/>
          <w:bCs/>
          <w:i/>
          <w:iCs/>
          <w:szCs w:val="21"/>
          <w:u w:val="single"/>
        </w:rPr>
        <w:t>监狱企业</w:t>
      </w:r>
      <w:r>
        <w:rPr>
          <w:rFonts w:ascii="宋体" w:hAnsi="宋体"/>
          <w:szCs w:val="21"/>
        </w:rPr>
        <w:t>；</w:t>
      </w:r>
    </w:p>
    <w:p w14:paraId="63C1C19C">
      <w:pPr>
        <w:ind w:firstLine="420" w:firstLineChars="200"/>
        <w:rPr>
          <w:rFonts w:ascii="宋体" w:hAnsi="宋体"/>
          <w:szCs w:val="21"/>
        </w:rPr>
      </w:pPr>
      <w:r>
        <w:rPr>
          <w:rFonts w:ascii="宋体" w:hAnsi="宋体"/>
          <w:szCs w:val="21"/>
        </w:rPr>
        <w:t>2.</w:t>
      </w:r>
      <w:r>
        <w:rPr>
          <w:rFonts w:ascii="宋体" w:hAnsi="宋体"/>
          <w:b/>
          <w:bCs/>
          <w:szCs w:val="21"/>
          <w:u w:val="single"/>
        </w:rPr>
        <w:t xml:space="preserve"> </w:t>
      </w:r>
      <w:r>
        <w:rPr>
          <w:rFonts w:ascii="宋体" w:hAnsi="宋体"/>
          <w:b/>
          <w:bCs/>
          <w:i/>
          <w:iCs/>
          <w:szCs w:val="21"/>
          <w:u w:val="single"/>
        </w:rPr>
        <w:t>（标的名称）</w:t>
      </w:r>
      <w:r>
        <w:rPr>
          <w:rFonts w:ascii="宋体" w:hAnsi="宋体"/>
          <w:i/>
          <w:iCs/>
          <w:szCs w:val="21"/>
        </w:rPr>
        <w:t xml:space="preserve"> </w:t>
      </w:r>
      <w:r>
        <w:rPr>
          <w:rFonts w:hint="eastAsia" w:ascii="宋体" w:hAnsi="宋体"/>
          <w:szCs w:val="21"/>
        </w:rPr>
        <w:t>，承接单位</w:t>
      </w:r>
      <w:r>
        <w:rPr>
          <w:rFonts w:ascii="宋体" w:hAnsi="宋体"/>
          <w:szCs w:val="21"/>
        </w:rPr>
        <w:t>为</w:t>
      </w:r>
      <w:r>
        <w:rPr>
          <w:rFonts w:ascii="宋体" w:hAnsi="宋体"/>
          <w:b/>
          <w:bCs/>
          <w:i/>
          <w:iCs/>
          <w:szCs w:val="21"/>
          <w:u w:val="single"/>
        </w:rPr>
        <w:t>（</w:t>
      </w:r>
      <w:r>
        <w:rPr>
          <w:rFonts w:hint="eastAsia" w:ascii="宋体" w:hAnsi="宋体"/>
          <w:b/>
          <w:bCs/>
          <w:i/>
          <w:iCs/>
          <w:szCs w:val="21"/>
          <w:u w:val="single"/>
        </w:rPr>
        <w:t>企业</w:t>
      </w:r>
      <w:r>
        <w:rPr>
          <w:rFonts w:ascii="宋体" w:hAnsi="宋体"/>
          <w:b/>
          <w:bCs/>
          <w:i/>
          <w:iCs/>
          <w:szCs w:val="21"/>
          <w:u w:val="single"/>
        </w:rPr>
        <w:t>名称）</w:t>
      </w:r>
      <w:r>
        <w:rPr>
          <w:rFonts w:ascii="宋体" w:hAnsi="宋体"/>
          <w:szCs w:val="21"/>
        </w:rPr>
        <w:t>，属于</w:t>
      </w:r>
      <w:r>
        <w:rPr>
          <w:rFonts w:hint="eastAsia" w:ascii="宋体" w:hAnsi="宋体"/>
          <w:b/>
          <w:bCs/>
          <w:i/>
          <w:iCs/>
          <w:szCs w:val="21"/>
          <w:u w:val="single"/>
        </w:rPr>
        <w:t>监狱企业</w:t>
      </w:r>
      <w:r>
        <w:rPr>
          <w:rFonts w:hint="eastAsia" w:ascii="宋体" w:hAnsi="宋体"/>
          <w:szCs w:val="21"/>
        </w:rPr>
        <w:t>。</w:t>
      </w:r>
    </w:p>
    <w:p w14:paraId="3738B2EB">
      <w:pPr>
        <w:ind w:firstLine="420" w:firstLineChars="200"/>
        <w:outlineLvl w:val="9"/>
        <w:rPr>
          <w:rFonts w:ascii="宋体" w:hAnsi="宋体"/>
          <w:szCs w:val="21"/>
        </w:rPr>
      </w:pPr>
      <w:r>
        <w:rPr>
          <w:rFonts w:ascii="宋体" w:hAnsi="宋体"/>
          <w:szCs w:val="21"/>
        </w:rPr>
        <w:t xml:space="preserve">…… </w:t>
      </w:r>
    </w:p>
    <w:p w14:paraId="30D50E0E">
      <w:pPr>
        <w:ind w:firstLine="420" w:firstLineChars="200"/>
        <w:rPr>
          <w:rFonts w:ascii="宋体" w:hAnsi="宋体"/>
          <w:szCs w:val="21"/>
        </w:rPr>
      </w:pPr>
      <w:r>
        <w:rPr>
          <w:rFonts w:ascii="宋体" w:hAnsi="宋体" w:cstheme="minorBidi"/>
          <w:szCs w:val="21"/>
        </w:rPr>
        <w:t>本</w:t>
      </w:r>
      <w:r>
        <w:rPr>
          <w:rFonts w:hint="eastAsia" w:ascii="宋体" w:hAnsi="宋体" w:cstheme="minorBidi"/>
          <w:szCs w:val="21"/>
        </w:rPr>
        <w:t>投标人</w:t>
      </w:r>
      <w:r>
        <w:rPr>
          <w:rFonts w:ascii="宋体" w:hAnsi="宋体"/>
          <w:szCs w:val="21"/>
        </w:rPr>
        <w:t>对上述声明内容的真实性负责。如有虚假，将依法承担相应责任。</w:t>
      </w:r>
    </w:p>
    <w:p w14:paraId="0E0A16D3">
      <w:pPr>
        <w:ind w:firstLine="420" w:firstLineChars="200"/>
        <w:rPr>
          <w:rFonts w:ascii="宋体" w:hAnsi="宋体"/>
          <w:szCs w:val="21"/>
        </w:rPr>
      </w:pPr>
      <w:r>
        <w:rPr>
          <w:rFonts w:hint="eastAsia" w:ascii="宋体" w:hAnsi="宋体"/>
          <w:szCs w:val="21"/>
        </w:rPr>
        <w:t>附：省级以上监狱管理局、戒毒管理局（含新疆生产建设兵团）出具的监狱企业证明文件。</w:t>
      </w:r>
    </w:p>
    <w:p w14:paraId="0F2139A2">
      <w:pPr>
        <w:ind w:left="723" w:hanging="723" w:hangingChars="300"/>
        <w:rPr>
          <w:b/>
          <w:sz w:val="24"/>
        </w:rPr>
      </w:pPr>
    </w:p>
    <w:p w14:paraId="612A8C74">
      <w:pPr>
        <w:ind w:firstLine="480" w:firstLineChars="200"/>
        <w:rPr>
          <w:rFonts w:hint="eastAsia" w:eastAsia="宋体"/>
          <w:lang w:eastAsia="zh-CN"/>
        </w:rPr>
      </w:pPr>
      <w:r>
        <w:rPr>
          <w:rFonts w:hint="eastAsia" w:ascii="黑体" w:hAnsi="宋体" w:eastAsia="黑体"/>
          <w:bCs/>
          <w:kern w:val="0"/>
          <w:sz w:val="24"/>
          <w:szCs w:val="32"/>
        </w:rPr>
        <w:t>（</w:t>
      </w:r>
      <w:r>
        <w:rPr>
          <w:rFonts w:hint="eastAsia" w:ascii="黑体" w:hAnsi="宋体" w:eastAsia="黑体"/>
          <w:bCs/>
          <w:kern w:val="0"/>
          <w:sz w:val="24"/>
          <w:szCs w:val="32"/>
          <w:lang w:val="en-US" w:eastAsia="zh-CN"/>
        </w:rPr>
        <w:t>三</w:t>
      </w:r>
      <w:r>
        <w:rPr>
          <w:rFonts w:hint="eastAsia" w:ascii="黑体" w:hAnsi="宋体" w:eastAsia="黑体"/>
          <w:bCs/>
          <w:kern w:val="0"/>
          <w:sz w:val="24"/>
          <w:szCs w:val="32"/>
        </w:rPr>
        <w:t>）</w:t>
      </w:r>
      <w:r>
        <w:rPr>
          <w:rFonts w:hint="eastAsia" w:ascii="黑体" w:hAnsi="宋体" w:eastAsia="黑体"/>
          <w:bCs/>
          <w:kern w:val="0"/>
          <w:sz w:val="24"/>
          <w:szCs w:val="32"/>
          <w:lang w:val="en-US" w:eastAsia="zh-CN"/>
        </w:rPr>
        <w:t>本国产品声明函</w:t>
      </w:r>
      <w:r>
        <w:rPr>
          <w:rFonts w:hint="eastAsia"/>
          <w:b/>
          <w:bCs/>
          <w:highlight w:val="yellow"/>
          <w:lang w:eastAsia="zh-CN"/>
        </w:rPr>
        <w:t>（</w:t>
      </w:r>
      <w:r>
        <w:rPr>
          <w:rFonts w:hint="eastAsia"/>
          <w:b/>
          <w:bCs/>
          <w:highlight w:val="yellow"/>
          <w:lang w:val="en-US" w:eastAsia="zh-CN"/>
        </w:rPr>
        <w:t>本项目不适用</w:t>
      </w:r>
      <w:r>
        <w:rPr>
          <w:rFonts w:hint="eastAsia"/>
          <w:b/>
          <w:bCs/>
          <w:highlight w:val="yellow"/>
          <w:lang w:eastAsia="zh-CN"/>
        </w:rPr>
        <w:t>）</w:t>
      </w:r>
    </w:p>
    <w:p w14:paraId="4DB46BC5">
      <w:pPr>
        <w:pStyle w:val="201"/>
      </w:pPr>
    </w:p>
    <w:p w14:paraId="1FCE534E">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宋体" w:hAnsi="宋体"/>
          <w:color w:val="FF0000"/>
          <w:sz w:val="21"/>
          <w:szCs w:val="21"/>
        </w:rPr>
      </w:pPr>
      <w:r>
        <w:rPr>
          <w:rFonts w:hint="eastAsia" w:ascii="宋体" w:hAnsi="宋体"/>
          <w:color w:val="FF0000"/>
          <w:sz w:val="21"/>
          <w:szCs w:val="21"/>
        </w:rPr>
        <w:t>填写指引：</w:t>
      </w:r>
    </w:p>
    <w:p w14:paraId="3A916726">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lang w:eastAsia="zh-CN"/>
          <w14:textFill>
            <w14:solidFill>
              <w14:schemeClr w14:val="tx1"/>
            </w14:solidFill>
          </w14:textFill>
        </w:rPr>
        <w:t>1.</w:t>
      </w:r>
      <w:r>
        <w:rPr>
          <w:rFonts w:hint="eastAsia" w:ascii="宋体" w:hAnsi="宋体"/>
          <w:color w:val="000000" w:themeColor="text1"/>
          <w:sz w:val="21"/>
          <w:szCs w:val="21"/>
          <w14:textFill>
            <w14:solidFill>
              <w14:schemeClr w14:val="tx1"/>
            </w14:solidFill>
          </w14:textFill>
        </w:rPr>
        <w:t>该部分内容由</w:t>
      </w:r>
      <w:r>
        <w:rPr>
          <w:rFonts w:hint="eastAsia" w:ascii="宋体" w:hAnsi="宋体"/>
          <w:color w:val="000000" w:themeColor="text1"/>
          <w:sz w:val="21"/>
          <w:szCs w:val="21"/>
          <w:lang w:val="en-US" w:eastAsia="zh-CN"/>
          <w14:textFill>
            <w14:solidFill>
              <w14:schemeClr w14:val="tx1"/>
            </w14:solidFill>
          </w14:textFill>
        </w:rPr>
        <w:t>供应商</w:t>
      </w:r>
      <w:r>
        <w:rPr>
          <w:rFonts w:hint="eastAsia" w:ascii="宋体" w:hAnsi="宋体"/>
          <w:color w:val="000000" w:themeColor="text1"/>
          <w:sz w:val="21"/>
          <w:szCs w:val="21"/>
          <w14:textFill>
            <w14:solidFill>
              <w14:schemeClr w14:val="tx1"/>
            </w14:solidFill>
          </w14:textFill>
        </w:rPr>
        <w:t>根据自身实际情况填写，不符合要求的</w:t>
      </w:r>
      <w:r>
        <w:rPr>
          <w:rFonts w:hint="eastAsia" w:ascii="宋体" w:hAnsi="宋体"/>
          <w:color w:val="000000" w:themeColor="text1"/>
          <w:sz w:val="21"/>
          <w:szCs w:val="21"/>
          <w:lang w:val="en-US" w:eastAsia="zh-CN"/>
          <w14:textFill>
            <w14:solidFill>
              <w14:schemeClr w14:val="tx1"/>
            </w14:solidFill>
          </w14:textFill>
        </w:rPr>
        <w:t>供应商</w:t>
      </w:r>
      <w:r>
        <w:rPr>
          <w:rFonts w:hint="eastAsia" w:ascii="宋体" w:hAnsi="宋体"/>
          <w:color w:val="000000" w:themeColor="text1"/>
          <w:sz w:val="21"/>
          <w:szCs w:val="21"/>
          <w14:textFill>
            <w14:solidFill>
              <w14:schemeClr w14:val="tx1"/>
            </w14:solidFill>
          </w14:textFill>
        </w:rPr>
        <w:t>可以不填写或直接删除相应的声明函。</w:t>
      </w:r>
      <w:r>
        <w:rPr>
          <w:rFonts w:hint="eastAsia" w:ascii="宋体" w:hAnsi="宋体"/>
          <w:color w:val="000000" w:themeColor="text1"/>
          <w:sz w:val="21"/>
          <w:szCs w:val="21"/>
          <w:lang w:val="en-US" w:eastAsia="zh-CN"/>
          <w14:textFill>
            <w14:solidFill>
              <w14:schemeClr w14:val="tx1"/>
            </w14:solidFill>
          </w14:textFill>
        </w:rPr>
        <w:t>供应商</w:t>
      </w:r>
      <w:r>
        <w:rPr>
          <w:rFonts w:hint="eastAsia" w:ascii="宋体" w:hAnsi="宋体"/>
          <w:color w:val="000000" w:themeColor="text1"/>
          <w:sz w:val="21"/>
          <w:szCs w:val="21"/>
          <w14:textFill>
            <w14:solidFill>
              <w14:schemeClr w14:val="tx1"/>
            </w14:solidFill>
          </w14:textFill>
        </w:rPr>
        <w:t>提供的声明函不属实的，属于提供虚假资料谋取中标，依照《中华人民共和国政府采购法》等国家有关规定追究相应责任。</w:t>
      </w:r>
    </w:p>
    <w:p w14:paraId="39D87C79">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lang w:eastAsia="zh-CN"/>
          <w14:textFill>
            <w14:solidFill>
              <w14:schemeClr w14:val="tx1"/>
            </w14:solidFill>
          </w14:textFill>
        </w:rPr>
        <w:t>2.</w:t>
      </w:r>
      <w:r>
        <w:rPr>
          <w:rFonts w:hint="eastAsia" w:ascii="宋体" w:hAnsi="宋体"/>
          <w:color w:val="000000" w:themeColor="text1"/>
          <w:sz w:val="21"/>
          <w:szCs w:val="21"/>
          <w14:textFill>
            <w14:solidFill>
              <w14:schemeClr w14:val="tx1"/>
            </w14:solidFill>
          </w14:textFill>
        </w:rPr>
        <w:t>该部分内容填写需要参考的相关文件：</w:t>
      </w:r>
    </w:p>
    <w:p w14:paraId="550EA70A">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(1)</w:t>
      </w:r>
      <w:r>
        <w:rPr>
          <w:rFonts w:hint="eastAsia" w:ascii="宋体" w:hAnsi="宋体"/>
          <w:color w:val="000000" w:themeColor="text1"/>
          <w:sz w:val="21"/>
          <w:szCs w:val="21"/>
          <w:lang w:eastAsia="zh-CN"/>
          <w14:textFill>
            <w14:solidFill>
              <w14:schemeClr w14:val="tx1"/>
            </w14:solidFill>
          </w14:textFill>
        </w:rPr>
        <w:t>《</w:t>
      </w:r>
      <w:r>
        <w:rPr>
          <w:rFonts w:hint="eastAsia" w:ascii="宋体" w:hAnsi="宋体"/>
          <w:color w:val="000000" w:themeColor="text1"/>
          <w:sz w:val="21"/>
          <w:szCs w:val="21"/>
          <w14:textFill>
            <w14:solidFill>
              <w14:schemeClr w14:val="tx1"/>
            </w14:solidFill>
          </w14:textFill>
        </w:rPr>
        <w:t>国务院办公厅关于在政府采购中实施本国产品标准及相关政策的通知</w:t>
      </w:r>
      <w:r>
        <w:rPr>
          <w:rFonts w:hint="eastAsia" w:ascii="宋体" w:hAnsi="宋体"/>
          <w:color w:val="000000" w:themeColor="text1"/>
          <w:sz w:val="21"/>
          <w:szCs w:val="21"/>
          <w:lang w:eastAsia="zh-CN"/>
          <w14:textFill>
            <w14:solidFill>
              <w14:schemeClr w14:val="tx1"/>
            </w14:solidFill>
          </w14:textFill>
        </w:rPr>
        <w:t>》（</w:t>
      </w:r>
      <w:r>
        <w:rPr>
          <w:rFonts w:hint="eastAsia" w:ascii="宋体" w:hAnsi="宋体"/>
          <w:color w:val="000000" w:themeColor="text1"/>
          <w:sz w:val="21"/>
          <w:szCs w:val="21"/>
          <w14:textFill>
            <w14:solidFill>
              <w14:schemeClr w14:val="tx1"/>
            </w14:solidFill>
          </w14:textFill>
        </w:rPr>
        <w:t>国办发〔2025〕34号</w:t>
      </w:r>
      <w:r>
        <w:rPr>
          <w:rFonts w:hint="eastAsia" w:ascii="宋体" w:hAnsi="宋体"/>
          <w:color w:val="000000" w:themeColor="text1"/>
          <w:sz w:val="21"/>
          <w:szCs w:val="21"/>
          <w:lang w:eastAsia="zh-CN"/>
          <w14:textFill>
            <w14:solidFill>
              <w14:schemeClr w14:val="tx1"/>
            </w14:solidFill>
          </w14:textFill>
        </w:rPr>
        <w:t>）</w:t>
      </w:r>
    </w:p>
    <w:p w14:paraId="52FC2C6D">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宋体" w:hAnsi="宋体"/>
          <w:color w:val="000000" w:themeColor="text1"/>
          <w:sz w:val="21"/>
          <w:szCs w:val="21"/>
          <w:lang w:eastAsia="zh-CN"/>
          <w14:textFill>
            <w14:solidFill>
              <w14:schemeClr w14:val="tx1"/>
            </w14:solidFill>
          </w14:textFill>
        </w:rPr>
      </w:pPr>
      <w:r>
        <w:rPr>
          <w:rFonts w:hint="eastAsia" w:ascii="宋体" w:hAnsi="宋体"/>
          <w:color w:val="000000" w:themeColor="text1"/>
          <w:sz w:val="21"/>
          <w:szCs w:val="21"/>
          <w14:textFill>
            <w14:solidFill>
              <w14:schemeClr w14:val="tx1"/>
            </w14:solidFill>
          </w14:textFill>
        </w:rPr>
        <w:t>(</w:t>
      </w:r>
      <w:r>
        <w:rPr>
          <w:rFonts w:hint="eastAsia" w:ascii="宋体" w:hAnsi="宋体"/>
          <w:color w:val="000000" w:themeColor="text1"/>
          <w:sz w:val="21"/>
          <w:szCs w:val="21"/>
          <w:lang w:val="en-US" w:eastAsia="zh-CN"/>
          <w14:textFill>
            <w14:solidFill>
              <w14:schemeClr w14:val="tx1"/>
            </w14:solidFill>
          </w14:textFill>
        </w:rPr>
        <w:t>2</w:t>
      </w:r>
      <w:r>
        <w:rPr>
          <w:rFonts w:hint="eastAsia" w:ascii="宋体" w:hAnsi="宋体"/>
          <w:color w:val="000000" w:themeColor="text1"/>
          <w:sz w:val="21"/>
          <w:szCs w:val="21"/>
          <w14:textFill>
            <w14:solidFill>
              <w14:schemeClr w14:val="tx1"/>
            </w14:solidFill>
          </w14:textFill>
        </w:rPr>
        <w:t>)</w:t>
      </w:r>
      <w:r>
        <w:rPr>
          <w:rFonts w:hint="eastAsia" w:ascii="宋体" w:hAnsi="宋体"/>
          <w:color w:val="000000" w:themeColor="text1"/>
          <w:sz w:val="21"/>
          <w:szCs w:val="21"/>
          <w:lang w:eastAsia="zh-CN"/>
          <w14:textFill>
            <w14:solidFill>
              <w14:schemeClr w14:val="tx1"/>
            </w14:solidFill>
          </w14:textFill>
        </w:rPr>
        <w:t>《</w:t>
      </w:r>
      <w:r>
        <w:rPr>
          <w:rFonts w:hint="eastAsia" w:ascii="宋体" w:hAnsi="宋体"/>
          <w:color w:val="000000" w:themeColor="text1"/>
          <w:sz w:val="21"/>
          <w:szCs w:val="21"/>
          <w14:textFill>
            <w14:solidFill>
              <w14:schemeClr w14:val="tx1"/>
            </w14:solidFill>
          </w14:textFill>
        </w:rPr>
        <w:t>关于贯彻落实</w:t>
      </w:r>
      <w:r>
        <w:rPr>
          <w:rFonts w:hint="eastAsia" w:ascii="宋体" w:hAnsi="宋体"/>
          <w:color w:val="000000" w:themeColor="text1"/>
          <w:sz w:val="21"/>
          <w:szCs w:val="21"/>
          <w:lang w:val="en-US" w:eastAsia="zh-CN"/>
          <w14:textFill>
            <w14:solidFill>
              <w14:schemeClr w14:val="tx1"/>
            </w14:solidFill>
          </w14:textFill>
        </w:rPr>
        <w:t>&lt;</w:t>
      </w:r>
      <w:r>
        <w:rPr>
          <w:rFonts w:hint="eastAsia" w:ascii="宋体" w:hAnsi="宋体"/>
          <w:color w:val="000000" w:themeColor="text1"/>
          <w:sz w:val="21"/>
          <w:szCs w:val="21"/>
          <w14:textFill>
            <w14:solidFill>
              <w14:schemeClr w14:val="tx1"/>
            </w14:solidFill>
          </w14:textFill>
        </w:rPr>
        <w:t>国务院办公厅关于在政府采购中实施本国产品标准及相关政策的通知</w:t>
      </w:r>
      <w:r>
        <w:rPr>
          <w:rFonts w:hint="eastAsia" w:ascii="宋体" w:hAnsi="宋体"/>
          <w:color w:val="000000" w:themeColor="text1"/>
          <w:sz w:val="21"/>
          <w:szCs w:val="21"/>
          <w:lang w:val="en-US" w:eastAsia="zh-CN"/>
          <w14:textFill>
            <w14:solidFill>
              <w14:schemeClr w14:val="tx1"/>
            </w14:solidFill>
          </w14:textFill>
        </w:rPr>
        <w:t>&gt;</w:t>
      </w:r>
      <w:r>
        <w:rPr>
          <w:rFonts w:hint="eastAsia" w:ascii="宋体" w:hAnsi="宋体"/>
          <w:color w:val="000000" w:themeColor="text1"/>
          <w:sz w:val="21"/>
          <w:szCs w:val="21"/>
          <w14:textFill>
            <w14:solidFill>
              <w14:schemeClr w14:val="tx1"/>
            </w14:solidFill>
          </w14:textFill>
        </w:rPr>
        <w:t>的意见</w:t>
      </w:r>
      <w:r>
        <w:rPr>
          <w:rFonts w:hint="eastAsia" w:ascii="宋体" w:hAnsi="宋体"/>
          <w:color w:val="000000" w:themeColor="text1"/>
          <w:sz w:val="21"/>
          <w:szCs w:val="21"/>
          <w:lang w:eastAsia="zh-CN"/>
          <w14:textFill>
            <w14:solidFill>
              <w14:schemeClr w14:val="tx1"/>
            </w14:solidFill>
          </w14:textFill>
        </w:rPr>
        <w:t>》（</w:t>
      </w:r>
      <w:r>
        <w:rPr>
          <w:rFonts w:hint="eastAsia" w:ascii="宋体" w:hAnsi="宋体"/>
          <w:color w:val="000000" w:themeColor="text1"/>
          <w:sz w:val="21"/>
          <w:szCs w:val="21"/>
          <w14:textFill>
            <w14:solidFill>
              <w14:schemeClr w14:val="tx1"/>
            </w14:solidFill>
          </w14:textFill>
        </w:rPr>
        <w:t>财库〔2025〕30号</w:t>
      </w:r>
      <w:r>
        <w:rPr>
          <w:rFonts w:hint="eastAsia" w:ascii="宋体" w:hAnsi="宋体"/>
          <w:color w:val="000000" w:themeColor="text1"/>
          <w:sz w:val="21"/>
          <w:szCs w:val="21"/>
          <w:lang w:eastAsia="zh-CN"/>
          <w14:textFill>
            <w14:solidFill>
              <w14:schemeClr w14:val="tx1"/>
            </w14:solidFill>
          </w14:textFill>
        </w:rPr>
        <w:t>）</w:t>
      </w:r>
    </w:p>
    <w:p w14:paraId="1CC813A2">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lang w:eastAsia="zh-CN"/>
          <w14:textFill>
            <w14:solidFill>
              <w14:schemeClr w14:val="tx1"/>
            </w14:solidFill>
          </w14:textFill>
        </w:rPr>
        <w:t>3.</w:t>
      </w:r>
      <w:r>
        <w:rPr>
          <w:rFonts w:hint="eastAsia" w:ascii="宋体" w:hAnsi="宋体"/>
          <w:color w:val="000000" w:themeColor="text1"/>
          <w:sz w:val="21"/>
          <w:szCs w:val="21"/>
          <w14:textFill>
            <w14:solidFill>
              <w14:schemeClr w14:val="tx1"/>
            </w14:solidFill>
          </w14:textFill>
        </w:rPr>
        <w:t>请依照提供的格式和内容填写声明函，不要随意变更格式；声明函</w:t>
      </w:r>
      <w:r>
        <w:rPr>
          <w:rFonts w:hint="eastAsia" w:ascii="宋体" w:hAnsi="宋体"/>
          <w:color w:val="000000" w:themeColor="text1"/>
          <w:sz w:val="21"/>
          <w:szCs w:val="21"/>
          <w:lang w:val="en-US" w:eastAsia="zh-CN"/>
          <w14:textFill>
            <w14:solidFill>
              <w14:schemeClr w14:val="tx1"/>
            </w14:solidFill>
          </w14:textFill>
        </w:rPr>
        <w:t>可以不</w:t>
      </w:r>
      <w:r>
        <w:rPr>
          <w:rFonts w:hint="eastAsia" w:ascii="宋体" w:hAnsi="宋体"/>
          <w:color w:val="000000" w:themeColor="text1"/>
          <w:sz w:val="21"/>
          <w:szCs w:val="21"/>
          <w14:textFill>
            <w14:solidFill>
              <w14:schemeClr w14:val="tx1"/>
            </w14:solidFill>
          </w14:textFill>
        </w:rPr>
        <w:t>盖章或签字。</w:t>
      </w:r>
    </w:p>
    <w:p w14:paraId="5C784BE3">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宋体" w:hAnsi="宋体"/>
          <w:color w:val="FF0000"/>
          <w:sz w:val="21"/>
          <w:szCs w:val="21"/>
        </w:rPr>
      </w:pPr>
      <w:r>
        <w:rPr>
          <w:rFonts w:hint="eastAsia" w:ascii="宋体" w:hAnsi="宋体"/>
          <w:color w:val="FF0000"/>
          <w:sz w:val="21"/>
          <w:szCs w:val="21"/>
          <w:lang w:eastAsia="zh-CN"/>
        </w:rPr>
        <w:t>4.</w:t>
      </w:r>
      <w:r>
        <w:rPr>
          <w:rFonts w:hint="eastAsia" w:ascii="宋体" w:hAnsi="宋体"/>
          <w:color w:val="FF0000"/>
          <w:sz w:val="21"/>
          <w:szCs w:val="21"/>
        </w:rPr>
        <w:t>声明函具体填写要求：</w:t>
      </w:r>
    </w:p>
    <w:p w14:paraId="7415A942">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宋体" w:hAnsi="宋体"/>
          <w:color w:val="FF0000"/>
          <w:sz w:val="21"/>
          <w:szCs w:val="21"/>
          <w:lang w:val="en-US" w:eastAsia="zh-CN"/>
        </w:rPr>
      </w:pPr>
      <w:r>
        <w:rPr>
          <w:rFonts w:hint="eastAsia" w:ascii="宋体" w:hAnsi="宋体"/>
          <w:color w:val="FF0000"/>
          <w:sz w:val="21"/>
          <w:szCs w:val="21"/>
          <w:lang w:val="en-US" w:eastAsia="zh-CN"/>
        </w:rPr>
        <w:t>（1）产品如有型号，请在“产品名称”栏一并填写。</w:t>
      </w:r>
    </w:p>
    <w:p w14:paraId="49104AEE">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宋体" w:hAnsi="宋体"/>
          <w:color w:val="FF0000"/>
          <w:sz w:val="21"/>
          <w:szCs w:val="21"/>
          <w:lang w:val="en-US" w:eastAsia="zh-CN"/>
        </w:rPr>
      </w:pPr>
    </w:p>
    <w:p w14:paraId="1F71CF4D">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宋体" w:hAnsi="宋体"/>
          <w:color w:val="FF0000"/>
          <w:sz w:val="21"/>
          <w:szCs w:val="21"/>
          <w:lang w:val="en-US" w:eastAsia="zh-CN"/>
        </w:rPr>
      </w:pPr>
      <w:r>
        <w:rPr>
          <w:rFonts w:hint="eastAsia" w:ascii="宋体" w:hAnsi="宋体"/>
          <w:color w:val="FF0000"/>
          <w:sz w:val="21"/>
          <w:szCs w:val="21"/>
          <w:lang w:val="en-US" w:eastAsia="zh-CN"/>
        </w:rPr>
        <w:t>（2）生产厂名与厂址应与生产厂营业执照载明的相关信息保持一致。</w:t>
      </w:r>
    </w:p>
    <w:p w14:paraId="759BDB73">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宋体" w:hAnsi="宋体"/>
          <w:color w:val="FF0000"/>
          <w:sz w:val="21"/>
          <w:szCs w:val="21"/>
          <w:lang w:val="en-US" w:eastAsia="zh-CN"/>
        </w:rPr>
      </w:pPr>
    </w:p>
    <w:p w14:paraId="03D0FA36">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宋体" w:hAnsi="宋体"/>
          <w:color w:val="FF0000"/>
          <w:sz w:val="21"/>
          <w:szCs w:val="21"/>
          <w:lang w:val="en-US" w:eastAsia="zh-CN"/>
        </w:rPr>
      </w:pPr>
      <w:r>
        <w:rPr>
          <w:rFonts w:hint="eastAsia" w:ascii="宋体" w:hAnsi="宋体"/>
          <w:color w:val="FF0000"/>
          <w:sz w:val="21"/>
          <w:szCs w:val="21"/>
          <w:lang w:val="en-US" w:eastAsia="zh-CN"/>
        </w:rPr>
        <w:t>（3）该产品的中国境内生产的组件成本占比相关要求实施前，“规定比例”栏可不填，下同。</w:t>
      </w:r>
    </w:p>
    <w:p w14:paraId="002EE1DF">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宋体" w:hAnsi="宋体"/>
          <w:color w:val="FF0000"/>
          <w:sz w:val="21"/>
          <w:szCs w:val="21"/>
          <w:lang w:val="en-US" w:eastAsia="zh-CN"/>
        </w:rPr>
      </w:pPr>
    </w:p>
    <w:p w14:paraId="33DFA23B">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宋体" w:hAnsi="宋体"/>
          <w:color w:val="FF0000"/>
          <w:sz w:val="21"/>
          <w:szCs w:val="21"/>
          <w:lang w:val="en-US" w:eastAsia="zh-CN"/>
        </w:rPr>
      </w:pPr>
      <w:r>
        <w:rPr>
          <w:rFonts w:hint="eastAsia" w:ascii="宋体" w:hAnsi="宋体"/>
          <w:color w:val="FF0000"/>
          <w:sz w:val="21"/>
          <w:szCs w:val="21"/>
          <w:lang w:val="en-US" w:eastAsia="zh-CN"/>
        </w:rPr>
        <w:t>（4）该产品的关键组件要求实施前，“关键组件”栏可不填，下同。</w:t>
      </w:r>
    </w:p>
    <w:p w14:paraId="05071E5A">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宋体" w:hAnsi="宋体"/>
          <w:color w:val="FF0000"/>
          <w:sz w:val="21"/>
          <w:szCs w:val="21"/>
          <w:lang w:val="en-US" w:eastAsia="zh-CN"/>
        </w:rPr>
      </w:pPr>
    </w:p>
    <w:p w14:paraId="66AF9677">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宋体" w:hAnsi="宋体"/>
          <w:color w:val="FF0000"/>
          <w:sz w:val="21"/>
          <w:szCs w:val="21"/>
          <w:lang w:val="en-US" w:eastAsia="zh-CN"/>
        </w:rPr>
      </w:pPr>
      <w:r>
        <w:rPr>
          <w:rFonts w:hint="eastAsia" w:ascii="宋体" w:hAnsi="宋体"/>
          <w:color w:val="FF0000"/>
          <w:sz w:val="21"/>
          <w:szCs w:val="21"/>
          <w:lang w:val="en-US" w:eastAsia="zh-CN"/>
        </w:rPr>
        <w:t>（5）该产品的关键工序要求实施前，“关键工序”栏可不填，下同。</w:t>
      </w:r>
    </w:p>
    <w:p w14:paraId="64932D5F">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宋体" w:hAnsi="宋体"/>
          <w:color w:val="FF0000"/>
          <w:sz w:val="21"/>
          <w:szCs w:val="21"/>
          <w:lang w:val="en-US" w:eastAsia="zh-CN"/>
        </w:rPr>
      </w:pPr>
    </w:p>
    <w:p w14:paraId="71C8112D">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color w:val="FF0000"/>
        </w:rPr>
      </w:pPr>
      <w:r>
        <w:rPr>
          <w:rFonts w:hint="eastAsia" w:ascii="宋体" w:hAnsi="宋体"/>
          <w:color w:val="FF0000"/>
          <w:sz w:val="21"/>
          <w:szCs w:val="21"/>
          <w:lang w:val="en-US" w:eastAsia="zh-CN"/>
        </w:rPr>
        <w:t>（6）</w:t>
      </w:r>
      <w:r>
        <w:rPr>
          <w:rFonts w:hint="eastAsia" w:ascii="宋体" w:hAnsi="宋体"/>
          <w:b/>
          <w:bCs/>
          <w:color w:val="FF0000"/>
          <w:sz w:val="21"/>
          <w:szCs w:val="21"/>
          <w:lang w:val="en-US" w:eastAsia="zh-CN"/>
        </w:rPr>
        <w:t>必须在“具体比例”栏填写提供所有符合本国产品标准的产品成本之和占提供的全部产品成本之和的比例。</w:t>
      </w:r>
      <w:r>
        <w:rPr>
          <w:rFonts w:hint="eastAsia" w:ascii="宋体" w:hAnsi="宋体"/>
          <w:color w:val="FF0000"/>
          <w:sz w:val="21"/>
          <w:szCs w:val="21"/>
          <w:lang w:val="en-US" w:eastAsia="zh-CN"/>
        </w:rPr>
        <w:t>根据《国务院办公厅关于在政府采购中实施本国产品标准及相关政策的通知》（国办发〔2025〕34号）的</w:t>
      </w:r>
      <w:r>
        <w:rPr>
          <w:rFonts w:hint="eastAsia"/>
          <w:color w:val="FF0000"/>
          <w:lang w:val="en-US" w:eastAsia="zh-CN"/>
        </w:rPr>
        <w:t>规定，当采购项目或者采购包中含有多种产品，供应商为该采购项目或者采购包提供的符合本国产品标准的产品成本之和占该供应商提供的全部产品成本之和的比例达到</w:t>
      </w:r>
      <w:r>
        <w:rPr>
          <w:rFonts w:hint="eastAsia"/>
          <w:b/>
          <w:bCs/>
          <w:color w:val="FF0000"/>
          <w:lang w:val="en-US" w:eastAsia="zh-CN"/>
        </w:rPr>
        <w:t>80%以上</w:t>
      </w:r>
      <w:r>
        <w:rPr>
          <w:rFonts w:hint="eastAsia"/>
          <w:color w:val="FF0000"/>
          <w:lang w:val="en-US" w:eastAsia="zh-CN"/>
        </w:rPr>
        <w:t>时，依法对该供应商提供的全部产品给予20%价格评审优惠。</w:t>
      </w:r>
    </w:p>
    <w:p w14:paraId="783A5BB1">
      <w:pPr>
        <w:pStyle w:val="201"/>
        <w:keepNext w:val="0"/>
        <w:keepLines w:val="0"/>
        <w:pageBreakBefore w:val="0"/>
        <w:kinsoku/>
        <w:wordWrap/>
        <w:overflowPunct/>
        <w:topLinePunct w:val="0"/>
        <w:autoSpaceDE/>
        <w:autoSpaceDN/>
        <w:bidi w:val="0"/>
        <w:adjustRightInd/>
        <w:snapToGrid/>
        <w:spacing w:beforeAutospacing="0" w:afterAutospacing="0"/>
        <w:ind w:firstLine="420" w:firstLineChars="200"/>
        <w:textAlignment w:val="auto"/>
        <w:rPr>
          <w:rFonts w:hint="default"/>
          <w:color w:val="000000" w:themeColor="text1"/>
          <w:lang w:val="en-US" w:eastAsia="zh-CN"/>
          <w14:textFill>
            <w14:solidFill>
              <w14:schemeClr w14:val="tx1"/>
            </w14:solidFill>
          </w14:textFill>
        </w:rPr>
      </w:pPr>
      <w:r>
        <w:rPr>
          <w:rFonts w:hint="eastAsia" w:ascii="宋体" w:hAnsi="宋体" w:cs="宋体"/>
          <w:i w:val="0"/>
          <w:iCs w:val="0"/>
          <w:caps w:val="0"/>
          <w:color w:val="000000" w:themeColor="text1"/>
          <w:spacing w:val="0"/>
          <w:sz w:val="21"/>
          <w:szCs w:val="21"/>
          <w:shd w:val="clear" w:color="auto" w:fill="FFFFFF"/>
          <w:lang w:val="en-US" w:eastAsia="zh-CN"/>
          <w14:textFill>
            <w14:solidFill>
              <w14:schemeClr w14:val="tx1"/>
            </w14:solidFill>
          </w14:textFill>
        </w:rPr>
        <w:t>5.</w:t>
      </w:r>
      <w:r>
        <w:rPr>
          <w:rFonts w:hint="eastAsia"/>
          <w:color w:val="000000" w:themeColor="text1"/>
          <w:lang w:val="en-US" w:eastAsia="zh-CN"/>
          <w14:textFill>
            <w14:solidFill>
              <w14:schemeClr w14:val="tx1"/>
            </w14:solidFill>
          </w14:textFill>
        </w:rPr>
        <w:t>争议处理：</w:t>
      </w:r>
    </w:p>
    <w:p w14:paraId="3C41E3CF">
      <w:pPr>
        <w:pStyle w:val="201"/>
        <w:ind w:firstLine="420" w:firstLineChars="200"/>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1）政府采购投诉处理、监督检查中，对产品或组件是否在中国境内生产存在争议的，按照以下原则处理：①对于组装类产品或组件，相关供应商及制造商应当提供产品或组件的采购合同，进货记录，制造、加工、组装记录以及其他证明材料。上述证明材料能够证明产品或组件在中国境内生产的，相关产品或组件即可视为在中国境内生产。②对于由原材料直接制造、加工形成的产品或组件，如钢材、陶瓷制品、玻璃等，相关供应商及制造商应当提供产品或组件包装上依法标注的生产厂址等信息。生产厂址位于中华人民共和国关境内的，相关产品或组件即可视为在中国境内生产。</w:t>
      </w:r>
    </w:p>
    <w:p w14:paraId="063691DB">
      <w:pPr>
        <w:pStyle w:val="201"/>
        <w:ind w:firstLine="420" w:firstLineChars="200"/>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2）政府采购投诉处理、监督检查中，对产品在中国境内生产的组件成本占比、采购项目或采购包中本国产品成本占比是否达到规定比例存在争议的，相关供应商及制造商应当提供组件或产品的会计核算数据、采购合同、进货记录等，财政部门按照中国境内生产的组件成本核算相关规则予以认定。</w:t>
      </w:r>
    </w:p>
    <w:p w14:paraId="0D9E5F2B">
      <w:pPr>
        <w:pStyle w:val="201"/>
        <w:ind w:firstLine="420" w:firstLineChars="200"/>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3）政府采购投诉处理、监督检查中，对特定产品的关键组件是否在中国境内生产存在争议的，按照《国务院办公厅关于在政府采购中实施本国产品标准及相关政策的通知》第五条第（一）项规定的原则处理；对特定产品的关键工序是否在中国境内完成存在争议的，相关供应商及制造商应当提供关键工序在中国境内完成的记录等材料予以证明。</w:t>
      </w:r>
    </w:p>
    <w:p w14:paraId="0DA805F7">
      <w:pPr>
        <w:pStyle w:val="201"/>
        <w:ind w:firstLine="420" w:firstLineChars="200"/>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政府采购投诉处理、监督检查中，相关供应商及制造商未按上述要求提供证明材料或提供的材料不足以证明产品符合本国产品标准的，不应当享受对本国产品的政府采购支持政策，由此影响或者可能影响采购结果的，财政部门按照政府采购相关法律法规规定等处理。</w:t>
      </w:r>
    </w:p>
    <w:p w14:paraId="7539EB7B">
      <w:pPr>
        <w:pStyle w:val="201"/>
        <w:ind w:firstLine="420" w:firstLineChars="200"/>
        <w:rPr>
          <w:rFonts w:hint="default"/>
          <w:color w:val="000000" w:themeColor="text1"/>
          <w:lang w:val="en-US" w:eastAsia="zh-CN"/>
          <w14:textFill>
            <w14:solidFill>
              <w14:schemeClr w14:val="tx1"/>
            </w14:solidFill>
          </w14:textFill>
        </w:rPr>
      </w:pPr>
      <w:r>
        <w:rPr>
          <w:rFonts w:hint="eastAsia" w:ascii="宋体" w:hAnsi="宋体" w:cs="宋体"/>
          <w:i w:val="0"/>
          <w:iCs w:val="0"/>
          <w:caps w:val="0"/>
          <w:color w:val="000000" w:themeColor="text1"/>
          <w:spacing w:val="0"/>
          <w:sz w:val="21"/>
          <w:szCs w:val="21"/>
          <w:shd w:val="clear" w:color="auto" w:fill="FFFFFF"/>
          <w:lang w:val="en-US" w:eastAsia="zh-CN"/>
          <w14:textFill>
            <w14:solidFill>
              <w14:schemeClr w14:val="tx1"/>
            </w14:solidFill>
          </w14:textFill>
        </w:rPr>
        <w:t>6.</w:t>
      </w:r>
      <w:r>
        <w:rPr>
          <w:rFonts w:hint="eastAsia"/>
          <w:color w:val="000000" w:themeColor="text1"/>
          <w:lang w:val="en-US" w:eastAsia="zh-CN"/>
          <w14:textFill>
            <w14:solidFill>
              <w14:schemeClr w14:val="tx1"/>
            </w14:solidFill>
          </w14:textFill>
        </w:rPr>
        <w:t>评审委员会在评审中发现《关于符合本国产品标准的声明函》内容含义不明确、同类事项与投标（响应）文件表述不一致或者有明显文字错误等情况的，应当以书面形式要求供应商作出必要的澄清、说明或者补正。经澄清、说明或者补正的《声明函》仍然不符合《国务院办公厅关于在政府采购中实施本国产品标准及相关政策的通知》规定要求的，供应商提供的相关产品视为不符合本国产品标准，不享受价格扣除，但不作投标无效处理。</w:t>
      </w:r>
    </w:p>
    <w:p w14:paraId="419F448B">
      <w:pPr>
        <w:pStyle w:val="201"/>
      </w:pPr>
    </w:p>
    <w:p w14:paraId="0E216C05">
      <w:pPr>
        <w:pStyle w:val="201"/>
        <w:jc w:val="center"/>
        <w:rPr>
          <w:rFonts w:hint="eastAsia" w:ascii="Times New Roman" w:hAnsi="Times New Roman" w:eastAsia="宋体"/>
          <w:b/>
          <w:sz w:val="24"/>
          <w:szCs w:val="24"/>
          <w:lang w:val="en-US" w:eastAsia="zh-CN"/>
        </w:rPr>
      </w:pPr>
      <w:r>
        <w:rPr>
          <w:rFonts w:hint="eastAsia" w:ascii="Times New Roman" w:hAnsi="Times New Roman" w:eastAsia="宋体" w:cs="Times New Roman"/>
          <w:b/>
          <w:i w:val="0"/>
          <w:iCs w:val="0"/>
          <w:caps w:val="0"/>
          <w:spacing w:val="0"/>
          <w:sz w:val="24"/>
          <w:szCs w:val="24"/>
          <w:shd w:val="clear" w:color="auto" w:fill="auto"/>
        </w:rPr>
        <w:t>关于符合本国产品标准的声明函</w:t>
      </w:r>
    </w:p>
    <w:p w14:paraId="1FA7F1F0">
      <w:pPr>
        <w:pStyle w:val="201"/>
      </w:pPr>
    </w:p>
    <w:p w14:paraId="63BAA75E">
      <w:pPr>
        <w:pStyle w:val="38"/>
        <w:keepNext w:val="0"/>
        <w:keepLines w:val="0"/>
        <w:widowControl/>
        <w:suppressLineNumbers w:val="0"/>
        <w:shd w:val="clear" w:color="auto" w:fill="FFFFFF"/>
        <w:ind w:left="0" w:firstLine="420" w:firstLineChars="200"/>
        <w:jc w:val="left"/>
        <w:rPr>
          <w:rFonts w:hint="eastAsia" w:ascii="宋体" w:hAnsi="宋体" w:eastAsia="宋体" w:cs="宋体"/>
          <w:i w:val="0"/>
          <w:iCs w:val="0"/>
          <w:caps w:val="0"/>
          <w:color w:val="000000"/>
          <w:spacing w:val="0"/>
          <w:sz w:val="21"/>
          <w:szCs w:val="21"/>
          <w:shd w:val="clear" w:color="auto" w:fill="FFFFFF"/>
        </w:rPr>
      </w:pPr>
      <w:r>
        <w:rPr>
          <w:rFonts w:hint="eastAsia" w:ascii="宋体" w:hAnsi="宋体" w:eastAsia="宋体" w:cs="宋体"/>
          <w:i w:val="0"/>
          <w:iCs w:val="0"/>
          <w:caps w:val="0"/>
          <w:color w:val="000000"/>
          <w:spacing w:val="0"/>
          <w:sz w:val="21"/>
          <w:szCs w:val="21"/>
          <w:shd w:val="clear" w:color="auto" w:fill="FFFFFF"/>
        </w:rPr>
        <w:t>本公司（单位）郑重声明，根据《国务院办公厅关于在政府采购中实施本国产品标准及相关政策的通知》（国办发〔</w:t>
      </w:r>
      <w:r>
        <w:rPr>
          <w:rFonts w:ascii="Calibri" w:hAnsi="Calibri" w:eastAsia="宋体" w:cs="Calibri"/>
          <w:i w:val="0"/>
          <w:iCs w:val="0"/>
          <w:caps w:val="0"/>
          <w:color w:val="000000"/>
          <w:spacing w:val="0"/>
          <w:sz w:val="21"/>
          <w:szCs w:val="21"/>
          <w:shd w:val="clear" w:color="auto" w:fill="FFFFFF"/>
        </w:rPr>
        <w:t>2025</w:t>
      </w:r>
      <w:r>
        <w:rPr>
          <w:rFonts w:hint="eastAsia" w:ascii="宋体" w:hAnsi="宋体" w:eastAsia="宋体" w:cs="宋体"/>
          <w:i w:val="0"/>
          <w:iCs w:val="0"/>
          <w:caps w:val="0"/>
          <w:color w:val="000000"/>
          <w:spacing w:val="0"/>
          <w:sz w:val="21"/>
          <w:szCs w:val="21"/>
          <w:shd w:val="clear" w:color="auto" w:fill="FFFFFF"/>
        </w:rPr>
        <w:t>〕</w:t>
      </w:r>
      <w:r>
        <w:rPr>
          <w:rFonts w:hint="default" w:ascii="Calibri" w:hAnsi="Calibri" w:eastAsia="宋体" w:cs="Calibri"/>
          <w:i w:val="0"/>
          <w:iCs w:val="0"/>
          <w:caps w:val="0"/>
          <w:color w:val="000000"/>
          <w:spacing w:val="0"/>
          <w:sz w:val="21"/>
          <w:szCs w:val="21"/>
          <w:shd w:val="clear" w:color="auto" w:fill="FFFFFF"/>
        </w:rPr>
        <w:t>34</w:t>
      </w:r>
      <w:r>
        <w:rPr>
          <w:rFonts w:hint="eastAsia" w:ascii="宋体" w:hAnsi="宋体" w:eastAsia="宋体" w:cs="宋体"/>
          <w:i w:val="0"/>
          <w:iCs w:val="0"/>
          <w:caps w:val="0"/>
          <w:color w:val="000000"/>
          <w:spacing w:val="0"/>
          <w:sz w:val="21"/>
          <w:szCs w:val="21"/>
          <w:shd w:val="clear" w:color="auto" w:fill="FFFFFF"/>
        </w:rPr>
        <w:t>号）的规定，本公司（单位）提供的以下产品属于本国产品。具体情况如下：</w:t>
      </w:r>
    </w:p>
    <w:p w14:paraId="5C409A48">
      <w:pPr>
        <w:pStyle w:val="38"/>
        <w:keepNext w:val="0"/>
        <w:keepLines w:val="0"/>
        <w:widowControl/>
        <w:suppressLineNumbers w:val="0"/>
        <w:shd w:val="clear" w:color="auto" w:fill="FFFFFF"/>
        <w:ind w:left="0" w:firstLine="420" w:firstLineChars="200"/>
        <w:jc w:val="left"/>
        <w:rPr>
          <w:rFonts w:hint="eastAsia" w:ascii="宋体" w:hAnsi="宋体" w:eastAsia="宋体" w:cs="宋体"/>
          <w:i w:val="0"/>
          <w:iCs w:val="0"/>
          <w:caps w:val="0"/>
          <w:color w:val="000000"/>
          <w:spacing w:val="0"/>
          <w:sz w:val="21"/>
          <w:szCs w:val="21"/>
        </w:rPr>
      </w:pPr>
      <w:r>
        <w:rPr>
          <w:rFonts w:hint="default" w:ascii="Calibri" w:hAnsi="Calibri" w:eastAsia="宋体" w:cs="Calibri"/>
          <w:i w:val="0"/>
          <w:iCs w:val="0"/>
          <w:caps w:val="0"/>
          <w:color w:val="000000"/>
          <w:spacing w:val="0"/>
          <w:sz w:val="21"/>
          <w:szCs w:val="21"/>
          <w:shd w:val="clear" w:color="auto" w:fill="FFFFFF"/>
        </w:rPr>
        <w:t>1.</w:t>
      </w:r>
      <w:r>
        <w:rPr>
          <w:rFonts w:hint="eastAsia" w:ascii="宋体" w:hAnsi="宋体" w:eastAsia="宋体" w:cs="Times New Roman"/>
          <w:b/>
          <w:bCs/>
          <w:i/>
          <w:iCs/>
          <w:kern w:val="2"/>
          <w:sz w:val="21"/>
          <w:szCs w:val="21"/>
          <w:u w:val="single"/>
          <w:lang w:val="en-US" w:eastAsia="zh-CN" w:bidi="ar-SA"/>
        </w:rPr>
        <w:t>（产品名称</w:t>
      </w:r>
      <w:r>
        <w:rPr>
          <w:rFonts w:hint="default" w:ascii="宋体" w:hAnsi="宋体" w:eastAsia="宋体" w:cs="Times New Roman"/>
          <w:b/>
          <w:bCs/>
          <w:i/>
          <w:iCs/>
          <w:kern w:val="2"/>
          <w:sz w:val="21"/>
          <w:szCs w:val="21"/>
          <w:u w:val="single"/>
          <w:lang w:val="en-US" w:eastAsia="zh-CN" w:bidi="ar-SA"/>
        </w:rPr>
        <w:t>1</w:t>
      </w:r>
      <w:r>
        <w:rPr>
          <w:rFonts w:hint="eastAsia" w:ascii="宋体" w:hAnsi="宋体" w:eastAsia="宋体" w:cs="Times New Roman"/>
          <w:b/>
          <w:bCs/>
          <w:i/>
          <w:iCs/>
          <w:kern w:val="2"/>
          <w:sz w:val="21"/>
          <w:szCs w:val="21"/>
          <w:u w:val="single"/>
          <w:lang w:val="en-US" w:eastAsia="zh-CN" w:bidi="ar-SA"/>
        </w:rPr>
        <w:t>）</w:t>
      </w:r>
      <w:r>
        <w:rPr>
          <w:rFonts w:hint="default" w:ascii="Calibri" w:hAnsi="Calibri" w:eastAsia="宋体" w:cs="Calibri"/>
          <w:i w:val="0"/>
          <w:iCs w:val="0"/>
          <w:caps w:val="0"/>
          <w:color w:val="FF0000"/>
          <w:spacing w:val="0"/>
          <w:sz w:val="21"/>
          <w:szCs w:val="21"/>
          <w:shd w:val="clear" w:color="auto" w:fill="FFFFFF"/>
        </w:rPr>
        <w:t>1</w:t>
      </w:r>
      <w:r>
        <w:rPr>
          <w:rFonts w:hint="eastAsia" w:ascii="宋体" w:hAnsi="宋体" w:eastAsia="宋体" w:cs="宋体"/>
          <w:i w:val="0"/>
          <w:iCs w:val="0"/>
          <w:caps w:val="0"/>
          <w:color w:val="000000"/>
          <w:spacing w:val="0"/>
          <w:sz w:val="21"/>
          <w:szCs w:val="21"/>
          <w:shd w:val="clear" w:color="auto" w:fill="FFFFFF"/>
        </w:rPr>
        <w:t>，生产厂为</w:t>
      </w:r>
      <w:r>
        <w:rPr>
          <w:rFonts w:hint="eastAsia" w:ascii="宋体" w:hAnsi="宋体" w:eastAsia="宋体" w:cs="Times New Roman"/>
          <w:b/>
          <w:bCs/>
          <w:i/>
          <w:iCs/>
          <w:kern w:val="2"/>
          <w:sz w:val="21"/>
          <w:szCs w:val="21"/>
          <w:u w:val="single"/>
          <w:lang w:val="en-US" w:eastAsia="zh-CN" w:bidi="ar-SA"/>
        </w:rPr>
        <w:t>（厂名）</w:t>
      </w:r>
      <w:r>
        <w:rPr>
          <w:rFonts w:hint="default" w:ascii="Calibri" w:hAnsi="Calibri" w:eastAsia="宋体" w:cs="Calibri"/>
          <w:i w:val="0"/>
          <w:iCs w:val="0"/>
          <w:caps w:val="0"/>
          <w:color w:val="FF0000"/>
          <w:spacing w:val="0"/>
          <w:sz w:val="21"/>
          <w:szCs w:val="21"/>
          <w:shd w:val="clear" w:color="auto" w:fill="FFFFFF"/>
        </w:rPr>
        <w:t>2</w:t>
      </w:r>
      <w:r>
        <w:rPr>
          <w:rFonts w:hint="eastAsia" w:ascii="宋体" w:hAnsi="宋体" w:eastAsia="宋体" w:cs="宋体"/>
          <w:i w:val="0"/>
          <w:iCs w:val="0"/>
          <w:caps w:val="0"/>
          <w:color w:val="000000"/>
          <w:spacing w:val="0"/>
          <w:sz w:val="21"/>
          <w:szCs w:val="21"/>
          <w:shd w:val="clear" w:color="auto" w:fill="FFFFFF"/>
        </w:rPr>
        <w:t>，厂址为</w:t>
      </w:r>
      <w:r>
        <w:rPr>
          <w:rFonts w:hint="eastAsia" w:ascii="宋体" w:hAnsi="宋体" w:eastAsia="宋体" w:cs="Times New Roman"/>
          <w:b/>
          <w:bCs/>
          <w:i/>
          <w:iCs/>
          <w:kern w:val="2"/>
          <w:sz w:val="21"/>
          <w:szCs w:val="21"/>
          <w:u w:val="single"/>
          <w:lang w:val="en-US" w:eastAsia="zh-CN" w:bidi="ar-SA"/>
        </w:rPr>
        <w:t>（生产厂址）</w:t>
      </w:r>
      <w:r>
        <w:rPr>
          <w:rFonts w:hint="eastAsia" w:ascii="Calibri" w:hAnsi="Calibri" w:eastAsia="宋体" w:cs="Calibri"/>
          <w:i w:val="0"/>
          <w:iCs w:val="0"/>
          <w:caps w:val="0"/>
          <w:color w:val="000000"/>
          <w:spacing w:val="0"/>
          <w:sz w:val="21"/>
          <w:szCs w:val="21"/>
          <w:shd w:val="clear" w:color="auto" w:fill="FFFFFF"/>
        </w:rPr>
        <w:t>。</w:t>
      </w:r>
      <w:r>
        <w:rPr>
          <w:rFonts w:hint="eastAsia" w:ascii="宋体" w:hAnsi="宋体" w:eastAsia="宋体" w:cs="Times New Roman"/>
          <w:b/>
          <w:bCs/>
          <w:i/>
          <w:iCs/>
          <w:kern w:val="2"/>
          <w:sz w:val="21"/>
          <w:szCs w:val="21"/>
          <w:u w:val="single"/>
          <w:lang w:val="en-US" w:eastAsia="zh-CN" w:bidi="ar-SA"/>
        </w:rPr>
        <w:t>（产品名称</w:t>
      </w:r>
      <w:r>
        <w:rPr>
          <w:rFonts w:hint="default" w:ascii="宋体" w:hAnsi="宋体" w:eastAsia="宋体" w:cs="Times New Roman"/>
          <w:b/>
          <w:bCs/>
          <w:i/>
          <w:iCs/>
          <w:kern w:val="2"/>
          <w:sz w:val="21"/>
          <w:szCs w:val="21"/>
          <w:u w:val="single"/>
          <w:lang w:val="en-US" w:eastAsia="zh-CN" w:bidi="ar-SA"/>
        </w:rPr>
        <w:t>1</w:t>
      </w:r>
      <w:r>
        <w:rPr>
          <w:rFonts w:hint="eastAsia" w:ascii="宋体" w:hAnsi="宋体" w:eastAsia="宋体" w:cs="Times New Roman"/>
          <w:b/>
          <w:bCs/>
          <w:i/>
          <w:iCs/>
          <w:kern w:val="2"/>
          <w:sz w:val="21"/>
          <w:szCs w:val="21"/>
          <w:u w:val="single"/>
          <w:lang w:val="en-US" w:eastAsia="zh-CN" w:bidi="ar-SA"/>
        </w:rPr>
        <w:t>）</w:t>
      </w:r>
      <w:r>
        <w:rPr>
          <w:rFonts w:hint="eastAsia" w:ascii="宋体" w:hAnsi="宋体" w:eastAsia="宋体" w:cs="宋体"/>
          <w:i w:val="0"/>
          <w:iCs w:val="0"/>
          <w:caps w:val="0"/>
          <w:color w:val="000000"/>
          <w:spacing w:val="0"/>
          <w:sz w:val="21"/>
          <w:szCs w:val="21"/>
          <w:shd w:val="clear" w:color="auto" w:fill="FFFFFF"/>
        </w:rPr>
        <w:t>的中国境内生产的组件成本占比≥</w:t>
      </w:r>
      <w:r>
        <w:rPr>
          <w:rFonts w:hint="eastAsia" w:ascii="宋体" w:hAnsi="宋体" w:eastAsia="宋体" w:cs="Times New Roman"/>
          <w:b/>
          <w:bCs/>
          <w:i/>
          <w:iCs/>
          <w:kern w:val="2"/>
          <w:sz w:val="21"/>
          <w:szCs w:val="21"/>
          <w:u w:val="single"/>
          <w:lang w:val="en-US" w:eastAsia="zh-CN" w:bidi="ar-SA"/>
        </w:rPr>
        <w:t>（规定比例）</w:t>
      </w:r>
      <w:r>
        <w:rPr>
          <w:rFonts w:hint="default" w:ascii="Calibri" w:hAnsi="Calibri" w:eastAsia="宋体" w:cs="Calibri"/>
          <w:i w:val="0"/>
          <w:iCs w:val="0"/>
          <w:caps w:val="0"/>
          <w:color w:val="FF0000"/>
          <w:spacing w:val="0"/>
          <w:sz w:val="21"/>
          <w:szCs w:val="21"/>
          <w:shd w:val="clear" w:color="auto" w:fill="FFFFFF"/>
        </w:rPr>
        <w:t>3</w:t>
      </w:r>
      <w:r>
        <w:rPr>
          <w:rFonts w:hint="eastAsia" w:ascii="宋体" w:hAnsi="宋体" w:eastAsia="宋体" w:cs="宋体"/>
          <w:i w:val="0"/>
          <w:iCs w:val="0"/>
          <w:caps w:val="0"/>
          <w:color w:val="000000"/>
          <w:spacing w:val="0"/>
          <w:sz w:val="21"/>
          <w:szCs w:val="21"/>
          <w:shd w:val="clear" w:color="auto" w:fill="FFFFFF"/>
        </w:rPr>
        <w:t>。</w:t>
      </w:r>
      <w:r>
        <w:rPr>
          <w:rFonts w:hint="eastAsia" w:ascii="宋体" w:hAnsi="宋体" w:eastAsia="宋体" w:cs="Times New Roman"/>
          <w:b/>
          <w:bCs/>
          <w:i/>
          <w:iCs/>
          <w:kern w:val="2"/>
          <w:sz w:val="21"/>
          <w:szCs w:val="21"/>
          <w:u w:val="single"/>
          <w:lang w:val="en-US" w:eastAsia="zh-CN" w:bidi="ar-SA"/>
        </w:rPr>
        <w:t>（产品名称</w:t>
      </w:r>
      <w:r>
        <w:rPr>
          <w:rFonts w:hint="default" w:ascii="宋体" w:hAnsi="宋体" w:eastAsia="宋体" w:cs="Times New Roman"/>
          <w:b/>
          <w:bCs/>
          <w:i/>
          <w:iCs/>
          <w:kern w:val="2"/>
          <w:sz w:val="21"/>
          <w:szCs w:val="21"/>
          <w:u w:val="single"/>
          <w:lang w:val="en-US" w:eastAsia="zh-CN" w:bidi="ar-SA"/>
        </w:rPr>
        <w:t>1</w:t>
      </w:r>
      <w:r>
        <w:rPr>
          <w:rFonts w:hint="eastAsia" w:ascii="宋体" w:hAnsi="宋体" w:eastAsia="宋体" w:cs="Times New Roman"/>
          <w:b/>
          <w:bCs/>
          <w:i/>
          <w:iCs/>
          <w:kern w:val="2"/>
          <w:sz w:val="21"/>
          <w:szCs w:val="21"/>
          <w:u w:val="single"/>
          <w:lang w:val="en-US" w:eastAsia="zh-CN" w:bidi="ar-SA"/>
        </w:rPr>
        <w:t>）</w:t>
      </w:r>
      <w:r>
        <w:rPr>
          <w:rFonts w:hint="eastAsia" w:ascii="宋体" w:hAnsi="宋体" w:eastAsia="宋体" w:cs="宋体"/>
          <w:i w:val="0"/>
          <w:iCs w:val="0"/>
          <w:caps w:val="0"/>
          <w:color w:val="000000"/>
          <w:spacing w:val="0"/>
          <w:sz w:val="21"/>
          <w:szCs w:val="21"/>
          <w:shd w:val="clear" w:color="auto" w:fill="FFFFFF"/>
        </w:rPr>
        <w:t>的</w:t>
      </w:r>
      <w:r>
        <w:rPr>
          <w:rFonts w:hint="eastAsia" w:ascii="宋体" w:hAnsi="宋体" w:eastAsia="宋体" w:cs="Times New Roman"/>
          <w:b/>
          <w:bCs/>
          <w:i/>
          <w:iCs/>
          <w:kern w:val="2"/>
          <w:sz w:val="21"/>
          <w:szCs w:val="21"/>
          <w:u w:val="single"/>
          <w:lang w:val="en-US" w:eastAsia="zh-CN" w:bidi="ar-SA"/>
        </w:rPr>
        <w:t>（关键组件）</w:t>
      </w:r>
      <w:r>
        <w:rPr>
          <w:rFonts w:hint="default" w:ascii="Calibri" w:hAnsi="Calibri" w:eastAsia="宋体" w:cs="Calibri"/>
          <w:i w:val="0"/>
          <w:iCs w:val="0"/>
          <w:caps w:val="0"/>
          <w:color w:val="FF0000"/>
          <w:spacing w:val="0"/>
          <w:sz w:val="21"/>
          <w:szCs w:val="21"/>
          <w:shd w:val="clear" w:color="auto" w:fill="FFFFFF"/>
        </w:rPr>
        <w:t>4</w:t>
      </w:r>
      <w:r>
        <w:rPr>
          <w:rFonts w:hint="eastAsia" w:ascii="宋体" w:hAnsi="宋体" w:eastAsia="宋体" w:cs="宋体"/>
          <w:i w:val="0"/>
          <w:iCs w:val="0"/>
          <w:caps w:val="0"/>
          <w:color w:val="000000"/>
          <w:spacing w:val="0"/>
          <w:sz w:val="21"/>
          <w:szCs w:val="21"/>
          <w:shd w:val="clear" w:color="auto" w:fill="FFFFFF"/>
        </w:rPr>
        <w:t>在中国境内生产。</w:t>
      </w:r>
      <w:r>
        <w:rPr>
          <w:rFonts w:hint="eastAsia" w:ascii="宋体" w:hAnsi="宋体" w:eastAsia="宋体" w:cs="Times New Roman"/>
          <w:b/>
          <w:bCs/>
          <w:i/>
          <w:iCs/>
          <w:kern w:val="2"/>
          <w:sz w:val="21"/>
          <w:szCs w:val="21"/>
          <w:u w:val="single"/>
          <w:lang w:val="en-US" w:eastAsia="zh-CN" w:bidi="ar-SA"/>
        </w:rPr>
        <w:t>（产品名称</w:t>
      </w:r>
      <w:r>
        <w:rPr>
          <w:rFonts w:hint="default" w:ascii="宋体" w:hAnsi="宋体" w:eastAsia="宋体" w:cs="Times New Roman"/>
          <w:b/>
          <w:bCs/>
          <w:i/>
          <w:iCs/>
          <w:kern w:val="2"/>
          <w:sz w:val="21"/>
          <w:szCs w:val="21"/>
          <w:u w:val="single"/>
          <w:lang w:val="en-US" w:eastAsia="zh-CN" w:bidi="ar-SA"/>
        </w:rPr>
        <w:t>1</w:t>
      </w:r>
      <w:r>
        <w:rPr>
          <w:rFonts w:hint="eastAsia" w:ascii="宋体" w:hAnsi="宋体" w:eastAsia="宋体" w:cs="Times New Roman"/>
          <w:b/>
          <w:bCs/>
          <w:i/>
          <w:iCs/>
          <w:kern w:val="2"/>
          <w:sz w:val="21"/>
          <w:szCs w:val="21"/>
          <w:u w:val="single"/>
          <w:lang w:val="en-US" w:eastAsia="zh-CN" w:bidi="ar-SA"/>
        </w:rPr>
        <w:t>）</w:t>
      </w:r>
      <w:r>
        <w:rPr>
          <w:rFonts w:hint="eastAsia" w:ascii="宋体" w:hAnsi="宋体" w:eastAsia="宋体" w:cs="宋体"/>
          <w:i w:val="0"/>
          <w:iCs w:val="0"/>
          <w:caps w:val="0"/>
          <w:color w:val="000000"/>
          <w:spacing w:val="0"/>
          <w:sz w:val="21"/>
          <w:szCs w:val="21"/>
          <w:shd w:val="clear" w:color="auto" w:fill="FFFFFF"/>
        </w:rPr>
        <w:t>的</w:t>
      </w:r>
      <w:r>
        <w:rPr>
          <w:rFonts w:hint="eastAsia" w:ascii="宋体" w:hAnsi="宋体" w:eastAsia="宋体" w:cs="Times New Roman"/>
          <w:b/>
          <w:bCs/>
          <w:i/>
          <w:iCs/>
          <w:kern w:val="2"/>
          <w:sz w:val="21"/>
          <w:szCs w:val="21"/>
          <w:u w:val="single"/>
          <w:lang w:val="en-US" w:eastAsia="zh-CN" w:bidi="ar-SA"/>
        </w:rPr>
        <w:t>（关键工序）</w:t>
      </w:r>
      <w:r>
        <w:rPr>
          <w:rFonts w:hint="default" w:ascii="Calibri" w:hAnsi="Calibri" w:eastAsia="宋体" w:cs="Calibri"/>
          <w:i w:val="0"/>
          <w:iCs w:val="0"/>
          <w:caps w:val="0"/>
          <w:color w:val="FF0000"/>
          <w:spacing w:val="0"/>
          <w:sz w:val="21"/>
          <w:szCs w:val="21"/>
          <w:shd w:val="clear" w:color="auto" w:fill="FFFFFF"/>
        </w:rPr>
        <w:t>5</w:t>
      </w:r>
      <w:r>
        <w:rPr>
          <w:rFonts w:hint="eastAsia" w:ascii="宋体" w:hAnsi="宋体" w:eastAsia="宋体" w:cs="宋体"/>
          <w:i w:val="0"/>
          <w:iCs w:val="0"/>
          <w:caps w:val="0"/>
          <w:color w:val="000000"/>
          <w:spacing w:val="0"/>
          <w:sz w:val="21"/>
          <w:szCs w:val="21"/>
          <w:shd w:val="clear" w:color="auto" w:fill="FFFFFF"/>
        </w:rPr>
        <w:t>在中国境内完成。</w:t>
      </w:r>
    </w:p>
    <w:p w14:paraId="2079533D">
      <w:pPr>
        <w:pStyle w:val="38"/>
        <w:keepNext w:val="0"/>
        <w:keepLines w:val="0"/>
        <w:widowControl/>
        <w:suppressLineNumbers w:val="0"/>
        <w:shd w:val="clear" w:color="auto" w:fill="FFFFFF"/>
        <w:ind w:left="0" w:firstLine="420" w:firstLineChars="200"/>
        <w:jc w:val="left"/>
        <w:rPr>
          <w:rFonts w:hint="eastAsia" w:ascii="宋体" w:hAnsi="宋体" w:eastAsia="宋体" w:cs="宋体"/>
          <w:i w:val="0"/>
          <w:iCs w:val="0"/>
          <w:caps w:val="0"/>
          <w:color w:val="000000"/>
          <w:spacing w:val="0"/>
          <w:sz w:val="21"/>
          <w:szCs w:val="21"/>
        </w:rPr>
      </w:pPr>
      <w:r>
        <w:rPr>
          <w:rFonts w:hint="eastAsia" w:ascii="Calibri" w:hAnsi="Calibri" w:cs="Calibri"/>
          <w:i w:val="0"/>
          <w:iCs w:val="0"/>
          <w:caps w:val="0"/>
          <w:color w:val="000000"/>
          <w:spacing w:val="0"/>
          <w:sz w:val="21"/>
          <w:szCs w:val="21"/>
          <w:shd w:val="clear" w:color="auto" w:fill="FFFFFF"/>
          <w:lang w:val="en-US" w:eastAsia="zh-CN"/>
        </w:rPr>
        <w:t>2</w:t>
      </w:r>
      <w:r>
        <w:rPr>
          <w:rFonts w:hint="default" w:ascii="Calibri" w:hAnsi="Calibri" w:eastAsia="宋体" w:cs="Calibri"/>
          <w:i w:val="0"/>
          <w:iCs w:val="0"/>
          <w:caps w:val="0"/>
          <w:color w:val="000000"/>
          <w:spacing w:val="0"/>
          <w:sz w:val="21"/>
          <w:szCs w:val="21"/>
          <w:shd w:val="clear" w:color="auto" w:fill="FFFFFF"/>
        </w:rPr>
        <w:t>.</w:t>
      </w:r>
      <w:r>
        <w:rPr>
          <w:rFonts w:hint="eastAsia" w:ascii="宋体" w:hAnsi="宋体" w:eastAsia="宋体" w:cs="Times New Roman"/>
          <w:b/>
          <w:bCs/>
          <w:i/>
          <w:iCs/>
          <w:kern w:val="2"/>
          <w:sz w:val="21"/>
          <w:szCs w:val="21"/>
          <w:u w:val="single"/>
          <w:lang w:val="en-US" w:eastAsia="zh-CN" w:bidi="ar-SA"/>
        </w:rPr>
        <w:t>（产品名称2）</w:t>
      </w:r>
      <w:r>
        <w:rPr>
          <w:rFonts w:hint="eastAsia" w:ascii="宋体" w:hAnsi="宋体" w:eastAsia="宋体" w:cs="宋体"/>
          <w:i w:val="0"/>
          <w:iCs w:val="0"/>
          <w:caps w:val="0"/>
          <w:color w:val="000000"/>
          <w:spacing w:val="0"/>
          <w:sz w:val="21"/>
          <w:szCs w:val="21"/>
          <w:shd w:val="clear" w:color="auto" w:fill="FFFFFF"/>
        </w:rPr>
        <w:t>，生产厂为</w:t>
      </w:r>
      <w:r>
        <w:rPr>
          <w:rFonts w:hint="eastAsia" w:ascii="宋体" w:hAnsi="宋体" w:eastAsia="宋体" w:cs="Times New Roman"/>
          <w:b/>
          <w:bCs/>
          <w:i/>
          <w:iCs/>
          <w:kern w:val="2"/>
          <w:sz w:val="21"/>
          <w:szCs w:val="21"/>
          <w:u w:val="single"/>
          <w:lang w:val="en-US" w:eastAsia="zh-CN" w:bidi="ar-SA"/>
        </w:rPr>
        <w:t>（厂名）</w:t>
      </w:r>
      <w:r>
        <w:rPr>
          <w:rFonts w:hint="eastAsia" w:ascii="宋体" w:hAnsi="宋体" w:eastAsia="宋体" w:cs="宋体"/>
          <w:i w:val="0"/>
          <w:iCs w:val="0"/>
          <w:caps w:val="0"/>
          <w:color w:val="000000"/>
          <w:spacing w:val="0"/>
          <w:sz w:val="21"/>
          <w:szCs w:val="21"/>
          <w:shd w:val="clear" w:color="auto" w:fill="FFFFFF"/>
        </w:rPr>
        <w:t>，厂址为</w:t>
      </w:r>
      <w:r>
        <w:rPr>
          <w:rFonts w:hint="eastAsia" w:ascii="宋体" w:hAnsi="宋体" w:eastAsia="宋体" w:cs="Times New Roman"/>
          <w:b/>
          <w:bCs/>
          <w:i/>
          <w:iCs/>
          <w:kern w:val="2"/>
          <w:sz w:val="21"/>
          <w:szCs w:val="21"/>
          <w:u w:val="single"/>
          <w:lang w:val="en-US" w:eastAsia="zh-CN" w:bidi="ar-SA"/>
        </w:rPr>
        <w:t>（生产厂址）</w:t>
      </w:r>
      <w:r>
        <w:rPr>
          <w:rFonts w:hint="eastAsia" w:ascii="宋体" w:hAnsi="宋体" w:eastAsia="宋体" w:cs="宋体"/>
          <w:i w:val="0"/>
          <w:iCs w:val="0"/>
          <w:caps w:val="0"/>
          <w:color w:val="000000"/>
          <w:spacing w:val="0"/>
          <w:sz w:val="21"/>
          <w:szCs w:val="21"/>
          <w:shd w:val="clear" w:color="auto" w:fill="FFFFFF"/>
        </w:rPr>
        <w:t>。</w:t>
      </w:r>
      <w:r>
        <w:rPr>
          <w:rFonts w:hint="eastAsia" w:ascii="宋体" w:hAnsi="宋体" w:eastAsia="宋体" w:cs="Times New Roman"/>
          <w:b/>
          <w:bCs/>
          <w:i/>
          <w:iCs/>
          <w:kern w:val="2"/>
          <w:sz w:val="21"/>
          <w:szCs w:val="21"/>
          <w:u w:val="single"/>
          <w:lang w:val="en-US" w:eastAsia="zh-CN" w:bidi="ar-SA"/>
        </w:rPr>
        <w:t>（产品名称2）</w:t>
      </w:r>
      <w:r>
        <w:rPr>
          <w:rFonts w:hint="eastAsia" w:ascii="宋体" w:hAnsi="宋体" w:eastAsia="宋体" w:cs="宋体"/>
          <w:i w:val="0"/>
          <w:iCs w:val="0"/>
          <w:caps w:val="0"/>
          <w:color w:val="000000"/>
          <w:spacing w:val="0"/>
          <w:sz w:val="21"/>
          <w:szCs w:val="21"/>
          <w:shd w:val="clear" w:color="auto" w:fill="FFFFFF"/>
        </w:rPr>
        <w:t>的中国境内生产的组件成本占比≥</w:t>
      </w:r>
      <w:r>
        <w:rPr>
          <w:rFonts w:hint="eastAsia" w:ascii="宋体" w:hAnsi="宋体" w:eastAsia="宋体" w:cs="Times New Roman"/>
          <w:b/>
          <w:bCs/>
          <w:i/>
          <w:iCs/>
          <w:kern w:val="2"/>
          <w:sz w:val="21"/>
          <w:szCs w:val="21"/>
          <w:u w:val="single"/>
          <w:lang w:val="en-US" w:eastAsia="zh-CN" w:bidi="ar-SA"/>
        </w:rPr>
        <w:t>（规定比例）</w:t>
      </w:r>
      <w:r>
        <w:rPr>
          <w:rFonts w:hint="eastAsia" w:ascii="宋体" w:hAnsi="宋体" w:eastAsia="宋体" w:cs="宋体"/>
          <w:i w:val="0"/>
          <w:iCs w:val="0"/>
          <w:caps w:val="0"/>
          <w:color w:val="000000"/>
          <w:spacing w:val="0"/>
          <w:sz w:val="21"/>
          <w:szCs w:val="21"/>
          <w:shd w:val="clear" w:color="auto" w:fill="FFFFFF"/>
        </w:rPr>
        <w:t>。</w:t>
      </w:r>
      <w:r>
        <w:rPr>
          <w:rFonts w:hint="eastAsia" w:ascii="宋体" w:hAnsi="宋体" w:eastAsia="宋体" w:cs="Times New Roman"/>
          <w:b/>
          <w:bCs/>
          <w:i/>
          <w:iCs/>
          <w:kern w:val="2"/>
          <w:sz w:val="21"/>
          <w:szCs w:val="21"/>
          <w:u w:val="single"/>
          <w:lang w:val="en-US" w:eastAsia="zh-CN" w:bidi="ar-SA"/>
        </w:rPr>
        <w:t>（产品名称2）</w:t>
      </w:r>
      <w:r>
        <w:rPr>
          <w:rFonts w:hint="eastAsia" w:ascii="宋体" w:hAnsi="宋体" w:eastAsia="宋体" w:cs="宋体"/>
          <w:i w:val="0"/>
          <w:iCs w:val="0"/>
          <w:caps w:val="0"/>
          <w:color w:val="000000"/>
          <w:spacing w:val="0"/>
          <w:sz w:val="21"/>
          <w:szCs w:val="21"/>
          <w:shd w:val="clear" w:color="auto" w:fill="FFFFFF"/>
        </w:rPr>
        <w:t>的</w:t>
      </w:r>
      <w:r>
        <w:rPr>
          <w:rFonts w:hint="eastAsia" w:ascii="宋体" w:hAnsi="宋体" w:eastAsia="宋体" w:cs="Times New Roman"/>
          <w:b/>
          <w:bCs/>
          <w:i/>
          <w:iCs/>
          <w:kern w:val="2"/>
          <w:sz w:val="21"/>
          <w:szCs w:val="21"/>
          <w:u w:val="single"/>
          <w:lang w:val="en-US" w:eastAsia="zh-CN" w:bidi="ar-SA"/>
        </w:rPr>
        <w:t>（关键组件）</w:t>
      </w:r>
      <w:r>
        <w:rPr>
          <w:rFonts w:hint="eastAsia" w:ascii="宋体" w:hAnsi="宋体" w:eastAsia="宋体" w:cs="宋体"/>
          <w:i w:val="0"/>
          <w:iCs w:val="0"/>
          <w:caps w:val="0"/>
          <w:color w:val="000000"/>
          <w:spacing w:val="0"/>
          <w:sz w:val="21"/>
          <w:szCs w:val="21"/>
          <w:shd w:val="clear" w:color="auto" w:fill="FFFFFF"/>
        </w:rPr>
        <w:t>在中国境内生产。</w:t>
      </w:r>
      <w:r>
        <w:rPr>
          <w:rFonts w:hint="eastAsia" w:ascii="宋体" w:hAnsi="宋体" w:eastAsia="宋体" w:cs="Times New Roman"/>
          <w:b/>
          <w:bCs/>
          <w:i/>
          <w:iCs/>
          <w:kern w:val="2"/>
          <w:sz w:val="21"/>
          <w:szCs w:val="21"/>
          <w:u w:val="single"/>
          <w:lang w:val="en-US" w:eastAsia="zh-CN" w:bidi="ar-SA"/>
        </w:rPr>
        <w:t>（产品名称2）</w:t>
      </w:r>
      <w:r>
        <w:rPr>
          <w:rFonts w:hint="eastAsia" w:ascii="宋体" w:hAnsi="宋体" w:eastAsia="宋体" w:cs="宋体"/>
          <w:i w:val="0"/>
          <w:iCs w:val="0"/>
          <w:caps w:val="0"/>
          <w:color w:val="000000"/>
          <w:spacing w:val="0"/>
          <w:sz w:val="21"/>
          <w:szCs w:val="21"/>
          <w:shd w:val="clear" w:color="auto" w:fill="FFFFFF"/>
        </w:rPr>
        <w:t>的</w:t>
      </w:r>
      <w:r>
        <w:rPr>
          <w:rFonts w:hint="eastAsia" w:ascii="宋体" w:hAnsi="宋体" w:eastAsia="宋体" w:cs="Times New Roman"/>
          <w:b/>
          <w:bCs/>
          <w:i/>
          <w:iCs/>
          <w:kern w:val="2"/>
          <w:sz w:val="21"/>
          <w:szCs w:val="21"/>
          <w:u w:val="single"/>
          <w:lang w:val="en-US" w:eastAsia="zh-CN" w:bidi="ar-SA"/>
        </w:rPr>
        <w:t>（关键工序）</w:t>
      </w:r>
      <w:r>
        <w:rPr>
          <w:rFonts w:hint="eastAsia" w:ascii="宋体" w:hAnsi="宋体" w:eastAsia="宋体" w:cs="宋体"/>
          <w:i w:val="0"/>
          <w:iCs w:val="0"/>
          <w:caps w:val="0"/>
          <w:color w:val="000000"/>
          <w:spacing w:val="0"/>
          <w:sz w:val="21"/>
          <w:szCs w:val="21"/>
          <w:shd w:val="clear" w:color="auto" w:fill="FFFFFF"/>
        </w:rPr>
        <w:t>在中国境内完成。</w:t>
      </w:r>
    </w:p>
    <w:p w14:paraId="2423911C">
      <w:pPr>
        <w:pStyle w:val="38"/>
        <w:keepNext w:val="0"/>
        <w:keepLines w:val="0"/>
        <w:widowControl/>
        <w:suppressLineNumbers w:val="0"/>
        <w:shd w:val="clear" w:color="auto" w:fill="FFFFFF"/>
        <w:ind w:left="0" w:firstLine="420" w:firstLineChars="200"/>
        <w:jc w:val="left"/>
        <w:rPr>
          <w:rFonts w:hint="eastAsia" w:ascii="宋体" w:hAnsi="宋体" w:eastAsia="宋体" w:cs="宋体"/>
          <w:i w:val="0"/>
          <w:iCs w:val="0"/>
          <w:caps w:val="0"/>
          <w:color w:val="000000"/>
          <w:spacing w:val="0"/>
          <w:sz w:val="21"/>
          <w:szCs w:val="21"/>
          <w:shd w:val="clear" w:color="auto" w:fill="FFFFFF"/>
        </w:rPr>
      </w:pPr>
      <w:r>
        <w:rPr>
          <w:rFonts w:hint="eastAsia" w:ascii="宋体" w:hAnsi="宋体" w:eastAsia="宋体" w:cs="宋体"/>
          <w:i w:val="0"/>
          <w:iCs w:val="0"/>
          <w:caps w:val="0"/>
          <w:color w:val="000000"/>
          <w:spacing w:val="0"/>
          <w:sz w:val="21"/>
          <w:szCs w:val="21"/>
          <w:shd w:val="clear" w:color="auto" w:fill="FFFFFF"/>
        </w:rPr>
        <w:t>……</w:t>
      </w:r>
    </w:p>
    <w:p w14:paraId="6721D21C">
      <w:pPr>
        <w:pStyle w:val="38"/>
        <w:keepNext w:val="0"/>
        <w:keepLines w:val="0"/>
        <w:widowControl/>
        <w:suppressLineNumbers w:val="0"/>
        <w:shd w:val="clear" w:color="auto" w:fill="FFFFFF"/>
        <w:ind w:left="0" w:firstLine="422" w:firstLineChars="200"/>
        <w:jc w:val="left"/>
        <w:rPr>
          <w:rFonts w:hint="eastAsia" w:ascii="宋体" w:hAnsi="宋体" w:eastAsia="宋体" w:cs="宋体"/>
          <w:i w:val="0"/>
          <w:iCs w:val="0"/>
          <w:caps w:val="0"/>
          <w:color w:val="000000" w:themeColor="text1"/>
          <w:spacing w:val="0"/>
          <w:sz w:val="21"/>
          <w:szCs w:val="21"/>
          <w:shd w:val="clear" w:color="auto" w:fill="FFFFFF"/>
          <w:lang w:eastAsia="zh-CN"/>
          <w14:textFill>
            <w14:solidFill>
              <w14:schemeClr w14:val="tx1"/>
            </w14:solidFill>
          </w14:textFill>
        </w:rPr>
      </w:pPr>
      <w:r>
        <w:rPr>
          <w:rFonts w:hint="eastAsia" w:ascii="宋体" w:hAnsi="宋体" w:eastAsia="宋体" w:cs="宋体"/>
          <w:b/>
          <w:bCs/>
          <w:i w:val="0"/>
          <w:iCs w:val="0"/>
          <w:caps w:val="0"/>
          <w:color w:val="000000" w:themeColor="text1"/>
          <w:spacing w:val="0"/>
          <w:sz w:val="21"/>
          <w:szCs w:val="21"/>
          <w:shd w:val="clear" w:color="auto" w:fill="FFFFFF"/>
          <w14:textFill>
            <w14:solidFill>
              <w14:schemeClr w14:val="tx1"/>
            </w14:solidFill>
          </w14:textFill>
        </w:rPr>
        <w:t>本公司（单位）提供</w:t>
      </w:r>
      <w:r>
        <w:rPr>
          <w:rFonts w:hint="eastAsia" w:ascii="宋体" w:hAnsi="宋体" w:cs="宋体"/>
          <w:b/>
          <w:bCs/>
          <w:i w:val="0"/>
          <w:iCs w:val="0"/>
          <w:caps w:val="0"/>
          <w:color w:val="000000" w:themeColor="text1"/>
          <w:spacing w:val="0"/>
          <w:sz w:val="21"/>
          <w:szCs w:val="21"/>
          <w:shd w:val="clear" w:color="auto" w:fill="FFFFFF"/>
          <w:lang w:val="en-US" w:eastAsia="zh-CN"/>
          <w14:textFill>
            <w14:solidFill>
              <w14:schemeClr w14:val="tx1"/>
            </w14:solidFill>
          </w14:textFill>
        </w:rPr>
        <w:t>上述</w:t>
      </w:r>
      <w:r>
        <w:rPr>
          <w:rFonts w:hint="eastAsia" w:ascii="宋体" w:hAnsi="宋体" w:eastAsia="宋体" w:cs="宋体"/>
          <w:b/>
          <w:bCs/>
          <w:i w:val="0"/>
          <w:iCs w:val="0"/>
          <w:caps w:val="0"/>
          <w:color w:val="000000" w:themeColor="text1"/>
          <w:spacing w:val="0"/>
          <w:sz w:val="21"/>
          <w:szCs w:val="21"/>
          <w:shd w:val="clear" w:color="auto" w:fill="FFFFFF"/>
          <w14:textFill>
            <w14:solidFill>
              <w14:schemeClr w14:val="tx1"/>
            </w14:solidFill>
          </w14:textFill>
        </w:rPr>
        <w:t>符合本国产品标准的产品成本之和占本公司（单位）提供的全部产品成本之和的比例达到</w:t>
      </w:r>
      <w:r>
        <w:rPr>
          <w:rFonts w:hint="eastAsia" w:ascii="宋体" w:hAnsi="宋体" w:eastAsia="宋体" w:cs="Times New Roman"/>
          <w:b/>
          <w:bCs/>
          <w:i/>
          <w:iCs/>
          <w:color w:val="000000" w:themeColor="text1"/>
          <w:kern w:val="2"/>
          <w:sz w:val="21"/>
          <w:szCs w:val="21"/>
          <w:u w:val="single"/>
          <w:lang w:val="en-US" w:eastAsia="zh-CN" w:bidi="ar-SA"/>
          <w14:textFill>
            <w14:solidFill>
              <w14:schemeClr w14:val="tx1"/>
            </w14:solidFill>
          </w14:textFill>
        </w:rPr>
        <w:t>（具体比例）</w:t>
      </w:r>
      <w:r>
        <w:rPr>
          <w:rFonts w:hint="eastAsia" w:ascii="宋体" w:hAnsi="宋体" w:cs="宋体"/>
          <w:b/>
          <w:bCs/>
          <w:i w:val="0"/>
          <w:iCs w:val="0"/>
          <w:caps w:val="0"/>
          <w:strike w:val="0"/>
          <w:dstrike w:val="0"/>
          <w:color w:val="FF0000"/>
          <w:spacing w:val="0"/>
          <w:sz w:val="21"/>
          <w:szCs w:val="21"/>
          <w:u w:val="none"/>
          <w:shd w:val="clear" w:color="auto" w:fill="FFFFFF"/>
          <w:lang w:val="en-US" w:eastAsia="zh-CN"/>
        </w:rPr>
        <w:t>6</w:t>
      </w:r>
      <w:r>
        <w:rPr>
          <w:rFonts w:hint="eastAsia" w:ascii="宋体" w:hAnsi="宋体" w:cs="宋体"/>
          <w:b/>
          <w:bCs/>
          <w:i w:val="0"/>
          <w:iCs w:val="0"/>
          <w:caps w:val="0"/>
          <w:color w:val="000000" w:themeColor="text1"/>
          <w:spacing w:val="0"/>
          <w:sz w:val="21"/>
          <w:szCs w:val="21"/>
          <w:shd w:val="clear" w:color="auto" w:fill="FFFFFF"/>
          <w:lang w:eastAsia="zh-CN"/>
          <w14:textFill>
            <w14:solidFill>
              <w14:schemeClr w14:val="tx1"/>
            </w14:solidFill>
          </w14:textFill>
        </w:rPr>
        <w:t>。</w:t>
      </w:r>
    </w:p>
    <w:p w14:paraId="2B68C1EE">
      <w:pPr>
        <w:pStyle w:val="38"/>
        <w:keepNext w:val="0"/>
        <w:keepLines w:val="0"/>
        <w:widowControl/>
        <w:suppressLineNumbers w:val="0"/>
        <w:shd w:val="clear" w:color="auto" w:fill="FFFFFF"/>
        <w:ind w:left="0" w:firstLine="420" w:firstLineChars="200"/>
        <w:jc w:val="left"/>
        <w:rPr>
          <w:rFonts w:hint="eastAsia" w:ascii="宋体" w:hAnsi="宋体" w:eastAsia="宋体" w:cs="宋体"/>
          <w:i w:val="0"/>
          <w:iCs w:val="0"/>
          <w:caps w:val="0"/>
          <w:color w:val="000000"/>
          <w:spacing w:val="0"/>
          <w:sz w:val="21"/>
          <w:szCs w:val="21"/>
        </w:rPr>
      </w:pPr>
      <w:r>
        <w:rPr>
          <w:rFonts w:hint="eastAsia" w:ascii="宋体" w:hAnsi="宋体" w:eastAsia="宋体" w:cs="宋体"/>
          <w:i w:val="0"/>
          <w:iCs w:val="0"/>
          <w:caps w:val="0"/>
          <w:color w:val="000000"/>
          <w:spacing w:val="0"/>
          <w:sz w:val="21"/>
          <w:szCs w:val="21"/>
          <w:shd w:val="clear" w:color="auto" w:fill="FFFFFF"/>
        </w:rPr>
        <w:t>本公司（单位）对上述声明内容的真实性负责。如有虚假，愿承担相应法律责任。</w:t>
      </w:r>
    </w:p>
    <w:p w14:paraId="60F3157B">
      <w:pPr>
        <w:pStyle w:val="38"/>
        <w:keepNext w:val="0"/>
        <w:keepLines w:val="0"/>
        <w:pageBreakBefore w:val="0"/>
        <w:widowControl/>
        <w:suppressLineNumbers w:val="0"/>
        <w:shd w:val="clear" w:color="auto" w:fill="FFFFFF"/>
        <w:kinsoku/>
        <w:wordWrap/>
        <w:overflowPunct/>
        <w:topLinePunct w:val="0"/>
        <w:autoSpaceDE/>
        <w:autoSpaceDN/>
        <w:bidi w:val="0"/>
        <w:adjustRightInd/>
        <w:snapToGrid/>
        <w:ind w:left="0" w:right="840" w:rightChars="400" w:firstLine="0"/>
        <w:jc w:val="right"/>
        <w:textAlignment w:val="auto"/>
        <w:rPr>
          <w:rFonts w:hint="eastAsia" w:ascii="宋体" w:hAnsi="宋体" w:eastAsia="宋体" w:cs="宋体"/>
          <w:i w:val="0"/>
          <w:iCs w:val="0"/>
          <w:caps w:val="0"/>
          <w:color w:val="000000"/>
          <w:spacing w:val="0"/>
          <w:sz w:val="21"/>
          <w:szCs w:val="21"/>
          <w:shd w:val="clear" w:color="auto" w:fill="FFFFFF"/>
        </w:rPr>
      </w:pPr>
    </w:p>
    <w:p w14:paraId="079B78F7">
      <w:pPr>
        <w:pStyle w:val="38"/>
        <w:keepNext w:val="0"/>
        <w:keepLines w:val="0"/>
        <w:pageBreakBefore w:val="0"/>
        <w:widowControl/>
        <w:suppressLineNumbers w:val="0"/>
        <w:shd w:val="clear" w:color="auto" w:fill="FFFFFF"/>
        <w:kinsoku/>
        <w:wordWrap/>
        <w:overflowPunct/>
        <w:topLinePunct w:val="0"/>
        <w:autoSpaceDE/>
        <w:autoSpaceDN/>
        <w:bidi w:val="0"/>
        <w:adjustRightInd/>
        <w:snapToGrid/>
        <w:ind w:left="0" w:right="840" w:rightChars="400" w:firstLine="0"/>
        <w:jc w:val="right"/>
        <w:textAlignment w:val="auto"/>
        <w:rPr>
          <w:rFonts w:hint="eastAsia" w:ascii="宋体" w:hAnsi="宋体" w:eastAsia="宋体" w:cs="宋体"/>
          <w:i w:val="0"/>
          <w:iCs w:val="0"/>
          <w:caps w:val="0"/>
          <w:color w:val="000000"/>
          <w:spacing w:val="0"/>
          <w:sz w:val="21"/>
          <w:szCs w:val="21"/>
        </w:rPr>
      </w:pPr>
      <w:r>
        <w:rPr>
          <w:rFonts w:hint="eastAsia" w:ascii="宋体" w:hAnsi="宋体" w:eastAsia="宋体" w:cs="宋体"/>
          <w:i w:val="0"/>
          <w:iCs w:val="0"/>
          <w:caps w:val="0"/>
          <w:color w:val="000000"/>
          <w:spacing w:val="0"/>
          <w:sz w:val="21"/>
          <w:szCs w:val="21"/>
          <w:shd w:val="clear" w:color="auto" w:fill="FFFFFF"/>
        </w:rPr>
        <w:t>公司（单位）名称：</w:t>
      </w:r>
    </w:p>
    <w:p w14:paraId="4802BA23">
      <w:pPr>
        <w:pStyle w:val="38"/>
        <w:keepNext w:val="0"/>
        <w:keepLines w:val="0"/>
        <w:pageBreakBefore w:val="0"/>
        <w:widowControl/>
        <w:suppressLineNumbers w:val="0"/>
        <w:shd w:val="clear" w:color="auto" w:fill="FFFFFF"/>
        <w:kinsoku/>
        <w:wordWrap/>
        <w:overflowPunct/>
        <w:topLinePunct w:val="0"/>
        <w:autoSpaceDE/>
        <w:autoSpaceDN/>
        <w:bidi w:val="0"/>
        <w:adjustRightInd/>
        <w:snapToGrid/>
        <w:ind w:left="0" w:right="840" w:rightChars="400" w:firstLine="0"/>
        <w:jc w:val="right"/>
        <w:textAlignment w:val="auto"/>
        <w:rPr>
          <w:rFonts w:hint="eastAsia" w:ascii="宋体" w:hAnsi="宋体" w:eastAsia="宋体" w:cs="宋体"/>
          <w:i w:val="0"/>
          <w:iCs w:val="0"/>
          <w:caps w:val="0"/>
          <w:color w:val="000000"/>
          <w:spacing w:val="0"/>
          <w:sz w:val="21"/>
          <w:szCs w:val="21"/>
        </w:rPr>
      </w:pPr>
      <w:r>
        <w:rPr>
          <w:rFonts w:hint="eastAsia" w:ascii="宋体" w:hAnsi="宋体" w:eastAsia="宋体" w:cs="宋体"/>
          <w:i w:val="0"/>
          <w:iCs w:val="0"/>
          <w:caps w:val="0"/>
          <w:color w:val="000000"/>
          <w:spacing w:val="0"/>
          <w:sz w:val="21"/>
          <w:szCs w:val="21"/>
          <w:shd w:val="clear" w:color="auto" w:fill="FFFFFF"/>
        </w:rPr>
        <w:t>日期：</w:t>
      </w:r>
      <w:r>
        <w:rPr>
          <w:rFonts w:hint="eastAsia" w:ascii="宋体" w:hAnsi="宋体" w:eastAsia="宋体" w:cs="宋体"/>
          <w:i w:val="0"/>
          <w:iCs w:val="0"/>
          <w:caps w:val="0"/>
          <w:color w:val="000000"/>
          <w:spacing w:val="0"/>
          <w:sz w:val="21"/>
          <w:szCs w:val="21"/>
          <w:shd w:val="clear" w:color="auto" w:fill="FFFFFF"/>
          <w:lang w:val="en-US" w:eastAsia="zh-CN"/>
        </w:rPr>
        <w:t xml:space="preserve">    </w:t>
      </w:r>
      <w:r>
        <w:rPr>
          <w:rFonts w:hint="eastAsia" w:ascii="宋体" w:hAnsi="宋体" w:eastAsia="宋体" w:cs="宋体"/>
          <w:i w:val="0"/>
          <w:iCs w:val="0"/>
          <w:caps w:val="0"/>
          <w:color w:val="000000"/>
          <w:spacing w:val="0"/>
          <w:sz w:val="21"/>
          <w:szCs w:val="21"/>
          <w:shd w:val="clear" w:color="auto" w:fill="FFFFFF"/>
        </w:rPr>
        <w:t>年</w:t>
      </w:r>
      <w:r>
        <w:rPr>
          <w:rFonts w:hint="eastAsia" w:ascii="宋体" w:hAnsi="宋体" w:eastAsia="宋体" w:cs="宋体"/>
          <w:i w:val="0"/>
          <w:iCs w:val="0"/>
          <w:caps w:val="0"/>
          <w:color w:val="000000"/>
          <w:spacing w:val="0"/>
          <w:sz w:val="21"/>
          <w:szCs w:val="21"/>
          <w:shd w:val="clear" w:color="auto" w:fill="FFFFFF"/>
          <w:lang w:val="en-US" w:eastAsia="zh-CN"/>
        </w:rPr>
        <w:t xml:space="preserve">  </w:t>
      </w:r>
      <w:r>
        <w:rPr>
          <w:rFonts w:hint="eastAsia" w:ascii="宋体" w:hAnsi="宋体" w:eastAsia="宋体" w:cs="宋体"/>
          <w:i w:val="0"/>
          <w:iCs w:val="0"/>
          <w:caps w:val="0"/>
          <w:color w:val="000000"/>
          <w:spacing w:val="0"/>
          <w:sz w:val="21"/>
          <w:szCs w:val="21"/>
          <w:shd w:val="clear" w:color="auto" w:fill="FFFFFF"/>
        </w:rPr>
        <w:t>月</w:t>
      </w:r>
      <w:r>
        <w:rPr>
          <w:rFonts w:hint="eastAsia" w:ascii="宋体" w:hAnsi="宋体" w:eastAsia="宋体" w:cs="宋体"/>
          <w:i w:val="0"/>
          <w:iCs w:val="0"/>
          <w:caps w:val="0"/>
          <w:color w:val="000000"/>
          <w:spacing w:val="0"/>
          <w:sz w:val="21"/>
          <w:szCs w:val="21"/>
          <w:shd w:val="clear" w:color="auto" w:fill="FFFFFF"/>
          <w:lang w:val="en-US" w:eastAsia="zh-CN"/>
        </w:rPr>
        <w:t xml:space="preserve">  </w:t>
      </w:r>
      <w:r>
        <w:rPr>
          <w:rFonts w:hint="eastAsia" w:ascii="宋体" w:hAnsi="宋体" w:eastAsia="宋体" w:cs="宋体"/>
          <w:i w:val="0"/>
          <w:iCs w:val="0"/>
          <w:caps w:val="0"/>
          <w:color w:val="000000"/>
          <w:spacing w:val="0"/>
          <w:sz w:val="21"/>
          <w:szCs w:val="21"/>
          <w:shd w:val="clear" w:color="auto" w:fill="FFFFFF"/>
        </w:rPr>
        <w:t>日</w:t>
      </w:r>
    </w:p>
    <w:p w14:paraId="4D0D2D55">
      <w:pPr>
        <w:ind w:left="723" w:hanging="723" w:hangingChars="300"/>
        <w:rPr>
          <w:b/>
          <w:sz w:val="24"/>
        </w:rPr>
      </w:pPr>
    </w:p>
    <w:p w14:paraId="559980E0">
      <w:pPr>
        <w:pStyle w:val="4"/>
        <w:jc w:val="center"/>
        <w:rPr>
          <w:rFonts w:hint="eastAsia" w:ascii="黑体" w:eastAsia="黑体"/>
          <w:b w:val="0"/>
          <w:sz w:val="24"/>
          <w:szCs w:val="24"/>
        </w:rPr>
      </w:pPr>
      <w:r>
        <w:rPr>
          <w:rFonts w:hint="eastAsia" w:ascii="黑体" w:eastAsia="黑体"/>
          <w:b w:val="0"/>
          <w:sz w:val="24"/>
          <w:lang w:val="en-US" w:eastAsia="zh-CN"/>
        </w:rPr>
        <w:t>四</w:t>
      </w:r>
      <w:r>
        <w:rPr>
          <w:rFonts w:hint="eastAsia" w:ascii="黑体" w:eastAsia="黑体"/>
          <w:b w:val="0"/>
          <w:sz w:val="24"/>
        </w:rPr>
        <w:t>、</w:t>
      </w:r>
      <w:r>
        <w:rPr>
          <w:rFonts w:hint="eastAsia" w:ascii="黑体" w:eastAsia="黑体"/>
          <w:b w:val="0"/>
          <w:sz w:val="24"/>
          <w:szCs w:val="24"/>
        </w:rPr>
        <w:t>体系认证情况</w:t>
      </w:r>
    </w:p>
    <w:p w14:paraId="660D23C7">
      <w:pPr>
        <w:pStyle w:val="4"/>
        <w:jc w:val="center"/>
        <w:rPr>
          <w:rFonts w:ascii="黑体" w:eastAsia="黑体"/>
          <w:b w:val="0"/>
          <w:sz w:val="24"/>
          <w:szCs w:val="24"/>
        </w:rPr>
      </w:pPr>
      <w:r>
        <w:rPr>
          <w:rFonts w:hint="eastAsia" w:ascii="黑体" w:eastAsia="黑体"/>
          <w:b w:val="0"/>
          <w:sz w:val="24"/>
          <w:szCs w:val="24"/>
        </w:rPr>
        <w:t>（格式自定）</w:t>
      </w:r>
    </w:p>
    <w:p w14:paraId="02369676">
      <w:pPr>
        <w:pStyle w:val="19"/>
        <w:rPr>
          <w:b w:val="0"/>
          <w:bCs w:val="0"/>
        </w:rPr>
      </w:pPr>
      <w:r>
        <w:rPr>
          <w:rFonts w:hint="eastAsia"/>
          <w:b w:val="0"/>
          <w:bCs w:val="0"/>
        </w:rPr>
        <w:t>（特别提示：投标人须按本招标文件评标信息中这一评审因素要求，提供证明资料）</w:t>
      </w:r>
    </w:p>
    <w:p w14:paraId="0058F98A">
      <w:pPr>
        <w:pStyle w:val="4"/>
        <w:jc w:val="center"/>
        <w:rPr>
          <w:rFonts w:hint="eastAsia" w:ascii="黑体" w:eastAsia="黑体"/>
          <w:b w:val="0"/>
          <w:sz w:val="24"/>
          <w:szCs w:val="24"/>
        </w:rPr>
      </w:pPr>
      <w:r>
        <w:rPr>
          <w:rFonts w:hint="eastAsia" w:ascii="黑体" w:eastAsia="黑体"/>
          <w:b w:val="0"/>
          <w:sz w:val="24"/>
          <w:lang w:val="en-US" w:eastAsia="zh-CN"/>
        </w:rPr>
        <w:t>五</w:t>
      </w:r>
      <w:r>
        <w:rPr>
          <w:rFonts w:hint="eastAsia" w:ascii="黑体" w:eastAsia="黑体"/>
          <w:b w:val="0"/>
          <w:sz w:val="24"/>
        </w:rPr>
        <w:t>、</w:t>
      </w:r>
      <w:r>
        <w:rPr>
          <w:rFonts w:hint="eastAsia" w:ascii="黑体" w:eastAsia="黑体"/>
          <w:b w:val="0"/>
          <w:sz w:val="24"/>
          <w:szCs w:val="24"/>
        </w:rPr>
        <w:t>应急维稳处突及反恐能力</w:t>
      </w:r>
    </w:p>
    <w:p w14:paraId="5062C19E">
      <w:pPr>
        <w:pStyle w:val="4"/>
        <w:jc w:val="center"/>
        <w:rPr>
          <w:rFonts w:ascii="黑体" w:eastAsia="黑体"/>
          <w:b w:val="0"/>
          <w:sz w:val="24"/>
          <w:szCs w:val="24"/>
        </w:rPr>
      </w:pPr>
      <w:r>
        <w:rPr>
          <w:rFonts w:hint="eastAsia" w:ascii="黑体" w:eastAsia="黑体"/>
          <w:b w:val="0"/>
          <w:sz w:val="24"/>
          <w:szCs w:val="24"/>
        </w:rPr>
        <w:t>（格式自定）</w:t>
      </w:r>
    </w:p>
    <w:p w14:paraId="37664A69">
      <w:pPr>
        <w:pStyle w:val="19"/>
        <w:rPr>
          <w:b w:val="0"/>
          <w:bCs w:val="0"/>
        </w:rPr>
      </w:pPr>
      <w:r>
        <w:rPr>
          <w:rFonts w:hint="eastAsia"/>
          <w:b w:val="0"/>
          <w:bCs w:val="0"/>
        </w:rPr>
        <w:t>（特别提示：投标人须按本招标文件评标信息中这一评审因素要求，提供证明资料）</w:t>
      </w:r>
    </w:p>
    <w:p w14:paraId="64B8657F">
      <w:pPr>
        <w:pStyle w:val="4"/>
        <w:jc w:val="center"/>
        <w:rPr>
          <w:rFonts w:ascii="黑体" w:eastAsia="黑体"/>
          <w:b w:val="0"/>
          <w:sz w:val="24"/>
          <w:szCs w:val="24"/>
        </w:rPr>
      </w:pPr>
      <w:r>
        <w:rPr>
          <w:rFonts w:hint="eastAsia" w:ascii="黑体" w:eastAsia="黑体"/>
          <w:b w:val="0"/>
          <w:sz w:val="24"/>
          <w:lang w:val="en-US" w:eastAsia="zh-CN"/>
        </w:rPr>
        <w:t>六</w:t>
      </w:r>
      <w:r>
        <w:rPr>
          <w:rFonts w:hint="eastAsia" w:ascii="黑体" w:eastAsia="黑体"/>
          <w:b w:val="0"/>
          <w:sz w:val="24"/>
        </w:rPr>
        <w:t>、</w:t>
      </w:r>
      <w:r>
        <w:rPr>
          <w:rFonts w:hint="eastAsia" w:ascii="黑体" w:eastAsia="黑体"/>
          <w:b w:val="0"/>
          <w:sz w:val="24"/>
          <w:szCs w:val="24"/>
        </w:rPr>
        <w:t>投标人荣誉情况（格式自定）</w:t>
      </w:r>
    </w:p>
    <w:p w14:paraId="1EEAC816">
      <w:pPr>
        <w:pStyle w:val="19"/>
        <w:rPr>
          <w:b w:val="0"/>
          <w:bCs w:val="0"/>
        </w:rPr>
      </w:pPr>
      <w:r>
        <w:rPr>
          <w:rFonts w:hint="eastAsia"/>
          <w:b w:val="0"/>
          <w:bCs w:val="0"/>
        </w:rPr>
        <w:t>（特别提示：投标人须按本招标文件评标信息中这一评审因素要求，提供证明资料）</w:t>
      </w:r>
    </w:p>
    <w:p w14:paraId="24C43DE2"/>
    <w:p w14:paraId="2DD2447C">
      <w:pPr>
        <w:pStyle w:val="19"/>
      </w:pPr>
    </w:p>
    <w:p w14:paraId="704FD6C9">
      <w:pPr>
        <w:ind w:firstLine="1446" w:firstLineChars="600"/>
        <w:rPr>
          <w:b/>
          <w:color w:val="FF0000"/>
          <w:sz w:val="24"/>
        </w:rPr>
      </w:pPr>
      <w:r>
        <w:rPr>
          <w:rFonts w:hint="eastAsia"/>
          <w:b/>
          <w:color w:val="FF0000"/>
          <w:sz w:val="24"/>
        </w:rPr>
        <w:t>（信息公开部分的内容到此为止！以下为信息不公开部分。）</w:t>
      </w:r>
    </w:p>
    <w:p w14:paraId="7EC0F3EF">
      <w:pPr>
        <w:jc w:val="center"/>
        <w:rPr>
          <w:b/>
          <w:sz w:val="32"/>
          <w:szCs w:val="32"/>
        </w:rPr>
      </w:pPr>
    </w:p>
    <w:p w14:paraId="3683FA4A">
      <w:pPr>
        <w:rPr>
          <w:rFonts w:ascii="仿宋_GB2312" w:eastAsia="仿宋_GB2312"/>
          <w:b/>
          <w:sz w:val="30"/>
          <w:szCs w:val="30"/>
        </w:rPr>
      </w:pPr>
      <w:r>
        <w:br w:type="page"/>
      </w:r>
    </w:p>
    <w:p w14:paraId="6BE30F29">
      <w:pPr>
        <w:outlineLvl w:val="1"/>
        <w:rPr>
          <w:rFonts w:hint="eastAsia" w:ascii="宋体" w:hAnsi="宋体"/>
          <w:b/>
          <w:color w:val="FF0000"/>
          <w:sz w:val="28"/>
          <w:szCs w:val="28"/>
        </w:rPr>
      </w:pPr>
      <w:r>
        <w:rPr>
          <w:rFonts w:hint="eastAsia" w:ascii="宋体" w:hAnsi="宋体"/>
          <w:b/>
          <w:color w:val="FF0000"/>
          <w:sz w:val="28"/>
          <w:szCs w:val="28"/>
        </w:rPr>
        <w:t>投标文件附件（信息不公开部分）</w:t>
      </w:r>
    </w:p>
    <w:p w14:paraId="6AE3677B">
      <w:pPr>
        <w:pStyle w:val="201"/>
        <w:rPr>
          <w:rFonts w:hint="eastAsia" w:ascii="宋体" w:hAnsi="宋体"/>
          <w:b/>
          <w:color w:val="FF0000"/>
          <w:sz w:val="28"/>
          <w:szCs w:val="28"/>
        </w:rPr>
      </w:pPr>
    </w:p>
    <w:p w14:paraId="370A2C67">
      <w:pPr>
        <w:pStyle w:val="4"/>
        <w:jc w:val="center"/>
        <w:rPr>
          <w:rFonts w:hint="eastAsia" w:ascii="黑体" w:eastAsia="黑体"/>
          <w:b w:val="0"/>
          <w:sz w:val="24"/>
          <w:lang w:val="en-US" w:eastAsia="zh-CN"/>
        </w:rPr>
      </w:pPr>
      <w:r>
        <w:rPr>
          <w:rFonts w:hint="eastAsia" w:ascii="黑体" w:eastAsia="黑体"/>
          <w:b w:val="0"/>
          <w:sz w:val="24"/>
          <w:lang w:val="en-US" w:eastAsia="zh-CN"/>
        </w:rPr>
        <w:t>一、供应商基本情况表</w:t>
      </w:r>
    </w:p>
    <w:tbl>
      <w:tblPr>
        <w:tblStyle w:val="43"/>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0"/>
        <w:gridCol w:w="645"/>
        <w:gridCol w:w="1530"/>
        <w:gridCol w:w="904"/>
        <w:gridCol w:w="752"/>
        <w:gridCol w:w="1146"/>
        <w:gridCol w:w="1429"/>
        <w:gridCol w:w="1420"/>
      </w:tblGrid>
      <w:tr w14:paraId="15F14D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9" w:type="pct"/>
            <w:gridSpan w:val="2"/>
            <w:noWrap w:val="0"/>
            <w:vAlign w:val="center"/>
          </w:tcPr>
          <w:p w14:paraId="1C97BAF7">
            <w:pPr>
              <w:jc w:val="both"/>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投标（响应）供应商</w:t>
            </w:r>
          </w:p>
        </w:tc>
        <w:tc>
          <w:tcPr>
            <w:tcW w:w="1427" w:type="pct"/>
            <w:gridSpan w:val="2"/>
            <w:noWrap w:val="0"/>
            <w:vAlign w:val="center"/>
          </w:tcPr>
          <w:p w14:paraId="003EA5FF">
            <w:pPr>
              <w:jc w:val="center"/>
              <w:rPr>
                <w:rFonts w:hint="eastAsia" w:ascii="宋体" w:hAnsi="宋体" w:eastAsia="宋体" w:cs="宋体"/>
                <w:color w:val="auto"/>
                <w:sz w:val="21"/>
                <w:szCs w:val="21"/>
                <w:vertAlign w:val="baseline"/>
                <w:lang w:val="en-US" w:eastAsia="zh-CN"/>
              </w:rPr>
            </w:pPr>
          </w:p>
        </w:tc>
        <w:tc>
          <w:tcPr>
            <w:tcW w:w="1113" w:type="pct"/>
            <w:gridSpan w:val="2"/>
            <w:noWrap w:val="0"/>
            <w:vAlign w:val="center"/>
          </w:tcPr>
          <w:p w14:paraId="719CC490">
            <w:pPr>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项目名称及编号</w:t>
            </w:r>
          </w:p>
        </w:tc>
        <w:tc>
          <w:tcPr>
            <w:tcW w:w="1669" w:type="pct"/>
            <w:gridSpan w:val="2"/>
            <w:noWrap w:val="0"/>
            <w:vAlign w:val="center"/>
          </w:tcPr>
          <w:p w14:paraId="72E935DC">
            <w:pPr>
              <w:jc w:val="center"/>
              <w:rPr>
                <w:rFonts w:hint="eastAsia" w:ascii="宋体" w:hAnsi="宋体" w:eastAsia="宋体" w:cs="宋体"/>
                <w:color w:val="auto"/>
                <w:sz w:val="21"/>
                <w:szCs w:val="21"/>
                <w:vertAlign w:val="baseline"/>
                <w:lang w:val="en-US" w:eastAsia="zh-CN"/>
              </w:rPr>
            </w:pPr>
          </w:p>
        </w:tc>
      </w:tr>
      <w:tr w14:paraId="1339C0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00" w:type="pct"/>
            <w:gridSpan w:val="8"/>
            <w:noWrap w:val="0"/>
            <w:vAlign w:val="center"/>
          </w:tcPr>
          <w:p w14:paraId="1DD83376">
            <w:pPr>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b/>
                <w:bCs/>
                <w:color w:val="auto"/>
                <w:sz w:val="21"/>
                <w:szCs w:val="21"/>
                <w:vertAlign w:val="baseline"/>
                <w:lang w:val="en-US" w:eastAsia="zh-CN"/>
              </w:rPr>
              <w:t>投标（响应）供应商相关人员情况</w:t>
            </w:r>
          </w:p>
        </w:tc>
      </w:tr>
      <w:tr w14:paraId="7D1EA1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1" w:type="pct"/>
            <w:tcBorders>
              <w:bottom w:val="single" w:color="auto" w:sz="4" w:space="0"/>
            </w:tcBorders>
            <w:noWrap w:val="0"/>
            <w:vAlign w:val="center"/>
          </w:tcPr>
          <w:p w14:paraId="6F5A3899">
            <w:pPr>
              <w:snapToGrid w:val="0"/>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序号</w:t>
            </w:r>
          </w:p>
        </w:tc>
        <w:tc>
          <w:tcPr>
            <w:tcW w:w="1275" w:type="pct"/>
            <w:gridSpan w:val="2"/>
            <w:tcBorders>
              <w:bottom w:val="single" w:color="auto" w:sz="4" w:space="0"/>
            </w:tcBorders>
            <w:noWrap w:val="0"/>
            <w:vAlign w:val="center"/>
          </w:tcPr>
          <w:p w14:paraId="155CEBBD">
            <w:pPr>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职务</w:t>
            </w:r>
          </w:p>
        </w:tc>
        <w:tc>
          <w:tcPr>
            <w:tcW w:w="529" w:type="pct"/>
            <w:tcBorders>
              <w:bottom w:val="single" w:color="auto" w:sz="4" w:space="0"/>
            </w:tcBorders>
            <w:noWrap w:val="0"/>
            <w:vAlign w:val="center"/>
          </w:tcPr>
          <w:p w14:paraId="46858B2A">
            <w:pPr>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姓名</w:t>
            </w:r>
          </w:p>
        </w:tc>
        <w:tc>
          <w:tcPr>
            <w:tcW w:w="1113" w:type="pct"/>
            <w:gridSpan w:val="2"/>
            <w:tcBorders>
              <w:bottom w:val="single" w:color="auto" w:sz="4" w:space="0"/>
            </w:tcBorders>
            <w:noWrap w:val="0"/>
            <w:vAlign w:val="center"/>
          </w:tcPr>
          <w:p w14:paraId="3784C4ED">
            <w:pPr>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身份证号码</w:t>
            </w:r>
          </w:p>
        </w:tc>
        <w:tc>
          <w:tcPr>
            <w:tcW w:w="838" w:type="pct"/>
            <w:tcBorders>
              <w:bottom w:val="single" w:color="auto" w:sz="4" w:space="0"/>
            </w:tcBorders>
            <w:noWrap w:val="0"/>
            <w:vAlign w:val="center"/>
          </w:tcPr>
          <w:p w14:paraId="639B56EA">
            <w:pPr>
              <w:snapToGrid w:val="0"/>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劳动合同</w:t>
            </w:r>
          </w:p>
          <w:p w14:paraId="6BF22702">
            <w:pPr>
              <w:snapToGrid w:val="0"/>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关系单位</w:t>
            </w:r>
          </w:p>
        </w:tc>
        <w:tc>
          <w:tcPr>
            <w:tcW w:w="830" w:type="pct"/>
            <w:tcBorders>
              <w:bottom w:val="single" w:color="auto" w:sz="4" w:space="0"/>
            </w:tcBorders>
            <w:noWrap w:val="0"/>
            <w:vAlign w:val="center"/>
          </w:tcPr>
          <w:p w14:paraId="43202014">
            <w:pPr>
              <w:snapToGrid w:val="0"/>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缴纳社会</w:t>
            </w:r>
          </w:p>
          <w:p w14:paraId="3C8A0CFE">
            <w:pPr>
              <w:snapToGrid w:val="0"/>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保险单位</w:t>
            </w:r>
          </w:p>
        </w:tc>
      </w:tr>
      <w:tr w14:paraId="0D3AE0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1" w:type="pct"/>
            <w:tcBorders>
              <w:top w:val="single" w:color="auto" w:sz="4" w:space="0"/>
              <w:left w:val="single" w:color="auto" w:sz="4" w:space="0"/>
              <w:bottom w:val="single" w:color="auto" w:sz="4" w:space="0"/>
              <w:right w:val="single" w:color="auto" w:sz="4" w:space="0"/>
            </w:tcBorders>
            <w:noWrap w:val="0"/>
            <w:vAlign w:val="center"/>
          </w:tcPr>
          <w:p w14:paraId="74710EA2">
            <w:pPr>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1</w:t>
            </w:r>
          </w:p>
        </w:tc>
        <w:tc>
          <w:tcPr>
            <w:tcW w:w="1275" w:type="pct"/>
            <w:gridSpan w:val="2"/>
            <w:tcBorders>
              <w:top w:val="single" w:color="auto" w:sz="4" w:space="0"/>
              <w:left w:val="single" w:color="auto" w:sz="4" w:space="0"/>
              <w:bottom w:val="single" w:color="auto" w:sz="4" w:space="0"/>
              <w:right w:val="single" w:color="auto" w:sz="4" w:space="0"/>
            </w:tcBorders>
            <w:noWrap w:val="0"/>
            <w:vAlign w:val="center"/>
          </w:tcPr>
          <w:p w14:paraId="5815F998">
            <w:pPr>
              <w:spacing w:line="460" w:lineRule="exact"/>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法定代表人</w:t>
            </w:r>
            <w:r>
              <w:rPr>
                <w:rFonts w:hint="eastAsia" w:ascii="宋体" w:hAnsi="宋体" w:eastAsia="宋体" w:cs="宋体"/>
                <w:color w:val="auto"/>
                <w:sz w:val="21"/>
                <w:szCs w:val="21"/>
                <w:highlight w:val="none"/>
                <w:lang w:val="en-US" w:eastAsia="zh-CN"/>
              </w:rPr>
              <w:t>/单位负责人/主要经营负责人</w:t>
            </w:r>
          </w:p>
        </w:tc>
        <w:tc>
          <w:tcPr>
            <w:tcW w:w="529" w:type="pct"/>
            <w:tcBorders>
              <w:top w:val="single" w:color="auto" w:sz="4" w:space="0"/>
              <w:left w:val="single" w:color="auto" w:sz="4" w:space="0"/>
              <w:bottom w:val="single" w:color="auto" w:sz="4" w:space="0"/>
              <w:right w:val="single" w:color="auto" w:sz="4" w:space="0"/>
            </w:tcBorders>
            <w:noWrap w:val="0"/>
            <w:vAlign w:val="center"/>
          </w:tcPr>
          <w:p w14:paraId="6F2D9E58">
            <w:pPr>
              <w:jc w:val="center"/>
              <w:rPr>
                <w:rFonts w:hint="eastAsia" w:ascii="宋体" w:hAnsi="宋体" w:eastAsia="宋体" w:cs="宋体"/>
                <w:color w:val="auto"/>
                <w:sz w:val="21"/>
                <w:szCs w:val="21"/>
                <w:vertAlign w:val="baseline"/>
                <w:lang w:val="en-US" w:eastAsia="zh-CN"/>
              </w:rPr>
            </w:pPr>
          </w:p>
        </w:tc>
        <w:tc>
          <w:tcPr>
            <w:tcW w:w="1113" w:type="pct"/>
            <w:gridSpan w:val="2"/>
            <w:tcBorders>
              <w:top w:val="single" w:color="auto" w:sz="4" w:space="0"/>
              <w:left w:val="single" w:color="auto" w:sz="4" w:space="0"/>
              <w:bottom w:val="single" w:color="auto" w:sz="4" w:space="0"/>
              <w:right w:val="single" w:color="auto" w:sz="4" w:space="0"/>
            </w:tcBorders>
            <w:noWrap w:val="0"/>
            <w:vAlign w:val="center"/>
          </w:tcPr>
          <w:p w14:paraId="1D69D193">
            <w:pPr>
              <w:jc w:val="center"/>
              <w:rPr>
                <w:rFonts w:hint="eastAsia" w:ascii="宋体" w:hAnsi="宋体" w:eastAsia="宋体" w:cs="宋体"/>
                <w:color w:val="auto"/>
                <w:sz w:val="21"/>
                <w:szCs w:val="21"/>
                <w:vertAlign w:val="baseline"/>
                <w:lang w:val="en-US" w:eastAsia="zh-CN"/>
              </w:rPr>
            </w:pPr>
          </w:p>
        </w:tc>
        <w:tc>
          <w:tcPr>
            <w:tcW w:w="838" w:type="pct"/>
            <w:tcBorders>
              <w:top w:val="single" w:color="auto" w:sz="4" w:space="0"/>
              <w:left w:val="single" w:color="auto" w:sz="4" w:space="0"/>
              <w:bottom w:val="single" w:color="auto" w:sz="4" w:space="0"/>
              <w:right w:val="single" w:color="auto" w:sz="4" w:space="0"/>
            </w:tcBorders>
            <w:noWrap w:val="0"/>
            <w:vAlign w:val="center"/>
          </w:tcPr>
          <w:p w14:paraId="6874321F">
            <w:pPr>
              <w:jc w:val="center"/>
              <w:rPr>
                <w:rFonts w:hint="eastAsia" w:ascii="宋体" w:hAnsi="宋体" w:eastAsia="宋体" w:cs="宋体"/>
                <w:color w:val="auto"/>
                <w:sz w:val="21"/>
                <w:szCs w:val="21"/>
                <w:vertAlign w:val="baseline"/>
                <w:lang w:val="en-US" w:eastAsia="zh-CN"/>
              </w:rPr>
            </w:pPr>
          </w:p>
        </w:tc>
        <w:tc>
          <w:tcPr>
            <w:tcW w:w="830" w:type="pct"/>
            <w:tcBorders>
              <w:top w:val="single" w:color="auto" w:sz="4" w:space="0"/>
              <w:left w:val="single" w:color="auto" w:sz="4" w:space="0"/>
              <w:bottom w:val="single" w:color="auto" w:sz="4" w:space="0"/>
              <w:right w:val="single" w:color="auto" w:sz="4" w:space="0"/>
            </w:tcBorders>
            <w:noWrap w:val="0"/>
            <w:vAlign w:val="center"/>
          </w:tcPr>
          <w:p w14:paraId="19B966BF">
            <w:pPr>
              <w:jc w:val="center"/>
              <w:rPr>
                <w:rFonts w:hint="eastAsia" w:ascii="宋体" w:hAnsi="宋体" w:eastAsia="宋体" w:cs="宋体"/>
                <w:color w:val="auto"/>
                <w:sz w:val="21"/>
                <w:szCs w:val="21"/>
                <w:vertAlign w:val="baseline"/>
                <w:lang w:val="en-US" w:eastAsia="zh-CN"/>
              </w:rPr>
            </w:pPr>
          </w:p>
        </w:tc>
      </w:tr>
      <w:tr w14:paraId="77C202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1" w:type="pct"/>
            <w:tcBorders>
              <w:top w:val="single" w:color="auto" w:sz="4" w:space="0"/>
              <w:left w:val="single" w:color="auto" w:sz="4" w:space="0"/>
              <w:bottom w:val="single" w:color="auto" w:sz="4" w:space="0"/>
              <w:right w:val="single" w:color="auto" w:sz="4" w:space="0"/>
            </w:tcBorders>
            <w:noWrap w:val="0"/>
            <w:vAlign w:val="center"/>
          </w:tcPr>
          <w:p w14:paraId="06E63769">
            <w:pPr>
              <w:spacing w:beforeLines="0" w:afterLines="0"/>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rPr>
              <w:t>2</w:t>
            </w:r>
          </w:p>
        </w:tc>
        <w:tc>
          <w:tcPr>
            <w:tcW w:w="1275" w:type="pct"/>
            <w:gridSpan w:val="2"/>
            <w:tcBorders>
              <w:top w:val="single" w:color="auto" w:sz="4" w:space="0"/>
              <w:left w:val="single" w:color="auto" w:sz="4" w:space="0"/>
              <w:bottom w:val="single" w:color="auto" w:sz="4" w:space="0"/>
              <w:right w:val="single" w:color="auto" w:sz="4" w:space="0"/>
            </w:tcBorders>
            <w:noWrap w:val="0"/>
            <w:vAlign w:val="center"/>
          </w:tcPr>
          <w:p w14:paraId="03B6A6F4">
            <w:pPr>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highlight w:val="none"/>
              </w:rPr>
              <w:t>项目投标授权代表人</w:t>
            </w:r>
          </w:p>
        </w:tc>
        <w:tc>
          <w:tcPr>
            <w:tcW w:w="529" w:type="pct"/>
            <w:tcBorders>
              <w:top w:val="single" w:color="auto" w:sz="4" w:space="0"/>
              <w:left w:val="single" w:color="auto" w:sz="4" w:space="0"/>
              <w:bottom w:val="single" w:color="auto" w:sz="4" w:space="0"/>
              <w:right w:val="single" w:color="auto" w:sz="4" w:space="0"/>
            </w:tcBorders>
            <w:noWrap w:val="0"/>
            <w:vAlign w:val="center"/>
          </w:tcPr>
          <w:p w14:paraId="32B2045F">
            <w:pPr>
              <w:jc w:val="center"/>
              <w:rPr>
                <w:rFonts w:hint="eastAsia" w:ascii="宋体" w:hAnsi="宋体" w:eastAsia="宋体" w:cs="宋体"/>
                <w:color w:val="auto"/>
                <w:sz w:val="21"/>
                <w:szCs w:val="21"/>
                <w:vertAlign w:val="baseline"/>
                <w:lang w:val="en-US" w:eastAsia="zh-CN"/>
              </w:rPr>
            </w:pPr>
          </w:p>
        </w:tc>
        <w:tc>
          <w:tcPr>
            <w:tcW w:w="1113" w:type="pct"/>
            <w:gridSpan w:val="2"/>
            <w:tcBorders>
              <w:top w:val="single" w:color="auto" w:sz="4" w:space="0"/>
              <w:left w:val="single" w:color="auto" w:sz="4" w:space="0"/>
              <w:bottom w:val="single" w:color="auto" w:sz="4" w:space="0"/>
              <w:right w:val="single" w:color="auto" w:sz="4" w:space="0"/>
            </w:tcBorders>
            <w:noWrap w:val="0"/>
            <w:vAlign w:val="center"/>
          </w:tcPr>
          <w:p w14:paraId="335142E8">
            <w:pPr>
              <w:jc w:val="center"/>
              <w:rPr>
                <w:rFonts w:hint="eastAsia" w:ascii="宋体" w:hAnsi="宋体" w:eastAsia="宋体" w:cs="宋体"/>
                <w:color w:val="auto"/>
                <w:sz w:val="21"/>
                <w:szCs w:val="21"/>
                <w:vertAlign w:val="baseline"/>
                <w:lang w:val="en-US" w:eastAsia="zh-CN"/>
              </w:rPr>
            </w:pPr>
          </w:p>
        </w:tc>
        <w:tc>
          <w:tcPr>
            <w:tcW w:w="838" w:type="pct"/>
            <w:tcBorders>
              <w:top w:val="single" w:color="auto" w:sz="4" w:space="0"/>
              <w:left w:val="single" w:color="auto" w:sz="4" w:space="0"/>
              <w:bottom w:val="single" w:color="auto" w:sz="4" w:space="0"/>
              <w:right w:val="single" w:color="auto" w:sz="4" w:space="0"/>
            </w:tcBorders>
            <w:noWrap w:val="0"/>
            <w:vAlign w:val="center"/>
          </w:tcPr>
          <w:p w14:paraId="1FA10EC6">
            <w:pPr>
              <w:jc w:val="center"/>
              <w:rPr>
                <w:rFonts w:hint="eastAsia" w:ascii="宋体" w:hAnsi="宋体" w:eastAsia="宋体" w:cs="宋体"/>
                <w:color w:val="auto"/>
                <w:sz w:val="21"/>
                <w:szCs w:val="21"/>
                <w:vertAlign w:val="baseline"/>
                <w:lang w:val="en-US" w:eastAsia="zh-CN"/>
              </w:rPr>
            </w:pPr>
          </w:p>
        </w:tc>
        <w:tc>
          <w:tcPr>
            <w:tcW w:w="830" w:type="pct"/>
            <w:tcBorders>
              <w:top w:val="single" w:color="auto" w:sz="4" w:space="0"/>
              <w:left w:val="single" w:color="auto" w:sz="4" w:space="0"/>
              <w:bottom w:val="single" w:color="auto" w:sz="4" w:space="0"/>
              <w:right w:val="single" w:color="auto" w:sz="4" w:space="0"/>
            </w:tcBorders>
            <w:noWrap w:val="0"/>
            <w:vAlign w:val="center"/>
          </w:tcPr>
          <w:p w14:paraId="4E1F8C41">
            <w:pPr>
              <w:jc w:val="center"/>
              <w:rPr>
                <w:rFonts w:hint="eastAsia" w:ascii="宋体" w:hAnsi="宋体" w:eastAsia="宋体" w:cs="宋体"/>
                <w:color w:val="auto"/>
                <w:sz w:val="21"/>
                <w:szCs w:val="21"/>
                <w:vertAlign w:val="baseline"/>
                <w:lang w:val="en-US" w:eastAsia="zh-CN"/>
              </w:rPr>
            </w:pPr>
          </w:p>
        </w:tc>
      </w:tr>
      <w:tr w14:paraId="4DC976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1" w:type="pct"/>
            <w:tcBorders>
              <w:top w:val="single" w:color="auto" w:sz="4" w:space="0"/>
            </w:tcBorders>
            <w:noWrap w:val="0"/>
            <w:vAlign w:val="center"/>
          </w:tcPr>
          <w:p w14:paraId="52CD890A">
            <w:pPr>
              <w:spacing w:beforeLines="0" w:afterLines="0"/>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rPr>
              <w:t>3</w:t>
            </w:r>
          </w:p>
        </w:tc>
        <w:tc>
          <w:tcPr>
            <w:tcW w:w="1275" w:type="pct"/>
            <w:gridSpan w:val="2"/>
            <w:tcBorders>
              <w:top w:val="single" w:color="auto" w:sz="4" w:space="0"/>
            </w:tcBorders>
            <w:noWrap w:val="0"/>
            <w:vAlign w:val="center"/>
          </w:tcPr>
          <w:p w14:paraId="556C92D1">
            <w:pPr>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highlight w:val="none"/>
              </w:rPr>
              <w:t>项目负责人</w:t>
            </w:r>
          </w:p>
        </w:tc>
        <w:tc>
          <w:tcPr>
            <w:tcW w:w="529" w:type="pct"/>
            <w:tcBorders>
              <w:top w:val="single" w:color="auto" w:sz="4" w:space="0"/>
            </w:tcBorders>
            <w:noWrap w:val="0"/>
            <w:vAlign w:val="center"/>
          </w:tcPr>
          <w:p w14:paraId="1C8F01A8">
            <w:pPr>
              <w:jc w:val="center"/>
              <w:rPr>
                <w:rFonts w:hint="eastAsia" w:ascii="宋体" w:hAnsi="宋体" w:eastAsia="宋体" w:cs="宋体"/>
                <w:color w:val="auto"/>
                <w:sz w:val="21"/>
                <w:szCs w:val="21"/>
                <w:vertAlign w:val="baseline"/>
                <w:lang w:val="en-US" w:eastAsia="zh-CN"/>
              </w:rPr>
            </w:pPr>
          </w:p>
        </w:tc>
        <w:tc>
          <w:tcPr>
            <w:tcW w:w="1113" w:type="pct"/>
            <w:gridSpan w:val="2"/>
            <w:tcBorders>
              <w:top w:val="single" w:color="auto" w:sz="4" w:space="0"/>
            </w:tcBorders>
            <w:noWrap w:val="0"/>
            <w:vAlign w:val="center"/>
          </w:tcPr>
          <w:p w14:paraId="564F0579">
            <w:pPr>
              <w:jc w:val="center"/>
              <w:rPr>
                <w:rFonts w:hint="eastAsia" w:ascii="宋体" w:hAnsi="宋体" w:eastAsia="宋体" w:cs="宋体"/>
                <w:color w:val="auto"/>
                <w:sz w:val="21"/>
                <w:szCs w:val="21"/>
                <w:vertAlign w:val="baseline"/>
                <w:lang w:val="en-US" w:eastAsia="zh-CN"/>
              </w:rPr>
            </w:pPr>
          </w:p>
        </w:tc>
        <w:tc>
          <w:tcPr>
            <w:tcW w:w="838" w:type="pct"/>
            <w:tcBorders>
              <w:top w:val="single" w:color="auto" w:sz="4" w:space="0"/>
            </w:tcBorders>
            <w:noWrap w:val="0"/>
            <w:vAlign w:val="center"/>
          </w:tcPr>
          <w:p w14:paraId="6FA069FD">
            <w:pPr>
              <w:jc w:val="center"/>
              <w:rPr>
                <w:rFonts w:hint="eastAsia" w:ascii="宋体" w:hAnsi="宋体" w:eastAsia="宋体" w:cs="宋体"/>
                <w:color w:val="auto"/>
                <w:sz w:val="21"/>
                <w:szCs w:val="21"/>
                <w:vertAlign w:val="baseline"/>
                <w:lang w:val="en-US" w:eastAsia="zh-CN"/>
              </w:rPr>
            </w:pPr>
          </w:p>
        </w:tc>
        <w:tc>
          <w:tcPr>
            <w:tcW w:w="830" w:type="pct"/>
            <w:tcBorders>
              <w:top w:val="single" w:color="auto" w:sz="4" w:space="0"/>
            </w:tcBorders>
            <w:noWrap w:val="0"/>
            <w:vAlign w:val="center"/>
          </w:tcPr>
          <w:p w14:paraId="0351C779">
            <w:pPr>
              <w:jc w:val="center"/>
              <w:rPr>
                <w:rFonts w:hint="eastAsia" w:ascii="宋体" w:hAnsi="宋体" w:eastAsia="宋体" w:cs="宋体"/>
                <w:color w:val="auto"/>
                <w:sz w:val="21"/>
                <w:szCs w:val="21"/>
                <w:vertAlign w:val="baseline"/>
                <w:lang w:val="en-US" w:eastAsia="zh-CN"/>
              </w:rPr>
            </w:pPr>
          </w:p>
        </w:tc>
      </w:tr>
      <w:tr w14:paraId="72A438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1" w:type="pct"/>
            <w:noWrap w:val="0"/>
            <w:vAlign w:val="center"/>
          </w:tcPr>
          <w:p w14:paraId="4E216B09">
            <w:pPr>
              <w:spacing w:beforeLines="0" w:afterLines="0"/>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rPr>
              <w:t>4</w:t>
            </w:r>
          </w:p>
        </w:tc>
        <w:tc>
          <w:tcPr>
            <w:tcW w:w="1275" w:type="pct"/>
            <w:gridSpan w:val="2"/>
            <w:noWrap w:val="0"/>
            <w:vAlign w:val="center"/>
          </w:tcPr>
          <w:p w14:paraId="161D790C">
            <w:pPr>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highlight w:val="none"/>
              </w:rPr>
              <w:t>主要技术人员</w:t>
            </w:r>
          </w:p>
        </w:tc>
        <w:tc>
          <w:tcPr>
            <w:tcW w:w="529" w:type="pct"/>
            <w:noWrap w:val="0"/>
            <w:vAlign w:val="center"/>
          </w:tcPr>
          <w:p w14:paraId="2707FA98">
            <w:pPr>
              <w:jc w:val="center"/>
              <w:rPr>
                <w:rFonts w:hint="eastAsia" w:ascii="宋体" w:hAnsi="宋体" w:eastAsia="宋体" w:cs="宋体"/>
                <w:color w:val="auto"/>
                <w:sz w:val="21"/>
                <w:szCs w:val="21"/>
                <w:vertAlign w:val="baseline"/>
                <w:lang w:val="en-US" w:eastAsia="zh-CN"/>
              </w:rPr>
            </w:pPr>
          </w:p>
        </w:tc>
        <w:tc>
          <w:tcPr>
            <w:tcW w:w="1113" w:type="pct"/>
            <w:gridSpan w:val="2"/>
            <w:noWrap w:val="0"/>
            <w:vAlign w:val="center"/>
          </w:tcPr>
          <w:p w14:paraId="21933B17">
            <w:pPr>
              <w:jc w:val="center"/>
              <w:rPr>
                <w:rFonts w:hint="eastAsia" w:ascii="宋体" w:hAnsi="宋体" w:eastAsia="宋体" w:cs="宋体"/>
                <w:color w:val="auto"/>
                <w:sz w:val="21"/>
                <w:szCs w:val="21"/>
                <w:vertAlign w:val="baseline"/>
                <w:lang w:val="en-US" w:eastAsia="zh-CN"/>
              </w:rPr>
            </w:pPr>
          </w:p>
        </w:tc>
        <w:tc>
          <w:tcPr>
            <w:tcW w:w="838" w:type="pct"/>
            <w:noWrap w:val="0"/>
            <w:vAlign w:val="center"/>
          </w:tcPr>
          <w:p w14:paraId="6CA723FB">
            <w:pPr>
              <w:jc w:val="center"/>
              <w:rPr>
                <w:rFonts w:hint="eastAsia" w:ascii="宋体" w:hAnsi="宋体" w:eastAsia="宋体" w:cs="宋体"/>
                <w:color w:val="auto"/>
                <w:sz w:val="21"/>
                <w:szCs w:val="21"/>
                <w:vertAlign w:val="baseline"/>
                <w:lang w:val="en-US" w:eastAsia="zh-CN"/>
              </w:rPr>
            </w:pPr>
          </w:p>
        </w:tc>
        <w:tc>
          <w:tcPr>
            <w:tcW w:w="830" w:type="pct"/>
            <w:noWrap w:val="0"/>
            <w:vAlign w:val="center"/>
          </w:tcPr>
          <w:p w14:paraId="280F8526">
            <w:pPr>
              <w:jc w:val="center"/>
              <w:rPr>
                <w:rFonts w:hint="eastAsia" w:ascii="宋体" w:hAnsi="宋体" w:eastAsia="宋体" w:cs="宋体"/>
                <w:color w:val="auto"/>
                <w:sz w:val="21"/>
                <w:szCs w:val="21"/>
                <w:vertAlign w:val="baseline"/>
                <w:lang w:val="en-US" w:eastAsia="zh-CN"/>
              </w:rPr>
            </w:pPr>
          </w:p>
        </w:tc>
      </w:tr>
      <w:tr w14:paraId="01225D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1" w:type="pct"/>
            <w:noWrap w:val="0"/>
            <w:vAlign w:val="center"/>
          </w:tcPr>
          <w:p w14:paraId="1C3F2543">
            <w:pPr>
              <w:spacing w:beforeLines="0" w:afterLines="0"/>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rPr>
              <w:t>5</w:t>
            </w:r>
          </w:p>
        </w:tc>
        <w:tc>
          <w:tcPr>
            <w:tcW w:w="1275" w:type="pct"/>
            <w:gridSpan w:val="2"/>
            <w:noWrap w:val="0"/>
            <w:vAlign w:val="center"/>
          </w:tcPr>
          <w:p w14:paraId="0741E26F">
            <w:pPr>
              <w:widowControl w:val="0"/>
              <w:snapToGrid w:val="0"/>
              <w:ind w:left="0" w:leftChars="0" w:firstLine="0" w:firstLineChars="0"/>
              <w:jc w:val="center"/>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highlight w:val="none"/>
                <w:lang w:val="en-US" w:eastAsia="zh-CN" w:bidi="ar-SA"/>
              </w:rPr>
              <w:t>投标文件编制人员</w:t>
            </w:r>
          </w:p>
        </w:tc>
        <w:tc>
          <w:tcPr>
            <w:tcW w:w="529" w:type="pct"/>
            <w:noWrap w:val="0"/>
            <w:vAlign w:val="center"/>
          </w:tcPr>
          <w:p w14:paraId="7F9F9CCF">
            <w:pPr>
              <w:jc w:val="center"/>
              <w:rPr>
                <w:rFonts w:hint="eastAsia" w:ascii="宋体" w:hAnsi="宋体" w:eastAsia="宋体" w:cs="宋体"/>
                <w:color w:val="auto"/>
                <w:sz w:val="21"/>
                <w:szCs w:val="21"/>
                <w:vertAlign w:val="baseline"/>
                <w:lang w:val="en-US" w:eastAsia="zh-CN"/>
              </w:rPr>
            </w:pPr>
          </w:p>
        </w:tc>
        <w:tc>
          <w:tcPr>
            <w:tcW w:w="1113" w:type="pct"/>
            <w:gridSpan w:val="2"/>
            <w:noWrap w:val="0"/>
            <w:vAlign w:val="center"/>
          </w:tcPr>
          <w:p w14:paraId="74BF3EDC">
            <w:pPr>
              <w:jc w:val="center"/>
              <w:rPr>
                <w:rFonts w:hint="eastAsia" w:ascii="宋体" w:hAnsi="宋体" w:eastAsia="宋体" w:cs="宋体"/>
                <w:color w:val="auto"/>
                <w:sz w:val="21"/>
                <w:szCs w:val="21"/>
                <w:vertAlign w:val="baseline"/>
                <w:lang w:val="en-US" w:eastAsia="zh-CN"/>
              </w:rPr>
            </w:pPr>
          </w:p>
        </w:tc>
        <w:tc>
          <w:tcPr>
            <w:tcW w:w="838" w:type="pct"/>
            <w:noWrap w:val="0"/>
            <w:vAlign w:val="center"/>
          </w:tcPr>
          <w:p w14:paraId="49836EF7">
            <w:pPr>
              <w:jc w:val="center"/>
              <w:rPr>
                <w:rFonts w:hint="eastAsia" w:ascii="宋体" w:hAnsi="宋体" w:eastAsia="宋体" w:cs="宋体"/>
                <w:color w:val="auto"/>
                <w:sz w:val="21"/>
                <w:szCs w:val="21"/>
                <w:vertAlign w:val="baseline"/>
                <w:lang w:val="en-US" w:eastAsia="zh-CN"/>
              </w:rPr>
            </w:pPr>
          </w:p>
        </w:tc>
        <w:tc>
          <w:tcPr>
            <w:tcW w:w="830" w:type="pct"/>
            <w:noWrap w:val="0"/>
            <w:vAlign w:val="center"/>
          </w:tcPr>
          <w:p w14:paraId="4C178632">
            <w:pPr>
              <w:jc w:val="center"/>
              <w:rPr>
                <w:rFonts w:hint="eastAsia" w:ascii="宋体" w:hAnsi="宋体" w:eastAsia="宋体" w:cs="宋体"/>
                <w:color w:val="auto"/>
                <w:sz w:val="21"/>
                <w:szCs w:val="21"/>
                <w:vertAlign w:val="baseline"/>
                <w:lang w:val="en-US" w:eastAsia="zh-CN"/>
              </w:rPr>
            </w:pPr>
          </w:p>
        </w:tc>
      </w:tr>
      <w:tr w14:paraId="755BE6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00" w:type="pct"/>
            <w:gridSpan w:val="8"/>
            <w:noWrap w:val="0"/>
            <w:vAlign w:val="center"/>
          </w:tcPr>
          <w:p w14:paraId="6E346F59">
            <w:pPr>
              <w:jc w:val="both"/>
              <w:rPr>
                <w:rFonts w:hint="eastAsia" w:ascii="宋体" w:hAnsi="宋体" w:eastAsia="宋体" w:cs="宋体"/>
                <w:color w:val="auto"/>
                <w:sz w:val="21"/>
                <w:szCs w:val="21"/>
                <w:vertAlign w:val="baseline"/>
                <w:lang w:val="en-US" w:eastAsia="zh-CN"/>
              </w:rPr>
            </w:pPr>
            <w:r>
              <w:rPr>
                <w:rFonts w:hint="eastAsia" w:ascii="宋体" w:hAnsi="宋体" w:eastAsia="宋体" w:cs="宋体"/>
                <w:b/>
                <w:bCs/>
                <w:color w:val="auto"/>
                <w:sz w:val="21"/>
                <w:szCs w:val="21"/>
                <w:highlight w:val="none"/>
                <w:vertAlign w:val="baseline"/>
                <w:lang w:val="en-US" w:eastAsia="zh-CN"/>
              </w:rPr>
              <w:t>说明：同一职务有多人担任（如主要技术人员），应分行填写。</w:t>
            </w:r>
          </w:p>
        </w:tc>
      </w:tr>
      <w:tr w14:paraId="0709C4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5000" w:type="pct"/>
            <w:gridSpan w:val="8"/>
            <w:noWrap w:val="0"/>
            <w:vAlign w:val="center"/>
          </w:tcPr>
          <w:p w14:paraId="696A9BC6">
            <w:pPr>
              <w:jc w:val="center"/>
              <w:rPr>
                <w:rFonts w:hint="eastAsia" w:ascii="宋体" w:hAnsi="宋体" w:eastAsia="宋体" w:cs="宋体"/>
                <w:b/>
                <w:bCs/>
                <w:color w:val="auto"/>
                <w:sz w:val="21"/>
                <w:szCs w:val="21"/>
                <w:vertAlign w:val="baseline"/>
                <w:lang w:val="en-US" w:eastAsia="zh-CN"/>
              </w:rPr>
            </w:pPr>
            <w:r>
              <w:rPr>
                <w:rFonts w:hint="eastAsia" w:ascii="宋体" w:hAnsi="宋体" w:eastAsia="宋体" w:cs="宋体"/>
                <w:b/>
                <w:bCs/>
                <w:color w:val="auto"/>
                <w:sz w:val="21"/>
                <w:szCs w:val="21"/>
                <w:vertAlign w:val="baseline"/>
                <w:lang w:val="en-US" w:eastAsia="zh-CN"/>
              </w:rPr>
              <w:t>投标（响应）供应商关联关系情况</w:t>
            </w:r>
          </w:p>
        </w:tc>
      </w:tr>
      <w:tr w14:paraId="2AFA70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1" w:type="pct"/>
            <w:tcBorders>
              <w:bottom w:val="single" w:color="auto" w:sz="4" w:space="0"/>
            </w:tcBorders>
            <w:noWrap w:val="0"/>
            <w:vAlign w:val="center"/>
          </w:tcPr>
          <w:p w14:paraId="0FD2A9BE">
            <w:pPr>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序号</w:t>
            </w:r>
          </w:p>
        </w:tc>
        <w:tc>
          <w:tcPr>
            <w:tcW w:w="1275" w:type="pct"/>
            <w:gridSpan w:val="2"/>
            <w:tcBorders>
              <w:bottom w:val="single" w:color="auto" w:sz="4" w:space="0"/>
            </w:tcBorders>
            <w:noWrap w:val="0"/>
            <w:vAlign w:val="center"/>
          </w:tcPr>
          <w:p w14:paraId="7CE30525">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vertAlign w:val="baseline"/>
                <w:lang w:val="en-US" w:eastAsia="zh-CN"/>
              </w:rPr>
              <w:t>关联关系类型</w:t>
            </w:r>
          </w:p>
        </w:tc>
        <w:tc>
          <w:tcPr>
            <w:tcW w:w="971" w:type="pct"/>
            <w:gridSpan w:val="2"/>
            <w:tcBorders>
              <w:bottom w:val="single" w:color="auto" w:sz="4" w:space="0"/>
            </w:tcBorders>
            <w:noWrap w:val="0"/>
            <w:vAlign w:val="center"/>
          </w:tcPr>
          <w:p w14:paraId="7DD6B12A">
            <w:pPr>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关联主体名称</w:t>
            </w:r>
          </w:p>
        </w:tc>
        <w:tc>
          <w:tcPr>
            <w:tcW w:w="2340" w:type="pct"/>
            <w:gridSpan w:val="3"/>
            <w:tcBorders>
              <w:bottom w:val="single" w:color="auto" w:sz="4" w:space="0"/>
            </w:tcBorders>
            <w:noWrap w:val="0"/>
            <w:vAlign w:val="center"/>
          </w:tcPr>
          <w:p w14:paraId="572AE126">
            <w:pPr>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备注</w:t>
            </w:r>
          </w:p>
        </w:tc>
      </w:tr>
      <w:tr w14:paraId="6CF92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1" w:type="pct"/>
            <w:tcBorders>
              <w:top w:val="single" w:color="auto" w:sz="4" w:space="0"/>
              <w:left w:val="single" w:color="auto" w:sz="4" w:space="0"/>
              <w:bottom w:val="single" w:color="auto" w:sz="4" w:space="0"/>
              <w:right w:val="single" w:color="auto" w:sz="4" w:space="0"/>
            </w:tcBorders>
            <w:noWrap w:val="0"/>
            <w:vAlign w:val="center"/>
          </w:tcPr>
          <w:p w14:paraId="40B3076A">
            <w:pPr>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1</w:t>
            </w:r>
          </w:p>
        </w:tc>
        <w:tc>
          <w:tcPr>
            <w:tcW w:w="1275" w:type="pct"/>
            <w:gridSpan w:val="2"/>
            <w:tcBorders>
              <w:top w:val="single" w:color="auto" w:sz="4" w:space="0"/>
              <w:left w:val="single" w:color="auto" w:sz="4" w:space="0"/>
              <w:bottom w:val="single" w:color="auto" w:sz="4" w:space="0"/>
              <w:right w:val="single" w:color="auto" w:sz="4" w:space="0"/>
            </w:tcBorders>
            <w:noWrap w:val="0"/>
            <w:vAlign w:val="center"/>
          </w:tcPr>
          <w:p w14:paraId="6837F592">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控股股东</w:t>
            </w:r>
          </w:p>
        </w:tc>
        <w:tc>
          <w:tcPr>
            <w:tcW w:w="971" w:type="pct"/>
            <w:gridSpan w:val="2"/>
            <w:tcBorders>
              <w:top w:val="single" w:color="auto" w:sz="4" w:space="0"/>
              <w:left w:val="single" w:color="auto" w:sz="4" w:space="0"/>
              <w:bottom w:val="single" w:color="auto" w:sz="4" w:space="0"/>
              <w:right w:val="single" w:color="auto" w:sz="4" w:space="0"/>
            </w:tcBorders>
            <w:noWrap w:val="0"/>
            <w:vAlign w:val="center"/>
          </w:tcPr>
          <w:p w14:paraId="412F3038">
            <w:pPr>
              <w:jc w:val="center"/>
              <w:rPr>
                <w:rFonts w:hint="eastAsia" w:ascii="宋体" w:hAnsi="宋体" w:eastAsia="宋体" w:cs="宋体"/>
                <w:color w:val="auto"/>
                <w:sz w:val="21"/>
                <w:szCs w:val="21"/>
                <w:highlight w:val="none"/>
                <w:vertAlign w:val="baseline"/>
                <w:lang w:val="en-US" w:eastAsia="zh-CN"/>
              </w:rPr>
            </w:pPr>
          </w:p>
        </w:tc>
        <w:tc>
          <w:tcPr>
            <w:tcW w:w="2340" w:type="pct"/>
            <w:gridSpan w:val="3"/>
            <w:tcBorders>
              <w:top w:val="single" w:color="auto" w:sz="4" w:space="0"/>
              <w:left w:val="single" w:color="auto" w:sz="4" w:space="0"/>
              <w:bottom w:val="single" w:color="auto" w:sz="4" w:space="0"/>
              <w:right w:val="single" w:color="auto" w:sz="4" w:space="0"/>
            </w:tcBorders>
            <w:noWrap w:val="0"/>
            <w:vAlign w:val="center"/>
          </w:tcPr>
          <w:p w14:paraId="237E1DE8">
            <w:pPr>
              <w:snapToGrid w:val="0"/>
              <w:jc w:val="both"/>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指出资额（或持有股份）占投标（响应）供应商资本总额（或股本总额）50%以上的股东，以及出资额（或持有股份）的比例虽然不足50%，但依其出资额（或持有股份）所享有的表决权已足以对投标（响应）供应商股东会（或股东大会）的决议产生重要影响的股东。</w:t>
            </w:r>
          </w:p>
        </w:tc>
      </w:tr>
      <w:tr w14:paraId="002503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9" w:hRule="atLeast"/>
          <w:jc w:val="center"/>
        </w:trPr>
        <w:tc>
          <w:tcPr>
            <w:tcW w:w="411" w:type="pct"/>
            <w:tcBorders>
              <w:top w:val="single" w:color="auto" w:sz="4" w:space="0"/>
              <w:left w:val="single" w:color="auto" w:sz="4" w:space="0"/>
              <w:bottom w:val="single" w:color="auto" w:sz="4" w:space="0"/>
              <w:right w:val="single" w:color="auto" w:sz="4" w:space="0"/>
            </w:tcBorders>
            <w:noWrap w:val="0"/>
            <w:vAlign w:val="center"/>
          </w:tcPr>
          <w:p w14:paraId="4D5A82F2">
            <w:pPr>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2</w:t>
            </w:r>
          </w:p>
        </w:tc>
        <w:tc>
          <w:tcPr>
            <w:tcW w:w="1275" w:type="pct"/>
            <w:gridSpan w:val="2"/>
            <w:tcBorders>
              <w:top w:val="single" w:color="auto" w:sz="4" w:space="0"/>
              <w:left w:val="single" w:color="auto" w:sz="4" w:space="0"/>
              <w:bottom w:val="single" w:color="auto" w:sz="4" w:space="0"/>
              <w:right w:val="single" w:color="auto" w:sz="4" w:space="0"/>
            </w:tcBorders>
            <w:noWrap w:val="0"/>
            <w:vAlign w:val="center"/>
          </w:tcPr>
          <w:p w14:paraId="2F64E500">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管理关系</w:t>
            </w:r>
          </w:p>
        </w:tc>
        <w:tc>
          <w:tcPr>
            <w:tcW w:w="971" w:type="pct"/>
            <w:gridSpan w:val="2"/>
            <w:tcBorders>
              <w:top w:val="single" w:color="auto" w:sz="4" w:space="0"/>
              <w:left w:val="single" w:color="auto" w:sz="4" w:space="0"/>
              <w:bottom w:val="single" w:color="auto" w:sz="4" w:space="0"/>
              <w:right w:val="single" w:color="auto" w:sz="4" w:space="0"/>
            </w:tcBorders>
            <w:noWrap w:val="0"/>
            <w:vAlign w:val="center"/>
          </w:tcPr>
          <w:p w14:paraId="44F125CB">
            <w:pPr>
              <w:jc w:val="center"/>
              <w:rPr>
                <w:rFonts w:hint="eastAsia" w:ascii="宋体" w:hAnsi="宋体" w:eastAsia="宋体" w:cs="宋体"/>
                <w:color w:val="auto"/>
                <w:sz w:val="21"/>
                <w:szCs w:val="21"/>
                <w:highlight w:val="none"/>
                <w:vertAlign w:val="baseline"/>
                <w:lang w:val="en-US" w:eastAsia="zh-CN"/>
              </w:rPr>
            </w:pPr>
          </w:p>
        </w:tc>
        <w:tc>
          <w:tcPr>
            <w:tcW w:w="2340" w:type="pct"/>
            <w:gridSpan w:val="3"/>
            <w:tcBorders>
              <w:top w:val="single" w:color="auto" w:sz="4" w:space="0"/>
              <w:left w:val="single" w:color="auto" w:sz="4" w:space="0"/>
              <w:bottom w:val="single" w:color="auto" w:sz="4" w:space="0"/>
              <w:right w:val="single" w:color="auto" w:sz="4" w:space="0"/>
            </w:tcBorders>
            <w:noWrap w:val="0"/>
            <w:vAlign w:val="center"/>
          </w:tcPr>
          <w:p w14:paraId="1FE20A61">
            <w:pPr>
              <w:snapToGrid w:val="0"/>
              <w:jc w:val="both"/>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指对投标（响应）供应商不具有出资持股关系，但对其存在管理关系的主体。</w:t>
            </w:r>
          </w:p>
        </w:tc>
      </w:tr>
      <w:tr w14:paraId="18E10A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5000" w:type="pct"/>
            <w:gridSpan w:val="8"/>
            <w:tcBorders>
              <w:top w:val="single" w:color="auto" w:sz="4" w:space="0"/>
              <w:left w:val="single" w:color="auto" w:sz="4" w:space="0"/>
              <w:bottom w:val="single" w:color="auto" w:sz="4" w:space="0"/>
              <w:right w:val="single" w:color="auto" w:sz="4" w:space="0"/>
            </w:tcBorders>
            <w:noWrap w:val="0"/>
            <w:vAlign w:val="center"/>
          </w:tcPr>
          <w:p w14:paraId="66D412A1">
            <w:pPr>
              <w:snapToGrid w:val="0"/>
              <w:jc w:val="both"/>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b/>
                <w:bCs/>
                <w:color w:val="auto"/>
                <w:sz w:val="21"/>
                <w:szCs w:val="21"/>
                <w:highlight w:val="none"/>
                <w:vertAlign w:val="baseline"/>
                <w:lang w:val="en-US" w:eastAsia="zh-CN"/>
              </w:rPr>
              <w:t>说明：同一关联关系类型有多个主体的，应分行填写。</w:t>
            </w:r>
          </w:p>
        </w:tc>
      </w:tr>
    </w:tbl>
    <w:p w14:paraId="11D2C862">
      <w:pPr>
        <w:pStyle w:val="201"/>
        <w:rPr>
          <w:rFonts w:hint="eastAsia" w:ascii="宋体" w:hAnsi="宋体"/>
          <w:b/>
          <w:color w:val="FF0000"/>
          <w:sz w:val="28"/>
          <w:szCs w:val="28"/>
        </w:rPr>
      </w:pPr>
    </w:p>
    <w:p w14:paraId="7356C2DF">
      <w:pPr>
        <w:pStyle w:val="201"/>
        <w:rPr>
          <w:rFonts w:hint="eastAsia" w:ascii="宋体" w:hAnsi="宋体"/>
          <w:b/>
          <w:color w:val="FF0000"/>
          <w:sz w:val="28"/>
          <w:szCs w:val="28"/>
        </w:rPr>
      </w:pPr>
      <w:r>
        <w:rPr>
          <w:rFonts w:hint="eastAsia" w:ascii="黑体" w:hAnsi="黑体" w:eastAsia="黑体" w:cs="黑体"/>
          <w:b/>
          <w:bCs/>
          <w:color w:val="FF0000"/>
          <w:sz w:val="24"/>
          <w:szCs w:val="24"/>
          <w:u w:val="none"/>
        </w:rPr>
        <w:t>温馨提示：</w:t>
      </w:r>
      <w:r>
        <w:rPr>
          <w:rFonts w:hint="eastAsia" w:ascii="Times New Roman" w:hAnsi="Times New Roman"/>
          <w:b w:val="0"/>
          <w:color w:val="FF0000"/>
          <w:sz w:val="21"/>
          <w:szCs w:val="21"/>
        </w:rPr>
        <w:t>为避免出现《深圳经济特区政府采购条例实施细则》第七十七条</w:t>
      </w:r>
      <w:r>
        <w:rPr>
          <w:rFonts w:hint="eastAsia" w:ascii="Times New Roman" w:hAnsi="Times New Roman"/>
          <w:b w:val="0"/>
          <w:color w:val="FF0000"/>
          <w:sz w:val="21"/>
          <w:szCs w:val="21"/>
          <w:highlight w:val="none"/>
          <w:lang w:val="en-US" w:eastAsia="zh-CN"/>
        </w:rPr>
        <w:t>第一款</w:t>
      </w:r>
      <w:r>
        <w:rPr>
          <w:rFonts w:hint="eastAsia" w:ascii="Times New Roman" w:hAnsi="Times New Roman"/>
          <w:b w:val="0"/>
          <w:color w:val="FF0000"/>
          <w:sz w:val="21"/>
          <w:szCs w:val="21"/>
          <w:highlight w:val="none"/>
        </w:rPr>
        <w:t>第</w:t>
      </w:r>
      <w:r>
        <w:rPr>
          <w:rFonts w:hint="eastAsia" w:ascii="Times New Roman" w:hAnsi="Times New Roman"/>
          <w:b w:val="0"/>
          <w:color w:val="FF0000"/>
          <w:sz w:val="21"/>
          <w:szCs w:val="21"/>
          <w:highlight w:val="none"/>
          <w:lang w:eastAsia="zh-CN"/>
        </w:rPr>
        <w:t>（</w:t>
      </w:r>
      <w:r>
        <w:rPr>
          <w:rFonts w:hint="eastAsia" w:ascii="Times New Roman" w:hAnsi="Times New Roman"/>
          <w:b w:val="0"/>
          <w:color w:val="FF0000"/>
          <w:sz w:val="21"/>
          <w:szCs w:val="21"/>
          <w:highlight w:val="none"/>
        </w:rPr>
        <w:t>三</w:t>
      </w:r>
      <w:r>
        <w:rPr>
          <w:rFonts w:hint="eastAsia" w:ascii="Times New Roman" w:hAnsi="Times New Roman"/>
          <w:b w:val="0"/>
          <w:color w:val="FF0000"/>
          <w:sz w:val="21"/>
          <w:szCs w:val="21"/>
          <w:highlight w:val="none"/>
          <w:lang w:eastAsia="zh-CN"/>
        </w:rPr>
        <w:t>）</w:t>
      </w:r>
      <w:r>
        <w:rPr>
          <w:rFonts w:hint="eastAsia" w:ascii="Times New Roman" w:hAnsi="Times New Roman"/>
          <w:b w:val="0"/>
          <w:color w:val="FF0000"/>
          <w:sz w:val="21"/>
          <w:szCs w:val="21"/>
          <w:highlight w:val="none"/>
        </w:rPr>
        <w:t>项</w:t>
      </w:r>
      <w:r>
        <w:rPr>
          <w:rFonts w:hint="eastAsia" w:ascii="Times New Roman" w:hAnsi="Times New Roman"/>
          <w:b w:val="0"/>
          <w:color w:val="FF0000"/>
          <w:sz w:val="21"/>
          <w:szCs w:val="21"/>
        </w:rPr>
        <w:t>所列情形（项目负责人或者主要技术人员不是本单位人员的），请投标供应商核实贵单本项目负责人（如有）、主要技术人员（如有）等是否在贵单位缴纳社会保险。</w:t>
      </w:r>
    </w:p>
    <w:p w14:paraId="1346CD0E">
      <w:pPr>
        <w:pStyle w:val="201"/>
        <w:rPr>
          <w:rFonts w:hint="eastAsia" w:ascii="宋体" w:hAnsi="宋体"/>
          <w:b/>
          <w:color w:val="FF0000"/>
          <w:sz w:val="28"/>
          <w:szCs w:val="28"/>
        </w:rPr>
      </w:pPr>
    </w:p>
    <w:p w14:paraId="511C5B0E">
      <w:pPr>
        <w:pStyle w:val="4"/>
        <w:jc w:val="center"/>
        <w:rPr>
          <w:rFonts w:ascii="黑体" w:eastAsia="黑体"/>
          <w:b w:val="0"/>
          <w:sz w:val="24"/>
        </w:rPr>
      </w:pPr>
      <w:r>
        <w:rPr>
          <w:rFonts w:hint="eastAsia" w:ascii="黑体" w:eastAsia="黑体"/>
          <w:b w:val="0"/>
          <w:sz w:val="24"/>
          <w:lang w:val="en-US" w:eastAsia="zh-CN"/>
        </w:rPr>
        <w:t>二</w:t>
      </w:r>
      <w:r>
        <w:rPr>
          <w:rFonts w:hint="eastAsia" w:ascii="黑体" w:eastAsia="黑体"/>
          <w:b w:val="0"/>
          <w:sz w:val="24"/>
        </w:rPr>
        <w:t>、</w:t>
      </w:r>
      <w:bookmarkStart w:id="39" w:name="_Hlk72092499"/>
      <w:r>
        <w:rPr>
          <w:rFonts w:hint="eastAsia" w:ascii="黑体" w:eastAsia="黑体"/>
          <w:b w:val="0"/>
          <w:sz w:val="24"/>
        </w:rPr>
        <w:t>法定代表人（负责人）证明书</w:t>
      </w:r>
      <w:bookmarkEnd w:id="39"/>
    </w:p>
    <w:p w14:paraId="735F2866">
      <w:pPr>
        <w:rPr>
          <w:sz w:val="24"/>
        </w:rPr>
      </w:pPr>
    </w:p>
    <w:p w14:paraId="5F508EF7">
      <w:pPr>
        <w:spacing w:line="360" w:lineRule="auto"/>
        <w:ind w:firstLine="420" w:firstLineChars="200"/>
        <w:rPr>
          <w:rFonts w:hint="default" w:eastAsia="宋体"/>
          <w:szCs w:val="21"/>
          <w:lang w:val="en-US" w:eastAsia="zh-CN"/>
        </w:rPr>
      </w:pPr>
      <w:r>
        <w:rPr>
          <w:rFonts w:hint="eastAsia"/>
          <w:szCs w:val="21"/>
          <w:u w:val="single"/>
        </w:rPr>
        <w:t xml:space="preserve">         </w:t>
      </w:r>
      <w:r>
        <w:rPr>
          <w:rFonts w:hint="eastAsia" w:ascii="Times New Roman" w:eastAsia="宋体"/>
          <w:szCs w:val="21"/>
          <w:u w:val="single"/>
          <w:lang w:val="en-US" w:eastAsia="zh-CN"/>
        </w:rPr>
        <w:t xml:space="preserve">  </w:t>
      </w:r>
      <w:r>
        <w:rPr>
          <w:rFonts w:hint="eastAsia"/>
          <w:szCs w:val="21"/>
          <w:u w:val="single"/>
        </w:rPr>
        <w:t xml:space="preserve">   </w:t>
      </w:r>
      <w:r>
        <w:rPr>
          <w:rFonts w:hint="eastAsia" w:ascii="Times New Roman" w:eastAsia="宋体"/>
          <w:szCs w:val="21"/>
          <w:u w:val="single"/>
          <w:lang w:val="en-US" w:eastAsia="zh-CN"/>
        </w:rPr>
        <w:t xml:space="preserve">   </w:t>
      </w:r>
      <w:r>
        <w:rPr>
          <w:rFonts w:hint="eastAsia" w:eastAsia="宋体"/>
          <w:szCs w:val="21"/>
          <w:u w:val="none"/>
          <w:lang w:eastAsia="zh-CN"/>
        </w:rPr>
        <w:t>（</w:t>
      </w:r>
      <w:r>
        <w:rPr>
          <w:rFonts w:hint="eastAsia" w:ascii="Times New Roman" w:eastAsia="宋体"/>
          <w:szCs w:val="21"/>
          <w:u w:val="none"/>
          <w:lang w:val="en-US" w:eastAsia="zh-CN"/>
        </w:rPr>
        <w:t>姓名</w:t>
      </w:r>
      <w:r>
        <w:rPr>
          <w:rFonts w:hint="eastAsia" w:eastAsia="宋体"/>
          <w:szCs w:val="21"/>
          <w:u w:val="none"/>
          <w:lang w:eastAsia="zh-CN"/>
        </w:rPr>
        <w:t>）</w:t>
      </w:r>
      <w:r>
        <w:rPr>
          <w:rFonts w:hint="eastAsia"/>
          <w:szCs w:val="21"/>
        </w:rPr>
        <w:t>，现任我单位</w:t>
      </w:r>
      <w:r>
        <w:rPr>
          <w:rFonts w:hint="eastAsia"/>
          <w:szCs w:val="21"/>
          <w:u w:val="single"/>
        </w:rPr>
        <w:t xml:space="preserve">     </w:t>
      </w:r>
      <w:r>
        <w:rPr>
          <w:rFonts w:hint="eastAsia" w:ascii="Times New Roman" w:eastAsia="宋体"/>
          <w:szCs w:val="21"/>
          <w:u w:val="single"/>
          <w:lang w:val="en-US" w:eastAsia="zh-CN"/>
        </w:rPr>
        <w:t xml:space="preserve">    </w:t>
      </w:r>
      <w:r>
        <w:rPr>
          <w:rFonts w:hint="eastAsia"/>
          <w:szCs w:val="21"/>
          <w:u w:val="single"/>
        </w:rPr>
        <w:t xml:space="preserve">    </w:t>
      </w:r>
      <w:r>
        <w:rPr>
          <w:rFonts w:hint="eastAsia"/>
          <w:szCs w:val="21"/>
        </w:rPr>
        <w:t>职务，为法定代表人（负责人），</w:t>
      </w:r>
      <w:r>
        <w:rPr>
          <w:rFonts w:hint="eastAsia" w:ascii="Times New Roman" w:eastAsia="宋体"/>
          <w:szCs w:val="21"/>
          <w:lang w:val="en-US" w:eastAsia="zh-CN"/>
        </w:rPr>
        <w:t>身份证件</w:t>
      </w:r>
      <w:r>
        <w:rPr>
          <w:rFonts w:hint="eastAsia"/>
          <w:szCs w:val="21"/>
        </w:rPr>
        <w:t>号</w:t>
      </w:r>
      <w:r>
        <w:rPr>
          <w:rFonts w:hint="eastAsia" w:ascii="Times New Roman" w:eastAsia="宋体"/>
          <w:szCs w:val="21"/>
          <w:lang w:val="en-US" w:eastAsia="zh-CN"/>
        </w:rPr>
        <w:t>为</w:t>
      </w:r>
      <w:r>
        <w:rPr>
          <w:rFonts w:hint="eastAsia"/>
          <w:szCs w:val="21"/>
        </w:rPr>
        <w:t>：</w:t>
      </w:r>
      <w:r>
        <w:rPr>
          <w:rFonts w:hint="eastAsia"/>
          <w:szCs w:val="21"/>
          <w:u w:val="single"/>
        </w:rPr>
        <w:t xml:space="preserve">                                     </w:t>
      </w:r>
      <w:r>
        <w:rPr>
          <w:rFonts w:hint="eastAsia" w:eastAsia="宋体"/>
          <w:szCs w:val="21"/>
          <w:u w:val="none"/>
          <w:lang w:eastAsia="zh-CN"/>
        </w:rPr>
        <w:t>，</w:t>
      </w:r>
      <w:r>
        <w:rPr>
          <w:rFonts w:hint="eastAsia"/>
          <w:szCs w:val="21"/>
        </w:rPr>
        <w:t>联系电话：</w:t>
      </w:r>
      <w:r>
        <w:rPr>
          <w:rFonts w:hint="eastAsia" w:ascii="Times New Roman" w:eastAsia="宋体"/>
          <w:szCs w:val="21"/>
          <w:u w:val="single"/>
          <w:lang w:val="en-US" w:eastAsia="zh-CN"/>
        </w:rPr>
        <w:t xml:space="preserve">                </w:t>
      </w:r>
      <w:r>
        <w:rPr>
          <w:rFonts w:hint="eastAsia" w:ascii="Times New Roman" w:eastAsia="宋体"/>
          <w:szCs w:val="21"/>
          <w:lang w:val="en-US" w:eastAsia="zh-CN"/>
        </w:rPr>
        <w:t>。</w:t>
      </w:r>
    </w:p>
    <w:p w14:paraId="23584D4A">
      <w:pPr>
        <w:spacing w:line="360" w:lineRule="auto"/>
        <w:ind w:firstLine="420" w:firstLineChars="200"/>
        <w:rPr>
          <w:szCs w:val="21"/>
        </w:rPr>
      </w:pPr>
      <w:r>
        <w:rPr>
          <w:rFonts w:hint="eastAsia"/>
          <w:szCs w:val="21"/>
        </w:rPr>
        <w:t>特此证明。</w:t>
      </w:r>
    </w:p>
    <w:p w14:paraId="57052639">
      <w:pPr>
        <w:spacing w:line="360" w:lineRule="auto"/>
        <w:ind w:firstLine="420" w:firstLineChars="200"/>
        <w:rPr>
          <w:rFonts w:hint="eastAsia"/>
          <w:szCs w:val="21"/>
        </w:rPr>
      </w:pPr>
      <w:r>
        <w:rPr>
          <w:rFonts w:hint="eastAsia"/>
          <w:szCs w:val="21"/>
        </w:rPr>
        <w:t>说明：1、法定代表人为投标人（企业事业单位、国家机关、社会团体）的主要行政负责人。</w:t>
      </w:r>
    </w:p>
    <w:p w14:paraId="39709C0D">
      <w:pPr>
        <w:numPr>
          <w:ilvl w:val="0"/>
          <w:numId w:val="9"/>
        </w:numPr>
        <w:spacing w:line="360" w:lineRule="auto"/>
        <w:ind w:firstLine="420" w:firstLineChars="200"/>
        <w:rPr>
          <w:rFonts w:hint="eastAsia"/>
          <w:color w:val="auto"/>
          <w:szCs w:val="21"/>
          <w:lang w:val="en-US" w:eastAsia="zh-CN"/>
        </w:rPr>
      </w:pPr>
      <w:r>
        <w:rPr>
          <w:rFonts w:hint="eastAsia" w:eastAsia="宋体"/>
          <w:color w:val="auto"/>
          <w:szCs w:val="21"/>
        </w:rPr>
        <w:t>本证明书</w:t>
      </w:r>
      <w:r>
        <w:rPr>
          <w:rFonts w:hint="eastAsia"/>
          <w:color w:val="auto"/>
          <w:szCs w:val="21"/>
          <w:lang w:val="en-US" w:eastAsia="zh-CN"/>
        </w:rPr>
        <w:t>需提</w:t>
      </w:r>
      <w:r>
        <w:rPr>
          <w:rFonts w:hint="eastAsia" w:eastAsia="宋体"/>
          <w:color w:val="auto"/>
          <w:szCs w:val="21"/>
        </w:rPr>
        <w:t>供法定代表人（负责人）</w:t>
      </w:r>
      <w:r>
        <w:rPr>
          <w:rFonts w:hint="eastAsia" w:ascii="Times New Roman" w:eastAsia="宋体"/>
          <w:color w:val="auto"/>
          <w:szCs w:val="21"/>
          <w:lang w:val="en-US" w:eastAsia="zh-CN"/>
        </w:rPr>
        <w:t>相关身份证明文件：身份证扫描件（正反两面）；港澳台居民可提供来往通行证扫描件；非中国国籍管辖范围人员，可提供公安部门认可的身份证明材料扫描件。</w:t>
      </w:r>
    </w:p>
    <w:p w14:paraId="3243B208">
      <w:pPr>
        <w:numPr>
          <w:ilvl w:val="0"/>
          <w:numId w:val="9"/>
        </w:numPr>
        <w:spacing w:line="360" w:lineRule="auto"/>
        <w:ind w:firstLine="420" w:firstLineChars="200"/>
        <w:rPr>
          <w:szCs w:val="21"/>
        </w:rPr>
      </w:pPr>
      <w:r>
        <w:rPr>
          <w:rFonts w:hint="eastAsia" w:eastAsia="宋体"/>
          <w:color w:val="auto"/>
          <w:szCs w:val="21"/>
        </w:rPr>
        <w:t>本项目投标授权代表为法定代表人（负责人）的，无需提供</w:t>
      </w:r>
      <w:r>
        <w:rPr>
          <w:rFonts w:hint="eastAsia"/>
          <w:color w:val="auto"/>
          <w:szCs w:val="21"/>
        </w:rPr>
        <w:t>《投标文件签署授权委托书》</w:t>
      </w:r>
      <w:r>
        <w:rPr>
          <w:rFonts w:hint="eastAsia" w:eastAsia="宋体"/>
          <w:color w:val="auto"/>
          <w:szCs w:val="21"/>
        </w:rPr>
        <w:t>。</w:t>
      </w:r>
    </w:p>
    <w:p w14:paraId="6DF9D82A">
      <w:pPr>
        <w:numPr>
          <w:ilvl w:val="0"/>
          <w:numId w:val="9"/>
        </w:numPr>
        <w:spacing w:line="360" w:lineRule="auto"/>
        <w:ind w:firstLine="420" w:firstLineChars="200"/>
        <w:rPr>
          <w:szCs w:val="21"/>
        </w:rPr>
      </w:pPr>
      <w:r>
        <w:rPr>
          <w:rFonts w:hint="eastAsia"/>
          <w:szCs w:val="21"/>
        </w:rPr>
        <w:t>内容必须填写真实、清楚，涂改无效，不得转让、买卖。</w:t>
      </w:r>
    </w:p>
    <w:tbl>
      <w:tblPr>
        <w:tblStyle w:val="43"/>
        <w:tblW w:w="852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64"/>
        <w:gridCol w:w="4265"/>
      </w:tblGrid>
      <w:tr w14:paraId="69CC4D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4" w:type="dxa"/>
          </w:tcPr>
          <w:p w14:paraId="517ED63B">
            <w:pPr>
              <w:jc w:val="center"/>
              <w:rPr>
                <w:rFonts w:hint="eastAsia"/>
                <w:lang w:val="en-US" w:eastAsia="zh-CN"/>
              </w:rPr>
            </w:pPr>
            <w:r>
              <w:rPr>
                <w:rFonts w:hint="eastAsia" w:ascii="Times New Roman" w:eastAsia="宋体"/>
                <w:lang w:val="en-US" w:eastAsia="zh-CN"/>
              </w:rPr>
              <w:t>证件扫描件正面</w:t>
            </w:r>
          </w:p>
          <w:p w14:paraId="208BC770">
            <w:pPr>
              <w:pStyle w:val="19"/>
              <w:jc w:val="both"/>
              <w:rPr>
                <w:rFonts w:hint="eastAsia"/>
                <w:lang w:val="en-US" w:eastAsia="zh-CN"/>
              </w:rPr>
            </w:pPr>
          </w:p>
          <w:p w14:paraId="60BDFB6D">
            <w:pPr>
              <w:pStyle w:val="36"/>
              <w:rPr>
                <w:rFonts w:hint="eastAsia"/>
                <w:lang w:val="en-US" w:eastAsia="zh-CN"/>
              </w:rPr>
            </w:pPr>
          </w:p>
          <w:p w14:paraId="4667B24B">
            <w:pPr>
              <w:pStyle w:val="36"/>
              <w:rPr>
                <w:rFonts w:hint="default"/>
                <w:lang w:val="en-US" w:eastAsia="zh-CN"/>
              </w:rPr>
            </w:pPr>
          </w:p>
          <w:p w14:paraId="330170EC">
            <w:pPr>
              <w:pStyle w:val="36"/>
              <w:jc w:val="both"/>
              <w:rPr>
                <w:rFonts w:hint="default"/>
                <w:lang w:val="en-US" w:eastAsia="zh-CN"/>
              </w:rPr>
            </w:pPr>
          </w:p>
        </w:tc>
        <w:tc>
          <w:tcPr>
            <w:tcW w:w="4265" w:type="dxa"/>
          </w:tcPr>
          <w:p w14:paraId="023AF477">
            <w:pPr>
              <w:jc w:val="center"/>
              <w:rPr>
                <w:rFonts w:hint="eastAsia"/>
                <w:lang w:val="en-US" w:eastAsia="zh-CN"/>
              </w:rPr>
            </w:pPr>
            <w:r>
              <w:rPr>
                <w:rFonts w:hint="eastAsia" w:ascii="Times New Roman" w:eastAsia="宋体"/>
                <w:lang w:val="en-US" w:eastAsia="zh-CN"/>
              </w:rPr>
              <w:t>证件扫描件反面</w:t>
            </w:r>
          </w:p>
          <w:p w14:paraId="1D82B00A">
            <w:pPr>
              <w:pStyle w:val="19"/>
              <w:jc w:val="center"/>
              <w:rPr>
                <w:rFonts w:hint="eastAsia"/>
                <w:lang w:val="en-US" w:eastAsia="zh-CN"/>
              </w:rPr>
            </w:pPr>
          </w:p>
          <w:p w14:paraId="7F2D0F93">
            <w:pPr>
              <w:pStyle w:val="36"/>
              <w:jc w:val="center"/>
              <w:rPr>
                <w:rFonts w:hint="eastAsia"/>
                <w:sz w:val="24"/>
                <w:vertAlign w:val="baseline"/>
                <w:lang w:val="en-US" w:eastAsia="zh-CN"/>
              </w:rPr>
            </w:pPr>
          </w:p>
        </w:tc>
      </w:tr>
    </w:tbl>
    <w:p w14:paraId="51B17C06">
      <w:pPr>
        <w:pStyle w:val="201"/>
        <w:rPr>
          <w:rFonts w:hint="eastAsia" w:ascii="黑体" w:hAnsi="黑体" w:eastAsia="黑体" w:cs="黑体"/>
          <w:b/>
          <w:bCs/>
          <w:color w:val="auto"/>
          <w:sz w:val="24"/>
          <w:szCs w:val="24"/>
          <w:u w:val="none"/>
          <w:lang w:val="en-US" w:eastAsia="zh-CN"/>
        </w:rPr>
      </w:pPr>
    </w:p>
    <w:p w14:paraId="40D3EFD4">
      <w:pPr>
        <w:pStyle w:val="201"/>
        <w:rPr>
          <w:sz w:val="24"/>
        </w:rPr>
      </w:pPr>
      <w:r>
        <w:rPr>
          <w:rFonts w:hint="eastAsia" w:ascii="黑体" w:hAnsi="黑体" w:eastAsia="黑体" w:cs="黑体"/>
          <w:b/>
          <w:bCs/>
          <w:color w:val="auto"/>
          <w:sz w:val="24"/>
          <w:szCs w:val="24"/>
          <w:u w:val="none"/>
          <w:lang w:val="en-US" w:eastAsia="zh-CN"/>
        </w:rPr>
        <w:t>温馨提示</w:t>
      </w:r>
      <w:r>
        <w:rPr>
          <w:rFonts w:hint="eastAsia" w:ascii="黑体" w:hAnsi="黑体" w:eastAsia="黑体" w:cs="黑体"/>
          <w:color w:val="auto"/>
          <w:sz w:val="24"/>
          <w:szCs w:val="24"/>
          <w:u w:val="none"/>
          <w:lang w:val="en-US" w:eastAsia="zh-CN"/>
        </w:rPr>
        <w:t>：</w:t>
      </w:r>
      <w:r>
        <w:rPr>
          <w:rFonts w:hint="eastAsia" w:ascii="Times New Roman" w:hAnsi="Times New Roman" w:eastAsia="宋体" w:cs="Times New Roman"/>
          <w:kern w:val="2"/>
          <w:sz w:val="21"/>
          <w:szCs w:val="21"/>
          <w:lang w:val="en-US" w:eastAsia="zh-CN" w:bidi="ar-SA"/>
        </w:rPr>
        <w:t>为避免出现《深圳经济特</w:t>
      </w:r>
      <w:r>
        <w:rPr>
          <w:rFonts w:hint="eastAsia" w:ascii="Times New Roman" w:hAnsi="Times New Roman" w:eastAsia="宋体" w:cs="Times New Roman"/>
          <w:kern w:val="2"/>
          <w:sz w:val="21"/>
          <w:szCs w:val="21"/>
          <w:highlight w:val="none"/>
          <w:lang w:val="en-US" w:eastAsia="zh-CN" w:bidi="ar-SA"/>
        </w:rPr>
        <w:t>区政府采购条例实施细则》第七十五条第二项所列情形</w:t>
      </w:r>
      <w:r>
        <w:rPr>
          <w:rFonts w:hint="eastAsia" w:ascii="Times New Roman" w:hAnsi="Times New Roman" w:cs="Times New Roman"/>
          <w:kern w:val="2"/>
          <w:sz w:val="21"/>
          <w:szCs w:val="21"/>
          <w:highlight w:val="none"/>
          <w:lang w:val="en-US" w:eastAsia="zh-CN" w:bidi="ar-SA"/>
        </w:rPr>
        <w:t>（不同投标供应商的法定代表人、主要经营负责人、项目投标授权代表人、项目负责人、主要技术人员为同一人、属同一单位或者在同一单位缴纳社会保险）</w:t>
      </w:r>
      <w:r>
        <w:rPr>
          <w:rFonts w:hint="eastAsia" w:ascii="Times New Roman" w:hAnsi="Times New Roman" w:eastAsia="宋体" w:cs="Times New Roman"/>
          <w:kern w:val="2"/>
          <w:sz w:val="21"/>
          <w:szCs w:val="21"/>
          <w:highlight w:val="none"/>
          <w:lang w:val="en-US" w:eastAsia="zh-CN" w:bidi="ar-SA"/>
        </w:rPr>
        <w:t>，请投标供应商核实</w:t>
      </w:r>
      <w:r>
        <w:rPr>
          <w:rFonts w:hint="eastAsia" w:ascii="Times New Roman" w:hAnsi="Times New Roman" w:cs="Times New Roman"/>
          <w:kern w:val="2"/>
          <w:sz w:val="21"/>
          <w:szCs w:val="21"/>
          <w:highlight w:val="none"/>
          <w:lang w:val="en-US" w:eastAsia="zh-CN" w:bidi="ar-SA"/>
        </w:rPr>
        <w:t>贵单位</w:t>
      </w:r>
      <w:r>
        <w:rPr>
          <w:rFonts w:hint="eastAsia" w:ascii="Times New Roman" w:hAnsi="Times New Roman" w:eastAsia="宋体" w:cs="Times New Roman"/>
          <w:kern w:val="2"/>
          <w:sz w:val="21"/>
          <w:szCs w:val="21"/>
          <w:highlight w:val="none"/>
          <w:lang w:val="en-US" w:eastAsia="zh-CN" w:bidi="ar-SA"/>
        </w:rPr>
        <w:t>法定代表人、本项目投标授权代表人、项目</w:t>
      </w:r>
      <w:r>
        <w:rPr>
          <w:rFonts w:hint="eastAsia" w:ascii="Times New Roman" w:hAnsi="Times New Roman" w:eastAsia="宋体" w:cs="Times New Roman"/>
          <w:kern w:val="2"/>
          <w:sz w:val="21"/>
          <w:szCs w:val="21"/>
          <w:lang w:val="en-US" w:eastAsia="zh-CN" w:bidi="ar-SA"/>
        </w:rPr>
        <w:t>负责人（如有）、主要技术人员（如有）等是否在</w:t>
      </w:r>
      <w:r>
        <w:rPr>
          <w:rFonts w:hint="eastAsia" w:ascii="Times New Roman" w:hAnsi="Times New Roman" w:cs="Times New Roman"/>
          <w:kern w:val="2"/>
          <w:sz w:val="21"/>
          <w:szCs w:val="21"/>
          <w:lang w:val="en-US" w:eastAsia="zh-CN" w:bidi="ar-SA"/>
        </w:rPr>
        <w:t>贵单位</w:t>
      </w:r>
      <w:r>
        <w:rPr>
          <w:rFonts w:hint="eastAsia" w:ascii="Times New Roman" w:hAnsi="Times New Roman" w:eastAsia="宋体" w:cs="Times New Roman"/>
          <w:kern w:val="2"/>
          <w:sz w:val="21"/>
          <w:szCs w:val="21"/>
          <w:lang w:val="en-US" w:eastAsia="zh-CN" w:bidi="ar-SA"/>
        </w:rPr>
        <w:t>缴纳社会保险。</w:t>
      </w:r>
    </w:p>
    <w:p w14:paraId="307510A0">
      <w:pPr>
        <w:rPr>
          <w:sz w:val="24"/>
        </w:rPr>
      </w:pPr>
    </w:p>
    <w:p w14:paraId="514AB9B1">
      <w:pPr>
        <w:pStyle w:val="4"/>
        <w:spacing w:before="120" w:after="120"/>
        <w:jc w:val="center"/>
        <w:rPr>
          <w:rFonts w:ascii="黑体" w:eastAsia="黑体"/>
          <w:b w:val="0"/>
          <w:sz w:val="24"/>
        </w:rPr>
      </w:pPr>
      <w:r>
        <w:rPr>
          <w:rFonts w:hint="eastAsia" w:ascii="黑体" w:eastAsia="黑体"/>
          <w:b w:val="0"/>
          <w:sz w:val="24"/>
          <w:lang w:val="en-US" w:eastAsia="zh-CN"/>
        </w:rPr>
        <w:t>三</w:t>
      </w:r>
      <w:r>
        <w:rPr>
          <w:rFonts w:hint="eastAsia" w:ascii="黑体" w:eastAsia="黑体"/>
          <w:b w:val="0"/>
          <w:sz w:val="24"/>
        </w:rPr>
        <w:t>、投标文件签署授权委托书</w:t>
      </w:r>
    </w:p>
    <w:p w14:paraId="364CC76B">
      <w:pPr>
        <w:spacing w:line="360" w:lineRule="auto"/>
        <w:ind w:firstLine="420" w:firstLineChars="200"/>
        <w:rPr>
          <w:rFonts w:hint="eastAsia"/>
          <w:szCs w:val="21"/>
        </w:rPr>
      </w:pPr>
      <w:r>
        <w:rPr>
          <w:rFonts w:hint="eastAsia"/>
          <w:szCs w:val="21"/>
        </w:rPr>
        <w:t>本授权委托书声明：我</w:t>
      </w:r>
      <w:r>
        <w:rPr>
          <w:rFonts w:hint="eastAsia"/>
          <w:szCs w:val="21"/>
          <w:u w:val="single"/>
        </w:rPr>
        <w:t xml:space="preserve">           </w:t>
      </w:r>
      <w:r>
        <w:rPr>
          <w:rFonts w:hint="eastAsia"/>
          <w:szCs w:val="21"/>
        </w:rPr>
        <w:t>（姓名）系</w:t>
      </w:r>
      <w:r>
        <w:rPr>
          <w:rFonts w:hint="eastAsia"/>
          <w:szCs w:val="21"/>
          <w:u w:val="single"/>
        </w:rPr>
        <w:t xml:space="preserve">             </w:t>
      </w:r>
      <w:r>
        <w:rPr>
          <w:rFonts w:hint="eastAsia"/>
          <w:szCs w:val="21"/>
        </w:rPr>
        <w:t>（投标人名称）的法定代表人（负责人），现授权委托</w:t>
      </w:r>
      <w:r>
        <w:rPr>
          <w:rFonts w:hint="eastAsia"/>
          <w:szCs w:val="21"/>
          <w:u w:val="single"/>
        </w:rPr>
        <w:t xml:space="preserve">            </w:t>
      </w:r>
      <w:r>
        <w:rPr>
          <w:rFonts w:hint="eastAsia"/>
          <w:szCs w:val="21"/>
        </w:rPr>
        <w:t>（姓名）为我单位签署本项目已递交的投标文件的法定代表人（负责人）的授权委托代理人，代理人全权代表我所签署的本项目已递交的投标文件内容我均承认。</w:t>
      </w:r>
    </w:p>
    <w:p w14:paraId="6FD0C48A">
      <w:pPr>
        <w:spacing w:line="360" w:lineRule="auto"/>
        <w:ind w:firstLine="420" w:firstLineChars="200"/>
        <w:rPr>
          <w:rFonts w:hint="eastAsia"/>
          <w:szCs w:val="21"/>
        </w:rPr>
      </w:pPr>
      <w:r>
        <w:rPr>
          <w:rFonts w:hint="eastAsia"/>
          <w:szCs w:val="21"/>
        </w:rPr>
        <w:t>代理人无转委托权，特此委托。</w:t>
      </w:r>
    </w:p>
    <w:p w14:paraId="1701A310">
      <w:pPr>
        <w:spacing w:line="360" w:lineRule="auto"/>
        <w:ind w:firstLine="420" w:firstLineChars="200"/>
        <w:rPr>
          <w:rFonts w:hint="eastAsia"/>
          <w:szCs w:val="21"/>
        </w:rPr>
      </w:pPr>
    </w:p>
    <w:p w14:paraId="00B6E032">
      <w:pPr>
        <w:spacing w:line="360" w:lineRule="auto"/>
        <w:ind w:firstLine="420" w:firstLineChars="200"/>
        <w:rPr>
          <w:rFonts w:hint="eastAsia"/>
          <w:szCs w:val="21"/>
          <w:u w:val="none"/>
          <w:lang w:eastAsia="zh-CN"/>
        </w:rPr>
      </w:pPr>
      <w:r>
        <w:rPr>
          <w:rFonts w:hint="eastAsia"/>
          <w:szCs w:val="21"/>
        </w:rPr>
        <w:t>代理人</w:t>
      </w:r>
      <w:r>
        <w:rPr>
          <w:rFonts w:hint="eastAsia" w:eastAsia="宋体"/>
          <w:szCs w:val="21"/>
          <w:lang w:eastAsia="zh-CN"/>
        </w:rPr>
        <w:t>：</w:t>
      </w:r>
      <w:r>
        <w:rPr>
          <w:rFonts w:hint="eastAsia"/>
          <w:szCs w:val="21"/>
          <w:u w:val="single"/>
        </w:rPr>
        <w:t xml:space="preserve">      </w:t>
      </w:r>
      <w:r>
        <w:rPr>
          <w:rFonts w:hint="eastAsia" w:ascii="Times New Roman" w:eastAsia="宋体"/>
          <w:szCs w:val="21"/>
          <w:u w:val="single"/>
          <w:lang w:val="en-US" w:eastAsia="zh-CN"/>
        </w:rPr>
        <w:t xml:space="preserve">  </w:t>
      </w:r>
      <w:r>
        <w:rPr>
          <w:rFonts w:hint="eastAsia"/>
          <w:szCs w:val="21"/>
          <w:u w:val="single"/>
        </w:rPr>
        <w:t xml:space="preserve">      </w:t>
      </w:r>
      <w:r>
        <w:rPr>
          <w:rFonts w:hint="eastAsia" w:eastAsia="宋体"/>
          <w:szCs w:val="21"/>
          <w:u w:val="none"/>
          <w:lang w:eastAsia="zh-CN"/>
        </w:rPr>
        <w:t>；</w:t>
      </w:r>
    </w:p>
    <w:p w14:paraId="3DBF4840">
      <w:pPr>
        <w:spacing w:line="360" w:lineRule="auto"/>
        <w:ind w:firstLine="420" w:firstLineChars="200"/>
        <w:rPr>
          <w:rFonts w:hint="eastAsia"/>
          <w:szCs w:val="21"/>
          <w:u w:val="none"/>
          <w:lang w:eastAsia="zh-CN"/>
        </w:rPr>
      </w:pPr>
      <w:r>
        <w:rPr>
          <w:rFonts w:hint="eastAsia"/>
          <w:szCs w:val="21"/>
        </w:rPr>
        <w:t>身份</w:t>
      </w:r>
      <w:r>
        <w:rPr>
          <w:rFonts w:hint="eastAsia" w:ascii="Times New Roman" w:eastAsia="宋体"/>
          <w:szCs w:val="21"/>
          <w:lang w:val="en-US" w:eastAsia="zh-CN"/>
        </w:rPr>
        <w:t>证件号</w:t>
      </w:r>
      <w:r>
        <w:rPr>
          <w:rFonts w:hint="eastAsia"/>
          <w:szCs w:val="21"/>
        </w:rPr>
        <w:t>：</w:t>
      </w:r>
      <w:r>
        <w:rPr>
          <w:rFonts w:hint="eastAsia"/>
          <w:szCs w:val="21"/>
          <w:u w:val="single"/>
        </w:rPr>
        <w:t xml:space="preserve">                        </w:t>
      </w:r>
      <w:r>
        <w:rPr>
          <w:rFonts w:hint="eastAsia" w:eastAsia="宋体"/>
          <w:szCs w:val="21"/>
          <w:u w:val="none"/>
          <w:lang w:eastAsia="zh-CN"/>
        </w:rPr>
        <w:t>，</w:t>
      </w:r>
      <w:r>
        <w:rPr>
          <w:rFonts w:hint="eastAsia"/>
          <w:szCs w:val="21"/>
        </w:rPr>
        <w:t>职务：</w:t>
      </w:r>
      <w:r>
        <w:rPr>
          <w:rFonts w:hint="eastAsia"/>
          <w:szCs w:val="21"/>
          <w:u w:val="single"/>
        </w:rPr>
        <w:t xml:space="preserve">   </w:t>
      </w:r>
      <w:r>
        <w:rPr>
          <w:rFonts w:hint="eastAsia" w:ascii="Times New Roman" w:eastAsia="宋体"/>
          <w:szCs w:val="21"/>
          <w:u w:val="single"/>
          <w:lang w:val="en-US" w:eastAsia="zh-CN"/>
        </w:rPr>
        <w:t xml:space="preserve">         </w:t>
      </w:r>
      <w:r>
        <w:rPr>
          <w:rFonts w:hint="eastAsia"/>
          <w:szCs w:val="21"/>
          <w:u w:val="single"/>
        </w:rPr>
        <w:t xml:space="preserve">    </w:t>
      </w:r>
      <w:r>
        <w:rPr>
          <w:rFonts w:hint="eastAsia" w:eastAsia="宋体"/>
          <w:szCs w:val="21"/>
          <w:u w:val="none"/>
          <w:lang w:eastAsia="zh-CN"/>
        </w:rPr>
        <w:t>；</w:t>
      </w:r>
    </w:p>
    <w:p w14:paraId="0CE9A283">
      <w:pPr>
        <w:spacing w:line="360" w:lineRule="auto"/>
        <w:ind w:firstLine="420" w:firstLineChars="200"/>
        <w:rPr>
          <w:rFonts w:hint="default"/>
          <w:szCs w:val="21"/>
          <w:u w:val="none"/>
          <w:lang w:val="en-US" w:eastAsia="zh-CN"/>
        </w:rPr>
      </w:pPr>
      <w:r>
        <w:rPr>
          <w:rFonts w:hint="eastAsia"/>
          <w:szCs w:val="21"/>
        </w:rPr>
        <w:t>联系电话：</w:t>
      </w:r>
      <w:r>
        <w:rPr>
          <w:rFonts w:hint="eastAsia"/>
          <w:szCs w:val="21"/>
          <w:u w:val="single"/>
        </w:rPr>
        <w:t xml:space="preserve">         </w:t>
      </w:r>
      <w:r>
        <w:rPr>
          <w:rFonts w:hint="eastAsia" w:eastAsia="宋体"/>
          <w:szCs w:val="21"/>
          <w:lang w:eastAsia="zh-CN"/>
        </w:rPr>
        <w:t>，</w:t>
      </w:r>
      <w:r>
        <w:rPr>
          <w:rFonts w:hint="eastAsia"/>
          <w:szCs w:val="21"/>
        </w:rPr>
        <w:t>手机：</w:t>
      </w:r>
      <w:r>
        <w:rPr>
          <w:rFonts w:hint="eastAsia"/>
          <w:szCs w:val="21"/>
          <w:u w:val="single"/>
        </w:rPr>
        <w:t xml:space="preserve">                </w:t>
      </w:r>
      <w:r>
        <w:rPr>
          <w:rFonts w:hint="eastAsia" w:eastAsia="宋体"/>
          <w:szCs w:val="21"/>
          <w:u w:val="none"/>
          <w:lang w:eastAsia="zh-CN"/>
        </w:rPr>
        <w:t>，</w:t>
      </w:r>
      <w:r>
        <w:rPr>
          <w:rFonts w:hint="eastAsia" w:ascii="Times New Roman" w:eastAsia="宋体"/>
          <w:szCs w:val="21"/>
          <w:u w:val="none"/>
          <w:lang w:val="en-US" w:eastAsia="zh-CN"/>
        </w:rPr>
        <w:t>电子邮箱：</w:t>
      </w:r>
      <w:r>
        <w:rPr>
          <w:rFonts w:hint="eastAsia"/>
          <w:szCs w:val="21"/>
          <w:u w:val="single"/>
        </w:rPr>
        <w:t xml:space="preserve">            </w:t>
      </w:r>
      <w:r>
        <w:rPr>
          <w:rFonts w:hint="eastAsia" w:ascii="Times New Roman" w:eastAsia="宋体"/>
          <w:szCs w:val="21"/>
          <w:u w:val="single"/>
          <w:lang w:val="en-US" w:eastAsia="zh-CN"/>
        </w:rPr>
        <w:t xml:space="preserve">  </w:t>
      </w:r>
      <w:r>
        <w:rPr>
          <w:rFonts w:hint="eastAsia"/>
          <w:szCs w:val="21"/>
          <w:u w:val="single"/>
        </w:rPr>
        <w:t xml:space="preserve">       </w:t>
      </w:r>
      <w:r>
        <w:rPr>
          <w:rFonts w:hint="eastAsia" w:eastAsia="宋体"/>
          <w:szCs w:val="21"/>
          <w:u w:val="none"/>
          <w:lang w:eastAsia="zh-CN"/>
        </w:rPr>
        <w:t>；</w:t>
      </w:r>
    </w:p>
    <w:p w14:paraId="38A13A55">
      <w:pPr>
        <w:spacing w:line="360" w:lineRule="auto"/>
        <w:ind w:firstLine="420" w:firstLineChars="200"/>
        <w:rPr>
          <w:rFonts w:hint="eastAsia" w:eastAsia="宋体"/>
          <w:szCs w:val="21"/>
          <w:lang w:eastAsia="zh-CN"/>
        </w:rPr>
      </w:pPr>
      <w:r>
        <w:rPr>
          <w:rFonts w:hint="eastAsia"/>
          <w:szCs w:val="21"/>
        </w:rPr>
        <w:t>授权委托日期：</w:t>
      </w:r>
      <w:r>
        <w:rPr>
          <w:rFonts w:hint="eastAsia"/>
          <w:szCs w:val="21"/>
          <w:u w:val="single"/>
        </w:rPr>
        <w:t xml:space="preserve">         </w:t>
      </w:r>
      <w:r>
        <w:rPr>
          <w:rFonts w:hint="eastAsia"/>
          <w:szCs w:val="21"/>
        </w:rPr>
        <w:t>年</w:t>
      </w:r>
      <w:r>
        <w:rPr>
          <w:rFonts w:hint="eastAsia"/>
          <w:szCs w:val="21"/>
          <w:u w:val="single"/>
        </w:rPr>
        <w:t xml:space="preserve">     </w:t>
      </w:r>
      <w:r>
        <w:rPr>
          <w:rFonts w:hint="eastAsia"/>
          <w:szCs w:val="21"/>
        </w:rPr>
        <w:t xml:space="preserve">月 </w:t>
      </w:r>
      <w:r>
        <w:rPr>
          <w:rFonts w:hint="eastAsia"/>
          <w:szCs w:val="21"/>
          <w:u w:val="single"/>
        </w:rPr>
        <w:t xml:space="preserve">      </w:t>
      </w:r>
      <w:r>
        <w:rPr>
          <w:rFonts w:hint="eastAsia"/>
          <w:szCs w:val="21"/>
        </w:rPr>
        <w:t>日</w:t>
      </w:r>
      <w:r>
        <w:rPr>
          <w:rFonts w:hint="eastAsia" w:eastAsia="宋体"/>
          <w:szCs w:val="21"/>
          <w:lang w:eastAsia="zh-CN"/>
        </w:rPr>
        <w:t>。</w:t>
      </w:r>
    </w:p>
    <w:p w14:paraId="414C44D1">
      <w:pPr>
        <w:spacing w:line="360" w:lineRule="auto"/>
        <w:ind w:firstLine="422" w:firstLineChars="200"/>
        <w:rPr>
          <w:b/>
          <w:color w:val="FF0000"/>
          <w:szCs w:val="21"/>
        </w:rPr>
      </w:pPr>
      <w:r>
        <w:rPr>
          <w:rFonts w:hint="eastAsia"/>
          <w:b/>
          <w:color w:val="FF0000"/>
          <w:szCs w:val="21"/>
        </w:rPr>
        <w:t>附：请提供代理人身份证扫描件（正反两面）；港澳台居民可提供来往通行证扫描件；非中国国籍管辖范围人员，可提供公安部门认可的身份证明材料扫描件。</w:t>
      </w:r>
    </w:p>
    <w:tbl>
      <w:tblPr>
        <w:tblStyle w:val="43"/>
        <w:tblW w:w="852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64"/>
        <w:gridCol w:w="4265"/>
      </w:tblGrid>
      <w:tr w14:paraId="00227E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4" w:type="dxa"/>
          </w:tcPr>
          <w:p w14:paraId="0F4D1B95">
            <w:pPr>
              <w:jc w:val="center"/>
              <w:rPr>
                <w:rFonts w:hint="eastAsia"/>
                <w:lang w:val="en-US" w:eastAsia="zh-CN"/>
              </w:rPr>
            </w:pPr>
            <w:r>
              <w:rPr>
                <w:rFonts w:hint="eastAsia" w:ascii="Times New Roman" w:eastAsia="宋体"/>
                <w:lang w:val="en-US" w:eastAsia="zh-CN"/>
              </w:rPr>
              <w:t>证件扫描件正面</w:t>
            </w:r>
          </w:p>
          <w:p w14:paraId="02B7F6AC">
            <w:pPr>
              <w:pStyle w:val="19"/>
              <w:jc w:val="both"/>
              <w:rPr>
                <w:rFonts w:hint="eastAsia"/>
                <w:lang w:val="en-US" w:eastAsia="zh-CN"/>
              </w:rPr>
            </w:pPr>
          </w:p>
          <w:p w14:paraId="58BD886D">
            <w:pPr>
              <w:pStyle w:val="36"/>
              <w:rPr>
                <w:rFonts w:hint="eastAsia"/>
                <w:lang w:val="en-US" w:eastAsia="zh-CN"/>
              </w:rPr>
            </w:pPr>
          </w:p>
          <w:p w14:paraId="0489EA3B">
            <w:pPr>
              <w:pStyle w:val="36"/>
              <w:rPr>
                <w:rFonts w:hint="default"/>
                <w:lang w:val="en-US" w:eastAsia="zh-CN"/>
              </w:rPr>
            </w:pPr>
          </w:p>
          <w:p w14:paraId="39DB4D43">
            <w:pPr>
              <w:pStyle w:val="36"/>
              <w:jc w:val="both"/>
              <w:rPr>
                <w:rFonts w:hint="default"/>
                <w:lang w:val="en-US" w:eastAsia="zh-CN"/>
              </w:rPr>
            </w:pPr>
          </w:p>
        </w:tc>
        <w:tc>
          <w:tcPr>
            <w:tcW w:w="4265" w:type="dxa"/>
          </w:tcPr>
          <w:p w14:paraId="627BA0CF">
            <w:pPr>
              <w:jc w:val="center"/>
              <w:rPr>
                <w:rFonts w:hint="eastAsia"/>
                <w:lang w:val="en-US" w:eastAsia="zh-CN"/>
              </w:rPr>
            </w:pPr>
            <w:r>
              <w:rPr>
                <w:rFonts w:hint="eastAsia" w:ascii="Times New Roman" w:eastAsia="宋体"/>
                <w:lang w:val="en-US" w:eastAsia="zh-CN"/>
              </w:rPr>
              <w:t>证件扫描件反面</w:t>
            </w:r>
          </w:p>
          <w:p w14:paraId="7952F044">
            <w:pPr>
              <w:pStyle w:val="19"/>
              <w:jc w:val="center"/>
              <w:rPr>
                <w:rFonts w:hint="eastAsia"/>
                <w:lang w:val="en-US" w:eastAsia="zh-CN"/>
              </w:rPr>
            </w:pPr>
          </w:p>
          <w:p w14:paraId="0AF816F1">
            <w:pPr>
              <w:pStyle w:val="36"/>
              <w:jc w:val="center"/>
              <w:rPr>
                <w:rFonts w:hint="eastAsia"/>
                <w:sz w:val="24"/>
                <w:vertAlign w:val="baseline"/>
                <w:lang w:val="en-US" w:eastAsia="zh-CN"/>
              </w:rPr>
            </w:pPr>
          </w:p>
        </w:tc>
      </w:tr>
    </w:tbl>
    <w:p w14:paraId="0571BD88">
      <w:pPr>
        <w:pStyle w:val="201"/>
        <w:rPr>
          <w:rFonts w:hint="eastAsia" w:ascii="黑体" w:hAnsi="黑体" w:eastAsia="黑体" w:cs="黑体"/>
          <w:b/>
          <w:bCs/>
          <w:color w:val="auto"/>
          <w:sz w:val="24"/>
          <w:szCs w:val="24"/>
          <w:u w:val="none"/>
          <w:lang w:val="en-US" w:eastAsia="zh-CN"/>
        </w:rPr>
      </w:pPr>
    </w:p>
    <w:p w14:paraId="65CF8623">
      <w:pPr>
        <w:pStyle w:val="201"/>
        <w:rPr>
          <w:sz w:val="24"/>
          <w:highlight w:val="none"/>
        </w:rPr>
      </w:pPr>
      <w:r>
        <w:rPr>
          <w:rFonts w:hint="eastAsia" w:ascii="黑体" w:hAnsi="黑体" w:eastAsia="黑体" w:cs="黑体"/>
          <w:b/>
          <w:bCs/>
          <w:color w:val="auto"/>
          <w:sz w:val="24"/>
          <w:szCs w:val="24"/>
          <w:u w:val="none"/>
          <w:lang w:val="en-US" w:eastAsia="zh-CN"/>
        </w:rPr>
        <w:t>温馨提示</w:t>
      </w:r>
      <w:r>
        <w:rPr>
          <w:rFonts w:hint="eastAsia" w:ascii="黑体" w:hAnsi="黑体" w:eastAsia="黑体" w:cs="黑体"/>
          <w:color w:val="auto"/>
          <w:sz w:val="24"/>
          <w:szCs w:val="24"/>
          <w:u w:val="none"/>
          <w:lang w:val="en-US" w:eastAsia="zh-CN"/>
        </w:rPr>
        <w:t>：</w:t>
      </w:r>
      <w:r>
        <w:rPr>
          <w:rFonts w:hint="eastAsia" w:ascii="Times New Roman" w:hAnsi="Times New Roman" w:eastAsia="宋体" w:cs="Times New Roman"/>
          <w:kern w:val="2"/>
          <w:sz w:val="21"/>
          <w:szCs w:val="21"/>
          <w:lang w:val="en-US" w:eastAsia="zh-CN" w:bidi="ar-SA"/>
        </w:rPr>
        <w:t>为避免出现《深圳经济特区政府</w:t>
      </w:r>
      <w:r>
        <w:rPr>
          <w:rFonts w:hint="eastAsia" w:ascii="Times New Roman" w:hAnsi="Times New Roman" w:eastAsia="宋体" w:cs="Times New Roman"/>
          <w:kern w:val="2"/>
          <w:sz w:val="21"/>
          <w:szCs w:val="21"/>
          <w:highlight w:val="none"/>
          <w:lang w:val="en-US" w:eastAsia="zh-CN" w:bidi="ar-SA"/>
        </w:rPr>
        <w:t>采购条例实施细则》第七十五条第二项所列情形</w:t>
      </w:r>
      <w:r>
        <w:rPr>
          <w:rFonts w:hint="eastAsia" w:ascii="Times New Roman" w:hAnsi="Times New Roman" w:cs="Times New Roman"/>
          <w:kern w:val="2"/>
          <w:sz w:val="21"/>
          <w:szCs w:val="21"/>
          <w:highlight w:val="none"/>
          <w:lang w:val="en-US" w:eastAsia="zh-CN" w:bidi="ar-SA"/>
        </w:rPr>
        <w:t>（不同投标供应商的法定代表人、主要经营负责人、项目投标授权代表人、项目负责人、主要技术人员为同一人、属同一单位或者在同一单位缴纳社会保险）</w:t>
      </w:r>
      <w:r>
        <w:rPr>
          <w:rFonts w:hint="eastAsia" w:ascii="Times New Roman" w:hAnsi="Times New Roman" w:eastAsia="宋体" w:cs="Times New Roman"/>
          <w:kern w:val="2"/>
          <w:sz w:val="21"/>
          <w:szCs w:val="21"/>
          <w:highlight w:val="none"/>
          <w:lang w:val="en-US" w:eastAsia="zh-CN" w:bidi="ar-SA"/>
        </w:rPr>
        <w:t>，请投标供应商核实</w:t>
      </w:r>
      <w:r>
        <w:rPr>
          <w:rFonts w:hint="eastAsia" w:ascii="Times New Roman" w:hAnsi="Times New Roman" w:cs="Times New Roman"/>
          <w:kern w:val="2"/>
          <w:sz w:val="21"/>
          <w:szCs w:val="21"/>
          <w:highlight w:val="none"/>
          <w:lang w:val="en-US" w:eastAsia="zh-CN" w:bidi="ar-SA"/>
        </w:rPr>
        <w:t>贵单位</w:t>
      </w:r>
      <w:r>
        <w:rPr>
          <w:rFonts w:hint="eastAsia" w:ascii="Times New Roman" w:hAnsi="Times New Roman" w:eastAsia="宋体" w:cs="Times New Roman"/>
          <w:kern w:val="2"/>
          <w:sz w:val="21"/>
          <w:szCs w:val="21"/>
          <w:highlight w:val="none"/>
          <w:lang w:val="en-US" w:eastAsia="zh-CN" w:bidi="ar-SA"/>
        </w:rPr>
        <w:t>法定代表人、本项目投标授权代表人、项目负责人（如有）、主要技术人员（如有）等是否在</w:t>
      </w:r>
      <w:r>
        <w:rPr>
          <w:rFonts w:hint="eastAsia" w:ascii="Times New Roman" w:hAnsi="Times New Roman" w:cs="Times New Roman"/>
          <w:kern w:val="2"/>
          <w:sz w:val="21"/>
          <w:szCs w:val="21"/>
          <w:highlight w:val="none"/>
          <w:lang w:val="en-US" w:eastAsia="zh-CN" w:bidi="ar-SA"/>
        </w:rPr>
        <w:t>贵单位</w:t>
      </w:r>
      <w:r>
        <w:rPr>
          <w:rFonts w:hint="eastAsia" w:ascii="Times New Roman" w:hAnsi="Times New Roman" w:eastAsia="宋体" w:cs="Times New Roman"/>
          <w:kern w:val="2"/>
          <w:sz w:val="21"/>
          <w:szCs w:val="21"/>
          <w:highlight w:val="none"/>
          <w:lang w:val="en-US" w:eastAsia="zh-CN" w:bidi="ar-SA"/>
        </w:rPr>
        <w:t>缴纳社会保险。</w:t>
      </w:r>
    </w:p>
    <w:p w14:paraId="69BBA005">
      <w:pPr>
        <w:bidi w:val="0"/>
        <w:rPr>
          <w:rFonts w:hint="eastAsia"/>
          <w:highlight w:val="none"/>
          <w:lang w:val="en-US" w:eastAsia="zh-CN"/>
        </w:rPr>
      </w:pPr>
    </w:p>
    <w:p w14:paraId="6BF409F1">
      <w:pPr>
        <w:pStyle w:val="4"/>
        <w:jc w:val="center"/>
        <w:rPr>
          <w:rFonts w:ascii="黑体" w:eastAsia="黑体"/>
          <w:b w:val="0"/>
          <w:sz w:val="24"/>
          <w:szCs w:val="24"/>
        </w:rPr>
      </w:pPr>
      <w:r>
        <w:rPr>
          <w:rFonts w:hint="eastAsia" w:ascii="黑体" w:eastAsia="黑体"/>
          <w:b w:val="0"/>
          <w:sz w:val="24"/>
          <w:szCs w:val="24"/>
          <w:highlight w:val="none"/>
        </w:rPr>
        <w:t>四、项目详</w:t>
      </w:r>
      <w:r>
        <w:rPr>
          <w:rFonts w:hint="eastAsia" w:ascii="黑体" w:eastAsia="黑体"/>
          <w:b w:val="0"/>
          <w:sz w:val="24"/>
          <w:szCs w:val="24"/>
        </w:rPr>
        <w:t>细报价</w:t>
      </w:r>
    </w:p>
    <w:p w14:paraId="72BA358D">
      <w:pPr>
        <w:tabs>
          <w:tab w:val="left" w:pos="720"/>
        </w:tabs>
        <w:ind w:firstLine="3132" w:firstLineChars="1300"/>
        <w:rPr>
          <w:b/>
          <w:sz w:val="24"/>
        </w:rPr>
      </w:pPr>
      <w:r>
        <w:rPr>
          <w:rFonts w:hint="eastAsia"/>
          <w:b/>
          <w:sz w:val="24"/>
        </w:rPr>
        <w:t>（一）分项报价表</w:t>
      </w:r>
    </w:p>
    <w:tbl>
      <w:tblPr>
        <w:tblStyle w:val="42"/>
        <w:tblW w:w="8613" w:type="dxa"/>
        <w:tblInd w:w="0" w:type="dxa"/>
        <w:tblLayout w:type="fixed"/>
        <w:tblCellMar>
          <w:top w:w="0" w:type="dxa"/>
          <w:left w:w="108" w:type="dxa"/>
          <w:bottom w:w="0" w:type="dxa"/>
          <w:right w:w="108" w:type="dxa"/>
        </w:tblCellMar>
      </w:tblPr>
      <w:tblGrid>
        <w:gridCol w:w="618"/>
        <w:gridCol w:w="1016"/>
        <w:gridCol w:w="3152"/>
        <w:gridCol w:w="1559"/>
        <w:gridCol w:w="2268"/>
      </w:tblGrid>
      <w:tr w14:paraId="686D96E0">
        <w:tblPrEx>
          <w:tblCellMar>
            <w:top w:w="0" w:type="dxa"/>
            <w:left w:w="108" w:type="dxa"/>
            <w:bottom w:w="0" w:type="dxa"/>
            <w:right w:w="108" w:type="dxa"/>
          </w:tblCellMar>
        </w:tblPrEx>
        <w:trPr>
          <w:trHeight w:val="285" w:hRule="atLeast"/>
        </w:trPr>
        <w:tc>
          <w:tcPr>
            <w:tcW w:w="618" w:type="dxa"/>
            <w:tcBorders>
              <w:top w:val="single" w:color="auto" w:sz="8" w:space="0"/>
              <w:left w:val="single" w:color="auto" w:sz="8" w:space="0"/>
              <w:bottom w:val="single" w:color="auto" w:sz="4" w:space="0"/>
              <w:right w:val="single" w:color="auto" w:sz="4" w:space="0"/>
            </w:tcBorders>
            <w:shd w:val="clear" w:color="000000" w:fill="E7E6E6"/>
            <w:vAlign w:val="center"/>
          </w:tcPr>
          <w:p w14:paraId="3BF35B74">
            <w:pPr>
              <w:widowControl/>
              <w:jc w:val="center"/>
              <w:rPr>
                <w:rFonts w:ascii="宋体" w:hAnsi="宋体" w:cs="宋体"/>
                <w:b/>
                <w:bCs/>
                <w:kern w:val="0"/>
                <w:sz w:val="20"/>
                <w:szCs w:val="20"/>
              </w:rPr>
            </w:pPr>
            <w:r>
              <w:rPr>
                <w:rFonts w:hint="eastAsia" w:ascii="宋体" w:hAnsi="宋体" w:cs="宋体"/>
                <w:b/>
                <w:bCs/>
                <w:kern w:val="0"/>
                <w:sz w:val="20"/>
                <w:szCs w:val="20"/>
              </w:rPr>
              <w:t>序号</w:t>
            </w:r>
          </w:p>
        </w:tc>
        <w:tc>
          <w:tcPr>
            <w:tcW w:w="4168" w:type="dxa"/>
            <w:gridSpan w:val="2"/>
            <w:tcBorders>
              <w:top w:val="single" w:color="auto" w:sz="8" w:space="0"/>
              <w:left w:val="nil"/>
              <w:bottom w:val="single" w:color="auto" w:sz="4" w:space="0"/>
              <w:right w:val="single" w:color="auto" w:sz="4" w:space="0"/>
            </w:tcBorders>
            <w:shd w:val="clear" w:color="000000" w:fill="E7E6E6"/>
            <w:vAlign w:val="center"/>
          </w:tcPr>
          <w:p w14:paraId="16A75A0F">
            <w:pPr>
              <w:widowControl/>
              <w:jc w:val="center"/>
              <w:rPr>
                <w:rFonts w:ascii="宋体" w:hAnsi="宋体" w:cs="宋体"/>
                <w:b/>
                <w:bCs/>
                <w:kern w:val="0"/>
                <w:sz w:val="20"/>
                <w:szCs w:val="20"/>
              </w:rPr>
            </w:pPr>
            <w:r>
              <w:rPr>
                <w:rFonts w:hint="eastAsia" w:ascii="宋体" w:hAnsi="宋体" w:cs="宋体"/>
                <w:b/>
                <w:bCs/>
                <w:kern w:val="0"/>
                <w:sz w:val="20"/>
                <w:szCs w:val="20"/>
              </w:rPr>
              <w:t>需求名称</w:t>
            </w:r>
          </w:p>
        </w:tc>
        <w:tc>
          <w:tcPr>
            <w:tcW w:w="1559" w:type="dxa"/>
            <w:tcBorders>
              <w:top w:val="single" w:color="auto" w:sz="8" w:space="0"/>
              <w:left w:val="nil"/>
              <w:bottom w:val="single" w:color="auto" w:sz="4" w:space="0"/>
              <w:right w:val="single" w:color="auto" w:sz="4" w:space="0"/>
            </w:tcBorders>
            <w:shd w:val="clear" w:color="000000" w:fill="E7E6E6"/>
            <w:vAlign w:val="center"/>
          </w:tcPr>
          <w:p w14:paraId="2CD83114">
            <w:pPr>
              <w:widowControl/>
              <w:jc w:val="center"/>
              <w:rPr>
                <w:rFonts w:ascii="宋体" w:hAnsi="宋体" w:cs="宋体"/>
                <w:b/>
                <w:bCs/>
                <w:kern w:val="0"/>
                <w:sz w:val="20"/>
                <w:szCs w:val="20"/>
              </w:rPr>
            </w:pPr>
            <w:r>
              <w:rPr>
                <w:rFonts w:hint="eastAsia" w:ascii="宋体" w:hAnsi="宋体" w:cs="宋体"/>
                <w:b/>
                <w:bCs/>
                <w:kern w:val="0"/>
                <w:sz w:val="20"/>
                <w:szCs w:val="20"/>
              </w:rPr>
              <w:t>金额（元）</w:t>
            </w:r>
          </w:p>
        </w:tc>
        <w:tc>
          <w:tcPr>
            <w:tcW w:w="2268" w:type="dxa"/>
            <w:tcBorders>
              <w:top w:val="single" w:color="auto" w:sz="8" w:space="0"/>
              <w:left w:val="nil"/>
              <w:bottom w:val="single" w:color="auto" w:sz="4" w:space="0"/>
              <w:right w:val="single" w:color="auto" w:sz="8" w:space="0"/>
            </w:tcBorders>
            <w:shd w:val="clear" w:color="000000" w:fill="E7E6E6"/>
            <w:vAlign w:val="center"/>
          </w:tcPr>
          <w:p w14:paraId="49855A6F">
            <w:pPr>
              <w:widowControl/>
              <w:jc w:val="center"/>
              <w:rPr>
                <w:rFonts w:ascii="宋体" w:hAnsi="宋体" w:cs="宋体"/>
                <w:b/>
                <w:bCs/>
                <w:kern w:val="0"/>
                <w:sz w:val="20"/>
                <w:szCs w:val="20"/>
              </w:rPr>
            </w:pPr>
            <w:r>
              <w:rPr>
                <w:rFonts w:hint="eastAsia" w:ascii="宋体" w:hAnsi="宋体" w:cs="宋体"/>
                <w:b/>
                <w:bCs/>
                <w:kern w:val="0"/>
                <w:sz w:val="20"/>
                <w:szCs w:val="20"/>
              </w:rPr>
              <w:t>说明</w:t>
            </w:r>
          </w:p>
        </w:tc>
      </w:tr>
      <w:tr w14:paraId="2374DA0D">
        <w:tblPrEx>
          <w:tblCellMar>
            <w:top w:w="0" w:type="dxa"/>
            <w:left w:w="108" w:type="dxa"/>
            <w:bottom w:w="0" w:type="dxa"/>
            <w:right w:w="108" w:type="dxa"/>
          </w:tblCellMar>
        </w:tblPrEx>
        <w:trPr>
          <w:trHeight w:val="285" w:hRule="atLeast"/>
        </w:trPr>
        <w:tc>
          <w:tcPr>
            <w:tcW w:w="618" w:type="dxa"/>
            <w:tcBorders>
              <w:top w:val="single" w:color="auto" w:sz="4" w:space="0"/>
              <w:left w:val="single" w:color="auto" w:sz="8" w:space="0"/>
              <w:bottom w:val="single" w:color="auto" w:sz="4" w:space="0"/>
              <w:right w:val="single" w:color="auto" w:sz="4" w:space="0"/>
            </w:tcBorders>
            <w:shd w:val="clear" w:color="auto" w:fill="auto"/>
            <w:vAlign w:val="center"/>
          </w:tcPr>
          <w:p w14:paraId="3A6EFC66">
            <w:pPr>
              <w:widowControl/>
              <w:jc w:val="center"/>
              <w:rPr>
                <w:rFonts w:ascii="宋体" w:hAnsi="宋体" w:cs="宋体"/>
                <w:kern w:val="0"/>
                <w:sz w:val="20"/>
                <w:szCs w:val="20"/>
              </w:rPr>
            </w:pPr>
            <w:r>
              <w:rPr>
                <w:rFonts w:hint="eastAsia" w:ascii="宋体" w:hAnsi="宋体" w:cs="宋体"/>
                <w:kern w:val="0"/>
                <w:sz w:val="20"/>
                <w:szCs w:val="20"/>
              </w:rPr>
              <w:t>一</w:t>
            </w:r>
          </w:p>
        </w:tc>
        <w:tc>
          <w:tcPr>
            <w:tcW w:w="4168" w:type="dxa"/>
            <w:gridSpan w:val="2"/>
            <w:tcBorders>
              <w:top w:val="single" w:color="auto" w:sz="4" w:space="0"/>
              <w:left w:val="nil"/>
              <w:bottom w:val="single" w:color="auto" w:sz="4" w:space="0"/>
              <w:right w:val="single" w:color="auto" w:sz="4" w:space="0"/>
            </w:tcBorders>
            <w:shd w:val="clear" w:color="auto" w:fill="auto"/>
            <w:vAlign w:val="center"/>
          </w:tcPr>
          <w:p w14:paraId="1D56BB2A">
            <w:pPr>
              <w:widowControl/>
              <w:jc w:val="center"/>
              <w:rPr>
                <w:rFonts w:ascii="宋体" w:hAnsi="宋体" w:cs="宋体"/>
                <w:kern w:val="0"/>
                <w:sz w:val="20"/>
                <w:szCs w:val="20"/>
              </w:rPr>
            </w:pPr>
            <w:r>
              <w:rPr>
                <w:rFonts w:hint="eastAsia" w:ascii="宋体" w:hAnsi="宋体" w:cs="宋体"/>
                <w:kern w:val="0"/>
                <w:sz w:val="20"/>
                <w:szCs w:val="20"/>
              </w:rPr>
              <w:t>*</w:t>
            </w:r>
            <w:r>
              <w:rPr>
                <w:rFonts w:ascii="宋体" w:hAnsi="宋体" w:cs="宋体"/>
                <w:kern w:val="0"/>
                <w:sz w:val="20"/>
                <w:szCs w:val="20"/>
              </w:rPr>
              <w:t>*****</w:t>
            </w:r>
          </w:p>
        </w:tc>
        <w:tc>
          <w:tcPr>
            <w:tcW w:w="1559" w:type="dxa"/>
            <w:tcBorders>
              <w:top w:val="single" w:color="auto" w:sz="4" w:space="0"/>
              <w:left w:val="nil"/>
              <w:bottom w:val="single" w:color="auto" w:sz="4" w:space="0"/>
              <w:right w:val="single" w:color="auto" w:sz="4" w:space="0"/>
            </w:tcBorders>
            <w:shd w:val="clear" w:color="000000" w:fill="FFFFFF"/>
            <w:vAlign w:val="center"/>
          </w:tcPr>
          <w:p w14:paraId="5364904C">
            <w:pPr>
              <w:widowControl/>
              <w:jc w:val="right"/>
              <w:rPr>
                <w:rFonts w:ascii="宋体" w:hAnsi="宋体" w:cs="宋体"/>
                <w:kern w:val="0"/>
                <w:sz w:val="20"/>
                <w:szCs w:val="20"/>
              </w:rPr>
            </w:pPr>
            <w:r>
              <w:rPr>
                <w:rFonts w:hint="eastAsia" w:ascii="宋体" w:hAnsi="宋体" w:cs="宋体"/>
                <w:kern w:val="0"/>
                <w:sz w:val="20"/>
                <w:szCs w:val="20"/>
              </w:rPr>
              <w:t>　</w:t>
            </w:r>
          </w:p>
        </w:tc>
        <w:tc>
          <w:tcPr>
            <w:tcW w:w="2268" w:type="dxa"/>
            <w:tcBorders>
              <w:top w:val="single" w:color="auto" w:sz="4" w:space="0"/>
              <w:left w:val="nil"/>
              <w:bottom w:val="single" w:color="auto" w:sz="4" w:space="0"/>
              <w:right w:val="single" w:color="auto" w:sz="8" w:space="0"/>
            </w:tcBorders>
            <w:shd w:val="clear" w:color="auto" w:fill="auto"/>
            <w:vAlign w:val="center"/>
          </w:tcPr>
          <w:p w14:paraId="4802FF5B">
            <w:pPr>
              <w:widowControl/>
              <w:jc w:val="left"/>
              <w:rPr>
                <w:rFonts w:ascii="宋体" w:hAnsi="宋体" w:cs="宋体"/>
                <w:kern w:val="0"/>
                <w:sz w:val="20"/>
                <w:szCs w:val="20"/>
              </w:rPr>
            </w:pPr>
          </w:p>
        </w:tc>
      </w:tr>
      <w:tr w14:paraId="16D9E08D">
        <w:tblPrEx>
          <w:tblCellMar>
            <w:top w:w="0" w:type="dxa"/>
            <w:left w:w="108" w:type="dxa"/>
            <w:bottom w:w="0" w:type="dxa"/>
            <w:right w:w="108" w:type="dxa"/>
          </w:tblCellMar>
        </w:tblPrEx>
        <w:trPr>
          <w:trHeight w:val="480" w:hRule="atLeast"/>
        </w:trPr>
        <w:tc>
          <w:tcPr>
            <w:tcW w:w="618" w:type="dxa"/>
            <w:vMerge w:val="restart"/>
            <w:tcBorders>
              <w:top w:val="nil"/>
              <w:left w:val="single" w:color="auto" w:sz="8" w:space="0"/>
              <w:right w:val="single" w:color="auto" w:sz="4" w:space="0"/>
            </w:tcBorders>
            <w:shd w:val="clear" w:color="auto" w:fill="auto"/>
            <w:vAlign w:val="center"/>
          </w:tcPr>
          <w:p w14:paraId="474AE2D8">
            <w:pPr>
              <w:widowControl/>
              <w:jc w:val="center"/>
              <w:rPr>
                <w:rFonts w:ascii="宋体" w:hAnsi="宋体" w:cs="宋体"/>
                <w:kern w:val="0"/>
                <w:sz w:val="20"/>
                <w:szCs w:val="20"/>
              </w:rPr>
            </w:pPr>
            <w:r>
              <w:rPr>
                <w:rFonts w:hint="eastAsia" w:ascii="宋体" w:hAnsi="宋体" w:cs="宋体"/>
                <w:kern w:val="0"/>
                <w:sz w:val="20"/>
                <w:szCs w:val="20"/>
              </w:rPr>
              <w:t>二</w:t>
            </w:r>
          </w:p>
        </w:tc>
        <w:tc>
          <w:tcPr>
            <w:tcW w:w="1016" w:type="dxa"/>
            <w:vMerge w:val="restart"/>
            <w:tcBorders>
              <w:top w:val="nil"/>
              <w:left w:val="single" w:color="auto" w:sz="4" w:space="0"/>
              <w:bottom w:val="single" w:color="auto" w:sz="4" w:space="0"/>
              <w:right w:val="single" w:color="auto" w:sz="4" w:space="0"/>
            </w:tcBorders>
            <w:shd w:val="clear" w:color="auto" w:fill="auto"/>
            <w:vAlign w:val="center"/>
          </w:tcPr>
          <w:p w14:paraId="27A1E48B">
            <w:pPr>
              <w:widowControl/>
              <w:jc w:val="center"/>
              <w:rPr>
                <w:rFonts w:ascii="宋体" w:hAnsi="宋体" w:cs="宋体"/>
                <w:kern w:val="0"/>
                <w:sz w:val="20"/>
                <w:szCs w:val="20"/>
              </w:rPr>
            </w:pPr>
            <w:r>
              <w:rPr>
                <w:rFonts w:hint="eastAsia" w:ascii="宋体" w:hAnsi="宋体" w:cs="宋体"/>
                <w:kern w:val="0"/>
                <w:sz w:val="20"/>
                <w:szCs w:val="20"/>
              </w:rPr>
              <w:t>*</w:t>
            </w:r>
            <w:r>
              <w:rPr>
                <w:rFonts w:ascii="宋体" w:hAnsi="宋体" w:cs="宋体"/>
                <w:kern w:val="0"/>
                <w:sz w:val="20"/>
                <w:szCs w:val="20"/>
              </w:rPr>
              <w:t>*</w:t>
            </w:r>
            <w:r>
              <w:rPr>
                <w:rFonts w:hint="eastAsia" w:ascii="宋体" w:hAnsi="宋体" w:cs="宋体"/>
                <w:kern w:val="0"/>
                <w:sz w:val="20"/>
                <w:szCs w:val="20"/>
              </w:rPr>
              <w:t>费用</w:t>
            </w:r>
          </w:p>
        </w:tc>
        <w:tc>
          <w:tcPr>
            <w:tcW w:w="3152" w:type="dxa"/>
            <w:tcBorders>
              <w:top w:val="nil"/>
              <w:left w:val="nil"/>
              <w:bottom w:val="single" w:color="auto" w:sz="4" w:space="0"/>
              <w:right w:val="single" w:color="auto" w:sz="4" w:space="0"/>
            </w:tcBorders>
            <w:shd w:val="clear" w:color="auto" w:fill="auto"/>
            <w:vAlign w:val="center"/>
          </w:tcPr>
          <w:p w14:paraId="089C9C3E">
            <w:pPr>
              <w:widowControl/>
              <w:jc w:val="left"/>
              <w:rPr>
                <w:rFonts w:ascii="宋体" w:hAnsi="宋体" w:cs="宋体"/>
                <w:kern w:val="0"/>
                <w:sz w:val="20"/>
                <w:szCs w:val="20"/>
              </w:rPr>
            </w:pPr>
          </w:p>
        </w:tc>
        <w:tc>
          <w:tcPr>
            <w:tcW w:w="1559" w:type="dxa"/>
            <w:tcBorders>
              <w:top w:val="nil"/>
              <w:left w:val="nil"/>
              <w:bottom w:val="single" w:color="auto" w:sz="4" w:space="0"/>
              <w:right w:val="single" w:color="auto" w:sz="4" w:space="0"/>
            </w:tcBorders>
            <w:shd w:val="clear" w:color="auto" w:fill="auto"/>
            <w:vAlign w:val="center"/>
          </w:tcPr>
          <w:p w14:paraId="46B7E5A1">
            <w:pPr>
              <w:widowControl/>
              <w:jc w:val="right"/>
              <w:rPr>
                <w:rFonts w:ascii="宋体" w:hAnsi="宋体" w:cs="宋体"/>
                <w:kern w:val="0"/>
                <w:sz w:val="20"/>
                <w:szCs w:val="20"/>
              </w:rPr>
            </w:pPr>
            <w:r>
              <w:rPr>
                <w:rFonts w:hint="eastAsia" w:ascii="宋体" w:hAnsi="宋体" w:cs="宋体"/>
                <w:kern w:val="0"/>
                <w:sz w:val="20"/>
                <w:szCs w:val="20"/>
              </w:rPr>
              <w:t>　</w:t>
            </w:r>
          </w:p>
        </w:tc>
        <w:tc>
          <w:tcPr>
            <w:tcW w:w="2268" w:type="dxa"/>
            <w:vMerge w:val="restart"/>
            <w:tcBorders>
              <w:top w:val="nil"/>
              <w:left w:val="nil"/>
              <w:right w:val="single" w:color="auto" w:sz="8" w:space="0"/>
            </w:tcBorders>
            <w:shd w:val="clear" w:color="auto" w:fill="auto"/>
            <w:vAlign w:val="center"/>
          </w:tcPr>
          <w:p w14:paraId="321560B1">
            <w:pPr>
              <w:widowControl/>
              <w:jc w:val="left"/>
              <w:rPr>
                <w:rFonts w:ascii="宋体" w:hAnsi="宋体" w:cs="宋体"/>
                <w:kern w:val="0"/>
                <w:sz w:val="20"/>
                <w:szCs w:val="20"/>
              </w:rPr>
            </w:pPr>
            <w:r>
              <w:rPr>
                <w:rFonts w:hint="eastAsia" w:ascii="宋体" w:hAnsi="宋体" w:cs="宋体"/>
                <w:kern w:val="0"/>
                <w:sz w:val="20"/>
                <w:szCs w:val="20"/>
              </w:rPr>
              <w:t>　</w:t>
            </w:r>
          </w:p>
        </w:tc>
      </w:tr>
      <w:tr w14:paraId="58FEC1E4">
        <w:tblPrEx>
          <w:tblCellMar>
            <w:top w:w="0" w:type="dxa"/>
            <w:left w:w="108" w:type="dxa"/>
            <w:bottom w:w="0" w:type="dxa"/>
            <w:right w:w="108" w:type="dxa"/>
          </w:tblCellMar>
        </w:tblPrEx>
        <w:trPr>
          <w:trHeight w:val="285" w:hRule="atLeast"/>
        </w:trPr>
        <w:tc>
          <w:tcPr>
            <w:tcW w:w="618" w:type="dxa"/>
            <w:vMerge w:val="continue"/>
            <w:tcBorders>
              <w:left w:val="single" w:color="auto" w:sz="8" w:space="0"/>
              <w:right w:val="single" w:color="auto" w:sz="4" w:space="0"/>
            </w:tcBorders>
            <w:shd w:val="clear" w:color="auto" w:fill="auto"/>
            <w:vAlign w:val="center"/>
          </w:tcPr>
          <w:p w14:paraId="29E5CB68">
            <w:pPr>
              <w:jc w:val="center"/>
              <w:rPr>
                <w:rFonts w:ascii="宋体" w:hAnsi="宋体" w:cs="宋体"/>
                <w:kern w:val="0"/>
                <w:sz w:val="20"/>
                <w:szCs w:val="20"/>
              </w:rPr>
            </w:pPr>
          </w:p>
        </w:tc>
        <w:tc>
          <w:tcPr>
            <w:tcW w:w="1016" w:type="dxa"/>
            <w:vMerge w:val="continue"/>
            <w:tcBorders>
              <w:top w:val="nil"/>
              <w:left w:val="single" w:color="auto" w:sz="4" w:space="0"/>
              <w:bottom w:val="single" w:color="auto" w:sz="4" w:space="0"/>
              <w:right w:val="single" w:color="auto" w:sz="4" w:space="0"/>
            </w:tcBorders>
            <w:vAlign w:val="center"/>
          </w:tcPr>
          <w:p w14:paraId="4CEB7711">
            <w:pPr>
              <w:widowControl/>
              <w:jc w:val="left"/>
              <w:rPr>
                <w:rFonts w:ascii="宋体" w:hAnsi="宋体" w:cs="宋体"/>
                <w:kern w:val="0"/>
                <w:sz w:val="20"/>
                <w:szCs w:val="20"/>
              </w:rPr>
            </w:pPr>
          </w:p>
        </w:tc>
        <w:tc>
          <w:tcPr>
            <w:tcW w:w="3152" w:type="dxa"/>
            <w:tcBorders>
              <w:top w:val="nil"/>
              <w:left w:val="nil"/>
              <w:bottom w:val="single" w:color="auto" w:sz="4" w:space="0"/>
              <w:right w:val="single" w:color="auto" w:sz="4" w:space="0"/>
            </w:tcBorders>
            <w:shd w:val="clear" w:color="auto" w:fill="auto"/>
            <w:vAlign w:val="center"/>
          </w:tcPr>
          <w:p w14:paraId="02D410DE">
            <w:pPr>
              <w:widowControl/>
              <w:jc w:val="left"/>
              <w:rPr>
                <w:rFonts w:ascii="宋体" w:hAnsi="宋体" w:cs="宋体"/>
                <w:kern w:val="0"/>
                <w:sz w:val="20"/>
                <w:szCs w:val="20"/>
              </w:rPr>
            </w:pPr>
          </w:p>
        </w:tc>
        <w:tc>
          <w:tcPr>
            <w:tcW w:w="1559" w:type="dxa"/>
            <w:tcBorders>
              <w:top w:val="nil"/>
              <w:left w:val="nil"/>
              <w:bottom w:val="single" w:color="auto" w:sz="4" w:space="0"/>
              <w:right w:val="single" w:color="auto" w:sz="4" w:space="0"/>
            </w:tcBorders>
            <w:shd w:val="clear" w:color="auto" w:fill="auto"/>
            <w:vAlign w:val="center"/>
          </w:tcPr>
          <w:p w14:paraId="41D0C84A">
            <w:pPr>
              <w:widowControl/>
              <w:jc w:val="right"/>
              <w:rPr>
                <w:rFonts w:ascii="宋体" w:hAnsi="宋体" w:cs="宋体"/>
                <w:kern w:val="0"/>
                <w:sz w:val="20"/>
                <w:szCs w:val="20"/>
              </w:rPr>
            </w:pPr>
            <w:r>
              <w:rPr>
                <w:rFonts w:hint="eastAsia" w:ascii="宋体" w:hAnsi="宋体" w:cs="宋体"/>
                <w:kern w:val="0"/>
                <w:sz w:val="20"/>
                <w:szCs w:val="20"/>
              </w:rPr>
              <w:t>　</w:t>
            </w:r>
          </w:p>
        </w:tc>
        <w:tc>
          <w:tcPr>
            <w:tcW w:w="2268" w:type="dxa"/>
            <w:vMerge w:val="continue"/>
            <w:tcBorders>
              <w:left w:val="nil"/>
              <w:right w:val="single" w:color="auto" w:sz="8" w:space="0"/>
            </w:tcBorders>
            <w:shd w:val="clear" w:color="auto" w:fill="auto"/>
            <w:vAlign w:val="center"/>
          </w:tcPr>
          <w:p w14:paraId="63287D73">
            <w:pPr>
              <w:jc w:val="left"/>
              <w:rPr>
                <w:rFonts w:ascii="宋体" w:hAnsi="宋体" w:cs="宋体"/>
                <w:kern w:val="0"/>
                <w:sz w:val="20"/>
                <w:szCs w:val="20"/>
              </w:rPr>
            </w:pPr>
          </w:p>
        </w:tc>
      </w:tr>
      <w:tr w14:paraId="5C3E3501">
        <w:tblPrEx>
          <w:tblCellMar>
            <w:top w:w="0" w:type="dxa"/>
            <w:left w:w="108" w:type="dxa"/>
            <w:bottom w:w="0" w:type="dxa"/>
            <w:right w:w="108" w:type="dxa"/>
          </w:tblCellMar>
        </w:tblPrEx>
        <w:trPr>
          <w:trHeight w:val="285" w:hRule="atLeast"/>
        </w:trPr>
        <w:tc>
          <w:tcPr>
            <w:tcW w:w="618" w:type="dxa"/>
            <w:vMerge w:val="continue"/>
            <w:tcBorders>
              <w:left w:val="single" w:color="auto" w:sz="8" w:space="0"/>
              <w:right w:val="single" w:color="auto" w:sz="4" w:space="0"/>
            </w:tcBorders>
            <w:shd w:val="clear" w:color="auto" w:fill="auto"/>
            <w:vAlign w:val="center"/>
          </w:tcPr>
          <w:p w14:paraId="3866B31F">
            <w:pPr>
              <w:jc w:val="center"/>
              <w:rPr>
                <w:rFonts w:ascii="宋体" w:hAnsi="宋体" w:cs="宋体"/>
                <w:kern w:val="0"/>
                <w:sz w:val="20"/>
                <w:szCs w:val="20"/>
              </w:rPr>
            </w:pPr>
          </w:p>
        </w:tc>
        <w:tc>
          <w:tcPr>
            <w:tcW w:w="1016" w:type="dxa"/>
            <w:vMerge w:val="continue"/>
            <w:tcBorders>
              <w:top w:val="nil"/>
              <w:left w:val="single" w:color="auto" w:sz="4" w:space="0"/>
              <w:bottom w:val="single" w:color="auto" w:sz="4" w:space="0"/>
              <w:right w:val="single" w:color="auto" w:sz="4" w:space="0"/>
            </w:tcBorders>
            <w:vAlign w:val="center"/>
          </w:tcPr>
          <w:p w14:paraId="7C7C8E8C">
            <w:pPr>
              <w:widowControl/>
              <w:jc w:val="left"/>
              <w:rPr>
                <w:rFonts w:ascii="宋体" w:hAnsi="宋体" w:cs="宋体"/>
                <w:kern w:val="0"/>
                <w:sz w:val="20"/>
                <w:szCs w:val="20"/>
              </w:rPr>
            </w:pPr>
          </w:p>
        </w:tc>
        <w:tc>
          <w:tcPr>
            <w:tcW w:w="3152" w:type="dxa"/>
            <w:tcBorders>
              <w:top w:val="nil"/>
              <w:left w:val="nil"/>
              <w:bottom w:val="single" w:color="auto" w:sz="4" w:space="0"/>
              <w:right w:val="single" w:color="auto" w:sz="4" w:space="0"/>
            </w:tcBorders>
            <w:shd w:val="clear" w:color="auto" w:fill="auto"/>
            <w:vAlign w:val="center"/>
          </w:tcPr>
          <w:p w14:paraId="3BDDDA1A">
            <w:pPr>
              <w:widowControl/>
              <w:jc w:val="left"/>
              <w:rPr>
                <w:rFonts w:ascii="宋体" w:hAnsi="宋体" w:cs="宋体"/>
                <w:kern w:val="0"/>
                <w:sz w:val="20"/>
                <w:szCs w:val="20"/>
              </w:rPr>
            </w:pPr>
          </w:p>
        </w:tc>
        <w:tc>
          <w:tcPr>
            <w:tcW w:w="1559" w:type="dxa"/>
            <w:tcBorders>
              <w:top w:val="nil"/>
              <w:left w:val="nil"/>
              <w:bottom w:val="single" w:color="auto" w:sz="4" w:space="0"/>
              <w:right w:val="single" w:color="auto" w:sz="4" w:space="0"/>
            </w:tcBorders>
            <w:shd w:val="clear" w:color="auto" w:fill="auto"/>
            <w:vAlign w:val="center"/>
          </w:tcPr>
          <w:p w14:paraId="2513829C">
            <w:pPr>
              <w:widowControl/>
              <w:jc w:val="right"/>
              <w:rPr>
                <w:rFonts w:ascii="宋体" w:hAnsi="宋体" w:cs="宋体"/>
                <w:kern w:val="0"/>
                <w:sz w:val="20"/>
                <w:szCs w:val="20"/>
              </w:rPr>
            </w:pPr>
            <w:r>
              <w:rPr>
                <w:rFonts w:hint="eastAsia" w:ascii="宋体" w:hAnsi="宋体" w:cs="宋体"/>
                <w:kern w:val="0"/>
                <w:sz w:val="20"/>
                <w:szCs w:val="20"/>
              </w:rPr>
              <w:t>　</w:t>
            </w:r>
          </w:p>
        </w:tc>
        <w:tc>
          <w:tcPr>
            <w:tcW w:w="2268" w:type="dxa"/>
            <w:vMerge w:val="continue"/>
            <w:tcBorders>
              <w:left w:val="nil"/>
              <w:right w:val="single" w:color="auto" w:sz="8" w:space="0"/>
            </w:tcBorders>
            <w:shd w:val="clear" w:color="auto" w:fill="auto"/>
            <w:vAlign w:val="center"/>
          </w:tcPr>
          <w:p w14:paraId="276EE895">
            <w:pPr>
              <w:jc w:val="left"/>
              <w:rPr>
                <w:rFonts w:ascii="宋体" w:hAnsi="宋体" w:cs="宋体"/>
                <w:kern w:val="0"/>
                <w:sz w:val="20"/>
                <w:szCs w:val="20"/>
              </w:rPr>
            </w:pPr>
          </w:p>
        </w:tc>
      </w:tr>
      <w:tr w14:paraId="5081FE12">
        <w:tblPrEx>
          <w:tblCellMar>
            <w:top w:w="0" w:type="dxa"/>
            <w:left w:w="108" w:type="dxa"/>
            <w:bottom w:w="0" w:type="dxa"/>
            <w:right w:w="108" w:type="dxa"/>
          </w:tblCellMar>
        </w:tblPrEx>
        <w:trPr>
          <w:trHeight w:val="285" w:hRule="atLeast"/>
        </w:trPr>
        <w:tc>
          <w:tcPr>
            <w:tcW w:w="618" w:type="dxa"/>
            <w:vMerge w:val="continue"/>
            <w:tcBorders>
              <w:left w:val="single" w:color="auto" w:sz="8" w:space="0"/>
              <w:right w:val="single" w:color="auto" w:sz="4" w:space="0"/>
            </w:tcBorders>
            <w:shd w:val="clear" w:color="auto" w:fill="auto"/>
            <w:vAlign w:val="center"/>
          </w:tcPr>
          <w:p w14:paraId="42F9B1ED">
            <w:pPr>
              <w:jc w:val="center"/>
              <w:rPr>
                <w:rFonts w:ascii="宋体" w:hAnsi="宋体" w:cs="宋体"/>
                <w:kern w:val="0"/>
                <w:sz w:val="20"/>
                <w:szCs w:val="20"/>
              </w:rPr>
            </w:pPr>
          </w:p>
        </w:tc>
        <w:tc>
          <w:tcPr>
            <w:tcW w:w="1016" w:type="dxa"/>
            <w:vMerge w:val="continue"/>
            <w:tcBorders>
              <w:top w:val="nil"/>
              <w:left w:val="single" w:color="auto" w:sz="4" w:space="0"/>
              <w:bottom w:val="single" w:color="auto" w:sz="4" w:space="0"/>
              <w:right w:val="single" w:color="auto" w:sz="4" w:space="0"/>
            </w:tcBorders>
            <w:vAlign w:val="center"/>
          </w:tcPr>
          <w:p w14:paraId="77F74443">
            <w:pPr>
              <w:widowControl/>
              <w:jc w:val="left"/>
              <w:rPr>
                <w:rFonts w:ascii="宋体" w:hAnsi="宋体" w:cs="宋体"/>
                <w:kern w:val="0"/>
                <w:sz w:val="20"/>
                <w:szCs w:val="20"/>
              </w:rPr>
            </w:pPr>
          </w:p>
        </w:tc>
        <w:tc>
          <w:tcPr>
            <w:tcW w:w="3152" w:type="dxa"/>
            <w:tcBorders>
              <w:top w:val="nil"/>
              <w:left w:val="nil"/>
              <w:bottom w:val="single" w:color="auto" w:sz="4" w:space="0"/>
              <w:right w:val="single" w:color="auto" w:sz="4" w:space="0"/>
            </w:tcBorders>
            <w:shd w:val="clear" w:color="auto" w:fill="auto"/>
            <w:vAlign w:val="center"/>
          </w:tcPr>
          <w:p w14:paraId="744EEA9B">
            <w:pPr>
              <w:widowControl/>
              <w:jc w:val="left"/>
              <w:rPr>
                <w:rFonts w:ascii="宋体" w:hAnsi="宋体" w:cs="宋体"/>
                <w:kern w:val="0"/>
                <w:sz w:val="20"/>
                <w:szCs w:val="20"/>
              </w:rPr>
            </w:pPr>
          </w:p>
        </w:tc>
        <w:tc>
          <w:tcPr>
            <w:tcW w:w="1559" w:type="dxa"/>
            <w:tcBorders>
              <w:top w:val="nil"/>
              <w:left w:val="nil"/>
              <w:bottom w:val="single" w:color="auto" w:sz="4" w:space="0"/>
              <w:right w:val="single" w:color="auto" w:sz="4" w:space="0"/>
            </w:tcBorders>
            <w:shd w:val="clear" w:color="auto" w:fill="auto"/>
            <w:vAlign w:val="center"/>
          </w:tcPr>
          <w:p w14:paraId="3DF3DB56">
            <w:pPr>
              <w:widowControl/>
              <w:jc w:val="right"/>
              <w:rPr>
                <w:rFonts w:ascii="宋体" w:hAnsi="宋体" w:cs="宋体"/>
                <w:kern w:val="0"/>
                <w:sz w:val="20"/>
                <w:szCs w:val="20"/>
              </w:rPr>
            </w:pPr>
            <w:r>
              <w:rPr>
                <w:rFonts w:hint="eastAsia" w:ascii="宋体" w:hAnsi="宋体" w:cs="宋体"/>
                <w:kern w:val="0"/>
                <w:sz w:val="20"/>
                <w:szCs w:val="20"/>
              </w:rPr>
              <w:t>　</w:t>
            </w:r>
          </w:p>
        </w:tc>
        <w:tc>
          <w:tcPr>
            <w:tcW w:w="2268" w:type="dxa"/>
            <w:vMerge w:val="continue"/>
            <w:tcBorders>
              <w:left w:val="nil"/>
              <w:right w:val="single" w:color="auto" w:sz="8" w:space="0"/>
            </w:tcBorders>
            <w:shd w:val="clear" w:color="auto" w:fill="auto"/>
            <w:vAlign w:val="center"/>
          </w:tcPr>
          <w:p w14:paraId="6905857E">
            <w:pPr>
              <w:jc w:val="left"/>
              <w:rPr>
                <w:rFonts w:ascii="宋体" w:hAnsi="宋体" w:cs="宋体"/>
                <w:kern w:val="0"/>
                <w:sz w:val="20"/>
                <w:szCs w:val="20"/>
              </w:rPr>
            </w:pPr>
          </w:p>
        </w:tc>
      </w:tr>
      <w:tr w14:paraId="0C94B9E0">
        <w:tblPrEx>
          <w:tblCellMar>
            <w:top w:w="0" w:type="dxa"/>
            <w:left w:w="108" w:type="dxa"/>
            <w:bottom w:w="0" w:type="dxa"/>
            <w:right w:w="108" w:type="dxa"/>
          </w:tblCellMar>
        </w:tblPrEx>
        <w:trPr>
          <w:trHeight w:val="285" w:hRule="atLeast"/>
        </w:trPr>
        <w:tc>
          <w:tcPr>
            <w:tcW w:w="618" w:type="dxa"/>
            <w:vMerge w:val="continue"/>
            <w:tcBorders>
              <w:left w:val="single" w:color="auto" w:sz="8" w:space="0"/>
              <w:right w:val="single" w:color="auto" w:sz="4" w:space="0"/>
            </w:tcBorders>
            <w:shd w:val="clear" w:color="auto" w:fill="auto"/>
            <w:vAlign w:val="center"/>
          </w:tcPr>
          <w:p w14:paraId="3EF79415">
            <w:pPr>
              <w:jc w:val="center"/>
              <w:rPr>
                <w:rFonts w:ascii="宋体" w:hAnsi="宋体" w:cs="宋体"/>
                <w:kern w:val="0"/>
                <w:sz w:val="20"/>
                <w:szCs w:val="20"/>
              </w:rPr>
            </w:pPr>
          </w:p>
        </w:tc>
        <w:tc>
          <w:tcPr>
            <w:tcW w:w="1016" w:type="dxa"/>
            <w:vMerge w:val="continue"/>
            <w:tcBorders>
              <w:top w:val="nil"/>
              <w:left w:val="single" w:color="auto" w:sz="4" w:space="0"/>
              <w:bottom w:val="single" w:color="auto" w:sz="4" w:space="0"/>
              <w:right w:val="single" w:color="auto" w:sz="4" w:space="0"/>
            </w:tcBorders>
            <w:vAlign w:val="center"/>
          </w:tcPr>
          <w:p w14:paraId="763EBBA4">
            <w:pPr>
              <w:widowControl/>
              <w:jc w:val="left"/>
              <w:rPr>
                <w:rFonts w:ascii="宋体" w:hAnsi="宋体" w:cs="宋体"/>
                <w:kern w:val="0"/>
                <w:sz w:val="20"/>
                <w:szCs w:val="20"/>
              </w:rPr>
            </w:pPr>
          </w:p>
        </w:tc>
        <w:tc>
          <w:tcPr>
            <w:tcW w:w="3152" w:type="dxa"/>
            <w:tcBorders>
              <w:top w:val="nil"/>
              <w:left w:val="nil"/>
              <w:bottom w:val="single" w:color="auto" w:sz="4" w:space="0"/>
              <w:right w:val="single" w:color="auto" w:sz="4" w:space="0"/>
            </w:tcBorders>
            <w:shd w:val="clear" w:color="auto" w:fill="auto"/>
            <w:vAlign w:val="center"/>
          </w:tcPr>
          <w:p w14:paraId="4205DBD3">
            <w:pPr>
              <w:widowControl/>
              <w:jc w:val="left"/>
              <w:rPr>
                <w:rFonts w:ascii="宋体" w:hAnsi="宋体" w:cs="宋体"/>
                <w:kern w:val="0"/>
                <w:sz w:val="20"/>
                <w:szCs w:val="20"/>
              </w:rPr>
            </w:pPr>
          </w:p>
        </w:tc>
        <w:tc>
          <w:tcPr>
            <w:tcW w:w="1559" w:type="dxa"/>
            <w:tcBorders>
              <w:top w:val="nil"/>
              <w:left w:val="nil"/>
              <w:bottom w:val="single" w:color="auto" w:sz="4" w:space="0"/>
              <w:right w:val="single" w:color="auto" w:sz="4" w:space="0"/>
            </w:tcBorders>
            <w:shd w:val="clear" w:color="auto" w:fill="auto"/>
            <w:vAlign w:val="center"/>
          </w:tcPr>
          <w:p w14:paraId="679E68B4">
            <w:pPr>
              <w:widowControl/>
              <w:jc w:val="right"/>
              <w:rPr>
                <w:rFonts w:ascii="宋体" w:hAnsi="宋体" w:cs="宋体"/>
                <w:kern w:val="0"/>
                <w:sz w:val="20"/>
                <w:szCs w:val="20"/>
              </w:rPr>
            </w:pPr>
            <w:r>
              <w:rPr>
                <w:rFonts w:hint="eastAsia" w:ascii="宋体" w:hAnsi="宋体" w:cs="宋体"/>
                <w:kern w:val="0"/>
                <w:sz w:val="20"/>
                <w:szCs w:val="20"/>
              </w:rPr>
              <w:t>　</w:t>
            </w:r>
          </w:p>
        </w:tc>
        <w:tc>
          <w:tcPr>
            <w:tcW w:w="2268" w:type="dxa"/>
            <w:vMerge w:val="continue"/>
            <w:tcBorders>
              <w:left w:val="nil"/>
              <w:right w:val="single" w:color="auto" w:sz="8" w:space="0"/>
            </w:tcBorders>
            <w:shd w:val="clear" w:color="auto" w:fill="auto"/>
            <w:vAlign w:val="center"/>
          </w:tcPr>
          <w:p w14:paraId="7EA17B30">
            <w:pPr>
              <w:jc w:val="left"/>
              <w:rPr>
                <w:rFonts w:ascii="宋体" w:hAnsi="宋体" w:cs="宋体"/>
                <w:kern w:val="0"/>
                <w:sz w:val="20"/>
                <w:szCs w:val="20"/>
              </w:rPr>
            </w:pPr>
          </w:p>
        </w:tc>
      </w:tr>
      <w:tr w14:paraId="7939E890">
        <w:tblPrEx>
          <w:tblCellMar>
            <w:top w:w="0" w:type="dxa"/>
            <w:left w:w="108" w:type="dxa"/>
            <w:bottom w:w="0" w:type="dxa"/>
            <w:right w:w="108" w:type="dxa"/>
          </w:tblCellMar>
        </w:tblPrEx>
        <w:trPr>
          <w:trHeight w:val="285" w:hRule="atLeast"/>
        </w:trPr>
        <w:tc>
          <w:tcPr>
            <w:tcW w:w="618" w:type="dxa"/>
            <w:vMerge w:val="continue"/>
            <w:tcBorders>
              <w:left w:val="single" w:color="auto" w:sz="8" w:space="0"/>
              <w:right w:val="single" w:color="auto" w:sz="4" w:space="0"/>
            </w:tcBorders>
            <w:shd w:val="clear" w:color="auto" w:fill="auto"/>
            <w:vAlign w:val="center"/>
          </w:tcPr>
          <w:p w14:paraId="7727E526">
            <w:pPr>
              <w:jc w:val="center"/>
              <w:rPr>
                <w:rFonts w:ascii="宋体" w:hAnsi="宋体" w:cs="宋体"/>
                <w:kern w:val="0"/>
                <w:sz w:val="20"/>
                <w:szCs w:val="20"/>
              </w:rPr>
            </w:pPr>
          </w:p>
        </w:tc>
        <w:tc>
          <w:tcPr>
            <w:tcW w:w="1016" w:type="dxa"/>
            <w:vMerge w:val="continue"/>
            <w:tcBorders>
              <w:top w:val="nil"/>
              <w:left w:val="single" w:color="auto" w:sz="4" w:space="0"/>
              <w:bottom w:val="single" w:color="auto" w:sz="4" w:space="0"/>
              <w:right w:val="single" w:color="auto" w:sz="4" w:space="0"/>
            </w:tcBorders>
            <w:vAlign w:val="center"/>
          </w:tcPr>
          <w:p w14:paraId="44ECF79F">
            <w:pPr>
              <w:widowControl/>
              <w:jc w:val="left"/>
              <w:rPr>
                <w:rFonts w:ascii="宋体" w:hAnsi="宋体" w:cs="宋体"/>
                <w:kern w:val="0"/>
                <w:sz w:val="20"/>
                <w:szCs w:val="20"/>
              </w:rPr>
            </w:pPr>
          </w:p>
        </w:tc>
        <w:tc>
          <w:tcPr>
            <w:tcW w:w="3152" w:type="dxa"/>
            <w:tcBorders>
              <w:top w:val="nil"/>
              <w:left w:val="nil"/>
              <w:bottom w:val="single" w:color="auto" w:sz="4" w:space="0"/>
              <w:right w:val="single" w:color="auto" w:sz="4" w:space="0"/>
            </w:tcBorders>
            <w:shd w:val="clear" w:color="auto" w:fill="auto"/>
            <w:vAlign w:val="center"/>
          </w:tcPr>
          <w:p w14:paraId="31D8831D">
            <w:pPr>
              <w:widowControl/>
              <w:jc w:val="left"/>
              <w:rPr>
                <w:rFonts w:ascii="宋体" w:hAnsi="宋体" w:cs="宋体"/>
                <w:kern w:val="0"/>
                <w:sz w:val="20"/>
                <w:szCs w:val="20"/>
              </w:rPr>
            </w:pPr>
          </w:p>
        </w:tc>
        <w:tc>
          <w:tcPr>
            <w:tcW w:w="1559" w:type="dxa"/>
            <w:tcBorders>
              <w:top w:val="nil"/>
              <w:left w:val="nil"/>
              <w:bottom w:val="single" w:color="auto" w:sz="4" w:space="0"/>
              <w:right w:val="single" w:color="auto" w:sz="4" w:space="0"/>
            </w:tcBorders>
            <w:shd w:val="clear" w:color="auto" w:fill="auto"/>
            <w:vAlign w:val="center"/>
          </w:tcPr>
          <w:p w14:paraId="576805BB">
            <w:pPr>
              <w:widowControl/>
              <w:jc w:val="right"/>
              <w:rPr>
                <w:rFonts w:ascii="宋体" w:hAnsi="宋体" w:cs="宋体"/>
                <w:kern w:val="0"/>
                <w:sz w:val="20"/>
                <w:szCs w:val="20"/>
              </w:rPr>
            </w:pPr>
            <w:r>
              <w:rPr>
                <w:rFonts w:hint="eastAsia" w:ascii="宋体" w:hAnsi="宋体" w:cs="宋体"/>
                <w:kern w:val="0"/>
                <w:sz w:val="20"/>
                <w:szCs w:val="20"/>
              </w:rPr>
              <w:t>　</w:t>
            </w:r>
          </w:p>
        </w:tc>
        <w:tc>
          <w:tcPr>
            <w:tcW w:w="2268" w:type="dxa"/>
            <w:vMerge w:val="continue"/>
            <w:tcBorders>
              <w:left w:val="nil"/>
              <w:bottom w:val="single" w:color="auto" w:sz="4" w:space="0"/>
              <w:right w:val="single" w:color="auto" w:sz="8" w:space="0"/>
            </w:tcBorders>
            <w:shd w:val="clear" w:color="auto" w:fill="auto"/>
            <w:vAlign w:val="center"/>
          </w:tcPr>
          <w:p w14:paraId="2C3C9A0F">
            <w:pPr>
              <w:widowControl/>
              <w:jc w:val="left"/>
              <w:rPr>
                <w:rFonts w:ascii="宋体" w:hAnsi="宋体" w:cs="宋体"/>
                <w:kern w:val="0"/>
                <w:sz w:val="20"/>
                <w:szCs w:val="20"/>
              </w:rPr>
            </w:pPr>
          </w:p>
        </w:tc>
      </w:tr>
      <w:tr w14:paraId="5C6FDFB6">
        <w:tblPrEx>
          <w:tblCellMar>
            <w:top w:w="0" w:type="dxa"/>
            <w:left w:w="108" w:type="dxa"/>
            <w:bottom w:w="0" w:type="dxa"/>
            <w:right w:w="108" w:type="dxa"/>
          </w:tblCellMar>
        </w:tblPrEx>
        <w:trPr>
          <w:trHeight w:val="285" w:hRule="atLeast"/>
        </w:trPr>
        <w:tc>
          <w:tcPr>
            <w:tcW w:w="618" w:type="dxa"/>
            <w:vMerge w:val="continue"/>
            <w:tcBorders>
              <w:left w:val="single" w:color="auto" w:sz="8" w:space="0"/>
              <w:bottom w:val="single" w:color="auto" w:sz="4" w:space="0"/>
              <w:right w:val="single" w:color="auto" w:sz="4" w:space="0"/>
            </w:tcBorders>
            <w:shd w:val="clear" w:color="000000" w:fill="FFFFFF"/>
            <w:vAlign w:val="center"/>
          </w:tcPr>
          <w:p w14:paraId="228DB30B">
            <w:pPr>
              <w:widowControl/>
              <w:jc w:val="center"/>
              <w:rPr>
                <w:rFonts w:ascii="宋体" w:hAnsi="宋体" w:cs="宋体"/>
                <w:kern w:val="0"/>
                <w:sz w:val="20"/>
                <w:szCs w:val="20"/>
              </w:rPr>
            </w:pPr>
          </w:p>
        </w:tc>
        <w:tc>
          <w:tcPr>
            <w:tcW w:w="4168" w:type="dxa"/>
            <w:gridSpan w:val="2"/>
            <w:tcBorders>
              <w:top w:val="single" w:color="auto" w:sz="4" w:space="0"/>
              <w:left w:val="nil"/>
              <w:bottom w:val="single" w:color="auto" w:sz="4" w:space="0"/>
              <w:right w:val="single" w:color="auto" w:sz="4" w:space="0"/>
            </w:tcBorders>
            <w:shd w:val="clear" w:color="000000" w:fill="FFFFFF"/>
            <w:vAlign w:val="center"/>
          </w:tcPr>
          <w:p w14:paraId="1C393870">
            <w:pPr>
              <w:widowControl/>
              <w:jc w:val="center"/>
              <w:rPr>
                <w:rFonts w:ascii="宋体" w:hAnsi="宋体" w:cs="宋体"/>
                <w:kern w:val="0"/>
                <w:sz w:val="20"/>
                <w:szCs w:val="20"/>
              </w:rPr>
            </w:pPr>
            <w:r>
              <w:rPr>
                <w:rFonts w:hint="eastAsia" w:ascii="宋体" w:hAnsi="宋体" w:cs="宋体"/>
                <w:kern w:val="0"/>
                <w:sz w:val="20"/>
                <w:szCs w:val="20"/>
              </w:rPr>
              <w:t>*</w:t>
            </w:r>
            <w:r>
              <w:rPr>
                <w:rFonts w:ascii="宋体" w:hAnsi="宋体" w:cs="宋体"/>
                <w:kern w:val="0"/>
                <w:sz w:val="20"/>
                <w:szCs w:val="20"/>
              </w:rPr>
              <w:t>*</w:t>
            </w:r>
            <w:r>
              <w:rPr>
                <w:rFonts w:hint="eastAsia" w:ascii="宋体" w:hAnsi="宋体" w:cs="宋体"/>
                <w:kern w:val="0"/>
                <w:sz w:val="20"/>
                <w:szCs w:val="20"/>
              </w:rPr>
              <w:t>费用小计</w:t>
            </w:r>
          </w:p>
        </w:tc>
        <w:tc>
          <w:tcPr>
            <w:tcW w:w="1559" w:type="dxa"/>
            <w:tcBorders>
              <w:top w:val="nil"/>
              <w:left w:val="nil"/>
              <w:bottom w:val="single" w:color="auto" w:sz="4" w:space="0"/>
              <w:right w:val="single" w:color="auto" w:sz="4" w:space="0"/>
            </w:tcBorders>
            <w:shd w:val="clear" w:color="000000" w:fill="FFFFFF"/>
            <w:vAlign w:val="center"/>
          </w:tcPr>
          <w:p w14:paraId="017951B7">
            <w:pPr>
              <w:widowControl/>
              <w:jc w:val="right"/>
              <w:rPr>
                <w:rFonts w:ascii="宋体" w:hAnsi="宋体" w:cs="宋体"/>
                <w:kern w:val="0"/>
                <w:sz w:val="20"/>
                <w:szCs w:val="20"/>
              </w:rPr>
            </w:pPr>
            <w:r>
              <w:rPr>
                <w:rFonts w:hint="eastAsia" w:ascii="宋体" w:hAnsi="宋体" w:cs="宋体"/>
                <w:kern w:val="0"/>
                <w:sz w:val="20"/>
                <w:szCs w:val="20"/>
              </w:rPr>
              <w:t>　</w:t>
            </w:r>
          </w:p>
        </w:tc>
        <w:tc>
          <w:tcPr>
            <w:tcW w:w="2268" w:type="dxa"/>
            <w:tcBorders>
              <w:top w:val="nil"/>
              <w:left w:val="nil"/>
              <w:bottom w:val="single" w:color="auto" w:sz="4" w:space="0"/>
              <w:right w:val="single" w:color="auto" w:sz="8" w:space="0"/>
            </w:tcBorders>
            <w:shd w:val="clear" w:color="000000" w:fill="FFFFFF"/>
            <w:vAlign w:val="center"/>
          </w:tcPr>
          <w:p w14:paraId="0D4B6D7E">
            <w:pPr>
              <w:widowControl/>
              <w:jc w:val="left"/>
              <w:rPr>
                <w:rFonts w:ascii="宋体" w:hAnsi="宋体" w:cs="宋体"/>
                <w:kern w:val="0"/>
                <w:sz w:val="20"/>
                <w:szCs w:val="20"/>
              </w:rPr>
            </w:pPr>
            <w:r>
              <w:rPr>
                <w:rFonts w:hint="eastAsia" w:ascii="宋体" w:hAnsi="宋体" w:cs="宋体"/>
                <w:kern w:val="0"/>
                <w:sz w:val="20"/>
                <w:szCs w:val="20"/>
              </w:rPr>
              <w:t>　</w:t>
            </w:r>
          </w:p>
        </w:tc>
      </w:tr>
      <w:tr w14:paraId="33C779C5">
        <w:tblPrEx>
          <w:tblCellMar>
            <w:top w:w="0" w:type="dxa"/>
            <w:left w:w="108" w:type="dxa"/>
            <w:bottom w:w="0" w:type="dxa"/>
            <w:right w:w="108" w:type="dxa"/>
          </w:tblCellMar>
        </w:tblPrEx>
        <w:trPr>
          <w:trHeight w:val="285" w:hRule="atLeast"/>
        </w:trPr>
        <w:tc>
          <w:tcPr>
            <w:tcW w:w="618" w:type="dxa"/>
            <w:vMerge w:val="restart"/>
            <w:tcBorders>
              <w:top w:val="nil"/>
              <w:left w:val="single" w:color="auto" w:sz="8" w:space="0"/>
              <w:right w:val="single" w:color="auto" w:sz="4" w:space="0"/>
            </w:tcBorders>
            <w:shd w:val="clear" w:color="000000" w:fill="FFFFFF"/>
            <w:vAlign w:val="center"/>
          </w:tcPr>
          <w:p w14:paraId="48F0FA1B">
            <w:pPr>
              <w:widowControl/>
              <w:jc w:val="center"/>
              <w:rPr>
                <w:rFonts w:ascii="宋体" w:hAnsi="宋体" w:cs="宋体"/>
                <w:kern w:val="0"/>
                <w:sz w:val="20"/>
                <w:szCs w:val="20"/>
              </w:rPr>
            </w:pPr>
            <w:r>
              <w:rPr>
                <w:rFonts w:hint="eastAsia" w:ascii="宋体" w:hAnsi="宋体" w:cs="宋体"/>
                <w:kern w:val="0"/>
                <w:sz w:val="20"/>
                <w:szCs w:val="20"/>
              </w:rPr>
              <w:t>三</w:t>
            </w:r>
          </w:p>
        </w:tc>
        <w:tc>
          <w:tcPr>
            <w:tcW w:w="1016" w:type="dxa"/>
            <w:vMerge w:val="restart"/>
            <w:tcBorders>
              <w:top w:val="nil"/>
              <w:left w:val="single" w:color="auto" w:sz="4" w:space="0"/>
              <w:bottom w:val="single" w:color="auto" w:sz="4" w:space="0"/>
              <w:right w:val="single" w:color="auto" w:sz="4" w:space="0"/>
            </w:tcBorders>
            <w:shd w:val="clear" w:color="000000" w:fill="FFFFFF"/>
            <w:vAlign w:val="center"/>
          </w:tcPr>
          <w:p w14:paraId="7467FD9B">
            <w:pPr>
              <w:widowControl/>
              <w:jc w:val="center"/>
              <w:rPr>
                <w:rFonts w:ascii="宋体" w:hAnsi="宋体" w:cs="宋体"/>
                <w:kern w:val="0"/>
                <w:sz w:val="20"/>
                <w:szCs w:val="20"/>
              </w:rPr>
            </w:pPr>
            <w:r>
              <w:rPr>
                <w:rFonts w:hint="eastAsia" w:ascii="宋体" w:hAnsi="宋体" w:cs="宋体"/>
                <w:kern w:val="0"/>
                <w:sz w:val="20"/>
                <w:szCs w:val="20"/>
              </w:rPr>
              <w:t>其他费用</w:t>
            </w:r>
          </w:p>
        </w:tc>
        <w:tc>
          <w:tcPr>
            <w:tcW w:w="3152" w:type="dxa"/>
            <w:tcBorders>
              <w:top w:val="nil"/>
              <w:left w:val="nil"/>
              <w:bottom w:val="single" w:color="auto" w:sz="4" w:space="0"/>
              <w:right w:val="single" w:color="auto" w:sz="4" w:space="0"/>
            </w:tcBorders>
            <w:shd w:val="clear" w:color="000000" w:fill="FFFFFF"/>
            <w:vAlign w:val="center"/>
          </w:tcPr>
          <w:p w14:paraId="1AF4FC97">
            <w:pPr>
              <w:widowControl/>
              <w:jc w:val="left"/>
              <w:rPr>
                <w:rFonts w:ascii="宋体" w:hAnsi="宋体" w:cs="宋体"/>
                <w:kern w:val="0"/>
                <w:sz w:val="20"/>
                <w:szCs w:val="20"/>
              </w:rPr>
            </w:pPr>
            <w:r>
              <w:rPr>
                <w:rFonts w:hint="eastAsia" w:ascii="宋体" w:hAnsi="宋体" w:cs="宋体"/>
                <w:kern w:val="0"/>
                <w:sz w:val="20"/>
                <w:szCs w:val="20"/>
              </w:rPr>
              <w:t>*</w:t>
            </w:r>
            <w:r>
              <w:rPr>
                <w:rFonts w:ascii="宋体" w:hAnsi="宋体" w:cs="宋体"/>
                <w:kern w:val="0"/>
                <w:sz w:val="20"/>
                <w:szCs w:val="20"/>
              </w:rPr>
              <w:t>*</w:t>
            </w:r>
          </w:p>
        </w:tc>
        <w:tc>
          <w:tcPr>
            <w:tcW w:w="1559" w:type="dxa"/>
            <w:tcBorders>
              <w:top w:val="nil"/>
              <w:left w:val="nil"/>
              <w:bottom w:val="single" w:color="auto" w:sz="4" w:space="0"/>
              <w:right w:val="single" w:color="auto" w:sz="4" w:space="0"/>
            </w:tcBorders>
            <w:shd w:val="clear" w:color="000000" w:fill="FFFFFF"/>
            <w:vAlign w:val="center"/>
          </w:tcPr>
          <w:p w14:paraId="2BE916B2">
            <w:pPr>
              <w:widowControl/>
              <w:jc w:val="right"/>
              <w:rPr>
                <w:rFonts w:ascii="宋体" w:hAnsi="宋体" w:cs="宋体"/>
                <w:kern w:val="0"/>
                <w:sz w:val="20"/>
                <w:szCs w:val="20"/>
              </w:rPr>
            </w:pPr>
            <w:r>
              <w:rPr>
                <w:rFonts w:hint="eastAsia" w:ascii="宋体" w:hAnsi="宋体" w:cs="宋体"/>
                <w:kern w:val="0"/>
                <w:sz w:val="20"/>
                <w:szCs w:val="20"/>
              </w:rPr>
              <w:t>　</w:t>
            </w:r>
          </w:p>
        </w:tc>
        <w:tc>
          <w:tcPr>
            <w:tcW w:w="2268" w:type="dxa"/>
            <w:tcBorders>
              <w:top w:val="nil"/>
              <w:left w:val="nil"/>
              <w:bottom w:val="single" w:color="auto" w:sz="4" w:space="0"/>
              <w:right w:val="single" w:color="auto" w:sz="8" w:space="0"/>
            </w:tcBorders>
            <w:shd w:val="clear" w:color="000000" w:fill="FFFFFF"/>
            <w:vAlign w:val="center"/>
          </w:tcPr>
          <w:p w14:paraId="3CAC41A1">
            <w:pPr>
              <w:widowControl/>
              <w:jc w:val="left"/>
              <w:rPr>
                <w:rFonts w:ascii="宋体" w:hAnsi="宋体" w:cs="宋体"/>
                <w:kern w:val="0"/>
                <w:sz w:val="20"/>
                <w:szCs w:val="20"/>
              </w:rPr>
            </w:pPr>
          </w:p>
        </w:tc>
      </w:tr>
      <w:tr w14:paraId="075FCD1C">
        <w:tblPrEx>
          <w:tblCellMar>
            <w:top w:w="0" w:type="dxa"/>
            <w:left w:w="108" w:type="dxa"/>
            <w:bottom w:w="0" w:type="dxa"/>
            <w:right w:w="108" w:type="dxa"/>
          </w:tblCellMar>
        </w:tblPrEx>
        <w:trPr>
          <w:trHeight w:val="285" w:hRule="atLeast"/>
        </w:trPr>
        <w:tc>
          <w:tcPr>
            <w:tcW w:w="618" w:type="dxa"/>
            <w:vMerge w:val="continue"/>
            <w:tcBorders>
              <w:left w:val="single" w:color="auto" w:sz="8" w:space="0"/>
              <w:right w:val="single" w:color="auto" w:sz="4" w:space="0"/>
            </w:tcBorders>
            <w:shd w:val="clear" w:color="000000" w:fill="FFFFFF"/>
            <w:vAlign w:val="center"/>
          </w:tcPr>
          <w:p w14:paraId="7E52E934">
            <w:pPr>
              <w:jc w:val="center"/>
              <w:rPr>
                <w:rFonts w:ascii="宋体" w:hAnsi="宋体" w:cs="宋体"/>
                <w:kern w:val="0"/>
                <w:sz w:val="20"/>
                <w:szCs w:val="20"/>
              </w:rPr>
            </w:pPr>
          </w:p>
        </w:tc>
        <w:tc>
          <w:tcPr>
            <w:tcW w:w="1016" w:type="dxa"/>
            <w:vMerge w:val="continue"/>
            <w:tcBorders>
              <w:top w:val="nil"/>
              <w:left w:val="single" w:color="auto" w:sz="4" w:space="0"/>
              <w:bottom w:val="single" w:color="auto" w:sz="4" w:space="0"/>
              <w:right w:val="single" w:color="auto" w:sz="4" w:space="0"/>
            </w:tcBorders>
            <w:vAlign w:val="center"/>
          </w:tcPr>
          <w:p w14:paraId="606491DD">
            <w:pPr>
              <w:widowControl/>
              <w:jc w:val="left"/>
              <w:rPr>
                <w:rFonts w:ascii="宋体" w:hAnsi="宋体" w:cs="宋体"/>
                <w:kern w:val="0"/>
                <w:sz w:val="20"/>
                <w:szCs w:val="20"/>
              </w:rPr>
            </w:pPr>
          </w:p>
        </w:tc>
        <w:tc>
          <w:tcPr>
            <w:tcW w:w="3152" w:type="dxa"/>
            <w:tcBorders>
              <w:top w:val="nil"/>
              <w:left w:val="nil"/>
              <w:bottom w:val="single" w:color="auto" w:sz="4" w:space="0"/>
              <w:right w:val="single" w:color="auto" w:sz="4" w:space="0"/>
            </w:tcBorders>
            <w:shd w:val="clear" w:color="000000" w:fill="FFFFFF"/>
            <w:vAlign w:val="center"/>
          </w:tcPr>
          <w:p w14:paraId="53A768FE">
            <w:pPr>
              <w:widowControl/>
              <w:jc w:val="left"/>
              <w:rPr>
                <w:rFonts w:ascii="宋体" w:hAnsi="宋体" w:cs="宋体"/>
                <w:kern w:val="0"/>
                <w:sz w:val="20"/>
                <w:szCs w:val="20"/>
              </w:rPr>
            </w:pPr>
          </w:p>
        </w:tc>
        <w:tc>
          <w:tcPr>
            <w:tcW w:w="1559" w:type="dxa"/>
            <w:tcBorders>
              <w:top w:val="nil"/>
              <w:left w:val="nil"/>
              <w:bottom w:val="single" w:color="auto" w:sz="4" w:space="0"/>
              <w:right w:val="single" w:color="auto" w:sz="4" w:space="0"/>
            </w:tcBorders>
            <w:shd w:val="clear" w:color="000000" w:fill="FFFFFF"/>
            <w:vAlign w:val="center"/>
          </w:tcPr>
          <w:p w14:paraId="0FA03B13">
            <w:pPr>
              <w:widowControl/>
              <w:jc w:val="right"/>
              <w:rPr>
                <w:rFonts w:ascii="宋体" w:hAnsi="宋体" w:cs="宋体"/>
                <w:kern w:val="0"/>
                <w:sz w:val="20"/>
                <w:szCs w:val="20"/>
              </w:rPr>
            </w:pPr>
            <w:r>
              <w:rPr>
                <w:rFonts w:hint="eastAsia" w:ascii="宋体" w:hAnsi="宋体" w:cs="宋体"/>
                <w:kern w:val="0"/>
                <w:sz w:val="20"/>
                <w:szCs w:val="20"/>
              </w:rPr>
              <w:t>　</w:t>
            </w:r>
          </w:p>
        </w:tc>
        <w:tc>
          <w:tcPr>
            <w:tcW w:w="2268" w:type="dxa"/>
            <w:tcBorders>
              <w:top w:val="nil"/>
              <w:left w:val="nil"/>
              <w:bottom w:val="single" w:color="auto" w:sz="4" w:space="0"/>
              <w:right w:val="single" w:color="auto" w:sz="8" w:space="0"/>
            </w:tcBorders>
            <w:shd w:val="clear" w:color="000000" w:fill="FFFFFF"/>
            <w:vAlign w:val="center"/>
          </w:tcPr>
          <w:p w14:paraId="370884AD">
            <w:pPr>
              <w:widowControl/>
              <w:jc w:val="left"/>
              <w:rPr>
                <w:rFonts w:ascii="宋体" w:hAnsi="宋体" w:cs="宋体"/>
                <w:kern w:val="0"/>
                <w:sz w:val="20"/>
                <w:szCs w:val="20"/>
              </w:rPr>
            </w:pPr>
          </w:p>
        </w:tc>
      </w:tr>
      <w:tr w14:paraId="673ADA1C">
        <w:tblPrEx>
          <w:tblCellMar>
            <w:top w:w="0" w:type="dxa"/>
            <w:left w:w="108" w:type="dxa"/>
            <w:bottom w:w="0" w:type="dxa"/>
            <w:right w:w="108" w:type="dxa"/>
          </w:tblCellMar>
        </w:tblPrEx>
        <w:trPr>
          <w:trHeight w:val="285" w:hRule="atLeast"/>
        </w:trPr>
        <w:tc>
          <w:tcPr>
            <w:tcW w:w="618" w:type="dxa"/>
            <w:vMerge w:val="continue"/>
            <w:tcBorders>
              <w:left w:val="single" w:color="auto" w:sz="8" w:space="0"/>
              <w:bottom w:val="single" w:color="auto" w:sz="4" w:space="0"/>
              <w:right w:val="single" w:color="auto" w:sz="4" w:space="0"/>
            </w:tcBorders>
            <w:shd w:val="clear" w:color="000000" w:fill="FFFFFF"/>
            <w:vAlign w:val="center"/>
          </w:tcPr>
          <w:p w14:paraId="792C8D40">
            <w:pPr>
              <w:widowControl/>
              <w:jc w:val="center"/>
              <w:rPr>
                <w:rFonts w:ascii="宋体" w:hAnsi="宋体" w:cs="宋体"/>
                <w:kern w:val="0"/>
                <w:sz w:val="20"/>
                <w:szCs w:val="20"/>
              </w:rPr>
            </w:pPr>
          </w:p>
        </w:tc>
        <w:tc>
          <w:tcPr>
            <w:tcW w:w="4168" w:type="dxa"/>
            <w:gridSpan w:val="2"/>
            <w:tcBorders>
              <w:top w:val="single" w:color="auto" w:sz="4" w:space="0"/>
              <w:left w:val="nil"/>
              <w:bottom w:val="single" w:color="auto" w:sz="4" w:space="0"/>
              <w:right w:val="single" w:color="auto" w:sz="4" w:space="0"/>
            </w:tcBorders>
            <w:shd w:val="clear" w:color="000000" w:fill="FFFFFF"/>
            <w:vAlign w:val="center"/>
          </w:tcPr>
          <w:p w14:paraId="6DBFEF55">
            <w:pPr>
              <w:widowControl/>
              <w:jc w:val="center"/>
              <w:rPr>
                <w:rFonts w:ascii="宋体" w:hAnsi="宋体" w:cs="宋体"/>
                <w:kern w:val="0"/>
                <w:sz w:val="20"/>
                <w:szCs w:val="20"/>
              </w:rPr>
            </w:pPr>
            <w:r>
              <w:rPr>
                <w:rFonts w:hint="eastAsia" w:ascii="宋体" w:hAnsi="宋体" w:cs="宋体"/>
                <w:kern w:val="0"/>
                <w:sz w:val="20"/>
                <w:szCs w:val="20"/>
              </w:rPr>
              <w:t>其他费用小计</w:t>
            </w:r>
          </w:p>
        </w:tc>
        <w:tc>
          <w:tcPr>
            <w:tcW w:w="1559" w:type="dxa"/>
            <w:tcBorders>
              <w:top w:val="nil"/>
              <w:left w:val="nil"/>
              <w:bottom w:val="single" w:color="auto" w:sz="4" w:space="0"/>
              <w:right w:val="single" w:color="auto" w:sz="4" w:space="0"/>
            </w:tcBorders>
            <w:shd w:val="clear" w:color="000000" w:fill="FFFFFF"/>
            <w:vAlign w:val="center"/>
          </w:tcPr>
          <w:p w14:paraId="0CBBEE48">
            <w:pPr>
              <w:widowControl/>
              <w:jc w:val="right"/>
              <w:rPr>
                <w:rFonts w:ascii="宋体" w:hAnsi="宋体" w:cs="宋体"/>
                <w:kern w:val="0"/>
                <w:sz w:val="20"/>
                <w:szCs w:val="20"/>
              </w:rPr>
            </w:pPr>
            <w:r>
              <w:rPr>
                <w:rFonts w:hint="eastAsia" w:ascii="宋体" w:hAnsi="宋体" w:cs="宋体"/>
                <w:kern w:val="0"/>
                <w:sz w:val="20"/>
                <w:szCs w:val="20"/>
              </w:rPr>
              <w:t>　</w:t>
            </w:r>
          </w:p>
        </w:tc>
        <w:tc>
          <w:tcPr>
            <w:tcW w:w="2268" w:type="dxa"/>
            <w:tcBorders>
              <w:top w:val="nil"/>
              <w:left w:val="nil"/>
              <w:bottom w:val="single" w:color="auto" w:sz="4" w:space="0"/>
              <w:right w:val="single" w:color="auto" w:sz="8" w:space="0"/>
            </w:tcBorders>
            <w:shd w:val="clear" w:color="000000" w:fill="FFFFFF"/>
            <w:vAlign w:val="center"/>
          </w:tcPr>
          <w:p w14:paraId="606266F9">
            <w:pPr>
              <w:widowControl/>
              <w:jc w:val="left"/>
              <w:rPr>
                <w:rFonts w:ascii="宋体" w:hAnsi="宋体" w:cs="宋体"/>
                <w:kern w:val="0"/>
                <w:sz w:val="20"/>
                <w:szCs w:val="20"/>
              </w:rPr>
            </w:pPr>
            <w:r>
              <w:rPr>
                <w:rFonts w:hint="eastAsia" w:ascii="宋体" w:hAnsi="宋体" w:cs="宋体"/>
                <w:kern w:val="0"/>
                <w:sz w:val="20"/>
                <w:szCs w:val="20"/>
              </w:rPr>
              <w:t>　</w:t>
            </w:r>
          </w:p>
        </w:tc>
      </w:tr>
      <w:tr w14:paraId="135BAF92">
        <w:tblPrEx>
          <w:tblCellMar>
            <w:top w:w="0" w:type="dxa"/>
            <w:left w:w="108" w:type="dxa"/>
            <w:bottom w:w="0" w:type="dxa"/>
            <w:right w:w="108" w:type="dxa"/>
          </w:tblCellMar>
        </w:tblPrEx>
        <w:trPr>
          <w:trHeight w:val="285" w:hRule="atLeast"/>
        </w:trPr>
        <w:tc>
          <w:tcPr>
            <w:tcW w:w="618" w:type="dxa"/>
            <w:tcBorders>
              <w:top w:val="nil"/>
              <w:left w:val="single" w:color="auto" w:sz="8" w:space="0"/>
              <w:bottom w:val="single" w:color="auto" w:sz="4" w:space="0"/>
              <w:right w:val="single" w:color="auto" w:sz="4" w:space="0"/>
            </w:tcBorders>
            <w:shd w:val="clear" w:color="000000" w:fill="FFFFFF"/>
            <w:vAlign w:val="center"/>
          </w:tcPr>
          <w:p w14:paraId="73195C20">
            <w:pPr>
              <w:widowControl/>
              <w:jc w:val="center"/>
              <w:rPr>
                <w:rFonts w:ascii="宋体" w:hAnsi="宋体" w:cs="宋体"/>
                <w:kern w:val="0"/>
                <w:sz w:val="20"/>
                <w:szCs w:val="20"/>
              </w:rPr>
            </w:pPr>
            <w:r>
              <w:rPr>
                <w:rFonts w:hint="eastAsia" w:ascii="宋体" w:hAnsi="宋体" w:cs="宋体"/>
                <w:kern w:val="0"/>
                <w:sz w:val="20"/>
                <w:szCs w:val="20"/>
              </w:rPr>
              <w:t>四</w:t>
            </w:r>
          </w:p>
        </w:tc>
        <w:tc>
          <w:tcPr>
            <w:tcW w:w="4168" w:type="dxa"/>
            <w:gridSpan w:val="2"/>
            <w:tcBorders>
              <w:top w:val="single" w:color="auto" w:sz="4" w:space="0"/>
              <w:left w:val="nil"/>
              <w:bottom w:val="single" w:color="auto" w:sz="4" w:space="0"/>
              <w:right w:val="single" w:color="auto" w:sz="4" w:space="0"/>
            </w:tcBorders>
            <w:shd w:val="clear" w:color="000000" w:fill="FFFFFF"/>
            <w:vAlign w:val="center"/>
          </w:tcPr>
          <w:p w14:paraId="70566F2C">
            <w:pPr>
              <w:widowControl/>
              <w:jc w:val="left"/>
              <w:rPr>
                <w:rFonts w:ascii="宋体" w:hAnsi="宋体" w:cs="宋体"/>
                <w:kern w:val="0"/>
                <w:sz w:val="20"/>
                <w:szCs w:val="20"/>
              </w:rPr>
            </w:pPr>
            <w:r>
              <w:rPr>
                <w:rFonts w:hint="eastAsia" w:ascii="宋体" w:hAnsi="宋体" w:cs="宋体"/>
                <w:kern w:val="0"/>
                <w:sz w:val="20"/>
                <w:szCs w:val="20"/>
              </w:rPr>
              <w:t>税金</w:t>
            </w:r>
          </w:p>
        </w:tc>
        <w:tc>
          <w:tcPr>
            <w:tcW w:w="1559" w:type="dxa"/>
            <w:tcBorders>
              <w:top w:val="nil"/>
              <w:left w:val="nil"/>
              <w:bottom w:val="single" w:color="auto" w:sz="4" w:space="0"/>
              <w:right w:val="single" w:color="auto" w:sz="4" w:space="0"/>
            </w:tcBorders>
            <w:shd w:val="clear" w:color="000000" w:fill="FFFFFF"/>
            <w:vAlign w:val="center"/>
          </w:tcPr>
          <w:p w14:paraId="467F05BD">
            <w:pPr>
              <w:widowControl/>
              <w:jc w:val="left"/>
              <w:rPr>
                <w:rFonts w:ascii="宋体" w:hAnsi="宋体" w:cs="宋体"/>
                <w:kern w:val="0"/>
                <w:sz w:val="20"/>
                <w:szCs w:val="20"/>
              </w:rPr>
            </w:pPr>
            <w:r>
              <w:rPr>
                <w:rFonts w:hint="eastAsia" w:ascii="宋体" w:hAnsi="宋体" w:cs="宋体"/>
                <w:kern w:val="0"/>
                <w:sz w:val="20"/>
                <w:szCs w:val="20"/>
              </w:rPr>
              <w:t>　</w:t>
            </w:r>
          </w:p>
        </w:tc>
        <w:tc>
          <w:tcPr>
            <w:tcW w:w="2268" w:type="dxa"/>
            <w:tcBorders>
              <w:top w:val="nil"/>
              <w:left w:val="nil"/>
              <w:bottom w:val="single" w:color="auto" w:sz="4" w:space="0"/>
              <w:right w:val="single" w:color="auto" w:sz="8" w:space="0"/>
            </w:tcBorders>
            <w:shd w:val="clear" w:color="000000" w:fill="FFFFFF"/>
            <w:vAlign w:val="center"/>
          </w:tcPr>
          <w:p w14:paraId="6737DEFD">
            <w:pPr>
              <w:widowControl/>
              <w:jc w:val="left"/>
              <w:rPr>
                <w:rFonts w:ascii="宋体" w:hAnsi="宋体" w:cs="宋体"/>
                <w:kern w:val="0"/>
                <w:sz w:val="20"/>
                <w:szCs w:val="20"/>
              </w:rPr>
            </w:pPr>
            <w:r>
              <w:rPr>
                <w:rFonts w:hint="eastAsia" w:ascii="宋体" w:hAnsi="宋体" w:cs="宋体"/>
                <w:kern w:val="0"/>
                <w:sz w:val="20"/>
                <w:szCs w:val="20"/>
              </w:rPr>
              <w:t>　</w:t>
            </w:r>
          </w:p>
        </w:tc>
      </w:tr>
      <w:tr w14:paraId="16300635">
        <w:tblPrEx>
          <w:tblCellMar>
            <w:top w:w="0" w:type="dxa"/>
            <w:left w:w="108" w:type="dxa"/>
            <w:bottom w:w="0" w:type="dxa"/>
            <w:right w:w="108" w:type="dxa"/>
          </w:tblCellMar>
        </w:tblPrEx>
        <w:trPr>
          <w:trHeight w:val="285" w:hRule="atLeast"/>
        </w:trPr>
        <w:tc>
          <w:tcPr>
            <w:tcW w:w="618" w:type="dxa"/>
            <w:tcBorders>
              <w:top w:val="nil"/>
              <w:left w:val="single" w:color="auto" w:sz="8" w:space="0"/>
              <w:bottom w:val="single" w:color="auto" w:sz="4" w:space="0"/>
              <w:right w:val="single" w:color="auto" w:sz="4" w:space="0"/>
            </w:tcBorders>
            <w:shd w:val="clear" w:color="000000" w:fill="FFFFFF"/>
            <w:vAlign w:val="center"/>
          </w:tcPr>
          <w:p w14:paraId="1313F5D4">
            <w:pPr>
              <w:widowControl/>
              <w:jc w:val="center"/>
              <w:rPr>
                <w:rFonts w:ascii="宋体" w:hAnsi="宋体" w:cs="宋体"/>
                <w:kern w:val="0"/>
                <w:sz w:val="20"/>
                <w:szCs w:val="20"/>
              </w:rPr>
            </w:pPr>
          </w:p>
        </w:tc>
        <w:tc>
          <w:tcPr>
            <w:tcW w:w="4168" w:type="dxa"/>
            <w:gridSpan w:val="2"/>
            <w:tcBorders>
              <w:top w:val="single" w:color="auto" w:sz="4" w:space="0"/>
              <w:left w:val="nil"/>
              <w:bottom w:val="single" w:color="auto" w:sz="4" w:space="0"/>
              <w:right w:val="single" w:color="auto" w:sz="4" w:space="0"/>
            </w:tcBorders>
            <w:shd w:val="clear" w:color="000000" w:fill="FFFFFF"/>
            <w:vAlign w:val="center"/>
          </w:tcPr>
          <w:p w14:paraId="3DD17DAD">
            <w:pPr>
              <w:widowControl/>
              <w:jc w:val="left"/>
              <w:rPr>
                <w:rFonts w:ascii="宋体" w:hAnsi="宋体" w:cs="宋体"/>
                <w:kern w:val="0"/>
                <w:sz w:val="20"/>
                <w:szCs w:val="20"/>
              </w:rPr>
            </w:pPr>
            <w:r>
              <w:rPr>
                <w:rFonts w:hint="eastAsia" w:ascii="宋体" w:hAnsi="宋体" w:cs="宋体"/>
                <w:b/>
                <w:bCs/>
                <w:kern w:val="0"/>
                <w:sz w:val="20"/>
                <w:szCs w:val="20"/>
              </w:rPr>
              <w:t>……</w:t>
            </w:r>
          </w:p>
        </w:tc>
        <w:tc>
          <w:tcPr>
            <w:tcW w:w="1559" w:type="dxa"/>
            <w:tcBorders>
              <w:top w:val="nil"/>
              <w:left w:val="nil"/>
              <w:bottom w:val="single" w:color="auto" w:sz="4" w:space="0"/>
              <w:right w:val="single" w:color="auto" w:sz="4" w:space="0"/>
            </w:tcBorders>
            <w:shd w:val="clear" w:color="000000" w:fill="FFFFFF"/>
            <w:vAlign w:val="center"/>
          </w:tcPr>
          <w:p w14:paraId="561E8EC0">
            <w:pPr>
              <w:widowControl/>
              <w:jc w:val="left"/>
              <w:rPr>
                <w:rFonts w:ascii="宋体" w:hAnsi="宋体" w:cs="宋体"/>
                <w:kern w:val="0"/>
                <w:sz w:val="20"/>
                <w:szCs w:val="20"/>
              </w:rPr>
            </w:pPr>
          </w:p>
        </w:tc>
        <w:tc>
          <w:tcPr>
            <w:tcW w:w="2268" w:type="dxa"/>
            <w:tcBorders>
              <w:top w:val="nil"/>
              <w:left w:val="nil"/>
              <w:bottom w:val="single" w:color="auto" w:sz="4" w:space="0"/>
              <w:right w:val="single" w:color="auto" w:sz="8" w:space="0"/>
            </w:tcBorders>
            <w:shd w:val="clear" w:color="000000" w:fill="FFFFFF"/>
            <w:vAlign w:val="center"/>
          </w:tcPr>
          <w:p w14:paraId="3F4E8C25">
            <w:pPr>
              <w:widowControl/>
              <w:jc w:val="left"/>
              <w:rPr>
                <w:rFonts w:ascii="宋体" w:hAnsi="宋体" w:cs="宋体"/>
                <w:kern w:val="0"/>
                <w:sz w:val="20"/>
                <w:szCs w:val="20"/>
              </w:rPr>
            </w:pPr>
          </w:p>
        </w:tc>
      </w:tr>
      <w:tr w14:paraId="342B006F">
        <w:tblPrEx>
          <w:tblCellMar>
            <w:top w:w="0" w:type="dxa"/>
            <w:left w:w="108" w:type="dxa"/>
            <w:bottom w:w="0" w:type="dxa"/>
            <w:right w:w="108" w:type="dxa"/>
          </w:tblCellMar>
        </w:tblPrEx>
        <w:trPr>
          <w:trHeight w:val="285" w:hRule="atLeast"/>
        </w:trPr>
        <w:tc>
          <w:tcPr>
            <w:tcW w:w="618" w:type="dxa"/>
            <w:tcBorders>
              <w:top w:val="nil"/>
              <w:left w:val="single" w:color="auto" w:sz="8" w:space="0"/>
              <w:bottom w:val="single" w:color="auto" w:sz="4" w:space="0"/>
              <w:right w:val="single" w:color="auto" w:sz="4" w:space="0"/>
            </w:tcBorders>
            <w:shd w:val="clear" w:color="000000" w:fill="FFFFFF"/>
            <w:vAlign w:val="center"/>
          </w:tcPr>
          <w:p w14:paraId="56938C03">
            <w:pPr>
              <w:widowControl/>
              <w:jc w:val="center"/>
              <w:rPr>
                <w:rFonts w:ascii="宋体" w:hAnsi="宋体" w:cs="宋体"/>
                <w:kern w:val="0"/>
                <w:sz w:val="20"/>
                <w:szCs w:val="20"/>
              </w:rPr>
            </w:pPr>
          </w:p>
        </w:tc>
        <w:tc>
          <w:tcPr>
            <w:tcW w:w="4168" w:type="dxa"/>
            <w:gridSpan w:val="2"/>
            <w:tcBorders>
              <w:top w:val="single" w:color="auto" w:sz="4" w:space="0"/>
              <w:left w:val="nil"/>
              <w:bottom w:val="single" w:color="auto" w:sz="4" w:space="0"/>
              <w:right w:val="single" w:color="auto" w:sz="4" w:space="0"/>
            </w:tcBorders>
            <w:shd w:val="clear" w:color="000000" w:fill="FFFFFF"/>
            <w:vAlign w:val="center"/>
          </w:tcPr>
          <w:p w14:paraId="1A5DCBEE">
            <w:pPr>
              <w:widowControl/>
              <w:jc w:val="center"/>
              <w:rPr>
                <w:rFonts w:ascii="宋体" w:hAnsi="宋体" w:cs="宋体"/>
                <w:b/>
                <w:bCs/>
                <w:kern w:val="0"/>
                <w:sz w:val="20"/>
                <w:szCs w:val="20"/>
              </w:rPr>
            </w:pPr>
            <w:r>
              <w:rPr>
                <w:rFonts w:hint="eastAsia" w:ascii="宋体" w:hAnsi="宋体" w:cs="宋体"/>
                <w:b/>
                <w:bCs/>
                <w:kern w:val="0"/>
                <w:sz w:val="20"/>
                <w:szCs w:val="20"/>
              </w:rPr>
              <w:t>合计(元)</w:t>
            </w:r>
          </w:p>
        </w:tc>
        <w:tc>
          <w:tcPr>
            <w:tcW w:w="1559" w:type="dxa"/>
            <w:tcBorders>
              <w:top w:val="nil"/>
              <w:left w:val="nil"/>
              <w:bottom w:val="single" w:color="auto" w:sz="4" w:space="0"/>
              <w:right w:val="single" w:color="auto" w:sz="4" w:space="0"/>
            </w:tcBorders>
            <w:shd w:val="clear" w:color="000000" w:fill="FFFFFF"/>
            <w:vAlign w:val="center"/>
          </w:tcPr>
          <w:p w14:paraId="4F470C1B">
            <w:pPr>
              <w:widowControl/>
              <w:jc w:val="right"/>
              <w:rPr>
                <w:rFonts w:ascii="宋体" w:hAnsi="宋体" w:cs="宋体"/>
                <w:b/>
                <w:bCs/>
                <w:kern w:val="0"/>
                <w:sz w:val="20"/>
                <w:szCs w:val="20"/>
              </w:rPr>
            </w:pPr>
            <w:r>
              <w:rPr>
                <w:rFonts w:hint="eastAsia" w:ascii="宋体" w:hAnsi="宋体" w:cs="宋体"/>
                <w:b/>
                <w:bCs/>
                <w:kern w:val="0"/>
                <w:sz w:val="20"/>
                <w:szCs w:val="20"/>
              </w:rPr>
              <w:t>　</w:t>
            </w:r>
          </w:p>
        </w:tc>
        <w:tc>
          <w:tcPr>
            <w:tcW w:w="2268" w:type="dxa"/>
            <w:tcBorders>
              <w:top w:val="nil"/>
              <w:left w:val="nil"/>
              <w:bottom w:val="single" w:color="auto" w:sz="4" w:space="0"/>
              <w:right w:val="single" w:color="auto" w:sz="8" w:space="0"/>
            </w:tcBorders>
            <w:shd w:val="clear" w:color="000000" w:fill="FFFFFF"/>
            <w:vAlign w:val="center"/>
          </w:tcPr>
          <w:p w14:paraId="518D45E0">
            <w:pPr>
              <w:widowControl/>
              <w:jc w:val="center"/>
              <w:rPr>
                <w:rFonts w:ascii="宋体" w:hAnsi="宋体" w:cs="宋体"/>
                <w:kern w:val="0"/>
                <w:sz w:val="20"/>
                <w:szCs w:val="20"/>
              </w:rPr>
            </w:pPr>
            <w:r>
              <w:rPr>
                <w:rFonts w:hint="eastAsia" w:ascii="宋体" w:hAnsi="宋体" w:cs="宋体"/>
                <w:kern w:val="0"/>
                <w:sz w:val="20"/>
                <w:szCs w:val="20"/>
              </w:rPr>
              <w:t>　以上各项之和</w:t>
            </w:r>
          </w:p>
        </w:tc>
      </w:tr>
    </w:tbl>
    <w:p w14:paraId="5DE30CD3">
      <w:pPr>
        <w:pStyle w:val="19"/>
        <w:rPr>
          <w:rFonts w:hint="default"/>
          <w:lang w:val="en-US" w:eastAsia="zh-CN"/>
        </w:rPr>
      </w:pPr>
    </w:p>
    <w:p w14:paraId="1EE6274B">
      <w:pPr>
        <w:pStyle w:val="36"/>
        <w:rPr>
          <w:rFonts w:hint="default"/>
          <w:lang w:val="en-US" w:eastAsia="zh-CN"/>
        </w:rPr>
      </w:pPr>
    </w:p>
    <w:p w14:paraId="29069E2A">
      <w:pPr>
        <w:tabs>
          <w:tab w:val="left" w:pos="720"/>
        </w:tabs>
        <w:jc w:val="center"/>
        <w:rPr>
          <w:b/>
          <w:sz w:val="24"/>
        </w:rPr>
      </w:pPr>
      <w:r>
        <w:rPr>
          <w:rFonts w:hint="eastAsia"/>
          <w:b/>
          <w:sz w:val="24"/>
        </w:rPr>
        <w:t>（二）投标人认为需要涉及的其他内容报价清单</w:t>
      </w:r>
    </w:p>
    <w:p w14:paraId="1AAE11E4">
      <w:pPr>
        <w:rPr>
          <w:b/>
          <w:bCs/>
        </w:rPr>
      </w:pPr>
    </w:p>
    <w:p w14:paraId="7638A348"/>
    <w:p w14:paraId="70189EB0">
      <w:pPr>
        <w:pStyle w:val="19"/>
        <w:ind w:firstLine="0" w:firstLineChars="0"/>
      </w:pPr>
    </w:p>
    <w:p w14:paraId="1555705E">
      <w:pPr>
        <w:pStyle w:val="36"/>
      </w:pPr>
    </w:p>
    <w:p w14:paraId="61204DE0">
      <w:pPr>
        <w:pStyle w:val="36"/>
      </w:pPr>
    </w:p>
    <w:p w14:paraId="775A5DF9">
      <w:pPr>
        <w:pStyle w:val="4"/>
        <w:jc w:val="center"/>
        <w:rPr>
          <w:rFonts w:ascii="黑体" w:eastAsia="黑体"/>
          <w:b w:val="0"/>
          <w:kern w:val="0"/>
          <w:sz w:val="24"/>
          <w:szCs w:val="24"/>
        </w:rPr>
      </w:pPr>
      <w:r>
        <w:rPr>
          <w:rFonts w:hint="eastAsia" w:ascii="黑体" w:eastAsia="黑体"/>
          <w:b w:val="0"/>
          <w:kern w:val="0"/>
          <w:sz w:val="24"/>
          <w:szCs w:val="24"/>
          <w:lang w:val="en-US" w:eastAsia="zh-CN"/>
        </w:rPr>
        <w:t>五</w:t>
      </w:r>
      <w:r>
        <w:rPr>
          <w:rFonts w:hint="eastAsia" w:ascii="黑体" w:eastAsia="黑体"/>
          <w:b w:val="0"/>
          <w:kern w:val="0"/>
          <w:sz w:val="24"/>
          <w:szCs w:val="24"/>
        </w:rPr>
        <w:t>、</w:t>
      </w:r>
      <w:bookmarkStart w:id="40" w:name="_Hlk72092634"/>
      <w:r>
        <w:rPr>
          <w:rFonts w:hint="eastAsia" w:ascii="黑体" w:eastAsia="黑体"/>
          <w:b w:val="0"/>
          <w:kern w:val="0"/>
          <w:sz w:val="24"/>
          <w:szCs w:val="24"/>
        </w:rPr>
        <w:t>实质性条款响应情况表</w:t>
      </w:r>
      <w:bookmarkEnd w:id="40"/>
    </w:p>
    <w:tbl>
      <w:tblPr>
        <w:tblStyle w:val="42"/>
        <w:tblW w:w="82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5"/>
        <w:gridCol w:w="2664"/>
        <w:gridCol w:w="1588"/>
        <w:gridCol w:w="1842"/>
        <w:gridCol w:w="1418"/>
      </w:tblGrid>
      <w:tr w14:paraId="0804F6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705" w:type="dxa"/>
            <w:vAlign w:val="center"/>
          </w:tcPr>
          <w:p w14:paraId="4C7ACA2D">
            <w:pPr>
              <w:adjustRightInd w:val="0"/>
              <w:snapToGrid w:val="0"/>
              <w:spacing w:line="360" w:lineRule="auto"/>
              <w:jc w:val="center"/>
              <w:rPr>
                <w:rFonts w:ascii="宋体" w:hAnsi="宋体"/>
                <w:kern w:val="0"/>
                <w:szCs w:val="21"/>
              </w:rPr>
            </w:pPr>
            <w:bookmarkStart w:id="41" w:name="_Hlk72092651"/>
            <w:r>
              <w:rPr>
                <w:rFonts w:hint="eastAsia" w:ascii="宋体" w:hAnsi="宋体"/>
                <w:kern w:val="0"/>
                <w:szCs w:val="21"/>
              </w:rPr>
              <w:t>序号</w:t>
            </w:r>
          </w:p>
        </w:tc>
        <w:tc>
          <w:tcPr>
            <w:tcW w:w="2664" w:type="dxa"/>
            <w:vAlign w:val="center"/>
          </w:tcPr>
          <w:p w14:paraId="28632D3A">
            <w:pPr>
              <w:adjustRightInd w:val="0"/>
              <w:snapToGrid w:val="0"/>
              <w:spacing w:line="360" w:lineRule="auto"/>
              <w:jc w:val="center"/>
              <w:rPr>
                <w:rFonts w:ascii="宋体" w:hAnsi="宋体"/>
                <w:kern w:val="0"/>
                <w:szCs w:val="21"/>
              </w:rPr>
            </w:pPr>
            <w:r>
              <w:rPr>
                <w:rFonts w:hint="eastAsia" w:ascii="宋体" w:hAnsi="宋体"/>
                <w:kern w:val="0"/>
                <w:szCs w:val="21"/>
              </w:rPr>
              <w:t>实质性条款具体内容</w:t>
            </w:r>
          </w:p>
        </w:tc>
        <w:tc>
          <w:tcPr>
            <w:tcW w:w="1588" w:type="dxa"/>
            <w:vAlign w:val="center"/>
          </w:tcPr>
          <w:p w14:paraId="34837A96">
            <w:pPr>
              <w:adjustRightInd w:val="0"/>
              <w:snapToGrid w:val="0"/>
              <w:spacing w:line="360" w:lineRule="auto"/>
              <w:jc w:val="center"/>
              <w:rPr>
                <w:rFonts w:ascii="宋体" w:hAnsi="宋体"/>
                <w:kern w:val="0"/>
                <w:szCs w:val="21"/>
              </w:rPr>
            </w:pPr>
            <w:r>
              <w:rPr>
                <w:rFonts w:hint="eastAsia"/>
              </w:rPr>
              <w:t>投标响应</w:t>
            </w:r>
          </w:p>
        </w:tc>
        <w:tc>
          <w:tcPr>
            <w:tcW w:w="1842" w:type="dxa"/>
            <w:vAlign w:val="center"/>
          </w:tcPr>
          <w:p w14:paraId="20E71C32">
            <w:pPr>
              <w:adjustRightInd w:val="0"/>
              <w:snapToGrid w:val="0"/>
              <w:spacing w:line="360" w:lineRule="auto"/>
              <w:jc w:val="center"/>
              <w:rPr>
                <w:rFonts w:ascii="宋体" w:hAnsi="宋体"/>
                <w:kern w:val="0"/>
                <w:szCs w:val="21"/>
              </w:rPr>
            </w:pPr>
            <w:r>
              <w:rPr>
                <w:rFonts w:hint="eastAsia"/>
              </w:rPr>
              <w:t>偏离情况</w:t>
            </w:r>
          </w:p>
        </w:tc>
        <w:tc>
          <w:tcPr>
            <w:tcW w:w="1418" w:type="dxa"/>
            <w:vAlign w:val="center"/>
          </w:tcPr>
          <w:p w14:paraId="7F8F34AE">
            <w:pPr>
              <w:adjustRightInd w:val="0"/>
              <w:snapToGrid w:val="0"/>
              <w:spacing w:line="360" w:lineRule="auto"/>
              <w:jc w:val="center"/>
              <w:rPr>
                <w:rFonts w:ascii="宋体" w:hAnsi="宋体"/>
                <w:kern w:val="0"/>
                <w:szCs w:val="21"/>
              </w:rPr>
            </w:pPr>
            <w:r>
              <w:rPr>
                <w:rFonts w:hint="eastAsia"/>
              </w:rPr>
              <w:t>说明</w:t>
            </w:r>
            <w:bookmarkEnd w:id="41"/>
          </w:p>
        </w:tc>
      </w:tr>
      <w:tr w14:paraId="6428CF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5" w:type="dxa"/>
          </w:tcPr>
          <w:p w14:paraId="4B5196A4">
            <w:pPr>
              <w:adjustRightInd w:val="0"/>
              <w:snapToGrid w:val="0"/>
              <w:spacing w:line="360" w:lineRule="auto"/>
              <w:rPr>
                <w:rFonts w:ascii="宋体" w:hAnsi="宋体"/>
                <w:kern w:val="0"/>
                <w:szCs w:val="21"/>
              </w:rPr>
            </w:pPr>
            <w:r>
              <w:rPr>
                <w:rFonts w:hint="eastAsia" w:ascii="宋体" w:hAnsi="宋体"/>
                <w:kern w:val="0"/>
                <w:szCs w:val="21"/>
              </w:rPr>
              <w:t>1</w:t>
            </w:r>
          </w:p>
        </w:tc>
        <w:tc>
          <w:tcPr>
            <w:tcW w:w="2664" w:type="dxa"/>
            <w:vAlign w:val="center"/>
          </w:tcPr>
          <w:p w14:paraId="168A7261">
            <w:pPr>
              <w:adjustRightInd w:val="0"/>
              <w:snapToGrid w:val="0"/>
              <w:spacing w:line="360" w:lineRule="auto"/>
              <w:jc w:val="center"/>
              <w:rPr>
                <w:rFonts w:hAnsi="宋体"/>
                <w:kern w:val="0"/>
                <w:szCs w:val="21"/>
              </w:rPr>
            </w:pPr>
            <w:r>
              <w:rPr>
                <w:rFonts w:hint="eastAsia" w:hAnsi="宋体"/>
                <w:color w:val="FF0000"/>
                <w:kern w:val="0"/>
                <w:szCs w:val="21"/>
              </w:rPr>
              <w:t>满足本项目标★的条款要求</w:t>
            </w:r>
          </w:p>
        </w:tc>
        <w:tc>
          <w:tcPr>
            <w:tcW w:w="1588" w:type="dxa"/>
          </w:tcPr>
          <w:p w14:paraId="7D90A083">
            <w:pPr>
              <w:adjustRightInd w:val="0"/>
              <w:snapToGrid w:val="0"/>
              <w:spacing w:line="360" w:lineRule="auto"/>
              <w:rPr>
                <w:rFonts w:ascii="宋体" w:hAnsi="宋体"/>
                <w:kern w:val="0"/>
                <w:szCs w:val="21"/>
              </w:rPr>
            </w:pPr>
          </w:p>
        </w:tc>
        <w:tc>
          <w:tcPr>
            <w:tcW w:w="1842" w:type="dxa"/>
          </w:tcPr>
          <w:p w14:paraId="6DFD17EE">
            <w:pPr>
              <w:adjustRightInd w:val="0"/>
              <w:snapToGrid w:val="0"/>
              <w:spacing w:line="360" w:lineRule="auto"/>
              <w:rPr>
                <w:rFonts w:ascii="宋体" w:hAnsi="宋体"/>
                <w:kern w:val="0"/>
                <w:szCs w:val="21"/>
              </w:rPr>
            </w:pPr>
          </w:p>
        </w:tc>
        <w:tc>
          <w:tcPr>
            <w:tcW w:w="1418" w:type="dxa"/>
          </w:tcPr>
          <w:p w14:paraId="13C79FC4">
            <w:pPr>
              <w:adjustRightInd w:val="0"/>
              <w:snapToGrid w:val="0"/>
              <w:spacing w:line="360" w:lineRule="auto"/>
              <w:rPr>
                <w:rFonts w:ascii="宋体" w:hAnsi="宋体"/>
                <w:kern w:val="0"/>
                <w:szCs w:val="21"/>
              </w:rPr>
            </w:pPr>
          </w:p>
        </w:tc>
      </w:tr>
    </w:tbl>
    <w:p w14:paraId="18D04855">
      <w:pPr>
        <w:ind w:firstLine="482" w:firstLineChars="200"/>
        <w:rPr>
          <w:b/>
          <w:sz w:val="24"/>
          <w:szCs w:val="22"/>
        </w:rPr>
      </w:pPr>
      <w:r>
        <w:rPr>
          <w:rFonts w:hint="eastAsia"/>
          <w:b/>
          <w:sz w:val="24"/>
          <w:szCs w:val="22"/>
        </w:rPr>
        <w:t>注：1.上表所列各项均为不可负偏离条款。</w:t>
      </w:r>
    </w:p>
    <w:p w14:paraId="0F7D7DC5">
      <w:pPr>
        <w:ind w:firstLine="482" w:firstLineChars="200"/>
        <w:rPr>
          <w:b/>
          <w:sz w:val="24"/>
          <w:szCs w:val="22"/>
        </w:rPr>
      </w:pPr>
      <w:r>
        <w:rPr>
          <w:rFonts w:hint="eastAsia"/>
          <w:b/>
          <w:sz w:val="24"/>
          <w:szCs w:val="22"/>
        </w:rPr>
        <w:t>2.“投标响应”一栏应当详细填写投标人自身响应情况，而不能不合理照搬照抄实质性条款具体内容。</w:t>
      </w:r>
    </w:p>
    <w:p w14:paraId="1D51D594">
      <w:pPr>
        <w:ind w:firstLine="482" w:firstLineChars="200"/>
        <w:rPr>
          <w:b/>
          <w:sz w:val="24"/>
          <w:szCs w:val="22"/>
        </w:rPr>
      </w:pPr>
      <w:r>
        <w:rPr>
          <w:rFonts w:hint="eastAsia"/>
          <w:b/>
          <w:sz w:val="24"/>
          <w:szCs w:val="22"/>
        </w:rPr>
        <w:t>3</w:t>
      </w:r>
      <w:r>
        <w:rPr>
          <w:b/>
          <w:sz w:val="24"/>
          <w:szCs w:val="22"/>
        </w:rPr>
        <w:t>.</w:t>
      </w:r>
      <w:r>
        <w:rPr>
          <w:rFonts w:hint="eastAsia"/>
          <w:b/>
          <w:sz w:val="24"/>
          <w:szCs w:val="22"/>
        </w:rPr>
        <w:t>“偏离情况”一栏应填写“正偏离</w:t>
      </w:r>
      <w:r>
        <w:rPr>
          <w:rFonts w:hint="eastAsia"/>
          <w:b/>
          <w:sz w:val="24"/>
          <w:szCs w:val="22"/>
          <w:lang w:eastAsia="zh-CN"/>
        </w:rPr>
        <w:t>”“</w:t>
      </w:r>
      <w:r>
        <w:rPr>
          <w:rFonts w:hint="eastAsia"/>
          <w:b/>
          <w:sz w:val="24"/>
          <w:szCs w:val="22"/>
        </w:rPr>
        <w:t>负偏离”或“无偏离”，</w:t>
      </w:r>
      <w:r>
        <w:rPr>
          <w:rFonts w:hint="eastAsia"/>
          <w:b/>
          <w:sz w:val="24"/>
        </w:rPr>
        <w:t>“正偏离”表示“投标响应优于实质性条款具体内容要求”，“负偏离”表示“投标响应不满足实质性条款具体内容要求”，“无偏离”表示“投标响应与实质性条款具体内容要求一致”。</w:t>
      </w:r>
    </w:p>
    <w:p w14:paraId="7A6C8D62">
      <w:pPr>
        <w:ind w:firstLine="482" w:firstLineChars="200"/>
        <w:rPr>
          <w:b/>
          <w:sz w:val="24"/>
        </w:rPr>
      </w:pPr>
      <w:r>
        <w:rPr>
          <w:b/>
          <w:sz w:val="24"/>
        </w:rPr>
        <w:t>4.</w:t>
      </w:r>
      <w:r>
        <w:rPr>
          <w:rFonts w:hint="eastAsia"/>
          <w:b/>
          <w:sz w:val="24"/>
        </w:rPr>
        <w:t>评审委员会有权对投标响应情况作出判断（作出评审结论）。</w:t>
      </w:r>
    </w:p>
    <w:p w14:paraId="774B19A0">
      <w:pPr>
        <w:ind w:firstLine="482" w:firstLineChars="200"/>
        <w:rPr>
          <w:b/>
          <w:sz w:val="24"/>
          <w:szCs w:val="22"/>
        </w:rPr>
      </w:pPr>
      <w:r>
        <w:rPr>
          <w:b/>
          <w:sz w:val="24"/>
          <w:szCs w:val="22"/>
        </w:rPr>
        <w:t>5</w:t>
      </w:r>
      <w:r>
        <w:rPr>
          <w:rFonts w:hint="eastAsia"/>
          <w:b/>
          <w:sz w:val="24"/>
          <w:szCs w:val="22"/>
        </w:rPr>
        <w:t>.要求提供证明资料，在“说明”一栏中列明证明资料的位置</w:t>
      </w:r>
      <w:r>
        <w:rPr>
          <w:rFonts w:hint="eastAsia"/>
          <w:b/>
          <w:sz w:val="24"/>
          <w:szCs w:val="22"/>
          <w:lang w:eastAsia="zh-CN"/>
        </w:rPr>
        <w:t>，</w:t>
      </w:r>
      <w:r>
        <w:rPr>
          <w:rFonts w:hint="eastAsia"/>
          <w:b/>
          <w:sz w:val="24"/>
          <w:szCs w:val="22"/>
        </w:rPr>
        <w:t>以便评审；未要求提供证明材料的，投标人可以不提供。</w:t>
      </w:r>
    </w:p>
    <w:p w14:paraId="56C3C1DC">
      <w:pPr>
        <w:ind w:firstLine="420" w:firstLineChars="200"/>
      </w:pPr>
    </w:p>
    <w:p w14:paraId="341995D8">
      <w:pPr>
        <w:rPr>
          <w:b/>
          <w:bCs/>
          <w:sz w:val="24"/>
        </w:rPr>
      </w:pPr>
    </w:p>
    <w:p w14:paraId="5DE9063A">
      <w:pPr>
        <w:pStyle w:val="4"/>
        <w:jc w:val="center"/>
        <w:rPr>
          <w:rFonts w:hint="eastAsia" w:ascii="黑体" w:eastAsia="黑体"/>
          <w:b w:val="0"/>
          <w:kern w:val="0"/>
          <w:sz w:val="24"/>
          <w:szCs w:val="24"/>
        </w:rPr>
      </w:pPr>
      <w:r>
        <w:rPr>
          <w:rFonts w:hint="eastAsia" w:ascii="黑体" w:eastAsia="黑体"/>
          <w:b w:val="0"/>
          <w:kern w:val="0"/>
          <w:sz w:val="24"/>
          <w:szCs w:val="24"/>
          <w:lang w:val="en-US" w:eastAsia="zh-CN"/>
        </w:rPr>
        <w:t>六</w:t>
      </w:r>
      <w:r>
        <w:rPr>
          <w:rFonts w:hint="eastAsia" w:ascii="黑体" w:eastAsia="黑体"/>
          <w:b w:val="0"/>
          <w:kern w:val="0"/>
          <w:sz w:val="24"/>
          <w:szCs w:val="24"/>
        </w:rPr>
        <w:t>、实施方案</w:t>
      </w:r>
    </w:p>
    <w:p w14:paraId="6E88081B">
      <w:pPr>
        <w:pStyle w:val="4"/>
        <w:jc w:val="center"/>
        <w:rPr>
          <w:rFonts w:ascii="黑体" w:eastAsia="黑体"/>
          <w:b w:val="0"/>
          <w:kern w:val="0"/>
          <w:sz w:val="24"/>
          <w:szCs w:val="24"/>
        </w:rPr>
      </w:pPr>
      <w:r>
        <w:rPr>
          <w:rFonts w:hint="eastAsia" w:ascii="黑体" w:eastAsia="黑体"/>
          <w:b w:val="0"/>
          <w:kern w:val="0"/>
          <w:sz w:val="24"/>
          <w:szCs w:val="24"/>
        </w:rPr>
        <w:t>（格式自定）</w:t>
      </w:r>
    </w:p>
    <w:p w14:paraId="346BD130">
      <w:pPr>
        <w:pStyle w:val="2"/>
        <w:ind w:firstLine="0"/>
        <w:rPr>
          <w:rFonts w:asciiTheme="minorEastAsia" w:hAnsiTheme="minorEastAsia" w:eastAsiaTheme="minorEastAsia" w:cstheme="minorEastAsia"/>
          <w:color w:val="FF0000"/>
          <w:sz w:val="24"/>
        </w:rPr>
      </w:pPr>
      <w:r>
        <w:rPr>
          <w:rFonts w:hint="eastAsia" w:asciiTheme="minorEastAsia" w:hAnsiTheme="minorEastAsia" w:eastAsiaTheme="minorEastAsia" w:cstheme="minorEastAsia"/>
          <w:color w:val="FF0000"/>
          <w:sz w:val="24"/>
        </w:rPr>
        <w:t>（特别提示：投标人须按本招标文件评标信息中这一评审因素要求，提供证明资料）</w:t>
      </w:r>
    </w:p>
    <w:p w14:paraId="70A5ECD6">
      <w:pPr>
        <w:pStyle w:val="4"/>
        <w:jc w:val="center"/>
        <w:rPr>
          <w:rFonts w:hint="eastAsia" w:ascii="黑体" w:eastAsia="黑体"/>
          <w:b w:val="0"/>
          <w:kern w:val="0"/>
          <w:sz w:val="24"/>
          <w:szCs w:val="24"/>
        </w:rPr>
      </w:pPr>
      <w:r>
        <w:rPr>
          <w:rFonts w:hint="eastAsia" w:ascii="黑体" w:eastAsia="黑体"/>
          <w:b w:val="0"/>
          <w:kern w:val="0"/>
          <w:sz w:val="24"/>
          <w:szCs w:val="24"/>
          <w:lang w:val="en-US" w:eastAsia="zh-CN"/>
        </w:rPr>
        <w:t>七</w:t>
      </w:r>
      <w:r>
        <w:rPr>
          <w:rFonts w:hint="eastAsia" w:ascii="黑体" w:eastAsia="黑体"/>
          <w:b w:val="0"/>
          <w:kern w:val="0"/>
          <w:sz w:val="24"/>
          <w:szCs w:val="24"/>
        </w:rPr>
        <w:t>、质量保障措施、季度质量安全管理巡查方案及应急方案</w:t>
      </w:r>
    </w:p>
    <w:p w14:paraId="350A0E3D">
      <w:pPr>
        <w:pStyle w:val="4"/>
        <w:jc w:val="center"/>
        <w:rPr>
          <w:rFonts w:ascii="黑体" w:eastAsia="黑体"/>
          <w:b w:val="0"/>
          <w:kern w:val="0"/>
          <w:sz w:val="24"/>
          <w:szCs w:val="24"/>
        </w:rPr>
      </w:pPr>
      <w:r>
        <w:rPr>
          <w:rFonts w:hint="eastAsia" w:ascii="黑体" w:eastAsia="黑体"/>
          <w:b w:val="0"/>
          <w:kern w:val="0"/>
          <w:sz w:val="24"/>
          <w:szCs w:val="24"/>
        </w:rPr>
        <w:t>（格式自定）</w:t>
      </w:r>
    </w:p>
    <w:p w14:paraId="3613E022">
      <w:pPr>
        <w:pStyle w:val="2"/>
        <w:ind w:firstLine="0"/>
        <w:rPr>
          <w:rFonts w:asciiTheme="minorEastAsia" w:hAnsiTheme="minorEastAsia" w:eastAsiaTheme="minorEastAsia" w:cstheme="minorEastAsia"/>
          <w:color w:val="FF0000"/>
          <w:sz w:val="24"/>
        </w:rPr>
      </w:pPr>
      <w:r>
        <w:rPr>
          <w:rFonts w:hint="eastAsia" w:asciiTheme="minorEastAsia" w:hAnsiTheme="minorEastAsia" w:eastAsiaTheme="minorEastAsia" w:cstheme="minorEastAsia"/>
          <w:color w:val="FF0000"/>
          <w:sz w:val="24"/>
        </w:rPr>
        <w:t>（特别提示：投标人须按本招标文件评标信息中这一评审因素要求，提供证明资料）</w:t>
      </w:r>
    </w:p>
    <w:p w14:paraId="69A58ED2">
      <w:pPr>
        <w:pStyle w:val="4"/>
        <w:jc w:val="center"/>
        <w:rPr>
          <w:rFonts w:hint="eastAsia" w:ascii="黑体" w:eastAsia="黑体"/>
          <w:b w:val="0"/>
          <w:kern w:val="0"/>
          <w:sz w:val="24"/>
          <w:szCs w:val="24"/>
        </w:rPr>
      </w:pPr>
      <w:r>
        <w:rPr>
          <w:rFonts w:hint="eastAsia" w:ascii="黑体" w:eastAsia="黑体"/>
          <w:b w:val="0"/>
          <w:kern w:val="0"/>
          <w:sz w:val="24"/>
          <w:szCs w:val="24"/>
          <w:lang w:val="en-US" w:eastAsia="zh-CN"/>
        </w:rPr>
        <w:t>八</w:t>
      </w:r>
      <w:r>
        <w:rPr>
          <w:rFonts w:hint="eastAsia" w:ascii="黑体" w:eastAsia="黑体"/>
          <w:b w:val="0"/>
          <w:kern w:val="0"/>
          <w:sz w:val="24"/>
          <w:szCs w:val="24"/>
        </w:rPr>
        <w:t>、项目重点难点分析、应对措施及相关的合理化建议</w:t>
      </w:r>
    </w:p>
    <w:p w14:paraId="09BF335B">
      <w:pPr>
        <w:pStyle w:val="4"/>
        <w:jc w:val="center"/>
        <w:rPr>
          <w:rFonts w:ascii="黑体" w:eastAsia="黑体"/>
          <w:b w:val="0"/>
          <w:kern w:val="0"/>
          <w:sz w:val="24"/>
          <w:szCs w:val="24"/>
        </w:rPr>
      </w:pPr>
      <w:r>
        <w:rPr>
          <w:rFonts w:hint="eastAsia" w:ascii="黑体" w:eastAsia="黑体"/>
          <w:b w:val="0"/>
          <w:kern w:val="0"/>
          <w:sz w:val="24"/>
          <w:szCs w:val="24"/>
        </w:rPr>
        <w:t>（格式自定）</w:t>
      </w:r>
    </w:p>
    <w:p w14:paraId="1DAFC619">
      <w:pPr>
        <w:pStyle w:val="2"/>
        <w:ind w:firstLine="0"/>
        <w:rPr>
          <w:rFonts w:asciiTheme="minorEastAsia" w:hAnsiTheme="minorEastAsia" w:eastAsiaTheme="minorEastAsia" w:cstheme="minorEastAsia"/>
          <w:color w:val="FF0000"/>
          <w:sz w:val="24"/>
        </w:rPr>
      </w:pPr>
      <w:r>
        <w:rPr>
          <w:rFonts w:hint="eastAsia" w:asciiTheme="minorEastAsia" w:hAnsiTheme="minorEastAsia" w:eastAsiaTheme="minorEastAsia" w:cstheme="minorEastAsia"/>
          <w:color w:val="FF0000"/>
          <w:sz w:val="24"/>
        </w:rPr>
        <w:t>（特别提示：投标人须按本招标文件评标信息中这一评审因素要求，提供证明资料）</w:t>
      </w:r>
    </w:p>
    <w:p w14:paraId="657F272D">
      <w:pPr>
        <w:pStyle w:val="4"/>
        <w:jc w:val="center"/>
        <w:rPr>
          <w:rFonts w:hint="eastAsia" w:ascii="黑体" w:eastAsia="黑体"/>
          <w:b w:val="0"/>
          <w:kern w:val="0"/>
          <w:sz w:val="24"/>
          <w:szCs w:val="24"/>
        </w:rPr>
      </w:pPr>
      <w:r>
        <w:rPr>
          <w:rFonts w:hint="eastAsia" w:ascii="黑体" w:eastAsia="黑体"/>
          <w:b w:val="0"/>
          <w:kern w:val="0"/>
          <w:sz w:val="24"/>
          <w:szCs w:val="24"/>
          <w:lang w:val="en-US" w:eastAsia="zh-CN"/>
        </w:rPr>
        <w:t>九</w:t>
      </w:r>
      <w:r>
        <w:rPr>
          <w:rFonts w:hint="eastAsia" w:ascii="黑体" w:eastAsia="黑体"/>
          <w:b w:val="0"/>
          <w:kern w:val="0"/>
          <w:sz w:val="24"/>
          <w:szCs w:val="24"/>
        </w:rPr>
        <w:t>、项目服务期满后的服务承诺</w:t>
      </w:r>
    </w:p>
    <w:p w14:paraId="16FB7D03">
      <w:pPr>
        <w:pStyle w:val="4"/>
        <w:jc w:val="center"/>
        <w:rPr>
          <w:rFonts w:ascii="黑体" w:eastAsia="黑体"/>
          <w:b w:val="0"/>
          <w:kern w:val="0"/>
          <w:sz w:val="24"/>
          <w:szCs w:val="24"/>
        </w:rPr>
      </w:pPr>
      <w:r>
        <w:rPr>
          <w:rFonts w:hint="eastAsia" w:ascii="黑体" w:eastAsia="黑体"/>
          <w:b w:val="0"/>
          <w:kern w:val="0"/>
          <w:sz w:val="24"/>
          <w:szCs w:val="24"/>
        </w:rPr>
        <w:t>（格式自定）</w:t>
      </w:r>
    </w:p>
    <w:p w14:paraId="33385358">
      <w:pPr>
        <w:pStyle w:val="2"/>
        <w:ind w:firstLine="0"/>
        <w:rPr>
          <w:rFonts w:asciiTheme="minorEastAsia" w:hAnsiTheme="minorEastAsia" w:eastAsiaTheme="minorEastAsia" w:cstheme="minorEastAsia"/>
          <w:color w:val="FF0000"/>
          <w:sz w:val="24"/>
        </w:rPr>
      </w:pPr>
      <w:r>
        <w:rPr>
          <w:rFonts w:hint="eastAsia" w:asciiTheme="minorEastAsia" w:hAnsiTheme="minorEastAsia" w:eastAsiaTheme="minorEastAsia" w:cstheme="minorEastAsia"/>
          <w:color w:val="FF0000"/>
          <w:sz w:val="24"/>
        </w:rPr>
        <w:t>（特别提示：投标人须按本招标文件评标信息中这一评审因素要求，提供证明资料）</w:t>
      </w:r>
    </w:p>
    <w:p w14:paraId="724250BD">
      <w:pPr>
        <w:pStyle w:val="4"/>
        <w:jc w:val="center"/>
        <w:rPr>
          <w:rFonts w:hint="eastAsia" w:ascii="黑体" w:eastAsia="黑体"/>
          <w:b w:val="0"/>
          <w:kern w:val="0"/>
          <w:sz w:val="24"/>
          <w:szCs w:val="24"/>
        </w:rPr>
      </w:pPr>
      <w:r>
        <w:rPr>
          <w:rFonts w:hint="eastAsia" w:ascii="黑体" w:eastAsia="黑体"/>
          <w:b w:val="0"/>
          <w:kern w:val="0"/>
          <w:sz w:val="24"/>
          <w:szCs w:val="24"/>
          <w:lang w:val="en-US" w:eastAsia="zh-CN"/>
        </w:rPr>
        <w:t>十</w:t>
      </w:r>
      <w:r>
        <w:rPr>
          <w:rFonts w:hint="eastAsia" w:ascii="黑体" w:eastAsia="黑体"/>
          <w:b w:val="0"/>
          <w:kern w:val="0"/>
          <w:sz w:val="24"/>
          <w:szCs w:val="24"/>
        </w:rPr>
        <w:t>、违约承诺</w:t>
      </w:r>
    </w:p>
    <w:p w14:paraId="130D9F0E">
      <w:pPr>
        <w:pStyle w:val="4"/>
        <w:jc w:val="center"/>
        <w:rPr>
          <w:rFonts w:ascii="黑体" w:eastAsia="黑体"/>
          <w:b w:val="0"/>
          <w:kern w:val="0"/>
          <w:sz w:val="24"/>
          <w:szCs w:val="24"/>
        </w:rPr>
      </w:pPr>
      <w:r>
        <w:rPr>
          <w:rFonts w:hint="eastAsia" w:ascii="黑体" w:eastAsia="黑体"/>
          <w:b w:val="0"/>
          <w:kern w:val="0"/>
          <w:sz w:val="24"/>
          <w:szCs w:val="24"/>
        </w:rPr>
        <w:t>（格式自定）</w:t>
      </w:r>
    </w:p>
    <w:p w14:paraId="79F9A581">
      <w:pPr>
        <w:pStyle w:val="2"/>
        <w:ind w:firstLine="0"/>
        <w:rPr>
          <w:rFonts w:asciiTheme="minorEastAsia" w:hAnsiTheme="minorEastAsia" w:eastAsiaTheme="minorEastAsia" w:cstheme="minorEastAsia"/>
          <w:color w:val="FF0000"/>
          <w:sz w:val="24"/>
        </w:rPr>
      </w:pPr>
      <w:r>
        <w:rPr>
          <w:rFonts w:hint="eastAsia" w:asciiTheme="minorEastAsia" w:hAnsiTheme="minorEastAsia" w:eastAsiaTheme="minorEastAsia" w:cstheme="minorEastAsia"/>
          <w:color w:val="FF0000"/>
          <w:sz w:val="24"/>
        </w:rPr>
        <w:t>（特别提示：投标人须按本招标文件评标信息中这一评审因素要求，提供证明资料）</w:t>
      </w:r>
    </w:p>
    <w:p w14:paraId="16F32007">
      <w:pPr>
        <w:pStyle w:val="4"/>
        <w:jc w:val="center"/>
        <w:rPr>
          <w:rFonts w:hint="eastAsia" w:ascii="黑体" w:eastAsia="黑体"/>
          <w:b w:val="0"/>
          <w:kern w:val="0"/>
          <w:sz w:val="24"/>
          <w:szCs w:val="24"/>
        </w:rPr>
      </w:pPr>
      <w:r>
        <w:rPr>
          <w:rFonts w:hint="eastAsia" w:ascii="黑体" w:eastAsia="黑体"/>
          <w:b w:val="0"/>
          <w:kern w:val="0"/>
          <w:sz w:val="24"/>
          <w:szCs w:val="24"/>
          <w:lang w:val="en-US" w:eastAsia="zh-CN"/>
        </w:rPr>
        <w:t>十一</w:t>
      </w:r>
      <w:r>
        <w:rPr>
          <w:rFonts w:hint="eastAsia" w:ascii="黑体" w:eastAsia="黑体"/>
          <w:b w:val="0"/>
          <w:kern w:val="0"/>
          <w:sz w:val="24"/>
          <w:szCs w:val="24"/>
        </w:rPr>
        <w:t>、拟安排项目负责人（仅限1人）情况</w:t>
      </w:r>
    </w:p>
    <w:p w14:paraId="118FB26C">
      <w:pPr>
        <w:pStyle w:val="4"/>
        <w:jc w:val="center"/>
        <w:rPr>
          <w:rFonts w:ascii="黑体" w:eastAsia="黑体"/>
          <w:b w:val="0"/>
          <w:kern w:val="0"/>
          <w:sz w:val="24"/>
          <w:szCs w:val="24"/>
        </w:rPr>
      </w:pPr>
      <w:r>
        <w:rPr>
          <w:rFonts w:hint="eastAsia" w:ascii="黑体" w:eastAsia="黑体"/>
          <w:b w:val="0"/>
          <w:kern w:val="0"/>
          <w:sz w:val="24"/>
          <w:szCs w:val="24"/>
        </w:rPr>
        <w:t>（格式自定）</w:t>
      </w:r>
    </w:p>
    <w:p w14:paraId="41DD1909">
      <w:pPr>
        <w:pStyle w:val="2"/>
        <w:ind w:firstLine="0"/>
        <w:rPr>
          <w:rFonts w:asciiTheme="minorEastAsia" w:hAnsiTheme="minorEastAsia" w:eastAsiaTheme="minorEastAsia" w:cstheme="minorEastAsia"/>
          <w:color w:val="FF0000"/>
          <w:sz w:val="24"/>
        </w:rPr>
      </w:pPr>
      <w:r>
        <w:rPr>
          <w:rFonts w:hint="eastAsia" w:asciiTheme="minorEastAsia" w:hAnsiTheme="minorEastAsia" w:eastAsiaTheme="minorEastAsia" w:cstheme="minorEastAsia"/>
          <w:color w:val="FF0000"/>
          <w:sz w:val="24"/>
        </w:rPr>
        <w:t>（特别提示：投标人须按本招标文件评标信息中这一评审因素要求，提供证明资料）</w:t>
      </w:r>
    </w:p>
    <w:p w14:paraId="63DD0D37">
      <w:pPr>
        <w:pStyle w:val="4"/>
        <w:jc w:val="center"/>
        <w:rPr>
          <w:rFonts w:hint="eastAsia" w:ascii="黑体" w:eastAsia="黑体"/>
          <w:b w:val="0"/>
          <w:kern w:val="0"/>
          <w:sz w:val="24"/>
          <w:szCs w:val="24"/>
        </w:rPr>
      </w:pPr>
      <w:r>
        <w:rPr>
          <w:rFonts w:hint="eastAsia" w:ascii="黑体" w:eastAsia="黑体"/>
          <w:b w:val="0"/>
          <w:kern w:val="0"/>
          <w:sz w:val="24"/>
          <w:szCs w:val="24"/>
          <w:lang w:val="en-US" w:eastAsia="zh-CN"/>
        </w:rPr>
        <w:t>十二</w:t>
      </w:r>
      <w:r>
        <w:rPr>
          <w:rFonts w:hint="eastAsia" w:ascii="黑体" w:eastAsia="黑体"/>
          <w:b w:val="0"/>
          <w:kern w:val="0"/>
          <w:sz w:val="24"/>
          <w:szCs w:val="24"/>
        </w:rPr>
        <w:t>、拟安排的安保视频监控(临时)指挥平台组</w:t>
      </w:r>
    </w:p>
    <w:p w14:paraId="35CBC16E">
      <w:pPr>
        <w:pStyle w:val="4"/>
        <w:jc w:val="center"/>
        <w:rPr>
          <w:rFonts w:ascii="黑体" w:eastAsia="黑体"/>
          <w:b w:val="0"/>
          <w:kern w:val="0"/>
          <w:sz w:val="24"/>
          <w:szCs w:val="24"/>
        </w:rPr>
      </w:pPr>
      <w:r>
        <w:rPr>
          <w:rFonts w:hint="eastAsia" w:ascii="黑体" w:eastAsia="黑体"/>
          <w:b w:val="0"/>
          <w:kern w:val="0"/>
          <w:sz w:val="24"/>
          <w:szCs w:val="24"/>
        </w:rPr>
        <w:t>（格式自定）</w:t>
      </w:r>
    </w:p>
    <w:p w14:paraId="16684E2C">
      <w:pPr>
        <w:pStyle w:val="2"/>
        <w:ind w:firstLine="0"/>
        <w:rPr>
          <w:rFonts w:asciiTheme="minorEastAsia" w:hAnsiTheme="minorEastAsia" w:eastAsiaTheme="minorEastAsia" w:cstheme="minorEastAsia"/>
          <w:color w:val="FF0000"/>
          <w:sz w:val="24"/>
        </w:rPr>
      </w:pPr>
      <w:r>
        <w:rPr>
          <w:rFonts w:hint="eastAsia" w:asciiTheme="minorEastAsia" w:hAnsiTheme="minorEastAsia" w:eastAsiaTheme="minorEastAsia" w:cstheme="minorEastAsia"/>
          <w:color w:val="FF0000"/>
          <w:sz w:val="24"/>
        </w:rPr>
        <w:t>（特别提示：投标人须按本招标文件评标信息中这一评审因素要求，提供证明资料）</w:t>
      </w:r>
    </w:p>
    <w:p w14:paraId="1D8EE4D0">
      <w:pPr>
        <w:pStyle w:val="4"/>
        <w:jc w:val="center"/>
        <w:rPr>
          <w:rFonts w:hint="eastAsia" w:ascii="黑体" w:eastAsia="黑体"/>
          <w:b w:val="0"/>
          <w:kern w:val="0"/>
          <w:sz w:val="24"/>
          <w:szCs w:val="24"/>
        </w:rPr>
      </w:pPr>
      <w:r>
        <w:rPr>
          <w:rFonts w:hint="eastAsia" w:ascii="黑体" w:eastAsia="黑体"/>
          <w:b w:val="0"/>
          <w:kern w:val="0"/>
          <w:sz w:val="24"/>
          <w:szCs w:val="24"/>
          <w:lang w:val="en-US" w:eastAsia="zh-CN"/>
        </w:rPr>
        <w:t>十三</w:t>
      </w:r>
      <w:r>
        <w:rPr>
          <w:rFonts w:hint="eastAsia" w:ascii="黑体" w:eastAsia="黑体"/>
          <w:b w:val="0"/>
          <w:kern w:val="0"/>
          <w:sz w:val="24"/>
          <w:szCs w:val="24"/>
        </w:rPr>
        <w:t>、拟安排团队成员情况</w:t>
      </w:r>
    </w:p>
    <w:p w14:paraId="0765F266">
      <w:pPr>
        <w:pStyle w:val="4"/>
        <w:jc w:val="center"/>
        <w:rPr>
          <w:rFonts w:ascii="黑体" w:eastAsia="黑体"/>
          <w:b w:val="0"/>
          <w:kern w:val="0"/>
          <w:sz w:val="24"/>
          <w:szCs w:val="24"/>
        </w:rPr>
      </w:pPr>
      <w:r>
        <w:rPr>
          <w:rFonts w:hint="eastAsia" w:ascii="黑体" w:eastAsia="黑体"/>
          <w:b w:val="0"/>
          <w:kern w:val="0"/>
          <w:sz w:val="24"/>
          <w:szCs w:val="24"/>
        </w:rPr>
        <w:t>（格式自定）</w:t>
      </w:r>
    </w:p>
    <w:p w14:paraId="5DD24BE4">
      <w:pPr>
        <w:pStyle w:val="2"/>
        <w:ind w:firstLine="0"/>
        <w:rPr>
          <w:rFonts w:asciiTheme="minorEastAsia" w:hAnsiTheme="minorEastAsia" w:eastAsiaTheme="minorEastAsia" w:cstheme="minorEastAsia"/>
          <w:color w:val="FF0000"/>
          <w:sz w:val="24"/>
        </w:rPr>
      </w:pPr>
      <w:r>
        <w:rPr>
          <w:rFonts w:hint="eastAsia" w:asciiTheme="minorEastAsia" w:hAnsiTheme="minorEastAsia" w:eastAsiaTheme="minorEastAsia" w:cstheme="minorEastAsia"/>
          <w:color w:val="FF0000"/>
          <w:sz w:val="24"/>
        </w:rPr>
        <w:t>（特别提示：投标人须按本招标文件评标信息中这一评审因素要求，提供证明资料）</w:t>
      </w:r>
    </w:p>
    <w:p w14:paraId="735B2D20">
      <w:pPr>
        <w:pStyle w:val="4"/>
        <w:jc w:val="center"/>
        <w:rPr>
          <w:rFonts w:ascii="黑体" w:eastAsia="黑体"/>
          <w:b w:val="0"/>
          <w:kern w:val="0"/>
          <w:sz w:val="24"/>
          <w:szCs w:val="24"/>
        </w:rPr>
      </w:pPr>
      <w:r>
        <w:rPr>
          <w:rFonts w:hint="eastAsia" w:ascii="黑体" w:eastAsia="黑体"/>
          <w:b w:val="0"/>
          <w:kern w:val="0"/>
          <w:sz w:val="24"/>
          <w:szCs w:val="24"/>
          <w:lang w:val="en-US" w:eastAsia="zh-CN"/>
        </w:rPr>
        <w:t>十四</w:t>
      </w:r>
      <w:r>
        <w:rPr>
          <w:rFonts w:hint="eastAsia" w:ascii="黑体" w:eastAsia="黑体"/>
          <w:b w:val="0"/>
          <w:kern w:val="0"/>
          <w:sz w:val="24"/>
          <w:szCs w:val="24"/>
        </w:rPr>
        <w:t>、培训能力（格式自定）</w:t>
      </w:r>
    </w:p>
    <w:p w14:paraId="4C7602D1">
      <w:pPr>
        <w:pStyle w:val="2"/>
        <w:ind w:firstLine="0"/>
        <w:rPr>
          <w:rFonts w:asciiTheme="minorEastAsia" w:hAnsiTheme="minorEastAsia" w:eastAsiaTheme="minorEastAsia" w:cstheme="minorEastAsia"/>
          <w:color w:val="FF0000"/>
          <w:sz w:val="24"/>
        </w:rPr>
      </w:pPr>
      <w:r>
        <w:rPr>
          <w:rFonts w:hint="eastAsia" w:asciiTheme="minorEastAsia" w:hAnsiTheme="minorEastAsia" w:eastAsiaTheme="minorEastAsia" w:cstheme="minorEastAsia"/>
          <w:color w:val="FF0000"/>
          <w:sz w:val="24"/>
        </w:rPr>
        <w:t>（特别提示：投标人须按本招标文件评标信息中这一评审因素要求，提供证明资料）</w:t>
      </w:r>
    </w:p>
    <w:p w14:paraId="37D26CC4">
      <w:pPr>
        <w:pStyle w:val="4"/>
        <w:jc w:val="center"/>
        <w:rPr>
          <w:rFonts w:hint="eastAsia" w:ascii="黑体" w:eastAsia="黑体"/>
          <w:b w:val="0"/>
          <w:kern w:val="0"/>
          <w:sz w:val="24"/>
          <w:szCs w:val="24"/>
        </w:rPr>
      </w:pPr>
      <w:r>
        <w:rPr>
          <w:rFonts w:hint="eastAsia" w:ascii="黑体" w:eastAsia="黑体"/>
          <w:b w:val="0"/>
          <w:kern w:val="0"/>
          <w:sz w:val="24"/>
          <w:szCs w:val="24"/>
          <w:lang w:val="en-US" w:eastAsia="zh-CN"/>
        </w:rPr>
        <w:t>十五</w:t>
      </w:r>
      <w:r>
        <w:rPr>
          <w:rFonts w:hint="eastAsia" w:ascii="黑体" w:eastAsia="黑体"/>
          <w:b w:val="0"/>
          <w:kern w:val="0"/>
          <w:sz w:val="24"/>
          <w:szCs w:val="24"/>
        </w:rPr>
        <w:t>、投标人同类项目经验情况</w:t>
      </w:r>
    </w:p>
    <w:p w14:paraId="78509982">
      <w:pPr>
        <w:pStyle w:val="4"/>
        <w:jc w:val="center"/>
        <w:rPr>
          <w:rFonts w:ascii="黑体" w:eastAsia="黑体"/>
          <w:b w:val="0"/>
          <w:kern w:val="0"/>
          <w:sz w:val="24"/>
          <w:szCs w:val="24"/>
        </w:rPr>
      </w:pPr>
      <w:r>
        <w:rPr>
          <w:rFonts w:hint="eastAsia" w:ascii="黑体" w:eastAsia="黑体"/>
          <w:b w:val="0"/>
          <w:kern w:val="0"/>
          <w:sz w:val="24"/>
          <w:szCs w:val="24"/>
        </w:rPr>
        <w:t>（格式自定）</w:t>
      </w:r>
    </w:p>
    <w:p w14:paraId="38E093BC">
      <w:pPr>
        <w:pStyle w:val="2"/>
        <w:ind w:firstLine="0"/>
        <w:rPr>
          <w:rFonts w:asciiTheme="minorEastAsia" w:hAnsiTheme="minorEastAsia" w:eastAsiaTheme="minorEastAsia" w:cstheme="minorEastAsia"/>
          <w:color w:val="FF0000"/>
          <w:sz w:val="24"/>
        </w:rPr>
      </w:pPr>
      <w:r>
        <w:rPr>
          <w:rFonts w:hint="eastAsia" w:asciiTheme="minorEastAsia" w:hAnsiTheme="minorEastAsia" w:eastAsiaTheme="minorEastAsia" w:cstheme="minorEastAsia"/>
          <w:color w:val="FF0000"/>
          <w:sz w:val="24"/>
        </w:rPr>
        <w:t>（特别提示：投标人须按本招标文件评标信息中这一评审因素要求，提供证明资料）</w:t>
      </w:r>
    </w:p>
    <w:p w14:paraId="6FDE7716"/>
    <w:p w14:paraId="2EBF67E9">
      <w:pPr>
        <w:pStyle w:val="19"/>
        <w:rPr>
          <w:rFonts w:hint="eastAsia"/>
          <w:lang w:val="en-US" w:eastAsia="zh-CN"/>
        </w:rPr>
      </w:pPr>
    </w:p>
    <w:p w14:paraId="581C1773">
      <w:pPr>
        <w:pStyle w:val="4"/>
        <w:jc w:val="center"/>
        <w:rPr>
          <w:rFonts w:ascii="黑体" w:eastAsia="黑体"/>
          <w:b w:val="0"/>
          <w:bCs w:val="0"/>
          <w:sz w:val="24"/>
          <w:szCs w:val="20"/>
        </w:rPr>
      </w:pPr>
      <w:r>
        <w:rPr>
          <w:rFonts w:hint="eastAsia" w:ascii="黑体" w:eastAsia="黑体"/>
          <w:b w:val="0"/>
          <w:bCs w:val="0"/>
          <w:sz w:val="24"/>
          <w:szCs w:val="20"/>
          <w:lang w:val="en-US" w:eastAsia="zh-CN"/>
        </w:rPr>
        <w:t>十六</w:t>
      </w:r>
      <w:r>
        <w:rPr>
          <w:rFonts w:hint="eastAsia" w:ascii="黑体" w:eastAsia="黑体"/>
          <w:b w:val="0"/>
          <w:bCs w:val="0"/>
          <w:sz w:val="24"/>
          <w:szCs w:val="20"/>
        </w:rPr>
        <w:t>、</w:t>
      </w:r>
      <w:bookmarkStart w:id="42" w:name="_Hlk72062872"/>
      <w:r>
        <w:rPr>
          <w:rFonts w:hint="eastAsia" w:ascii="黑体" w:eastAsia="黑体"/>
          <w:b w:val="0"/>
          <w:bCs w:val="0"/>
          <w:sz w:val="24"/>
          <w:szCs w:val="20"/>
        </w:rPr>
        <w:t>投标人认为需要加以说明的其他内容</w:t>
      </w:r>
      <w:bookmarkEnd w:id="42"/>
    </w:p>
    <w:p w14:paraId="387573BE">
      <w:pPr>
        <w:widowControl/>
        <w:jc w:val="center"/>
        <w:rPr>
          <w:rFonts w:ascii="黑体" w:hAnsi="宋体" w:eastAsia="黑体"/>
          <w:kern w:val="0"/>
          <w:sz w:val="24"/>
          <w:szCs w:val="20"/>
        </w:rPr>
      </w:pPr>
      <w:r>
        <w:rPr>
          <w:rFonts w:hint="eastAsia" w:ascii="黑体" w:hAnsi="宋体" w:eastAsia="黑体"/>
          <w:kern w:val="0"/>
          <w:sz w:val="24"/>
          <w:szCs w:val="20"/>
        </w:rPr>
        <w:t>（一）</w:t>
      </w:r>
      <w:r>
        <w:rPr>
          <w:rFonts w:hint="eastAsia" w:ascii="黑体" w:hAnsi="宋体" w:eastAsia="黑体"/>
          <w:kern w:val="0"/>
          <w:sz w:val="24"/>
          <w:szCs w:val="20"/>
          <w:highlight w:val="yellow"/>
        </w:rPr>
        <w:t>政府采购违法行为风险知悉确认书</w:t>
      </w:r>
    </w:p>
    <w:p w14:paraId="54813F39">
      <w:pPr>
        <w:widowControl/>
        <w:jc w:val="center"/>
        <w:rPr>
          <w:rFonts w:ascii="黑体" w:hAnsi="宋体" w:eastAsia="黑体"/>
          <w:kern w:val="0"/>
          <w:sz w:val="24"/>
          <w:szCs w:val="20"/>
        </w:rPr>
      </w:pPr>
    </w:p>
    <w:p w14:paraId="63085847">
      <w:pPr>
        <w:spacing w:before="0" w:beforeLines="0" w:after="157" w:afterLines="50" w:line="360" w:lineRule="exact"/>
        <w:ind w:firstLine="422" w:firstLineChars="200"/>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eastAsia="zh-CN"/>
        </w:rPr>
        <w:t>我</w:t>
      </w:r>
      <w:r>
        <w:rPr>
          <w:rFonts w:hint="eastAsia" w:ascii="宋体" w:hAnsi="宋体" w:eastAsia="宋体" w:cs="宋体"/>
          <w:b/>
          <w:bCs/>
          <w:color w:val="auto"/>
          <w:sz w:val="21"/>
          <w:szCs w:val="21"/>
          <w:lang w:val="en-US" w:eastAsia="zh-CN"/>
        </w:rPr>
        <w:t>单位</w:t>
      </w:r>
      <w:r>
        <w:rPr>
          <w:rFonts w:hint="eastAsia" w:ascii="宋体" w:hAnsi="宋体" w:eastAsia="宋体" w:cs="宋体"/>
          <w:b/>
          <w:bCs/>
          <w:color w:val="auto"/>
          <w:sz w:val="21"/>
          <w:szCs w:val="21"/>
        </w:rPr>
        <w:t>在投标前已充分知悉以下情形为参与政府采购活动时的重大风险事项，并承诺已对下述风险提示事项重点排查，</w:t>
      </w:r>
      <w:r>
        <w:rPr>
          <w:rFonts w:hint="eastAsia" w:ascii="宋体" w:hAnsi="宋体" w:eastAsia="宋体" w:cs="宋体"/>
          <w:b/>
          <w:bCs/>
          <w:color w:val="auto"/>
          <w:sz w:val="21"/>
          <w:szCs w:val="21"/>
          <w:lang w:val="en-US" w:eastAsia="zh-CN"/>
        </w:rPr>
        <w:t>若存在下述情况，我单位愿意依法承担被记入供应商诚信档案、罚款、取消参与政府采购资格、吊销营业执照等处罚；构成犯罪的，依法承担刑事责任。</w:t>
      </w:r>
    </w:p>
    <w:tbl>
      <w:tblPr>
        <w:tblStyle w:val="4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1"/>
        <w:gridCol w:w="7811"/>
      </w:tblGrid>
      <w:tr w14:paraId="474201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 w:hRule="atLeast"/>
        </w:trPr>
        <w:tc>
          <w:tcPr>
            <w:tcW w:w="711" w:type="dxa"/>
            <w:noWrap w:val="0"/>
          </w:tcPr>
          <w:p w14:paraId="7F07CCBF">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序号</w:t>
            </w:r>
          </w:p>
        </w:tc>
        <w:tc>
          <w:tcPr>
            <w:tcW w:w="7811" w:type="dxa"/>
            <w:noWrap w:val="0"/>
          </w:tcPr>
          <w:p w14:paraId="0D8E8519">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供应商参与投标禁止情形</w:t>
            </w:r>
          </w:p>
        </w:tc>
      </w:tr>
      <w:tr w14:paraId="2BE827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1" w:type="dxa"/>
            <w:noWrap w:val="0"/>
          </w:tcPr>
          <w:p w14:paraId="1B599F85">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w:t>
            </w:r>
          </w:p>
        </w:tc>
        <w:tc>
          <w:tcPr>
            <w:tcW w:w="7811" w:type="dxa"/>
            <w:noWrap w:val="0"/>
            <w:vAlign w:val="center"/>
          </w:tcPr>
          <w:p w14:paraId="49973714">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与其他投标供应商的法定代表人、主要经营负责人、投标授权代表人、项目负责人、主要技术人员为</w:t>
            </w:r>
            <w:r>
              <w:rPr>
                <w:rFonts w:hint="eastAsia" w:ascii="宋体" w:hAnsi="宋体" w:eastAsia="宋体" w:cs="宋体"/>
                <w:b/>
                <w:bCs/>
                <w:color w:val="auto"/>
                <w:sz w:val="21"/>
                <w:szCs w:val="21"/>
                <w:highlight w:val="none"/>
                <w:lang w:val="en-US" w:eastAsia="zh-CN"/>
              </w:rPr>
              <w:t>同一人、属同一单位或者在同一单位缴纳社会保险</w:t>
            </w:r>
            <w:r>
              <w:rPr>
                <w:rFonts w:hint="eastAsia" w:ascii="宋体" w:hAnsi="宋体" w:eastAsia="宋体" w:cs="宋体"/>
                <w:color w:val="auto"/>
                <w:sz w:val="21"/>
                <w:szCs w:val="21"/>
                <w:highlight w:val="none"/>
                <w:lang w:val="en-US" w:eastAsia="zh-CN"/>
              </w:rPr>
              <w:t>。</w:t>
            </w:r>
          </w:p>
        </w:tc>
      </w:tr>
      <w:tr w14:paraId="5D0806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11" w:type="dxa"/>
            <w:noWrap w:val="0"/>
          </w:tcPr>
          <w:p w14:paraId="64419141">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w:t>
            </w:r>
          </w:p>
        </w:tc>
        <w:tc>
          <w:tcPr>
            <w:tcW w:w="7811" w:type="dxa"/>
            <w:noWrap w:val="0"/>
            <w:vAlign w:val="center"/>
          </w:tcPr>
          <w:p w14:paraId="7318BA0F">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参与本项目政府采购活动时，与其他投标供应商存在单位负责人为</w:t>
            </w:r>
            <w:r>
              <w:rPr>
                <w:rFonts w:hint="eastAsia" w:ascii="宋体" w:hAnsi="宋体" w:eastAsia="宋体" w:cs="宋体"/>
                <w:b/>
                <w:bCs/>
                <w:color w:val="auto"/>
                <w:sz w:val="21"/>
                <w:szCs w:val="21"/>
                <w:highlight w:val="none"/>
                <w:lang w:val="en-US" w:eastAsia="zh-CN"/>
              </w:rPr>
              <w:t>同一人或直接控股、管理关系</w:t>
            </w:r>
            <w:r>
              <w:rPr>
                <w:rFonts w:hint="eastAsia" w:ascii="宋体" w:hAnsi="宋体" w:eastAsia="宋体" w:cs="宋体"/>
                <w:color w:val="auto"/>
                <w:sz w:val="21"/>
                <w:szCs w:val="21"/>
                <w:highlight w:val="none"/>
                <w:lang w:val="en-US" w:eastAsia="zh-CN"/>
              </w:rPr>
              <w:t>。</w:t>
            </w:r>
          </w:p>
        </w:tc>
      </w:tr>
      <w:tr w14:paraId="7C6C1B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1" w:type="dxa"/>
            <w:noWrap w:val="0"/>
          </w:tcPr>
          <w:p w14:paraId="4424B4A3">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w:t>
            </w:r>
          </w:p>
        </w:tc>
        <w:tc>
          <w:tcPr>
            <w:tcW w:w="7811" w:type="dxa"/>
            <w:noWrap w:val="0"/>
            <w:vAlign w:val="center"/>
          </w:tcPr>
          <w:p w14:paraId="394B5635">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与其他投标供应商的投标文件或部分投标文件</w:t>
            </w:r>
            <w:r>
              <w:rPr>
                <w:rFonts w:hint="eastAsia" w:ascii="宋体" w:hAnsi="宋体" w:eastAsia="宋体" w:cs="宋体"/>
                <w:b/>
                <w:bCs/>
                <w:color w:val="auto"/>
                <w:sz w:val="21"/>
                <w:szCs w:val="21"/>
                <w:highlight w:val="none"/>
                <w:lang w:val="en-US" w:eastAsia="zh-CN"/>
              </w:rPr>
              <w:t>相互混装或存在非正常一致</w:t>
            </w:r>
            <w:r>
              <w:rPr>
                <w:rFonts w:hint="eastAsia" w:ascii="宋体" w:hAnsi="宋体" w:eastAsia="宋体" w:cs="宋体"/>
                <w:color w:val="auto"/>
                <w:sz w:val="21"/>
                <w:szCs w:val="21"/>
                <w:highlight w:val="none"/>
                <w:lang w:val="en-US" w:eastAsia="zh-CN"/>
              </w:rPr>
              <w:t>。</w:t>
            </w:r>
          </w:p>
        </w:tc>
      </w:tr>
      <w:tr w14:paraId="7691F6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1" w:type="dxa"/>
            <w:noWrap w:val="0"/>
          </w:tcPr>
          <w:p w14:paraId="4386D7B4">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w:t>
            </w:r>
          </w:p>
        </w:tc>
        <w:tc>
          <w:tcPr>
            <w:tcW w:w="7811" w:type="dxa"/>
            <w:noWrap w:val="0"/>
            <w:vAlign w:val="center"/>
          </w:tcPr>
          <w:p w14:paraId="33997A95">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与其他投标供应商的投标文件由</w:t>
            </w:r>
            <w:r>
              <w:rPr>
                <w:rFonts w:hint="eastAsia" w:ascii="宋体" w:hAnsi="宋体" w:eastAsia="宋体" w:cs="宋体"/>
                <w:b/>
                <w:bCs/>
                <w:color w:val="auto"/>
                <w:sz w:val="21"/>
                <w:szCs w:val="21"/>
                <w:highlight w:val="none"/>
                <w:lang w:val="en-US" w:eastAsia="zh-CN"/>
              </w:rPr>
              <w:t>同一单位或者同一人编制</w:t>
            </w:r>
            <w:r>
              <w:rPr>
                <w:rFonts w:hint="eastAsia" w:ascii="宋体" w:hAnsi="宋体" w:eastAsia="宋体" w:cs="宋体"/>
                <w:color w:val="auto"/>
                <w:sz w:val="21"/>
                <w:szCs w:val="21"/>
                <w:highlight w:val="none"/>
                <w:lang w:val="en-US" w:eastAsia="zh-CN"/>
              </w:rPr>
              <w:t>，或者使用</w:t>
            </w:r>
            <w:r>
              <w:rPr>
                <w:rFonts w:hint="eastAsia" w:ascii="宋体" w:hAnsi="宋体" w:eastAsia="宋体" w:cs="宋体"/>
                <w:b/>
                <w:bCs/>
                <w:color w:val="auto"/>
                <w:sz w:val="21"/>
                <w:szCs w:val="21"/>
                <w:highlight w:val="none"/>
                <w:lang w:val="en-US" w:eastAsia="zh-CN"/>
              </w:rPr>
              <w:t>同一设备编制</w:t>
            </w:r>
            <w:r>
              <w:rPr>
                <w:rFonts w:hint="eastAsia" w:ascii="宋体" w:hAnsi="宋体" w:eastAsia="宋体" w:cs="宋体"/>
                <w:color w:val="auto"/>
                <w:sz w:val="21"/>
                <w:szCs w:val="21"/>
                <w:highlight w:val="none"/>
                <w:lang w:val="en-US" w:eastAsia="zh-CN"/>
              </w:rPr>
              <w:t>（“文件制作机器码”“文件创建标识码”一致）。</w:t>
            </w:r>
          </w:p>
        </w:tc>
      </w:tr>
      <w:tr w14:paraId="2F32ED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11" w:type="dxa"/>
            <w:noWrap w:val="0"/>
          </w:tcPr>
          <w:p w14:paraId="42875936">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w:t>
            </w:r>
          </w:p>
        </w:tc>
        <w:tc>
          <w:tcPr>
            <w:tcW w:w="7811" w:type="dxa"/>
            <w:noWrap w:val="0"/>
            <w:vAlign w:val="center"/>
          </w:tcPr>
          <w:p w14:paraId="2CC07EE1">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提供</w:t>
            </w:r>
            <w:r>
              <w:rPr>
                <w:rFonts w:hint="eastAsia" w:ascii="宋体" w:hAnsi="宋体" w:eastAsia="宋体" w:cs="宋体"/>
                <w:b/>
                <w:bCs/>
                <w:color w:val="auto"/>
                <w:sz w:val="21"/>
                <w:szCs w:val="21"/>
                <w:highlight w:val="none"/>
                <w:lang w:val="en-US" w:eastAsia="zh-CN"/>
              </w:rPr>
              <w:t>未经出具机构核实</w:t>
            </w:r>
            <w:r>
              <w:rPr>
                <w:rFonts w:hint="eastAsia" w:ascii="宋体" w:hAnsi="宋体" w:eastAsia="宋体" w:cs="宋体"/>
                <w:color w:val="auto"/>
                <w:sz w:val="21"/>
                <w:szCs w:val="21"/>
                <w:highlight w:val="none"/>
                <w:lang w:val="en-US" w:eastAsia="zh-CN"/>
              </w:rPr>
              <w:t>的虚假的检验检测报告、业绩材料、社保缴纳证明、学历学位证书、职称认证证书等材料。</w:t>
            </w:r>
          </w:p>
        </w:tc>
      </w:tr>
      <w:tr w14:paraId="23E3E9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1" w:type="dxa"/>
            <w:noWrap w:val="0"/>
          </w:tcPr>
          <w:p w14:paraId="14E23764">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w:t>
            </w:r>
          </w:p>
        </w:tc>
        <w:tc>
          <w:tcPr>
            <w:tcW w:w="7811" w:type="dxa"/>
            <w:noWrap w:val="0"/>
            <w:vAlign w:val="center"/>
          </w:tcPr>
          <w:p w14:paraId="61507297">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擅自将投标密钥或电子营业执照出借他人使用或未妥善保管。</w:t>
            </w:r>
          </w:p>
        </w:tc>
      </w:tr>
    </w:tbl>
    <w:p w14:paraId="2E778ED2">
      <w:pPr>
        <w:spacing w:before="157" w:beforeLines="50" w:line="380" w:lineRule="exact"/>
        <w:ind w:firstLine="422" w:firstLineChars="200"/>
        <w:rPr>
          <w:rFonts w:hint="eastAsia" w:ascii="宋体" w:hAnsi="宋体" w:eastAsia="宋体" w:cs="宋体"/>
          <w:b/>
          <w:color w:val="auto"/>
          <w:szCs w:val="21"/>
        </w:rPr>
      </w:pPr>
      <w:r>
        <w:rPr>
          <w:rFonts w:hint="eastAsia" w:ascii="宋体" w:hAnsi="宋体" w:eastAsia="宋体" w:cs="宋体"/>
          <w:b/>
          <w:color w:val="auto"/>
          <w:szCs w:val="21"/>
        </w:rPr>
        <w:t>一、</w:t>
      </w:r>
      <w:r>
        <w:rPr>
          <w:rFonts w:hint="eastAsia" w:ascii="宋体" w:hAnsi="宋体" w:eastAsia="宋体" w:cs="宋体"/>
          <w:b/>
          <w:color w:val="auto"/>
          <w:szCs w:val="21"/>
          <w:lang w:eastAsia="zh-CN"/>
        </w:rPr>
        <w:t>我</w:t>
      </w:r>
      <w:r>
        <w:rPr>
          <w:rFonts w:hint="eastAsia" w:ascii="宋体" w:hAnsi="宋体" w:eastAsia="宋体" w:cs="宋体"/>
          <w:b/>
          <w:color w:val="auto"/>
          <w:szCs w:val="21"/>
          <w:lang w:val="en-US" w:eastAsia="zh-CN"/>
        </w:rPr>
        <w:t>单位</w:t>
      </w:r>
      <w:r>
        <w:rPr>
          <w:rFonts w:hint="eastAsia" w:ascii="宋体" w:hAnsi="宋体" w:eastAsia="宋体" w:cs="宋体"/>
          <w:b/>
          <w:color w:val="auto"/>
          <w:szCs w:val="21"/>
        </w:rPr>
        <w:t>已充分知悉“隐瞒真实情况，提供虚假资料”的法定情形，包括但不限于：</w:t>
      </w:r>
    </w:p>
    <w:p w14:paraId="7D19E281">
      <w:pPr>
        <w:spacing w:beforeLines="0" w:line="38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（一）通过转让或者租借等方式从其他单位获取资格或者资质证书投标的</w:t>
      </w:r>
      <w:r>
        <w:rPr>
          <w:rFonts w:hint="eastAsia" w:ascii="宋体" w:hAnsi="宋体" w:eastAsia="宋体" w:cs="宋体"/>
          <w:color w:val="auto"/>
          <w:szCs w:val="21"/>
          <w:highlight w:val="none"/>
        </w:rPr>
        <w:t>。</w:t>
      </w:r>
    </w:p>
    <w:p w14:paraId="081B48CB">
      <w:pPr>
        <w:spacing w:beforeLines="0" w:line="38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（二）由其他单位或者其他单位负责人在投标供应商编制的投标文件上加盖印章或者签字的。</w:t>
      </w:r>
    </w:p>
    <w:p w14:paraId="1DF51EEF">
      <w:pPr>
        <w:spacing w:beforeLines="0" w:line="38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（三）项目负责人或者主要技术人员不是本单位人员的。</w:t>
      </w:r>
    </w:p>
    <w:p w14:paraId="502330F2">
      <w:pPr>
        <w:spacing w:beforeLines="0" w:line="38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（四）投标保证金不是从投标供应商基本账户转出的。</w:t>
      </w:r>
    </w:p>
    <w:p w14:paraId="36101E52">
      <w:pPr>
        <w:spacing w:beforeLines="0" w:line="38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（五）其他隐瞒真实情况、提供虚假资料的行为。</w:t>
      </w:r>
    </w:p>
    <w:p w14:paraId="3C3A9A50">
      <w:pPr>
        <w:spacing w:beforeLines="0" w:line="380" w:lineRule="exact"/>
        <w:ind w:firstLine="422" w:firstLineChars="200"/>
        <w:rPr>
          <w:rFonts w:hint="eastAsia" w:ascii="宋体" w:hAnsi="宋体" w:eastAsia="宋体" w:cs="宋体"/>
          <w:b/>
          <w:color w:val="auto"/>
          <w:szCs w:val="21"/>
        </w:rPr>
      </w:pPr>
      <w:r>
        <w:rPr>
          <w:rFonts w:hint="eastAsia" w:ascii="宋体" w:hAnsi="宋体" w:eastAsia="宋体" w:cs="宋体"/>
          <w:b/>
          <w:color w:val="auto"/>
          <w:szCs w:val="21"/>
        </w:rPr>
        <w:t>二、</w:t>
      </w:r>
      <w:r>
        <w:rPr>
          <w:rFonts w:hint="eastAsia" w:ascii="宋体" w:hAnsi="宋体" w:eastAsia="宋体" w:cs="宋体"/>
          <w:b/>
          <w:color w:val="auto"/>
          <w:szCs w:val="21"/>
          <w:lang w:eastAsia="zh-CN"/>
        </w:rPr>
        <w:t>我</w:t>
      </w:r>
      <w:r>
        <w:rPr>
          <w:rFonts w:hint="eastAsia" w:ascii="宋体" w:hAnsi="宋体" w:eastAsia="宋体" w:cs="宋体"/>
          <w:b/>
          <w:color w:val="auto"/>
          <w:szCs w:val="21"/>
          <w:lang w:val="en-US" w:eastAsia="zh-CN"/>
        </w:rPr>
        <w:t>单位</w:t>
      </w:r>
      <w:r>
        <w:rPr>
          <w:rFonts w:hint="eastAsia" w:ascii="宋体" w:hAnsi="宋体" w:eastAsia="宋体" w:cs="宋体"/>
          <w:b/>
          <w:color w:val="auto"/>
          <w:szCs w:val="21"/>
        </w:rPr>
        <w:t>已充分知悉“与其他采购参加人串通投标”的法定情形，包括但不限于：</w:t>
      </w:r>
    </w:p>
    <w:p w14:paraId="6C854B94">
      <w:pPr>
        <w:spacing w:beforeLines="0" w:line="38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（一）投标供应商之间相互约定给予未中标的供应商利益补偿。</w:t>
      </w:r>
    </w:p>
    <w:p w14:paraId="0661CE57">
      <w:pPr>
        <w:spacing w:beforeLines="0" w:line="38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（二）不同投标供应商的法定代表人、主要经营负责人、项目投标授权代表人、项目负责人、主要技术人员为同一人、属同一单位或者在同一单位缴纳社会保险。</w:t>
      </w:r>
    </w:p>
    <w:p w14:paraId="18A56180">
      <w:pPr>
        <w:spacing w:beforeLines="0" w:line="34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（三）不同投标供应商的投标文件由同一单位或者同一人编制，或者由同一人分阶段参与编制的。</w:t>
      </w:r>
    </w:p>
    <w:p w14:paraId="22939F5F">
      <w:pPr>
        <w:spacing w:beforeLines="0" w:line="34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（四）不同投标供应商的投标文件或部分投标文件相互混装。</w:t>
      </w:r>
    </w:p>
    <w:p w14:paraId="273D78ED">
      <w:pPr>
        <w:spacing w:beforeLines="0" w:line="34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（五）不同投标供应商的投标文件内容存在非正常一致。</w:t>
      </w:r>
    </w:p>
    <w:p w14:paraId="6F01019C">
      <w:pPr>
        <w:spacing w:beforeLines="0" w:line="34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（六）由同一单位工作人员为两家以上（含两家）供应商进行同一项投标活动的。</w:t>
      </w:r>
    </w:p>
    <w:p w14:paraId="50E967FB">
      <w:pPr>
        <w:spacing w:beforeLines="0" w:line="34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（七）不同投标人的投标报价呈规律性差异。</w:t>
      </w:r>
    </w:p>
    <w:p w14:paraId="70EF197B">
      <w:pPr>
        <w:spacing w:beforeLines="0" w:line="34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（八）不同投标人的投标保证金从同一单位或者个人的账户转出。</w:t>
      </w:r>
    </w:p>
    <w:p w14:paraId="0E561F6F">
      <w:pPr>
        <w:spacing w:beforeLines="0" w:line="34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（九）主管部门依照法律、法规认定的其他情形。</w:t>
      </w:r>
    </w:p>
    <w:p w14:paraId="153708C7">
      <w:pPr>
        <w:spacing w:beforeLines="0" w:line="340" w:lineRule="exact"/>
        <w:ind w:firstLine="422" w:firstLineChars="200"/>
        <w:rPr>
          <w:rFonts w:hint="eastAsia" w:ascii="宋体" w:hAnsi="宋体" w:eastAsia="宋体" w:cs="宋体"/>
          <w:b/>
          <w:color w:val="auto"/>
          <w:szCs w:val="21"/>
        </w:rPr>
      </w:pPr>
      <w:r>
        <w:rPr>
          <w:rFonts w:hint="eastAsia" w:ascii="宋体" w:hAnsi="宋体" w:eastAsia="宋体" w:cs="宋体"/>
          <w:b/>
          <w:color w:val="auto"/>
          <w:szCs w:val="21"/>
        </w:rPr>
        <w:t>三、</w:t>
      </w:r>
      <w:r>
        <w:rPr>
          <w:rFonts w:hint="eastAsia" w:ascii="宋体" w:hAnsi="宋体" w:eastAsia="宋体" w:cs="宋体"/>
          <w:b/>
          <w:color w:val="auto"/>
          <w:szCs w:val="21"/>
          <w:lang w:eastAsia="zh-CN"/>
        </w:rPr>
        <w:t>我</w:t>
      </w:r>
      <w:r>
        <w:rPr>
          <w:rFonts w:hint="eastAsia" w:ascii="宋体" w:hAnsi="宋体" w:eastAsia="宋体" w:cs="宋体"/>
          <w:b/>
          <w:color w:val="auto"/>
          <w:szCs w:val="21"/>
          <w:lang w:val="en-US" w:eastAsia="zh-CN"/>
        </w:rPr>
        <w:t>单位</w:t>
      </w:r>
      <w:r>
        <w:rPr>
          <w:rFonts w:hint="eastAsia" w:ascii="宋体" w:hAnsi="宋体" w:eastAsia="宋体" w:cs="宋体"/>
          <w:b/>
          <w:color w:val="auto"/>
          <w:szCs w:val="21"/>
        </w:rPr>
        <w:t>已充分知悉下列情形</w:t>
      </w:r>
      <w:r>
        <w:rPr>
          <w:rFonts w:hint="eastAsia" w:ascii="宋体" w:hAnsi="宋体" w:eastAsia="宋体" w:cs="宋体"/>
          <w:b/>
          <w:color w:val="auto"/>
          <w:szCs w:val="21"/>
          <w:lang w:eastAsia="zh-CN"/>
        </w:rPr>
        <w:t>存在</w:t>
      </w:r>
      <w:r>
        <w:rPr>
          <w:rFonts w:hint="eastAsia" w:ascii="宋体" w:hAnsi="宋体" w:eastAsia="宋体" w:cs="宋体"/>
          <w:b/>
          <w:color w:val="auto"/>
          <w:szCs w:val="21"/>
        </w:rPr>
        <w:t>法律风险，在投标前已对相关风险事项进行排</w:t>
      </w:r>
      <w:r>
        <w:rPr>
          <w:rFonts w:hint="eastAsia" w:ascii="宋体" w:hAnsi="宋体" w:eastAsia="宋体" w:cs="宋体"/>
          <w:b/>
          <w:color w:val="auto"/>
          <w:szCs w:val="21"/>
          <w:highlight w:val="none"/>
        </w:rPr>
        <w:t>查。</w:t>
      </w:r>
    </w:p>
    <w:p w14:paraId="5D1DAF10">
      <w:pPr>
        <w:spacing w:beforeLines="0" w:line="340" w:lineRule="exact"/>
        <w:ind w:firstLine="420" w:firstLineChars="200"/>
        <w:rPr>
          <w:rFonts w:hint="eastAsia" w:ascii="宋体" w:hAnsi="宋体" w:eastAsia="宋体" w:cs="宋体"/>
          <w:b/>
          <w:color w:val="auto"/>
          <w:szCs w:val="21"/>
        </w:rPr>
      </w:pPr>
      <w:r>
        <w:rPr>
          <w:rFonts w:hint="eastAsia" w:ascii="宋体" w:hAnsi="宋体" w:eastAsia="宋体" w:cs="宋体"/>
          <w:color w:val="auto"/>
          <w:szCs w:val="21"/>
        </w:rPr>
        <w:t>（一）对于从其他主体获取的投标资料，</w:t>
      </w:r>
      <w:r>
        <w:rPr>
          <w:rFonts w:hint="eastAsia" w:ascii="宋体" w:hAnsi="宋体" w:eastAsia="宋体" w:cs="宋体"/>
          <w:color w:val="auto"/>
          <w:szCs w:val="21"/>
          <w:lang w:eastAsia="zh-CN"/>
        </w:rPr>
        <w:t>我</w:t>
      </w:r>
      <w:r>
        <w:rPr>
          <w:rFonts w:hint="eastAsia" w:ascii="宋体" w:hAnsi="宋体" w:eastAsia="宋体" w:cs="宋体"/>
          <w:color w:val="auto"/>
          <w:szCs w:val="21"/>
          <w:lang w:val="en-US" w:eastAsia="zh-CN"/>
        </w:rPr>
        <w:t>单位</w:t>
      </w:r>
      <w:r>
        <w:rPr>
          <w:rFonts w:hint="eastAsia" w:ascii="宋体" w:hAnsi="宋体" w:eastAsia="宋体" w:cs="宋体"/>
          <w:color w:val="auto"/>
          <w:szCs w:val="21"/>
        </w:rPr>
        <w:t>应审慎核查，确保</w:t>
      </w:r>
      <w:r>
        <w:rPr>
          <w:rFonts w:hint="eastAsia" w:ascii="宋体" w:hAnsi="宋体" w:eastAsia="宋体" w:cs="宋体"/>
          <w:color w:val="auto"/>
          <w:szCs w:val="21"/>
          <w:lang w:eastAsia="zh-CN"/>
        </w:rPr>
        <w:t>其</w:t>
      </w:r>
      <w:r>
        <w:rPr>
          <w:rFonts w:hint="eastAsia" w:ascii="宋体" w:hAnsi="宋体" w:eastAsia="宋体" w:cs="宋体"/>
          <w:color w:val="auto"/>
          <w:szCs w:val="21"/>
        </w:rPr>
        <w:t>真实性。</w:t>
      </w:r>
      <w:r>
        <w:rPr>
          <w:rFonts w:hint="eastAsia" w:ascii="宋体" w:hAnsi="宋体" w:eastAsia="宋体" w:cs="宋体"/>
          <w:b/>
          <w:color w:val="auto"/>
          <w:szCs w:val="21"/>
        </w:rPr>
        <w:t>如主管部门查实投标文件中存在虚假资料的，无论相关资料是否由第三方或本公司员工提供，均不影响主管部门对供应商存在“隐瞒真实情况，提供虚假资料”违法行为的认定。</w:t>
      </w:r>
    </w:p>
    <w:p w14:paraId="7A258D28">
      <w:pPr>
        <w:spacing w:beforeLines="0" w:line="34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（二）对于涉及国家机关出具的公文、证件、证明材料等文件，一旦涉嫌虚假，经查实，主管部门将依法从严处理，并移送有关部门追究法律责任；涉嫌犯罪的，移送司法机关</w:t>
      </w:r>
      <w:r>
        <w:rPr>
          <w:rFonts w:hint="eastAsia" w:ascii="宋体" w:hAnsi="宋体" w:eastAsia="宋体" w:cs="宋体"/>
          <w:color w:val="auto"/>
          <w:szCs w:val="21"/>
          <w:lang w:eastAsia="zh-CN"/>
        </w:rPr>
        <w:t>处理</w:t>
      </w:r>
      <w:r>
        <w:rPr>
          <w:rFonts w:hint="eastAsia" w:ascii="宋体" w:hAnsi="宋体" w:eastAsia="宋体" w:cs="宋体"/>
          <w:color w:val="auto"/>
          <w:szCs w:val="21"/>
        </w:rPr>
        <w:t>。</w:t>
      </w:r>
    </w:p>
    <w:p w14:paraId="51C0464C">
      <w:pPr>
        <w:spacing w:beforeLines="0" w:line="34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w:t>
      </w:r>
      <w:r>
        <w:rPr>
          <w:rFonts w:hint="eastAsia" w:ascii="宋体" w:hAnsi="宋体" w:eastAsia="宋体" w:cs="宋体"/>
          <w:color w:val="auto"/>
          <w:szCs w:val="21"/>
          <w:lang w:eastAsia="zh-CN"/>
        </w:rPr>
        <w:t>三</w:t>
      </w:r>
      <w:r>
        <w:rPr>
          <w:rFonts w:hint="eastAsia" w:ascii="宋体" w:hAnsi="宋体" w:eastAsia="宋体" w:cs="宋体"/>
          <w:color w:val="auto"/>
          <w:szCs w:val="21"/>
        </w:rPr>
        <w:t>）</w:t>
      </w:r>
      <w:r>
        <w:rPr>
          <w:rFonts w:hint="eastAsia" w:ascii="宋体" w:hAnsi="宋体" w:eastAsia="宋体" w:cs="宋体"/>
          <w:color w:val="auto"/>
          <w:szCs w:val="21"/>
          <w:lang w:eastAsia="zh-CN"/>
        </w:rPr>
        <w:t>我</w:t>
      </w:r>
      <w:r>
        <w:rPr>
          <w:rFonts w:hint="eastAsia" w:ascii="宋体" w:hAnsi="宋体" w:eastAsia="宋体" w:cs="宋体"/>
          <w:color w:val="auto"/>
          <w:szCs w:val="21"/>
          <w:lang w:val="en-US" w:eastAsia="zh-CN"/>
        </w:rPr>
        <w:t>单位</w:t>
      </w:r>
      <w:r>
        <w:rPr>
          <w:rFonts w:hint="eastAsia" w:ascii="宋体" w:hAnsi="宋体" w:eastAsia="宋体" w:cs="宋体"/>
          <w:color w:val="auto"/>
          <w:szCs w:val="21"/>
        </w:rPr>
        <w:t>对投标电子密钥</w:t>
      </w:r>
      <w:r>
        <w:rPr>
          <w:rFonts w:hint="eastAsia" w:ascii="宋体" w:hAnsi="宋体" w:eastAsia="宋体" w:cs="宋体"/>
          <w:color w:val="auto"/>
          <w:szCs w:val="21"/>
          <w:lang w:eastAsia="zh-CN"/>
        </w:rPr>
        <w:t>或</w:t>
      </w:r>
      <w:r>
        <w:rPr>
          <w:rFonts w:hint="eastAsia" w:ascii="宋体" w:hAnsi="宋体" w:eastAsia="宋体" w:cs="宋体"/>
          <w:color w:val="auto"/>
          <w:szCs w:val="21"/>
          <w:lang w:val="en-US" w:eastAsia="zh-CN"/>
        </w:rPr>
        <w:t>电子营业执照</w:t>
      </w:r>
      <w:r>
        <w:rPr>
          <w:rFonts w:hint="eastAsia" w:ascii="宋体" w:hAnsi="宋体" w:eastAsia="宋体" w:cs="宋体"/>
          <w:color w:val="auto"/>
          <w:szCs w:val="21"/>
        </w:rPr>
        <w:t>负有妥善保管、及时变更和续期等主体责任</w:t>
      </w:r>
      <w:r>
        <w:rPr>
          <w:rFonts w:hint="eastAsia" w:ascii="宋体" w:hAnsi="宋体" w:eastAsia="宋体" w:cs="宋体"/>
          <w:color w:val="auto"/>
          <w:szCs w:val="21"/>
          <w:lang w:eastAsia="zh-CN"/>
        </w:rPr>
        <w:t>；</w:t>
      </w:r>
      <w:r>
        <w:rPr>
          <w:rFonts w:hint="eastAsia" w:ascii="宋体" w:hAnsi="宋体" w:eastAsia="宋体" w:cs="宋体"/>
          <w:color w:val="auto"/>
          <w:szCs w:val="21"/>
        </w:rPr>
        <w:t>使用电子密钥</w:t>
      </w:r>
      <w:r>
        <w:rPr>
          <w:rFonts w:hint="eastAsia" w:ascii="宋体" w:hAnsi="宋体" w:eastAsia="宋体" w:cs="宋体"/>
          <w:color w:val="auto"/>
          <w:szCs w:val="21"/>
          <w:lang w:eastAsia="zh-CN"/>
        </w:rPr>
        <w:t>或</w:t>
      </w:r>
      <w:r>
        <w:rPr>
          <w:rFonts w:hint="eastAsia" w:ascii="宋体" w:hAnsi="宋体" w:eastAsia="宋体" w:cs="宋体"/>
          <w:color w:val="auto"/>
          <w:szCs w:val="21"/>
          <w:lang w:val="en-US" w:eastAsia="zh-CN"/>
        </w:rPr>
        <w:t>电子营业执照</w:t>
      </w:r>
      <w:r>
        <w:rPr>
          <w:rFonts w:hint="eastAsia" w:ascii="宋体" w:hAnsi="宋体" w:eastAsia="宋体" w:cs="宋体"/>
          <w:color w:val="auto"/>
          <w:szCs w:val="21"/>
        </w:rPr>
        <w:t>在深圳政府采购网站进行的活动，均具有法律效力，须承担相应的法律后果。</w:t>
      </w:r>
      <w:r>
        <w:rPr>
          <w:rFonts w:hint="eastAsia" w:ascii="宋体" w:hAnsi="宋体" w:eastAsia="宋体" w:cs="宋体"/>
          <w:color w:val="auto"/>
          <w:szCs w:val="21"/>
          <w:lang w:eastAsia="zh-CN"/>
        </w:rPr>
        <w:t>若</w:t>
      </w:r>
      <w:r>
        <w:rPr>
          <w:rFonts w:hint="eastAsia" w:ascii="宋体" w:hAnsi="宋体" w:eastAsia="宋体" w:cs="宋体"/>
          <w:b/>
          <w:bCs/>
          <w:color w:val="auto"/>
          <w:szCs w:val="21"/>
        </w:rPr>
        <w:t>擅自将投标密钥</w:t>
      </w:r>
      <w:r>
        <w:rPr>
          <w:rFonts w:hint="eastAsia" w:ascii="宋体" w:hAnsi="宋体" w:eastAsia="宋体" w:cs="宋体"/>
          <w:b/>
          <w:bCs/>
          <w:color w:val="auto"/>
          <w:szCs w:val="21"/>
          <w:lang w:eastAsia="zh-CN"/>
        </w:rPr>
        <w:t>或</w:t>
      </w:r>
      <w:r>
        <w:rPr>
          <w:rFonts w:hint="eastAsia" w:ascii="宋体" w:hAnsi="宋体" w:eastAsia="宋体" w:cs="宋体"/>
          <w:b/>
          <w:bCs/>
          <w:color w:val="auto"/>
          <w:szCs w:val="21"/>
          <w:lang w:val="en-US" w:eastAsia="zh-CN"/>
        </w:rPr>
        <w:t>电子营业执照</w:t>
      </w:r>
      <w:r>
        <w:rPr>
          <w:rFonts w:hint="eastAsia" w:ascii="宋体" w:hAnsi="宋体" w:eastAsia="宋体" w:cs="宋体"/>
          <w:b/>
          <w:bCs/>
          <w:color w:val="auto"/>
          <w:szCs w:val="21"/>
        </w:rPr>
        <w:t>出借他人使用所造成的法律后果，由</w:t>
      </w:r>
      <w:r>
        <w:rPr>
          <w:rFonts w:hint="eastAsia" w:ascii="宋体" w:hAnsi="宋体" w:eastAsia="宋体" w:cs="宋体"/>
          <w:b/>
          <w:bCs/>
          <w:color w:val="auto"/>
          <w:szCs w:val="21"/>
          <w:lang w:eastAsia="zh-CN"/>
        </w:rPr>
        <w:t>我</w:t>
      </w:r>
      <w:r>
        <w:rPr>
          <w:rFonts w:hint="eastAsia" w:ascii="宋体" w:hAnsi="宋体" w:eastAsia="宋体" w:cs="宋体"/>
          <w:b/>
          <w:bCs/>
          <w:color w:val="auto"/>
          <w:szCs w:val="21"/>
          <w:lang w:val="en-US" w:eastAsia="zh-CN"/>
        </w:rPr>
        <w:t>单位</w:t>
      </w:r>
      <w:r>
        <w:rPr>
          <w:rFonts w:hint="eastAsia" w:ascii="宋体" w:hAnsi="宋体" w:eastAsia="宋体" w:cs="宋体"/>
          <w:b/>
          <w:bCs/>
          <w:color w:val="auto"/>
          <w:szCs w:val="21"/>
        </w:rPr>
        <w:t>自行承担</w:t>
      </w:r>
      <w:r>
        <w:rPr>
          <w:rFonts w:hint="eastAsia" w:ascii="宋体" w:hAnsi="宋体" w:eastAsia="宋体" w:cs="宋体"/>
          <w:color w:val="auto"/>
          <w:szCs w:val="21"/>
        </w:rPr>
        <w:t>。</w:t>
      </w:r>
    </w:p>
    <w:p w14:paraId="72741917">
      <w:pPr>
        <w:spacing w:beforeLines="0" w:line="340" w:lineRule="exact"/>
        <w:ind w:firstLine="422" w:firstLineChars="200"/>
        <w:rPr>
          <w:rFonts w:hint="eastAsia" w:ascii="宋体" w:hAnsi="宋体" w:eastAsia="宋体" w:cs="宋体"/>
          <w:b/>
          <w:color w:val="auto"/>
          <w:szCs w:val="21"/>
        </w:rPr>
      </w:pPr>
      <w:r>
        <w:rPr>
          <w:rFonts w:hint="eastAsia" w:ascii="宋体" w:hAnsi="宋体" w:eastAsia="宋体" w:cs="宋体"/>
          <w:b/>
          <w:color w:val="auto"/>
          <w:szCs w:val="21"/>
        </w:rPr>
        <w:t>四、</w:t>
      </w:r>
      <w:r>
        <w:rPr>
          <w:rFonts w:hint="eastAsia" w:ascii="宋体" w:hAnsi="宋体" w:eastAsia="宋体" w:cs="宋体"/>
          <w:b/>
          <w:color w:val="auto"/>
          <w:szCs w:val="21"/>
          <w:lang w:eastAsia="zh-CN"/>
        </w:rPr>
        <w:t>我</w:t>
      </w:r>
      <w:r>
        <w:rPr>
          <w:rFonts w:hint="eastAsia" w:ascii="宋体" w:hAnsi="宋体" w:eastAsia="宋体" w:cs="宋体"/>
          <w:b/>
          <w:color w:val="auto"/>
          <w:szCs w:val="21"/>
          <w:lang w:val="en-US" w:eastAsia="zh-CN"/>
        </w:rPr>
        <w:t>单位</w:t>
      </w:r>
      <w:r>
        <w:rPr>
          <w:rFonts w:hint="eastAsia" w:ascii="宋体" w:hAnsi="宋体" w:eastAsia="宋体" w:cs="宋体"/>
          <w:b/>
          <w:color w:val="auto"/>
          <w:szCs w:val="21"/>
        </w:rPr>
        <w:t>已充分知悉政府采购违法、违规行为的法律</w:t>
      </w:r>
      <w:r>
        <w:rPr>
          <w:rFonts w:hint="eastAsia" w:ascii="宋体" w:hAnsi="宋体" w:eastAsia="宋体" w:cs="宋体"/>
          <w:b/>
          <w:color w:val="auto"/>
          <w:szCs w:val="21"/>
          <w:highlight w:val="none"/>
        </w:rPr>
        <w:t>后果。</w:t>
      </w:r>
    </w:p>
    <w:p w14:paraId="220EBFA8">
      <w:pPr>
        <w:spacing w:beforeLines="0" w:line="34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rPr>
        <w:t>经查实，若</w:t>
      </w:r>
      <w:r>
        <w:rPr>
          <w:rFonts w:hint="eastAsia" w:ascii="宋体" w:hAnsi="宋体" w:eastAsia="宋体" w:cs="宋体"/>
          <w:color w:val="auto"/>
          <w:szCs w:val="21"/>
          <w:lang w:eastAsia="zh-CN"/>
        </w:rPr>
        <w:t>我</w:t>
      </w:r>
      <w:r>
        <w:rPr>
          <w:rFonts w:hint="eastAsia" w:ascii="宋体" w:hAnsi="宋体" w:eastAsia="宋体" w:cs="宋体"/>
          <w:color w:val="auto"/>
          <w:szCs w:val="21"/>
          <w:lang w:val="en-US" w:eastAsia="zh-CN"/>
        </w:rPr>
        <w:t>单位</w:t>
      </w:r>
      <w:r>
        <w:rPr>
          <w:rFonts w:hint="eastAsia" w:ascii="宋体" w:hAnsi="宋体" w:eastAsia="宋体" w:cs="宋体"/>
          <w:color w:val="auto"/>
          <w:szCs w:val="21"/>
        </w:rPr>
        <w:t>存在政府采购违法、违规行为，主管部门将依据《深圳经济特区政府采购条例》第五十七条的规定，处以一至三年内禁止参与本市政府采购，并记入供应商诚信档案，处采购金额千分之十以上千分之二十以下罚款；情节严重的，取消参与本市政府采购资格，处采购金额千</w:t>
      </w:r>
      <w:r>
        <w:rPr>
          <w:rFonts w:hint="eastAsia" w:ascii="宋体" w:hAnsi="宋体" w:eastAsia="宋体" w:cs="宋体"/>
          <w:color w:val="auto"/>
          <w:szCs w:val="21"/>
          <w:highlight w:val="none"/>
        </w:rPr>
        <w:t>分之二十以上千分之三十以下罚款，由市场监管部门依法吊销营业执照。</w:t>
      </w:r>
    </w:p>
    <w:p w14:paraId="1C47F656">
      <w:pPr>
        <w:spacing w:beforeLines="0" w:line="340" w:lineRule="exact"/>
        <w:ind w:firstLine="420" w:firstLineChars="200"/>
        <w:rPr>
          <w:rFonts w:hint="eastAsia" w:ascii="宋体" w:hAnsi="宋体" w:eastAsia="宋体" w:cs="宋体"/>
          <w:color w:val="auto"/>
          <w:szCs w:val="21"/>
          <w:highlight w:val="yellow"/>
        </w:rPr>
      </w:pPr>
      <w:r>
        <w:rPr>
          <w:rFonts w:hint="eastAsia" w:ascii="宋体" w:hAnsi="宋体" w:eastAsia="宋体" w:cs="宋体"/>
          <w:color w:val="auto"/>
          <w:szCs w:val="21"/>
          <w:highlight w:val="yellow"/>
        </w:rPr>
        <w:t>以下文字请投标供应商抄写并确认：“</w:t>
      </w:r>
      <w:r>
        <w:rPr>
          <w:rFonts w:hint="eastAsia" w:ascii="宋体" w:hAnsi="宋体" w:eastAsia="宋体" w:cs="宋体"/>
          <w:color w:val="auto"/>
          <w:szCs w:val="21"/>
          <w:highlight w:val="yellow"/>
          <w:lang w:eastAsia="zh-CN"/>
        </w:rPr>
        <w:t>我</w:t>
      </w:r>
      <w:r>
        <w:rPr>
          <w:rFonts w:hint="eastAsia" w:ascii="宋体" w:hAnsi="宋体" w:eastAsia="宋体" w:cs="宋体"/>
          <w:color w:val="auto"/>
          <w:szCs w:val="21"/>
          <w:highlight w:val="yellow"/>
          <w:lang w:val="en-US" w:eastAsia="zh-CN"/>
        </w:rPr>
        <w:t>单位</w:t>
      </w:r>
      <w:r>
        <w:rPr>
          <w:rFonts w:hint="eastAsia" w:ascii="宋体" w:hAnsi="宋体" w:eastAsia="宋体" w:cs="宋体"/>
          <w:color w:val="auto"/>
          <w:szCs w:val="21"/>
          <w:highlight w:val="yellow"/>
        </w:rPr>
        <w:t>已仔细阅读《政府采购违法行为风险知悉确认书》，充分知悉违法行为的法律后果，并承诺将严谨、诚信、依法依规参与政府采购活动”。</w:t>
      </w:r>
    </w:p>
    <w:tbl>
      <w:tblPr>
        <w:tblStyle w:val="199"/>
        <w:tblW w:w="8529" w:type="dxa"/>
        <w:tblInd w:w="0" w:type="dxa"/>
        <w:tblBorders>
          <w:top w:val="none" w:color="auto" w:sz="0" w:space="0"/>
          <w:left w:val="none" w:color="auto" w:sz="0" w:space="0"/>
          <w:bottom w:val="single" w:color="auto" w:sz="4"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529"/>
      </w:tblGrid>
      <w:tr w14:paraId="774494FB">
        <w:tblPrEx>
          <w:tblBorders>
            <w:top w:val="none" w:color="auto" w:sz="0"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4" w:hRule="atLeast"/>
        </w:trPr>
        <w:tc>
          <w:tcPr>
            <w:tcW w:w="8529" w:type="dxa"/>
            <w:tcBorders>
              <w:top w:val="nil"/>
              <w:left w:val="nil"/>
              <w:bottom w:val="single" w:color="000000" w:sz="8" w:space="0"/>
              <w:right w:val="nil"/>
            </w:tcBorders>
            <w:noWrap w:val="0"/>
          </w:tcPr>
          <w:p w14:paraId="45C4DC8A">
            <w:pPr>
              <w:autoSpaceDE w:val="0"/>
              <w:autoSpaceDN w:val="0"/>
              <w:spacing w:beforeLines="0" w:line="340" w:lineRule="exact"/>
              <w:ind w:firstLine="1866"/>
              <w:rPr>
                <w:rFonts w:hint="eastAsia" w:ascii="宋体" w:hAnsi="宋体" w:eastAsia="宋体" w:cs="宋体"/>
                <w:color w:val="auto"/>
                <w:spacing w:val="-4"/>
                <w:kern w:val="0"/>
                <w:szCs w:val="21"/>
                <w:highlight w:val="none"/>
              </w:rPr>
            </w:pPr>
          </w:p>
        </w:tc>
      </w:tr>
      <w:tr w14:paraId="6CFF336E">
        <w:tblPrEx>
          <w:tblBorders>
            <w:top w:val="none" w:color="auto" w:sz="0"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c>
          <w:tcPr>
            <w:tcW w:w="8529" w:type="dxa"/>
            <w:tcBorders>
              <w:top w:val="single" w:color="000000" w:sz="8" w:space="0"/>
              <w:left w:val="nil"/>
              <w:bottom w:val="single" w:color="000000" w:sz="8" w:space="0"/>
              <w:right w:val="nil"/>
            </w:tcBorders>
            <w:noWrap w:val="0"/>
          </w:tcPr>
          <w:p w14:paraId="24F67C1E">
            <w:pPr>
              <w:autoSpaceDE w:val="0"/>
              <w:autoSpaceDN w:val="0"/>
              <w:spacing w:beforeLines="0" w:line="340" w:lineRule="exact"/>
              <w:ind w:firstLine="1866"/>
              <w:rPr>
                <w:rFonts w:hint="eastAsia" w:ascii="宋体" w:hAnsi="宋体" w:eastAsia="宋体" w:cs="宋体"/>
                <w:color w:val="auto"/>
                <w:spacing w:val="-4"/>
                <w:kern w:val="0"/>
                <w:szCs w:val="21"/>
              </w:rPr>
            </w:pPr>
          </w:p>
        </w:tc>
      </w:tr>
      <w:tr w14:paraId="2CB5B5AE">
        <w:tblPrEx>
          <w:tblBorders>
            <w:top w:val="none" w:color="auto" w:sz="0"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c>
          <w:tcPr>
            <w:tcW w:w="8529" w:type="dxa"/>
            <w:tcBorders>
              <w:top w:val="single" w:color="000000" w:sz="8" w:space="0"/>
              <w:left w:val="nil"/>
              <w:bottom w:val="single" w:color="000000" w:sz="8" w:space="0"/>
              <w:right w:val="nil"/>
            </w:tcBorders>
            <w:noWrap w:val="0"/>
          </w:tcPr>
          <w:p w14:paraId="28B50923">
            <w:pPr>
              <w:autoSpaceDE w:val="0"/>
              <w:autoSpaceDN w:val="0"/>
              <w:spacing w:beforeLines="0" w:line="340" w:lineRule="exact"/>
              <w:ind w:firstLine="1866"/>
              <w:rPr>
                <w:rFonts w:hint="eastAsia" w:ascii="宋体" w:hAnsi="宋体" w:eastAsia="宋体" w:cs="宋体"/>
                <w:color w:val="auto"/>
                <w:spacing w:val="-4"/>
                <w:kern w:val="0"/>
                <w:szCs w:val="21"/>
              </w:rPr>
            </w:pPr>
          </w:p>
        </w:tc>
      </w:tr>
      <w:tr w14:paraId="7753636E">
        <w:tblPrEx>
          <w:tblBorders>
            <w:top w:val="none" w:color="auto" w:sz="0"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c>
          <w:tcPr>
            <w:tcW w:w="8529" w:type="dxa"/>
            <w:tcBorders>
              <w:top w:val="single" w:color="000000" w:sz="8" w:space="0"/>
              <w:left w:val="nil"/>
              <w:bottom w:val="single" w:color="auto" w:sz="8" w:space="0"/>
              <w:right w:val="nil"/>
            </w:tcBorders>
            <w:noWrap w:val="0"/>
          </w:tcPr>
          <w:p w14:paraId="03A43956">
            <w:pPr>
              <w:autoSpaceDE w:val="0"/>
              <w:autoSpaceDN w:val="0"/>
              <w:spacing w:beforeLines="0" w:line="340" w:lineRule="exact"/>
              <w:ind w:firstLine="1866"/>
              <w:rPr>
                <w:rFonts w:hint="eastAsia" w:ascii="宋体" w:hAnsi="宋体" w:eastAsia="宋体" w:cs="宋体"/>
                <w:color w:val="auto"/>
                <w:spacing w:val="-4"/>
                <w:kern w:val="0"/>
                <w:szCs w:val="21"/>
              </w:rPr>
            </w:pPr>
          </w:p>
        </w:tc>
      </w:tr>
    </w:tbl>
    <w:p w14:paraId="44AA2F46">
      <w:pPr>
        <w:widowControl/>
        <w:wordWrap w:val="0"/>
        <w:autoSpaceDE w:val="0"/>
        <w:autoSpaceDN w:val="0"/>
        <w:spacing w:beforeLines="0" w:line="340" w:lineRule="exact"/>
        <w:ind w:right="808" w:firstLine="404" w:firstLineChars="200"/>
        <w:jc w:val="right"/>
        <w:rPr>
          <w:rFonts w:hint="eastAsia" w:ascii="宋体" w:hAnsi="宋体" w:eastAsia="宋体" w:cs="宋体"/>
          <w:color w:val="auto"/>
          <w:spacing w:val="-4"/>
          <w:kern w:val="0"/>
          <w:szCs w:val="21"/>
        </w:rPr>
      </w:pPr>
    </w:p>
    <w:p w14:paraId="72243BDF">
      <w:pPr>
        <w:widowControl/>
        <w:wordWrap w:val="0"/>
        <w:autoSpaceDE w:val="0"/>
        <w:autoSpaceDN w:val="0"/>
        <w:spacing w:beforeLines="0" w:line="340" w:lineRule="exact"/>
        <w:ind w:right="808" w:firstLine="404" w:firstLineChars="200"/>
        <w:jc w:val="right"/>
        <w:rPr>
          <w:rFonts w:hint="eastAsia" w:ascii="宋体" w:hAnsi="宋体" w:eastAsia="宋体" w:cs="宋体"/>
          <w:color w:val="auto"/>
          <w:spacing w:val="-4"/>
          <w:kern w:val="0"/>
          <w:szCs w:val="21"/>
          <w:u w:val="single"/>
        </w:rPr>
      </w:pPr>
      <w:r>
        <w:rPr>
          <w:rFonts w:hint="eastAsia" w:ascii="宋体" w:hAnsi="宋体" w:eastAsia="宋体" w:cs="宋体"/>
          <w:color w:val="auto"/>
          <w:spacing w:val="-4"/>
          <w:kern w:val="0"/>
          <w:szCs w:val="21"/>
          <w:lang w:eastAsia="zh-CN"/>
        </w:rPr>
        <w:t>单位</w:t>
      </w:r>
      <w:r>
        <w:rPr>
          <w:rFonts w:hint="eastAsia" w:ascii="宋体" w:hAnsi="宋体" w:eastAsia="宋体" w:cs="宋体"/>
          <w:color w:val="auto"/>
          <w:spacing w:val="-4"/>
          <w:kern w:val="0"/>
          <w:szCs w:val="21"/>
        </w:rPr>
        <w:t>负责人签名：</w:t>
      </w:r>
      <w:r>
        <w:rPr>
          <w:rFonts w:hint="eastAsia" w:ascii="宋体" w:hAnsi="宋体" w:eastAsia="宋体" w:cs="宋体"/>
          <w:color w:val="auto"/>
          <w:spacing w:val="-4"/>
          <w:kern w:val="0"/>
          <w:szCs w:val="21"/>
          <w:u w:val="single"/>
        </w:rPr>
        <w:t xml:space="preserve">              </w:t>
      </w:r>
    </w:p>
    <w:p w14:paraId="202B7455">
      <w:pPr>
        <w:widowControl/>
        <w:wordWrap w:val="0"/>
        <w:autoSpaceDE w:val="0"/>
        <w:autoSpaceDN w:val="0"/>
        <w:spacing w:beforeLines="0" w:line="340" w:lineRule="exact"/>
        <w:ind w:right="808" w:firstLine="404" w:firstLineChars="200"/>
        <w:jc w:val="center"/>
        <w:rPr>
          <w:rFonts w:hint="eastAsia" w:ascii="宋体" w:hAnsi="宋体" w:eastAsia="宋体" w:cs="宋体"/>
          <w:color w:val="auto"/>
          <w:spacing w:val="-4"/>
          <w:kern w:val="0"/>
          <w:szCs w:val="21"/>
          <w:u w:val="single"/>
        </w:rPr>
      </w:pPr>
      <w:r>
        <w:rPr>
          <w:rFonts w:hint="eastAsia" w:ascii="宋体" w:hAnsi="宋体" w:eastAsia="宋体" w:cs="宋体"/>
          <w:color w:val="auto"/>
          <w:spacing w:val="-4"/>
          <w:kern w:val="0"/>
          <w:szCs w:val="21"/>
          <w:lang w:val="en-US" w:eastAsia="zh-CN"/>
        </w:rPr>
        <w:t xml:space="preserve">                                 </w:t>
      </w:r>
      <w:r>
        <w:rPr>
          <w:rFonts w:hint="eastAsia" w:ascii="宋体" w:hAnsi="宋体" w:eastAsia="宋体" w:cs="宋体"/>
          <w:color w:val="auto"/>
          <w:spacing w:val="-4"/>
          <w:kern w:val="0"/>
          <w:szCs w:val="21"/>
          <w:lang w:eastAsia="zh-CN"/>
        </w:rPr>
        <w:t>（加盖</w:t>
      </w:r>
      <w:r>
        <w:rPr>
          <w:rFonts w:hint="eastAsia" w:ascii="宋体" w:hAnsi="宋体" w:eastAsia="宋体" w:cs="宋体"/>
          <w:color w:val="auto"/>
          <w:spacing w:val="-4"/>
          <w:kern w:val="0"/>
          <w:szCs w:val="21"/>
        </w:rPr>
        <w:t>公章</w:t>
      </w:r>
      <w:r>
        <w:rPr>
          <w:rFonts w:hint="eastAsia" w:ascii="宋体" w:hAnsi="宋体" w:eastAsia="宋体" w:cs="宋体"/>
          <w:color w:val="auto"/>
          <w:spacing w:val="-4"/>
          <w:kern w:val="0"/>
          <w:szCs w:val="21"/>
          <w:lang w:eastAsia="zh-CN"/>
        </w:rPr>
        <w:t>）</w:t>
      </w:r>
    </w:p>
    <w:p w14:paraId="56FDE938">
      <w:pPr>
        <w:widowControl/>
        <w:wordWrap w:val="0"/>
        <w:autoSpaceDE w:val="0"/>
        <w:autoSpaceDN w:val="0"/>
        <w:spacing w:beforeLines="0" w:line="340" w:lineRule="exact"/>
        <w:ind w:right="808" w:firstLine="404" w:firstLineChars="200"/>
        <w:jc w:val="right"/>
        <w:rPr>
          <w:rFonts w:hint="eastAsia" w:ascii="宋体" w:hAnsi="宋体" w:eastAsia="宋体" w:cs="宋体"/>
          <w:color w:val="auto"/>
          <w:spacing w:val="-4"/>
          <w:kern w:val="0"/>
          <w:szCs w:val="21"/>
          <w:u w:val="single"/>
        </w:rPr>
      </w:pPr>
      <w:r>
        <w:rPr>
          <w:rFonts w:hint="eastAsia" w:ascii="宋体" w:hAnsi="宋体" w:eastAsia="宋体" w:cs="宋体"/>
          <w:color w:val="auto"/>
          <w:spacing w:val="-4"/>
          <w:kern w:val="0"/>
          <w:szCs w:val="21"/>
        </w:rPr>
        <w:t xml:space="preserve">     日期：</w:t>
      </w:r>
      <w:r>
        <w:rPr>
          <w:rFonts w:hint="eastAsia" w:ascii="宋体" w:hAnsi="宋体" w:eastAsia="宋体" w:cs="宋体"/>
          <w:color w:val="auto"/>
          <w:spacing w:val="-4"/>
          <w:kern w:val="0"/>
          <w:szCs w:val="21"/>
          <w:u w:val="single"/>
        </w:rPr>
        <w:t xml:space="preserve">              </w:t>
      </w:r>
    </w:p>
    <w:p w14:paraId="0E7BA963">
      <w:pPr>
        <w:widowControl/>
        <w:autoSpaceDE w:val="0"/>
        <w:autoSpaceDN w:val="0"/>
        <w:spacing w:beforeLines="0" w:line="340" w:lineRule="exact"/>
        <w:ind w:firstLine="406" w:firstLineChars="200"/>
        <w:jc w:val="left"/>
        <w:rPr>
          <w:rFonts w:hint="eastAsia" w:ascii="宋体" w:hAnsi="宋体" w:eastAsia="宋体" w:cs="宋体"/>
          <w:b/>
          <w:bCs/>
          <w:color w:val="auto"/>
          <w:spacing w:val="-4"/>
          <w:kern w:val="0"/>
          <w:szCs w:val="21"/>
        </w:rPr>
      </w:pPr>
    </w:p>
    <w:p w14:paraId="53163860">
      <w:pPr>
        <w:keepNext w:val="0"/>
        <w:keepLines w:val="0"/>
        <w:pageBreakBefore w:val="0"/>
        <w:widowControl/>
        <w:suppressLineNumbers w:val="0"/>
        <w:kinsoku/>
        <w:wordWrap/>
        <w:overflowPunct/>
        <w:topLinePunct w:val="0"/>
        <w:autoSpaceDE w:val="0"/>
        <w:autoSpaceDN w:val="0"/>
        <w:bidi w:val="0"/>
        <w:adjustRightInd/>
        <w:snapToGrid/>
        <w:spacing w:beforeLines="0" w:line="340" w:lineRule="exact"/>
        <w:ind w:firstLine="406" w:firstLineChars="200"/>
        <w:jc w:val="left"/>
        <w:textAlignment w:val="auto"/>
        <w:rPr>
          <w:rFonts w:hint="eastAsia" w:ascii="宋体" w:hAnsi="宋体" w:eastAsia="宋体" w:cs="宋体"/>
          <w:b/>
          <w:bCs/>
          <w:color w:val="auto"/>
          <w:spacing w:val="-4"/>
          <w:kern w:val="0"/>
          <w:szCs w:val="21"/>
          <w:highlight w:val="none"/>
        </w:rPr>
      </w:pPr>
      <w:r>
        <w:rPr>
          <w:rFonts w:hint="eastAsia" w:ascii="宋体" w:hAnsi="宋体" w:eastAsia="宋体" w:cs="宋体"/>
          <w:b/>
          <w:bCs/>
          <w:color w:val="auto"/>
          <w:spacing w:val="-4"/>
          <w:kern w:val="0"/>
          <w:szCs w:val="21"/>
        </w:rPr>
        <w:t>注：</w:t>
      </w:r>
      <w:r>
        <w:rPr>
          <w:rFonts w:hint="eastAsia" w:ascii="宋体" w:hAnsi="宋体" w:eastAsia="宋体" w:cs="宋体"/>
          <w:b/>
          <w:bCs/>
          <w:color w:val="auto"/>
          <w:spacing w:val="-4"/>
          <w:kern w:val="0"/>
          <w:szCs w:val="21"/>
          <w:lang w:val="en-US" w:eastAsia="zh-CN"/>
        </w:rPr>
        <w:t>1.</w:t>
      </w:r>
      <w:r>
        <w:rPr>
          <w:rFonts w:hint="eastAsia" w:ascii="宋体" w:hAnsi="宋体" w:eastAsia="宋体" w:cs="宋体"/>
          <w:b/>
          <w:bCs/>
          <w:color w:val="auto"/>
          <w:spacing w:val="-4"/>
          <w:kern w:val="0"/>
          <w:szCs w:val="21"/>
          <w:lang w:eastAsia="zh-CN"/>
        </w:rPr>
        <w:t>《</w:t>
      </w:r>
      <w:r>
        <w:rPr>
          <w:rFonts w:hint="eastAsia" w:ascii="宋体" w:hAnsi="宋体" w:eastAsia="宋体" w:cs="宋体"/>
          <w:b/>
          <w:bCs/>
          <w:color w:val="auto"/>
          <w:spacing w:val="-4"/>
          <w:kern w:val="0"/>
          <w:szCs w:val="21"/>
          <w:lang w:val="en-US" w:eastAsia="zh-CN"/>
        </w:rPr>
        <w:t>政府采购违法行为风险知悉确认书</w:t>
      </w:r>
      <w:r>
        <w:rPr>
          <w:rFonts w:hint="eastAsia" w:ascii="宋体" w:hAnsi="宋体" w:eastAsia="宋体" w:cs="宋体"/>
          <w:b/>
          <w:bCs/>
          <w:color w:val="auto"/>
          <w:spacing w:val="-4"/>
          <w:kern w:val="0"/>
          <w:szCs w:val="21"/>
          <w:lang w:eastAsia="zh-CN"/>
        </w:rPr>
        <w:t>》需由</w:t>
      </w:r>
      <w:r>
        <w:rPr>
          <w:rFonts w:hint="eastAsia" w:ascii="宋体" w:hAnsi="宋体" w:eastAsia="宋体" w:cs="宋体"/>
          <w:b/>
          <w:bCs/>
          <w:color w:val="auto"/>
          <w:spacing w:val="-4"/>
          <w:kern w:val="0"/>
          <w:szCs w:val="21"/>
        </w:rPr>
        <w:t>投标供应商负责人签字并加盖单位公章后，扫描上传至投标文件</w:t>
      </w:r>
      <w:r>
        <w:rPr>
          <w:rFonts w:hint="eastAsia" w:ascii="宋体" w:hAnsi="宋体" w:eastAsia="宋体" w:cs="宋体"/>
          <w:b/>
          <w:bCs/>
          <w:color w:val="auto"/>
          <w:spacing w:val="-4"/>
          <w:kern w:val="0"/>
          <w:szCs w:val="21"/>
          <w:highlight w:val="none"/>
        </w:rPr>
        <w:t>一并提交。</w:t>
      </w:r>
    </w:p>
    <w:p w14:paraId="6091DF68">
      <w:pPr>
        <w:pStyle w:val="201"/>
        <w:rPr>
          <w:rFonts w:hint="default" w:ascii="Calibri" w:hAnsi="Calibri" w:eastAsia="宋体" w:cs="Times New Roman"/>
          <w:kern w:val="2"/>
          <w:sz w:val="21"/>
          <w:szCs w:val="22"/>
          <w:lang w:val="en-US" w:eastAsia="zh-CN"/>
        </w:rPr>
      </w:pPr>
      <w:r>
        <w:rPr>
          <w:rFonts w:hint="eastAsia" w:ascii="宋体" w:hAnsi="宋体" w:cs="宋体"/>
          <w:b/>
          <w:bCs/>
          <w:color w:val="auto"/>
          <w:spacing w:val="-4"/>
          <w:kern w:val="0"/>
          <w:szCs w:val="21"/>
          <w:highlight w:val="none"/>
          <w:lang w:val="en-US" w:eastAsia="zh-CN"/>
        </w:rPr>
        <w:t>2.</w:t>
      </w:r>
      <w:r>
        <w:rPr>
          <w:rFonts w:hint="eastAsia" w:ascii="宋体" w:hAnsi="宋体" w:cs="宋体"/>
          <w:b/>
          <w:bCs/>
          <w:color w:val="auto"/>
          <w:spacing w:val="-4"/>
          <w:kern w:val="0"/>
          <w:szCs w:val="21"/>
          <w:highlight w:val="none"/>
        </w:rPr>
        <w:t>根据《深圳市财政局关于在采购文件及深圳政府采购智慧平台增设供应商投标特别警示条款等事宜的通知》（深财购〔2025〕7号）</w:t>
      </w:r>
      <w:r>
        <w:rPr>
          <w:rFonts w:hint="eastAsia" w:ascii="宋体" w:hAnsi="宋体" w:cs="宋体"/>
          <w:b/>
          <w:bCs/>
          <w:color w:val="auto"/>
          <w:spacing w:val="-4"/>
          <w:kern w:val="0"/>
          <w:szCs w:val="21"/>
          <w:highlight w:val="none"/>
          <w:lang w:val="en-US" w:eastAsia="zh-CN"/>
        </w:rPr>
        <w:t>的要求</w:t>
      </w:r>
      <w:r>
        <w:rPr>
          <w:rFonts w:hint="eastAsia" w:ascii="宋体" w:hAnsi="宋体" w:cs="宋体"/>
          <w:b/>
          <w:bCs/>
          <w:color w:val="auto"/>
          <w:spacing w:val="-4"/>
          <w:kern w:val="0"/>
          <w:szCs w:val="21"/>
          <w:highlight w:val="none"/>
        </w:rPr>
        <w:t>，</w:t>
      </w:r>
      <w:r>
        <w:rPr>
          <w:rFonts w:hint="eastAsia" w:ascii="宋体" w:hAnsi="宋体" w:eastAsia="宋体" w:cs="宋体"/>
          <w:b/>
          <w:bCs/>
          <w:color w:val="auto"/>
          <w:spacing w:val="-4"/>
          <w:kern w:val="0"/>
          <w:szCs w:val="21"/>
          <w:lang w:eastAsia="zh-CN"/>
        </w:rPr>
        <w:t>《</w:t>
      </w:r>
      <w:r>
        <w:rPr>
          <w:rFonts w:hint="eastAsia" w:ascii="宋体" w:hAnsi="宋体" w:eastAsia="宋体" w:cs="宋体"/>
          <w:b/>
          <w:bCs/>
          <w:color w:val="auto"/>
          <w:spacing w:val="-4"/>
          <w:kern w:val="0"/>
          <w:szCs w:val="21"/>
          <w:lang w:val="en-US" w:eastAsia="zh-CN"/>
        </w:rPr>
        <w:t>政府采购违法行为风险知悉确认书</w:t>
      </w:r>
      <w:r>
        <w:rPr>
          <w:rFonts w:hint="eastAsia" w:ascii="宋体" w:hAnsi="宋体" w:eastAsia="宋体" w:cs="宋体"/>
          <w:b/>
          <w:bCs/>
          <w:color w:val="auto"/>
          <w:spacing w:val="-4"/>
          <w:kern w:val="0"/>
          <w:szCs w:val="21"/>
          <w:lang w:eastAsia="zh-CN"/>
        </w:rPr>
        <w:t>》</w:t>
      </w:r>
      <w:r>
        <w:rPr>
          <w:rFonts w:hint="eastAsia" w:ascii="宋体" w:hAnsi="宋体" w:cs="宋体"/>
          <w:b/>
          <w:bCs/>
          <w:color w:val="auto"/>
          <w:spacing w:val="-4"/>
          <w:kern w:val="0"/>
          <w:szCs w:val="21"/>
          <w:highlight w:val="none"/>
        </w:rPr>
        <w:t>用于对供应商违法行为的提醒，不作为供应商资格性审查及符合性审查条件。</w:t>
      </w:r>
    </w:p>
    <w:p w14:paraId="7530AA95">
      <w:pPr>
        <w:widowControl/>
        <w:autoSpaceDE w:val="0"/>
        <w:autoSpaceDN w:val="0"/>
        <w:spacing w:line="400" w:lineRule="exact"/>
        <w:ind w:firstLine="404" w:firstLineChars="200"/>
        <w:jc w:val="left"/>
        <w:rPr>
          <w:rFonts w:ascii="宋体" w:hAnsi="宋体" w:eastAsiaTheme="minorEastAsia"/>
          <w:color w:val="FF0000"/>
          <w:spacing w:val="-4"/>
          <w:kern w:val="0"/>
          <w:szCs w:val="21"/>
        </w:rPr>
      </w:pPr>
    </w:p>
    <w:p w14:paraId="4CEC7C2A">
      <w:pPr>
        <w:widowControl/>
        <w:autoSpaceDE w:val="0"/>
        <w:autoSpaceDN w:val="0"/>
        <w:spacing w:line="400" w:lineRule="exact"/>
        <w:ind w:right="1414" w:firstLine="480" w:firstLineChars="200"/>
        <w:jc w:val="right"/>
        <w:rPr>
          <w:rFonts w:eastAsiaTheme="minorEastAsia"/>
          <w:kern w:val="0"/>
          <w:sz w:val="24"/>
        </w:rPr>
      </w:pPr>
    </w:p>
    <w:p w14:paraId="04C8F373">
      <w:pPr>
        <w:jc w:val="center"/>
        <w:rPr>
          <w:rFonts w:hint="eastAsia" w:ascii="黑体" w:eastAsia="黑体"/>
          <w:b w:val="0"/>
          <w:bCs w:val="0"/>
          <w:sz w:val="24"/>
          <w:szCs w:val="20"/>
          <w:lang w:val="en-US" w:eastAsia="zh-CN"/>
        </w:rPr>
      </w:pPr>
      <w:r>
        <w:rPr>
          <w:rFonts w:hint="eastAsia" w:ascii="黑体" w:eastAsia="黑体"/>
          <w:b w:val="0"/>
          <w:bCs w:val="0"/>
          <w:sz w:val="24"/>
          <w:szCs w:val="20"/>
          <w:lang w:val="en-US" w:eastAsia="zh-CN"/>
        </w:rPr>
        <w:t>（二）订单融资情况</w:t>
      </w:r>
    </w:p>
    <w:p w14:paraId="02510D12">
      <w:pPr>
        <w:keepNext w:val="0"/>
        <w:keepLines w:val="0"/>
        <w:pageBreakBefore w:val="0"/>
        <w:widowControl w:val="0"/>
        <w:kinsoku/>
        <w:wordWrap/>
        <w:overflowPunct/>
        <w:topLinePunct w:val="0"/>
        <w:autoSpaceDE/>
        <w:autoSpaceDN/>
        <w:bidi w:val="0"/>
        <w:adjustRightInd/>
        <w:snapToGrid/>
        <w:spacing w:line="240" w:lineRule="auto"/>
        <w:ind w:firstLine="422" w:firstLineChars="200"/>
        <w:textAlignment w:val="auto"/>
        <w:rPr>
          <w:rFonts w:ascii="宋体" w:hAnsi="宋体" w:cs="宋体"/>
          <w:b/>
          <w:bCs/>
        </w:rPr>
      </w:pPr>
      <w:r>
        <w:rPr>
          <w:rFonts w:hint="eastAsia" w:ascii="宋体" w:hAnsi="宋体" w:cs="宋体"/>
          <w:b/>
          <w:bCs/>
          <w:lang w:val="en-US" w:eastAsia="zh-CN"/>
        </w:rPr>
        <w:t>1.</w:t>
      </w:r>
      <w:r>
        <w:rPr>
          <w:rFonts w:hint="eastAsia" w:ascii="宋体" w:hAnsi="宋体" w:cs="宋体"/>
          <w:b/>
          <w:bCs/>
        </w:rPr>
        <w:t>关于政府采购订单融资政策</w:t>
      </w:r>
    </w:p>
    <w:p w14:paraId="78327649">
      <w:pPr>
        <w:pStyle w:val="19"/>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Times New Roman" w:hAnsi="Times New Roman" w:eastAsia="宋体" w:cs="Times New Roman"/>
          <w:b w:val="0"/>
          <w:bCs/>
          <w:kern w:val="2"/>
          <w:sz w:val="21"/>
          <w:szCs w:val="21"/>
          <w:lang w:val="en-US" w:eastAsia="zh-CN" w:bidi="ar-SA"/>
        </w:rPr>
      </w:pPr>
      <w:r>
        <w:rPr>
          <w:rFonts w:hint="eastAsia" w:ascii="Times New Roman" w:hAnsi="Times New Roman" w:eastAsia="宋体" w:cs="Times New Roman"/>
          <w:b w:val="0"/>
          <w:bCs/>
          <w:kern w:val="2"/>
          <w:sz w:val="21"/>
          <w:szCs w:val="21"/>
          <w:lang w:val="en-US" w:eastAsia="zh-CN" w:bidi="ar-SA"/>
        </w:rPr>
        <w:t>为深入贯彻落实国家深化政府采购制度改革精神，充分发挥政府采购扶持中小企业发展的政策功能，缓解中小微企业融资难、融资贵的问题，根据《深圳市财政局关于加大力度运用政府采购订单融资政策支持企业发展的通知》要求，参与深圳市政府采购活动供应商可凭借所获取的深圳市政府采购中标通知书与采购合同，向参与订单融资业务的金融机构提出融资申请，金融机构以各自信贷政策为基础，为中标（成交）供应商提供融资授信，订单融资具体流程可登录深圳要素交易金融服务平台(https://finance.szexgrp.com/gtm/web/guarantee/#/)，相关政策法规参阅深圳市政府采购监管网（http://zfcg.sz.gov.cn/）信息公开栏目。</w:t>
      </w:r>
    </w:p>
    <w:p w14:paraId="74BE8BBC">
      <w:pPr>
        <w:keepNext w:val="0"/>
        <w:keepLines w:val="0"/>
        <w:pageBreakBefore w:val="0"/>
        <w:widowControl w:val="0"/>
        <w:kinsoku/>
        <w:wordWrap/>
        <w:overflowPunct/>
        <w:topLinePunct w:val="0"/>
        <w:autoSpaceDE/>
        <w:autoSpaceDN/>
        <w:bidi w:val="0"/>
        <w:adjustRightInd/>
        <w:snapToGrid/>
        <w:spacing w:line="240" w:lineRule="auto"/>
        <w:ind w:firstLine="422" w:firstLineChars="200"/>
        <w:textAlignment w:val="auto"/>
        <w:rPr>
          <w:rFonts w:hint="eastAsia" w:ascii="宋体" w:hAnsi="宋体" w:cs="宋体"/>
          <w:b/>
          <w:bCs/>
          <w:lang w:val="en-US" w:eastAsia="zh-CN"/>
        </w:rPr>
      </w:pPr>
      <w:r>
        <w:rPr>
          <w:rFonts w:hint="eastAsia" w:ascii="宋体" w:hAnsi="宋体" w:cs="宋体"/>
          <w:b/>
          <w:bCs/>
          <w:lang w:val="en-US" w:eastAsia="zh-CN"/>
        </w:rPr>
        <w:t>2.供应商账户信息</w:t>
      </w:r>
    </w:p>
    <w:p w14:paraId="684F1B56">
      <w:pPr>
        <w:ind w:left="420" w:leftChars="200" w:firstLine="210" w:firstLineChars="100"/>
        <w:rPr>
          <w:rFonts w:hint="eastAsia"/>
          <w:szCs w:val="21"/>
        </w:rPr>
      </w:pPr>
      <w:r>
        <w:rPr>
          <w:rFonts w:hint="eastAsia"/>
          <w:szCs w:val="21"/>
        </w:rPr>
        <w:t>投标人</w:t>
      </w:r>
      <w:r>
        <w:rPr>
          <w:rFonts w:hint="eastAsia"/>
          <w:szCs w:val="21"/>
          <w:lang w:eastAsia="zh-CN"/>
        </w:rPr>
        <w:t>（</w:t>
      </w:r>
      <w:r>
        <w:rPr>
          <w:rFonts w:hint="eastAsia"/>
          <w:szCs w:val="21"/>
          <w:lang w:val="en-US" w:eastAsia="zh-CN"/>
        </w:rPr>
        <w:t>单位全称</w:t>
      </w:r>
      <w:r>
        <w:rPr>
          <w:rFonts w:hint="eastAsia"/>
          <w:szCs w:val="21"/>
          <w:lang w:eastAsia="zh-CN"/>
        </w:rPr>
        <w:t>）</w:t>
      </w:r>
      <w:r>
        <w:rPr>
          <w:rFonts w:hint="eastAsia"/>
          <w:szCs w:val="21"/>
        </w:rPr>
        <w:t>：</w:t>
      </w:r>
      <w:r>
        <w:rPr>
          <w:rFonts w:hint="eastAsia"/>
          <w:szCs w:val="21"/>
          <w:u w:val="thick"/>
        </w:rPr>
        <w:t xml:space="preserve">       </w:t>
      </w:r>
      <w:r>
        <w:rPr>
          <w:rFonts w:hint="eastAsia"/>
          <w:szCs w:val="21"/>
          <w:u w:val="thick"/>
          <w:lang w:val="en-US" w:eastAsia="zh-CN"/>
        </w:rPr>
        <w:t xml:space="preserve">                    </w:t>
      </w:r>
      <w:r>
        <w:rPr>
          <w:rFonts w:hint="eastAsia" w:eastAsia="宋体"/>
          <w:szCs w:val="21"/>
          <w:lang w:eastAsia="zh-CN"/>
        </w:rPr>
        <w:t>；</w:t>
      </w:r>
      <w:r>
        <w:rPr>
          <w:rFonts w:hint="eastAsia"/>
          <w:szCs w:val="21"/>
        </w:rPr>
        <w:t xml:space="preserve">  </w:t>
      </w:r>
    </w:p>
    <w:p w14:paraId="06008335">
      <w:pPr>
        <w:ind w:left="420" w:leftChars="200" w:firstLine="210" w:firstLineChars="100"/>
        <w:rPr>
          <w:rFonts w:hint="eastAsia"/>
          <w:szCs w:val="21"/>
          <w:u w:val="none"/>
          <w:lang w:eastAsia="zh-CN"/>
        </w:rPr>
      </w:pPr>
      <w:r>
        <w:rPr>
          <w:rFonts w:hint="eastAsia"/>
          <w:szCs w:val="21"/>
          <w:lang w:val="en-US" w:eastAsia="zh-CN"/>
        </w:rPr>
        <w:t>投标人</w:t>
      </w:r>
      <w:r>
        <w:rPr>
          <w:rFonts w:hint="eastAsia"/>
          <w:szCs w:val="21"/>
        </w:rPr>
        <w:t>单位地址：</w:t>
      </w:r>
      <w:r>
        <w:rPr>
          <w:rFonts w:hint="eastAsia"/>
          <w:szCs w:val="21"/>
          <w:u w:val="thick"/>
        </w:rPr>
        <w:t xml:space="preserve">       </w:t>
      </w:r>
      <w:r>
        <w:rPr>
          <w:rFonts w:hint="eastAsia" w:ascii="Times New Roman" w:eastAsia="宋体"/>
          <w:szCs w:val="21"/>
          <w:u w:val="thick"/>
          <w:lang w:val="en-US" w:eastAsia="zh-CN"/>
        </w:rPr>
        <w:t xml:space="preserve">          </w:t>
      </w:r>
      <w:r>
        <w:rPr>
          <w:rFonts w:hint="eastAsia"/>
          <w:szCs w:val="21"/>
          <w:u w:val="thick"/>
          <w:lang w:val="en-US" w:eastAsia="zh-CN"/>
        </w:rPr>
        <w:t xml:space="preserve"> </w:t>
      </w:r>
      <w:r>
        <w:rPr>
          <w:rFonts w:hint="eastAsia" w:ascii="Times New Roman" w:eastAsia="宋体"/>
          <w:szCs w:val="21"/>
          <w:u w:val="thick"/>
          <w:lang w:val="en-US" w:eastAsia="zh-CN"/>
        </w:rPr>
        <w:t xml:space="preserve">  </w:t>
      </w:r>
      <w:r>
        <w:rPr>
          <w:rFonts w:hint="eastAsia" w:eastAsia="宋体"/>
          <w:szCs w:val="21"/>
          <w:u w:val="none"/>
          <w:lang w:eastAsia="zh-CN"/>
        </w:rPr>
        <w:t>；</w:t>
      </w:r>
    </w:p>
    <w:p w14:paraId="00CF2392">
      <w:pPr>
        <w:ind w:left="420" w:leftChars="200" w:firstLine="210" w:firstLineChars="100"/>
        <w:rPr>
          <w:rFonts w:hint="eastAsia"/>
          <w:szCs w:val="21"/>
          <w:u w:val="none"/>
          <w:lang w:eastAsia="zh-CN"/>
        </w:rPr>
      </w:pPr>
      <w:r>
        <w:rPr>
          <w:rFonts w:hint="eastAsia"/>
          <w:szCs w:val="21"/>
        </w:rPr>
        <w:t>法定代表人（负责人）或其</w:t>
      </w:r>
      <w:r>
        <w:rPr>
          <w:rFonts w:hint="eastAsia" w:ascii="Times New Roman" w:eastAsia="宋体"/>
          <w:szCs w:val="21"/>
          <w:lang w:val="en-US" w:eastAsia="zh-CN"/>
        </w:rPr>
        <w:t>授权</w:t>
      </w:r>
      <w:r>
        <w:rPr>
          <w:rFonts w:hint="eastAsia"/>
          <w:szCs w:val="21"/>
        </w:rPr>
        <w:t>委托代理人：</w:t>
      </w:r>
      <w:r>
        <w:rPr>
          <w:rFonts w:hint="eastAsia"/>
          <w:szCs w:val="21"/>
          <w:u w:val="thick"/>
        </w:rPr>
        <w:t xml:space="preserve">       </w:t>
      </w:r>
      <w:r>
        <w:rPr>
          <w:rFonts w:hint="eastAsia"/>
          <w:szCs w:val="21"/>
          <w:u w:val="thick"/>
          <w:lang w:val="en-US" w:eastAsia="zh-CN"/>
        </w:rPr>
        <w:t xml:space="preserve">    </w:t>
      </w:r>
      <w:r>
        <w:rPr>
          <w:rFonts w:hint="eastAsia"/>
          <w:szCs w:val="21"/>
          <w:u w:val="thick"/>
        </w:rPr>
        <w:t xml:space="preserve"> </w:t>
      </w:r>
      <w:r>
        <w:rPr>
          <w:rFonts w:hint="eastAsia"/>
          <w:szCs w:val="21"/>
          <w:u w:val="thick"/>
          <w:lang w:val="en-US" w:eastAsia="zh-CN"/>
        </w:rPr>
        <w:t xml:space="preserve">         </w:t>
      </w:r>
      <w:r>
        <w:rPr>
          <w:rFonts w:hint="eastAsia"/>
          <w:szCs w:val="21"/>
          <w:u w:val="thick"/>
        </w:rPr>
        <w:t xml:space="preserve"> </w:t>
      </w:r>
      <w:r>
        <w:rPr>
          <w:rFonts w:hint="eastAsia" w:eastAsia="宋体"/>
          <w:szCs w:val="21"/>
          <w:u w:val="none"/>
          <w:lang w:eastAsia="zh-CN"/>
        </w:rPr>
        <w:t>；</w:t>
      </w:r>
    </w:p>
    <w:p w14:paraId="555646CC">
      <w:pPr>
        <w:ind w:left="420" w:leftChars="200" w:firstLine="210" w:firstLineChars="100"/>
        <w:rPr>
          <w:rFonts w:hint="eastAsia"/>
          <w:szCs w:val="21"/>
          <w:u w:val="thick"/>
        </w:rPr>
      </w:pPr>
      <w:r>
        <w:rPr>
          <w:rFonts w:hint="eastAsia"/>
          <w:szCs w:val="21"/>
          <w:lang w:val="en-US" w:eastAsia="zh-CN"/>
        </w:rPr>
        <w:t>联系</w:t>
      </w:r>
      <w:r>
        <w:rPr>
          <w:rFonts w:hint="eastAsia"/>
          <w:szCs w:val="21"/>
        </w:rPr>
        <w:t>电话</w:t>
      </w:r>
      <w:r>
        <w:rPr>
          <w:rFonts w:hint="eastAsia"/>
          <w:szCs w:val="21"/>
          <w:u w:val="none"/>
        </w:rPr>
        <w:t>：</w:t>
      </w:r>
      <w:r>
        <w:rPr>
          <w:rFonts w:hint="eastAsia"/>
          <w:szCs w:val="21"/>
          <w:u w:val="thick"/>
        </w:rPr>
        <w:t xml:space="preserve">        </w:t>
      </w:r>
      <w:r>
        <w:rPr>
          <w:rFonts w:hint="eastAsia" w:ascii="Times New Roman" w:eastAsia="宋体"/>
          <w:szCs w:val="21"/>
          <w:u w:val="thick"/>
          <w:lang w:val="en-US" w:eastAsia="zh-CN"/>
        </w:rPr>
        <w:t xml:space="preserve">          </w:t>
      </w:r>
      <w:r>
        <w:rPr>
          <w:rFonts w:hint="eastAsia"/>
          <w:szCs w:val="21"/>
          <w:u w:val="thick"/>
          <w:lang w:val="en-US" w:eastAsia="zh-CN"/>
        </w:rPr>
        <w:t xml:space="preserve"> </w:t>
      </w:r>
      <w:r>
        <w:rPr>
          <w:rFonts w:hint="eastAsia" w:ascii="Times New Roman" w:eastAsia="宋体"/>
          <w:szCs w:val="21"/>
          <w:u w:val="thick"/>
          <w:lang w:val="en-US" w:eastAsia="zh-CN"/>
        </w:rPr>
        <w:t xml:space="preserve">  </w:t>
      </w:r>
      <w:r>
        <w:rPr>
          <w:rFonts w:hint="eastAsia" w:eastAsia="宋体"/>
          <w:szCs w:val="21"/>
          <w:u w:val="none"/>
          <w:lang w:eastAsia="zh-CN"/>
        </w:rPr>
        <w:t>；</w:t>
      </w:r>
    </w:p>
    <w:p w14:paraId="6483DC15">
      <w:pPr>
        <w:ind w:left="420" w:leftChars="200" w:firstLine="210" w:firstLineChars="100"/>
        <w:rPr>
          <w:rFonts w:hint="eastAsia"/>
          <w:szCs w:val="21"/>
          <w:u w:val="none"/>
          <w:lang w:eastAsia="zh-CN"/>
        </w:rPr>
      </w:pPr>
      <w:r>
        <w:rPr>
          <w:rFonts w:hint="eastAsia" w:ascii="Times New Roman" w:eastAsia="宋体"/>
          <w:szCs w:val="21"/>
          <w:lang w:val="en-US" w:eastAsia="zh-CN"/>
        </w:rPr>
        <w:t>开户银行名称：</w:t>
      </w:r>
      <w:r>
        <w:rPr>
          <w:rFonts w:hint="eastAsia"/>
          <w:szCs w:val="21"/>
          <w:u w:val="thick"/>
        </w:rPr>
        <w:t xml:space="preserve">                       </w:t>
      </w:r>
      <w:r>
        <w:rPr>
          <w:rFonts w:hint="eastAsia"/>
          <w:szCs w:val="21"/>
          <w:u w:val="thick"/>
          <w:lang w:val="en-US" w:eastAsia="zh-CN"/>
        </w:rPr>
        <w:t xml:space="preserve">                         </w:t>
      </w:r>
      <w:r>
        <w:rPr>
          <w:rFonts w:hint="eastAsia"/>
          <w:szCs w:val="21"/>
          <w:u w:val="thick"/>
        </w:rPr>
        <w:t xml:space="preserve"> </w:t>
      </w:r>
      <w:r>
        <w:rPr>
          <w:rFonts w:hint="eastAsia" w:eastAsia="宋体"/>
          <w:szCs w:val="21"/>
          <w:u w:val="none"/>
          <w:lang w:eastAsia="zh-CN"/>
        </w:rPr>
        <w:t>；</w:t>
      </w:r>
    </w:p>
    <w:p w14:paraId="581371FC">
      <w:pPr>
        <w:ind w:left="420" w:leftChars="200" w:firstLine="210" w:firstLineChars="100"/>
        <w:rPr>
          <w:rFonts w:hint="eastAsia"/>
          <w:szCs w:val="21"/>
          <w:u w:val="thick"/>
          <w:lang w:eastAsia="zh-CN"/>
        </w:rPr>
      </w:pPr>
      <w:r>
        <w:rPr>
          <w:rFonts w:hint="eastAsia"/>
          <w:szCs w:val="21"/>
          <w:u w:val="none"/>
          <w:lang w:val="en-US" w:eastAsia="zh-CN"/>
        </w:rPr>
        <w:t>开户银行账号：</w:t>
      </w:r>
      <w:r>
        <w:rPr>
          <w:rFonts w:hint="eastAsia"/>
          <w:szCs w:val="21"/>
          <w:u w:val="thick"/>
        </w:rPr>
        <w:t xml:space="preserve">      </w:t>
      </w:r>
      <w:r>
        <w:rPr>
          <w:rFonts w:hint="eastAsia"/>
          <w:szCs w:val="21"/>
          <w:u w:val="thick"/>
          <w:lang w:val="en-US" w:eastAsia="zh-CN"/>
        </w:rPr>
        <w:t xml:space="preserve">            </w:t>
      </w:r>
      <w:r>
        <w:rPr>
          <w:rFonts w:hint="eastAsia"/>
          <w:szCs w:val="21"/>
          <w:u w:val="thick"/>
        </w:rPr>
        <w:t xml:space="preserve">     </w:t>
      </w:r>
      <w:r>
        <w:rPr>
          <w:rFonts w:hint="eastAsia"/>
          <w:szCs w:val="21"/>
          <w:u w:val="thick"/>
          <w:lang w:val="en-US" w:eastAsia="zh-CN"/>
        </w:rPr>
        <w:t xml:space="preserve">                          </w:t>
      </w:r>
      <w:r>
        <w:rPr>
          <w:rFonts w:hint="eastAsia"/>
          <w:szCs w:val="21"/>
          <w:u w:val="thick"/>
        </w:rPr>
        <w:t xml:space="preserve"> </w:t>
      </w:r>
      <w:r>
        <w:rPr>
          <w:rFonts w:hint="eastAsia"/>
          <w:szCs w:val="21"/>
          <w:u w:val="none"/>
          <w:lang w:eastAsia="zh-CN"/>
        </w:rPr>
        <w:t>；</w:t>
      </w:r>
    </w:p>
    <w:p w14:paraId="350CB5F0">
      <w:pPr>
        <w:ind w:left="420" w:leftChars="200" w:firstLine="210" w:firstLineChars="100"/>
        <w:rPr>
          <w:rFonts w:hint="eastAsia"/>
          <w:szCs w:val="21"/>
          <w:u w:val="none"/>
          <w:lang w:eastAsia="zh-CN"/>
        </w:rPr>
      </w:pPr>
      <w:r>
        <w:rPr>
          <w:rFonts w:hint="eastAsia"/>
          <w:szCs w:val="21"/>
          <w:u w:val="none"/>
          <w:lang w:val="en-US" w:eastAsia="zh-CN"/>
        </w:rPr>
        <w:t>开户银行地址：</w:t>
      </w:r>
      <w:r>
        <w:rPr>
          <w:rFonts w:hint="eastAsia"/>
          <w:szCs w:val="21"/>
          <w:u w:val="thick"/>
        </w:rPr>
        <w:t xml:space="preserve">      </w:t>
      </w:r>
      <w:r>
        <w:rPr>
          <w:rFonts w:hint="eastAsia"/>
          <w:szCs w:val="21"/>
          <w:u w:val="thick"/>
          <w:lang w:val="en-US" w:eastAsia="zh-CN"/>
        </w:rPr>
        <w:t xml:space="preserve">            </w:t>
      </w:r>
      <w:r>
        <w:rPr>
          <w:rFonts w:hint="eastAsia"/>
          <w:szCs w:val="21"/>
          <w:u w:val="thick"/>
        </w:rPr>
        <w:t xml:space="preserve">      </w:t>
      </w:r>
      <w:r>
        <w:rPr>
          <w:rFonts w:hint="eastAsia"/>
          <w:szCs w:val="21"/>
          <w:u w:val="thick"/>
          <w:lang w:val="en-US" w:eastAsia="zh-CN"/>
        </w:rPr>
        <w:t xml:space="preserve">                          </w:t>
      </w:r>
      <w:r>
        <w:rPr>
          <w:rFonts w:hint="eastAsia"/>
          <w:szCs w:val="21"/>
          <w:u w:val="none"/>
          <w:lang w:eastAsia="zh-CN"/>
        </w:rPr>
        <w:t>。</w:t>
      </w:r>
    </w:p>
    <w:p w14:paraId="18097D0E">
      <w:pPr>
        <w:ind w:left="420" w:leftChars="200" w:firstLine="210" w:firstLineChars="100"/>
        <w:rPr>
          <w:rFonts w:hint="eastAsia"/>
          <w:szCs w:val="21"/>
          <w:u w:val="none"/>
        </w:rPr>
      </w:pPr>
      <w:r>
        <w:rPr>
          <w:rFonts w:hint="eastAsia"/>
          <w:szCs w:val="21"/>
          <w:u w:val="none"/>
        </w:rPr>
        <w:t xml:space="preserve"> </w:t>
      </w:r>
      <w:r>
        <w:rPr>
          <w:rFonts w:hint="eastAsia" w:ascii="宋体" w:hAnsi="宋体" w:eastAsiaTheme="minorEastAsia"/>
          <w:b/>
          <w:bCs/>
          <w:color w:val="FF0000"/>
          <w:spacing w:val="-4"/>
          <w:kern w:val="0"/>
          <w:szCs w:val="21"/>
          <w:lang w:val="en-US" w:eastAsia="zh-CN"/>
        </w:rPr>
        <w:t>注：本项填写内容作为订单融资开展的参考信息，</w:t>
      </w:r>
      <w:r>
        <w:rPr>
          <w:rFonts w:hint="eastAsia" w:ascii="宋体" w:hAnsi="宋体" w:eastAsiaTheme="minorEastAsia"/>
          <w:b/>
          <w:bCs/>
          <w:color w:val="FF0000"/>
          <w:spacing w:val="-4"/>
          <w:kern w:val="0"/>
          <w:szCs w:val="21"/>
        </w:rPr>
        <w:t>不作为供应商资格性审查及符合性审查条件。</w:t>
      </w:r>
    </w:p>
    <w:p w14:paraId="0D56CD5F">
      <w:pPr>
        <w:widowControl/>
        <w:autoSpaceDE w:val="0"/>
        <w:autoSpaceDN w:val="0"/>
        <w:spacing w:line="400" w:lineRule="exact"/>
        <w:ind w:right="1414" w:firstLine="480" w:firstLineChars="200"/>
        <w:jc w:val="right"/>
        <w:rPr>
          <w:rFonts w:eastAsiaTheme="minorEastAsia"/>
          <w:kern w:val="0"/>
          <w:sz w:val="24"/>
        </w:rPr>
      </w:pPr>
    </w:p>
    <w:p w14:paraId="0B4BB2A3">
      <w:pPr>
        <w:widowControl/>
        <w:autoSpaceDE w:val="0"/>
        <w:autoSpaceDN w:val="0"/>
        <w:spacing w:line="400" w:lineRule="exact"/>
        <w:ind w:right="1414" w:firstLine="480" w:firstLineChars="200"/>
        <w:jc w:val="right"/>
        <w:rPr>
          <w:rFonts w:eastAsiaTheme="minorEastAsia"/>
          <w:kern w:val="0"/>
          <w:sz w:val="24"/>
        </w:rPr>
      </w:pPr>
    </w:p>
    <w:p w14:paraId="02A260CD">
      <w:pPr>
        <w:ind w:firstLine="720" w:firstLineChars="300"/>
        <w:rPr>
          <w:sz w:val="24"/>
        </w:rPr>
      </w:pPr>
    </w:p>
    <w:p w14:paraId="17882263">
      <w:pPr>
        <w:widowControl/>
        <w:spacing w:line="360" w:lineRule="auto"/>
        <w:jc w:val="left"/>
        <w:rPr>
          <w:rFonts w:eastAsiaTheme="minorEastAsia"/>
          <w:b/>
          <w:bCs/>
          <w:kern w:val="0"/>
          <w:sz w:val="24"/>
        </w:rPr>
      </w:pPr>
    </w:p>
    <w:p w14:paraId="1594FB7D">
      <w:pPr>
        <w:widowControl/>
        <w:jc w:val="center"/>
        <w:rPr>
          <w:rFonts w:ascii="黑体" w:hAnsi="宋体" w:eastAsia="黑体"/>
          <w:kern w:val="0"/>
          <w:sz w:val="24"/>
          <w:szCs w:val="20"/>
        </w:rPr>
      </w:pPr>
      <w:r>
        <w:rPr>
          <w:rFonts w:hint="eastAsia" w:ascii="黑体" w:hAnsi="宋体" w:eastAsia="黑体"/>
          <w:kern w:val="0"/>
          <w:sz w:val="24"/>
          <w:szCs w:val="20"/>
        </w:rPr>
        <w:t>（</w:t>
      </w:r>
      <w:r>
        <w:rPr>
          <w:rFonts w:hint="eastAsia" w:ascii="黑体" w:hAnsi="宋体" w:eastAsia="黑体"/>
          <w:kern w:val="0"/>
          <w:sz w:val="24"/>
          <w:szCs w:val="20"/>
          <w:lang w:val="en-US" w:eastAsia="zh-CN"/>
        </w:rPr>
        <w:t>三</w:t>
      </w:r>
      <w:r>
        <w:rPr>
          <w:rFonts w:hint="eastAsia" w:ascii="黑体" w:hAnsi="宋体" w:eastAsia="黑体"/>
          <w:kern w:val="0"/>
          <w:sz w:val="24"/>
          <w:szCs w:val="20"/>
        </w:rPr>
        <w:t>）投标人认为需要加以说明的其他内容（格式自定）</w:t>
      </w:r>
    </w:p>
    <w:p w14:paraId="7B3BA008"/>
    <w:p w14:paraId="3EA71F2F">
      <w:pPr>
        <w:pStyle w:val="19"/>
        <w:sectPr>
          <w:pgSz w:w="11907" w:h="16840"/>
          <w:pgMar w:top="1440" w:right="1797" w:bottom="1440" w:left="1797" w:header="851" w:footer="992" w:gutter="0"/>
          <w:cols w:space="425" w:num="1"/>
          <w:titlePg/>
          <w:docGrid w:linePitch="462" w:charSpace="0"/>
        </w:sectPr>
      </w:pPr>
    </w:p>
    <w:p w14:paraId="69472782">
      <w:pPr>
        <w:pStyle w:val="19"/>
      </w:pPr>
    </w:p>
    <w:p w14:paraId="3F80AAEE">
      <w:pPr>
        <w:pStyle w:val="5"/>
      </w:pPr>
      <w:r>
        <w:rPr>
          <w:rFonts w:hint="eastAsia"/>
        </w:rPr>
        <w:t>第五章  合同条款及格式</w:t>
      </w:r>
    </w:p>
    <w:p w14:paraId="1FA0F67E">
      <w:pPr>
        <w:ind w:firstLine="411" w:firstLineChars="196"/>
      </w:pPr>
    </w:p>
    <w:p w14:paraId="5798A5D7">
      <w:pPr>
        <w:jc w:val="center"/>
        <w:outlineLvl w:val="9"/>
      </w:pPr>
      <w:r>
        <w:rPr>
          <w:rFonts w:hint="eastAsia"/>
          <w:b/>
          <w:sz w:val="24"/>
        </w:rPr>
        <w:t>（仅供参考，具体以项目需求及采购结果为准）</w:t>
      </w:r>
    </w:p>
    <w:p w14:paraId="562F4A66">
      <w:pPr>
        <w:rPr>
          <w:rFonts w:ascii="宋体" w:hAnsi="宋体"/>
          <w:b/>
          <w:bCs/>
          <w:szCs w:val="21"/>
        </w:rPr>
      </w:pPr>
      <w:r>
        <w:rPr>
          <w:rFonts w:hint="eastAsia" w:ascii="宋体" w:hAnsi="宋体"/>
          <w:b/>
          <w:bCs/>
          <w:szCs w:val="21"/>
        </w:rPr>
        <w:t>甲方：</w:t>
      </w:r>
    </w:p>
    <w:p w14:paraId="6B6B3A8D">
      <w:pPr>
        <w:rPr>
          <w:rFonts w:ascii="宋体" w:hAnsi="宋体"/>
          <w:szCs w:val="21"/>
        </w:rPr>
      </w:pPr>
      <w:r>
        <w:rPr>
          <w:rFonts w:hint="eastAsia" w:ascii="宋体" w:hAnsi="宋体"/>
          <w:szCs w:val="21"/>
        </w:rPr>
        <w:t>地址：</w:t>
      </w:r>
    </w:p>
    <w:p w14:paraId="74B07530">
      <w:pPr>
        <w:rPr>
          <w:rFonts w:ascii="宋体" w:hAnsi="宋体"/>
          <w:szCs w:val="21"/>
        </w:rPr>
      </w:pPr>
      <w:r>
        <w:rPr>
          <w:rFonts w:hint="eastAsia" w:ascii="宋体" w:hAnsi="宋体"/>
          <w:szCs w:val="21"/>
        </w:rPr>
        <w:t>联系人：</w:t>
      </w:r>
      <w:r>
        <w:rPr>
          <w:rFonts w:ascii="宋体" w:hAnsi="宋体"/>
          <w:szCs w:val="21"/>
        </w:rPr>
        <w:t xml:space="preserve">                          </w:t>
      </w:r>
    </w:p>
    <w:p w14:paraId="065E42A4">
      <w:pPr>
        <w:rPr>
          <w:rFonts w:ascii="宋体" w:hAnsi="宋体"/>
          <w:b/>
          <w:bCs/>
          <w:szCs w:val="21"/>
        </w:rPr>
      </w:pPr>
      <w:r>
        <w:rPr>
          <w:rFonts w:hint="eastAsia" w:ascii="宋体" w:hAnsi="宋体"/>
          <w:szCs w:val="21"/>
        </w:rPr>
        <w:t>联系电话：</w:t>
      </w:r>
    </w:p>
    <w:p w14:paraId="48DFEA87">
      <w:pPr>
        <w:rPr>
          <w:rFonts w:ascii="宋体" w:hAnsi="宋体"/>
          <w:b/>
          <w:bCs/>
          <w:szCs w:val="21"/>
        </w:rPr>
      </w:pPr>
      <w:r>
        <w:rPr>
          <w:rFonts w:ascii="宋体" w:hAnsi="宋体"/>
          <w:b/>
          <w:bCs/>
          <w:szCs w:val="21"/>
        </w:rPr>
        <w:t xml:space="preserve"> </w:t>
      </w:r>
      <w:r>
        <w:rPr>
          <w:rFonts w:hint="eastAsia" w:ascii="宋体" w:hAnsi="宋体"/>
          <w:b/>
          <w:bCs/>
          <w:szCs w:val="21"/>
        </w:rPr>
        <w:t xml:space="preserve"> </w:t>
      </w:r>
      <w:r>
        <w:rPr>
          <w:rFonts w:ascii="宋体" w:hAnsi="宋体"/>
          <w:b/>
          <w:bCs/>
          <w:szCs w:val="21"/>
        </w:rPr>
        <w:t xml:space="preserve"> </w:t>
      </w:r>
    </w:p>
    <w:p w14:paraId="2C5656CE">
      <w:pPr>
        <w:rPr>
          <w:rFonts w:ascii="宋体" w:hAnsi="宋体"/>
          <w:b/>
          <w:bCs/>
          <w:szCs w:val="21"/>
        </w:rPr>
      </w:pPr>
      <w:r>
        <w:rPr>
          <w:rFonts w:hint="eastAsia" w:ascii="宋体" w:hAnsi="宋体"/>
          <w:b/>
          <w:bCs/>
          <w:szCs w:val="21"/>
        </w:rPr>
        <w:t>乙方：</w:t>
      </w:r>
    </w:p>
    <w:p w14:paraId="7D998F52">
      <w:pPr>
        <w:rPr>
          <w:rFonts w:ascii="宋体" w:hAnsi="宋体"/>
          <w:szCs w:val="21"/>
        </w:rPr>
      </w:pPr>
      <w:r>
        <w:rPr>
          <w:rFonts w:hint="eastAsia" w:ascii="宋体" w:hAnsi="宋体"/>
          <w:szCs w:val="21"/>
        </w:rPr>
        <w:t>地址：</w:t>
      </w:r>
    </w:p>
    <w:p w14:paraId="1430FC12">
      <w:pPr>
        <w:rPr>
          <w:rFonts w:ascii="宋体" w:hAnsi="宋体"/>
          <w:szCs w:val="21"/>
        </w:rPr>
      </w:pPr>
      <w:r>
        <w:rPr>
          <w:rFonts w:hint="eastAsia" w:ascii="宋体" w:hAnsi="宋体"/>
          <w:szCs w:val="21"/>
        </w:rPr>
        <w:t>联系人：</w:t>
      </w:r>
      <w:r>
        <w:rPr>
          <w:rFonts w:ascii="宋体" w:hAnsi="宋体"/>
          <w:szCs w:val="21"/>
        </w:rPr>
        <w:t xml:space="preserve">                          </w:t>
      </w:r>
    </w:p>
    <w:p w14:paraId="10BB46F2">
      <w:pPr>
        <w:rPr>
          <w:rFonts w:ascii="宋体" w:hAnsi="宋体"/>
          <w:b/>
          <w:bCs/>
          <w:szCs w:val="21"/>
        </w:rPr>
      </w:pPr>
      <w:r>
        <w:rPr>
          <w:rFonts w:hint="eastAsia" w:ascii="宋体" w:hAnsi="宋体"/>
          <w:szCs w:val="21"/>
        </w:rPr>
        <w:t>联系电话：</w:t>
      </w:r>
    </w:p>
    <w:p w14:paraId="2D86BEC7">
      <w:pPr>
        <w:rPr>
          <w:rFonts w:ascii="宋体" w:hAnsi="宋体"/>
          <w:szCs w:val="21"/>
        </w:rPr>
      </w:pPr>
      <w:r>
        <w:rPr>
          <w:rFonts w:ascii="宋体" w:hAnsi="宋体"/>
          <w:b/>
          <w:bCs/>
          <w:szCs w:val="21"/>
        </w:rPr>
        <w:t xml:space="preserve">            </w:t>
      </w:r>
      <w:r>
        <w:rPr>
          <w:rFonts w:hint="eastAsia" w:ascii="宋体" w:hAnsi="宋体"/>
          <w:b/>
          <w:bCs/>
          <w:szCs w:val="21"/>
        </w:rPr>
        <w:t xml:space="preserve">          </w:t>
      </w:r>
    </w:p>
    <w:p w14:paraId="4CAC2220">
      <w:pPr>
        <w:rPr>
          <w:rFonts w:ascii="宋体" w:hAnsi="宋体"/>
          <w:szCs w:val="21"/>
        </w:rPr>
      </w:pPr>
    </w:p>
    <w:p w14:paraId="61FF4D85">
      <w:pPr>
        <w:ind w:firstLine="420" w:firstLineChars="200"/>
        <w:rPr>
          <w:rFonts w:ascii="宋体" w:hAnsi="宋体"/>
          <w:szCs w:val="21"/>
        </w:rPr>
      </w:pPr>
      <w:r>
        <w:rPr>
          <w:rFonts w:hint="eastAsia" w:ascii="宋体" w:hAnsi="宋体"/>
          <w:szCs w:val="21"/>
        </w:rPr>
        <w:t>根据深圳公共资源交易中心（深圳交易集团有限公司*</w:t>
      </w:r>
      <w:r>
        <w:rPr>
          <w:rFonts w:ascii="宋体" w:hAnsi="宋体"/>
          <w:szCs w:val="21"/>
        </w:rPr>
        <w:t>**</w:t>
      </w:r>
      <w:r>
        <w:rPr>
          <w:rFonts w:hint="eastAsia" w:ascii="宋体" w:hAnsi="宋体"/>
          <w:szCs w:val="21"/>
        </w:rPr>
        <w:t>分公司）*</w:t>
      </w:r>
      <w:r>
        <w:rPr>
          <w:rFonts w:ascii="宋体" w:hAnsi="宋体"/>
          <w:szCs w:val="21"/>
        </w:rPr>
        <w:t>**</w:t>
      </w:r>
      <w:r>
        <w:rPr>
          <w:rFonts w:hint="eastAsia" w:ascii="宋体" w:hAnsi="宋体"/>
          <w:szCs w:val="21"/>
        </w:rPr>
        <w:t>号项目结果，*</w:t>
      </w:r>
      <w:r>
        <w:rPr>
          <w:rFonts w:ascii="宋体" w:hAnsi="宋体"/>
          <w:szCs w:val="21"/>
        </w:rPr>
        <w:t>**</w:t>
      </w:r>
      <w:r>
        <w:rPr>
          <w:rFonts w:hint="eastAsia" w:ascii="宋体" w:hAnsi="宋体"/>
          <w:szCs w:val="21"/>
        </w:rPr>
        <w:t>单位为中标人。按照《中华人民共和国民法典》（第三编 合同）和《深圳经济特区政府采购条例》，经深圳市（以下简称甲方）和单位（以下简称乙方）协商，就甲方委托乙方承担</w:t>
      </w:r>
      <w:r>
        <w:rPr>
          <w:rFonts w:hint="eastAsia" w:ascii="宋体" w:hAnsi="宋体"/>
          <w:b/>
          <w:bCs/>
          <w:snapToGrid w:val="0"/>
          <w:kern w:val="0"/>
          <w:szCs w:val="21"/>
          <w:u w:val="single"/>
          <w:lang w:val="zh-CN"/>
        </w:rPr>
        <w:t xml:space="preserve">                      服务项目</w:t>
      </w:r>
      <w:r>
        <w:rPr>
          <w:rFonts w:hint="eastAsia" w:ascii="宋体" w:hAnsi="宋体"/>
          <w:szCs w:val="21"/>
        </w:rPr>
        <w:t>，达成以下合同条款：</w:t>
      </w:r>
    </w:p>
    <w:p w14:paraId="2C2BA00B">
      <w:pPr>
        <w:ind w:firstLine="422" w:firstLineChars="200"/>
        <w:rPr>
          <w:rFonts w:ascii="宋体" w:hAnsi="宋体"/>
          <w:b/>
          <w:bCs/>
          <w:szCs w:val="21"/>
        </w:rPr>
      </w:pPr>
      <w:r>
        <w:rPr>
          <w:rFonts w:hint="eastAsia" w:ascii="宋体" w:hAnsi="宋体"/>
          <w:b/>
          <w:bCs/>
          <w:szCs w:val="21"/>
        </w:rPr>
        <w:t>第一条　项目概况</w:t>
      </w:r>
    </w:p>
    <w:p w14:paraId="11994FA6">
      <w:pPr>
        <w:ind w:firstLine="420" w:firstLineChars="200"/>
        <w:rPr>
          <w:rFonts w:ascii="宋体" w:hAnsi="宋体"/>
          <w:szCs w:val="21"/>
        </w:rPr>
      </w:pPr>
      <w:r>
        <w:rPr>
          <w:rFonts w:hint="eastAsia" w:ascii="宋体" w:hAnsi="宋体"/>
          <w:szCs w:val="21"/>
        </w:rPr>
        <w:t xml:space="preserve">项目名称： </w:t>
      </w:r>
    </w:p>
    <w:p w14:paraId="7042358A">
      <w:pPr>
        <w:ind w:firstLine="420" w:firstLineChars="200"/>
        <w:rPr>
          <w:rFonts w:ascii="宋体" w:hAnsi="宋体"/>
          <w:szCs w:val="21"/>
        </w:rPr>
      </w:pPr>
      <w:r>
        <w:rPr>
          <w:rFonts w:hint="eastAsia" w:ascii="宋体" w:hAnsi="宋体"/>
          <w:szCs w:val="21"/>
        </w:rPr>
        <w:t xml:space="preserve">项目内容： </w:t>
      </w:r>
    </w:p>
    <w:p w14:paraId="62BFF2C7">
      <w:pPr>
        <w:ind w:firstLine="420" w:firstLineChars="200"/>
        <w:rPr>
          <w:rFonts w:ascii="宋体" w:hAnsi="宋体"/>
          <w:szCs w:val="21"/>
        </w:rPr>
      </w:pPr>
      <w:r>
        <w:rPr>
          <w:rFonts w:hint="eastAsia" w:ascii="宋体" w:hAnsi="宋体"/>
          <w:szCs w:val="21"/>
        </w:rPr>
        <w:t xml:space="preserve">服务时间： </w:t>
      </w:r>
    </w:p>
    <w:p w14:paraId="4181A0AD">
      <w:pPr>
        <w:ind w:firstLine="420" w:firstLineChars="200"/>
        <w:rPr>
          <w:rFonts w:ascii="宋体" w:hAnsi="宋体"/>
          <w:szCs w:val="21"/>
        </w:rPr>
      </w:pPr>
      <w:r>
        <w:rPr>
          <w:rFonts w:hint="eastAsia" w:ascii="宋体" w:hAnsi="宋体"/>
          <w:szCs w:val="21"/>
        </w:rPr>
        <w:t>合同价款：合同总价为元，含一切税、费。</w:t>
      </w:r>
      <w:r>
        <w:t>本合同总价包括</w:t>
      </w:r>
      <w:r>
        <w:rPr>
          <w:rFonts w:hint="eastAsia" w:ascii="宋体" w:hAnsi="宋体"/>
          <w:szCs w:val="21"/>
        </w:rPr>
        <w:t>乙方为实施本项目*</w:t>
      </w:r>
      <w:r>
        <w:rPr>
          <w:rFonts w:ascii="宋体" w:hAnsi="宋体"/>
          <w:szCs w:val="21"/>
        </w:rPr>
        <w:t>**</w:t>
      </w:r>
      <w:r>
        <w:rPr>
          <w:rFonts w:hint="eastAsia" w:ascii="宋体" w:hAnsi="宋体"/>
          <w:szCs w:val="21"/>
        </w:rPr>
        <w:t>所需的设备仪器费、车辆租赁费、</w:t>
      </w:r>
      <w:r>
        <w:t>服务</w:t>
      </w:r>
      <w:r>
        <w:rPr>
          <w:rFonts w:hint="eastAsia"/>
        </w:rPr>
        <w:t>和</w:t>
      </w:r>
      <w:r>
        <w:t>技术费用</w:t>
      </w:r>
      <w:r>
        <w:rPr>
          <w:rFonts w:hint="eastAsia"/>
        </w:rPr>
        <w:t>等</w:t>
      </w:r>
      <w:r>
        <w:t>，为固定不变价格，且不随通货膨胀的影响而波动。合同总价包括</w:t>
      </w:r>
      <w:r>
        <w:rPr>
          <w:rFonts w:hint="eastAsia" w:ascii="宋体" w:hAnsi="宋体"/>
          <w:szCs w:val="21"/>
        </w:rPr>
        <w:t>乙方</w:t>
      </w:r>
      <w:r>
        <w:t>履行本合同义务所发生的一切费用和支出和以各种方式寄送技术资料到</w:t>
      </w:r>
      <w:r>
        <w:rPr>
          <w:rFonts w:hint="eastAsia"/>
        </w:rPr>
        <w:t>甲</w:t>
      </w:r>
      <w:r>
        <w:t>方办公室所发生的费用。</w:t>
      </w:r>
    </w:p>
    <w:p w14:paraId="7DD8A560">
      <w:pPr>
        <w:pStyle w:val="2"/>
        <w:rPr>
          <w:rFonts w:ascii="宋体" w:hAnsi="宋体"/>
          <w:szCs w:val="21"/>
        </w:rPr>
      </w:pPr>
      <w:r>
        <w:rPr>
          <w:rFonts w:hint="eastAsia" w:ascii="宋体" w:hAnsi="宋体"/>
          <w:szCs w:val="21"/>
        </w:rPr>
        <w:t>支付方式：分期支付。</w:t>
      </w:r>
    </w:p>
    <w:p w14:paraId="234D8170">
      <w:pPr>
        <w:ind w:firstLine="422" w:firstLineChars="200"/>
        <w:rPr>
          <w:rFonts w:ascii="宋体" w:hAnsi="宋体"/>
          <w:b/>
          <w:bCs/>
          <w:szCs w:val="21"/>
        </w:rPr>
      </w:pPr>
      <w:r>
        <w:rPr>
          <w:rFonts w:hint="eastAsia" w:ascii="宋体" w:hAnsi="宋体"/>
          <w:b/>
          <w:bCs/>
          <w:szCs w:val="21"/>
        </w:rPr>
        <w:t>第二条  服务范围</w:t>
      </w:r>
    </w:p>
    <w:p w14:paraId="56A8B3B4">
      <w:pPr>
        <w:ind w:firstLine="420" w:firstLineChars="200"/>
        <w:rPr>
          <w:rFonts w:ascii="宋体" w:hAnsi="宋体"/>
          <w:szCs w:val="21"/>
        </w:rPr>
      </w:pPr>
      <w:r>
        <w:rPr>
          <w:rFonts w:hint="eastAsia" w:ascii="宋体" w:hAnsi="宋体"/>
          <w:szCs w:val="21"/>
        </w:rPr>
        <w:t>1</w:t>
      </w:r>
      <w:r>
        <w:rPr>
          <w:rFonts w:hint="eastAsia" w:ascii="宋体" w:hAnsi="宋体"/>
          <w:szCs w:val="21"/>
          <w:lang w:val="en-US" w:eastAsia="zh-CN"/>
        </w:rPr>
        <w:t>.</w:t>
      </w:r>
      <w:r>
        <w:rPr>
          <w:rFonts w:hint="eastAsia" w:ascii="宋体" w:hAnsi="宋体"/>
          <w:szCs w:val="21"/>
        </w:rPr>
        <w:t xml:space="preserve">  </w:t>
      </w:r>
    </w:p>
    <w:p w14:paraId="54DA5F06">
      <w:pPr>
        <w:ind w:firstLine="420" w:firstLineChars="200"/>
        <w:rPr>
          <w:rFonts w:ascii="宋体" w:hAnsi="宋体"/>
          <w:szCs w:val="21"/>
        </w:rPr>
      </w:pPr>
      <w:r>
        <w:rPr>
          <w:rFonts w:hint="eastAsia" w:ascii="宋体" w:hAnsi="宋体"/>
          <w:szCs w:val="21"/>
        </w:rPr>
        <w:t>2</w:t>
      </w:r>
      <w:r>
        <w:rPr>
          <w:rFonts w:hint="eastAsia" w:ascii="宋体" w:hAnsi="宋体"/>
          <w:szCs w:val="21"/>
          <w:lang w:val="en-US" w:eastAsia="zh-CN"/>
        </w:rPr>
        <w:t>.</w:t>
      </w:r>
      <w:r>
        <w:rPr>
          <w:rFonts w:hint="eastAsia" w:ascii="宋体" w:hAnsi="宋体"/>
          <w:szCs w:val="21"/>
        </w:rPr>
        <w:t xml:space="preserve">  </w:t>
      </w:r>
    </w:p>
    <w:p w14:paraId="21F36084">
      <w:pPr>
        <w:ind w:firstLine="420" w:firstLineChars="200"/>
        <w:rPr>
          <w:rFonts w:ascii="宋体" w:hAnsi="宋体"/>
          <w:szCs w:val="21"/>
        </w:rPr>
      </w:pPr>
      <w:r>
        <w:rPr>
          <w:rFonts w:hint="eastAsia" w:ascii="宋体" w:hAnsi="宋体"/>
          <w:szCs w:val="21"/>
        </w:rPr>
        <w:t>3</w:t>
      </w:r>
      <w:r>
        <w:rPr>
          <w:rFonts w:hint="eastAsia" w:ascii="宋体" w:hAnsi="宋体"/>
          <w:szCs w:val="21"/>
          <w:lang w:val="en-US" w:eastAsia="zh-CN"/>
        </w:rPr>
        <w:t>.</w:t>
      </w:r>
      <w:r>
        <w:rPr>
          <w:rFonts w:hint="eastAsia" w:ascii="宋体" w:hAnsi="宋体"/>
          <w:szCs w:val="21"/>
        </w:rPr>
        <w:t xml:space="preserve">  </w:t>
      </w:r>
    </w:p>
    <w:p w14:paraId="1A04E761">
      <w:pPr>
        <w:ind w:firstLine="420" w:firstLineChars="200"/>
        <w:rPr>
          <w:rFonts w:ascii="宋体" w:hAnsi="宋体"/>
          <w:szCs w:val="21"/>
        </w:rPr>
      </w:pPr>
      <w:r>
        <w:rPr>
          <w:rFonts w:hint="eastAsia" w:ascii="宋体" w:hAnsi="宋体"/>
          <w:szCs w:val="21"/>
        </w:rPr>
        <w:t>4</w:t>
      </w:r>
      <w:r>
        <w:rPr>
          <w:rFonts w:hint="eastAsia" w:ascii="宋体" w:hAnsi="宋体"/>
          <w:szCs w:val="21"/>
          <w:lang w:val="en-US" w:eastAsia="zh-CN"/>
        </w:rPr>
        <w:t>.</w:t>
      </w:r>
      <w:r>
        <w:rPr>
          <w:rFonts w:hint="eastAsia" w:ascii="宋体" w:hAnsi="宋体"/>
          <w:szCs w:val="21"/>
        </w:rPr>
        <w:t xml:space="preserve"> 其他合同未明示的相关工作。</w:t>
      </w:r>
    </w:p>
    <w:p w14:paraId="09F244A0">
      <w:pPr>
        <w:ind w:firstLine="422" w:firstLineChars="200"/>
        <w:rPr>
          <w:rFonts w:ascii="宋体" w:hAnsi="宋体"/>
          <w:b/>
          <w:bCs/>
          <w:szCs w:val="21"/>
        </w:rPr>
      </w:pPr>
      <w:r>
        <w:rPr>
          <w:rFonts w:hint="eastAsia" w:ascii="宋体" w:hAnsi="宋体"/>
          <w:b/>
          <w:bCs/>
          <w:szCs w:val="21"/>
        </w:rPr>
        <w:t>第三条  时间要求及阶段成果</w:t>
      </w:r>
    </w:p>
    <w:p w14:paraId="7D67851C">
      <w:pPr>
        <w:ind w:firstLine="420" w:firstLineChars="200"/>
        <w:rPr>
          <w:rFonts w:ascii="宋体" w:hAnsi="宋体"/>
          <w:szCs w:val="21"/>
        </w:rPr>
      </w:pPr>
      <w:r>
        <w:rPr>
          <w:rFonts w:hint="eastAsia" w:ascii="宋体" w:hAnsi="宋体"/>
          <w:szCs w:val="21"/>
        </w:rPr>
        <w:t>1</w:t>
      </w:r>
      <w:r>
        <w:rPr>
          <w:rFonts w:hint="eastAsia" w:ascii="宋体" w:hAnsi="宋体"/>
          <w:szCs w:val="21"/>
          <w:lang w:val="en-US" w:eastAsia="zh-CN"/>
        </w:rPr>
        <w:t>.</w:t>
      </w:r>
      <w:r>
        <w:rPr>
          <w:rFonts w:hint="eastAsia" w:ascii="宋体" w:hAnsi="宋体"/>
          <w:szCs w:val="21"/>
        </w:rPr>
        <w:t>合同签订天内完成项目实施的准备工作，包括工作大纲和试验细则的编制；</w:t>
      </w:r>
    </w:p>
    <w:p w14:paraId="03C7DF3C">
      <w:pPr>
        <w:ind w:firstLine="420" w:firstLineChars="200"/>
        <w:rPr>
          <w:rFonts w:ascii="宋体" w:hAnsi="宋体"/>
          <w:szCs w:val="21"/>
        </w:rPr>
      </w:pPr>
      <w:r>
        <w:rPr>
          <w:rFonts w:hint="eastAsia" w:ascii="宋体" w:hAnsi="宋体"/>
          <w:szCs w:val="21"/>
        </w:rPr>
        <w:t>2</w:t>
      </w:r>
      <w:r>
        <w:rPr>
          <w:rFonts w:hint="eastAsia" w:ascii="宋体" w:hAnsi="宋体"/>
          <w:szCs w:val="21"/>
          <w:lang w:val="en-US" w:eastAsia="zh-CN"/>
        </w:rPr>
        <w:t>.</w:t>
      </w:r>
      <w:r>
        <w:rPr>
          <w:rFonts w:hint="eastAsia" w:ascii="宋体" w:hAnsi="宋体"/>
          <w:szCs w:val="21"/>
        </w:rPr>
        <w:t xml:space="preserve"> </w:t>
      </w:r>
    </w:p>
    <w:p w14:paraId="37C022EF">
      <w:pPr>
        <w:ind w:firstLine="420" w:firstLineChars="200"/>
        <w:rPr>
          <w:rFonts w:hint="eastAsia" w:ascii="宋体" w:hAnsi="宋体" w:eastAsia="宋体"/>
          <w:szCs w:val="21"/>
          <w:lang w:eastAsia="zh-CN"/>
        </w:rPr>
      </w:pPr>
      <w:r>
        <w:rPr>
          <w:rFonts w:hint="eastAsia" w:ascii="宋体" w:hAnsi="宋体"/>
          <w:szCs w:val="21"/>
        </w:rPr>
        <w:t>3</w:t>
      </w:r>
      <w:r>
        <w:rPr>
          <w:rFonts w:hint="eastAsia" w:ascii="宋体" w:hAnsi="宋体"/>
          <w:szCs w:val="21"/>
          <w:lang w:val="en-US" w:eastAsia="zh-CN"/>
        </w:rPr>
        <w:t>.</w:t>
      </w:r>
    </w:p>
    <w:p w14:paraId="0173E058">
      <w:pPr>
        <w:ind w:firstLine="420" w:firstLineChars="200"/>
        <w:rPr>
          <w:rFonts w:hint="eastAsia" w:ascii="宋体" w:hAnsi="宋体" w:eastAsia="宋体"/>
          <w:szCs w:val="21"/>
          <w:lang w:eastAsia="zh-CN"/>
        </w:rPr>
      </w:pPr>
      <w:r>
        <w:rPr>
          <w:rFonts w:hint="eastAsia" w:ascii="宋体" w:hAnsi="宋体"/>
          <w:szCs w:val="21"/>
        </w:rPr>
        <w:t>4</w:t>
      </w:r>
      <w:r>
        <w:rPr>
          <w:rFonts w:hint="eastAsia" w:ascii="宋体" w:hAnsi="宋体"/>
          <w:szCs w:val="21"/>
          <w:lang w:val="en-US" w:eastAsia="zh-CN"/>
        </w:rPr>
        <w:t>.</w:t>
      </w:r>
    </w:p>
    <w:p w14:paraId="2C11CFCC">
      <w:pPr>
        <w:ind w:firstLine="422" w:firstLineChars="200"/>
        <w:rPr>
          <w:rFonts w:ascii="宋体" w:hAnsi="宋体"/>
          <w:b/>
          <w:bCs/>
          <w:szCs w:val="21"/>
        </w:rPr>
      </w:pPr>
      <w:r>
        <w:rPr>
          <w:rFonts w:hint="eastAsia" w:ascii="宋体" w:hAnsi="宋体"/>
          <w:b/>
          <w:bCs/>
          <w:szCs w:val="21"/>
        </w:rPr>
        <w:t>第四条  服务资料归属</w:t>
      </w:r>
    </w:p>
    <w:p w14:paraId="75C6D3C7">
      <w:pPr>
        <w:ind w:firstLine="420" w:firstLineChars="200"/>
      </w:pPr>
      <w:r>
        <w:rPr>
          <w:rFonts w:hint="eastAsia"/>
          <w:lang w:eastAsia="zh-CN"/>
        </w:rPr>
        <w:t>1.</w:t>
      </w:r>
      <w:r>
        <w:t>所有提交给</w:t>
      </w:r>
      <w:r>
        <w:rPr>
          <w:rFonts w:hint="eastAsia"/>
        </w:rPr>
        <w:t>甲</w:t>
      </w:r>
      <w:r>
        <w:t>方的服务</w:t>
      </w:r>
      <w:r>
        <w:rPr>
          <w:rFonts w:hint="eastAsia"/>
        </w:rPr>
        <w:t>文件</w:t>
      </w:r>
      <w:r>
        <w:t>及相关的资料的最后文本，包括为履行技术服务范围所编制的图纸、计划和证明资料等，都属于</w:t>
      </w:r>
      <w:r>
        <w:rPr>
          <w:rFonts w:hint="eastAsia"/>
        </w:rPr>
        <w:t>甲</w:t>
      </w:r>
      <w:r>
        <w:t>方的财产，</w:t>
      </w:r>
      <w:r>
        <w:rPr>
          <w:rFonts w:hint="eastAsia" w:ascii="宋体" w:hAnsi="宋体"/>
          <w:szCs w:val="21"/>
        </w:rPr>
        <w:t>乙</w:t>
      </w:r>
      <w:r>
        <w:t>方在提交给</w:t>
      </w:r>
      <w:r>
        <w:rPr>
          <w:rFonts w:hint="eastAsia"/>
        </w:rPr>
        <w:t>甲</w:t>
      </w:r>
      <w:r>
        <w:t>方之前应将上述资料进行整理归类和编制索引</w:t>
      </w:r>
      <w:r>
        <w:rPr>
          <w:rFonts w:hint="eastAsia"/>
        </w:rPr>
        <w:t>。</w:t>
      </w:r>
    </w:p>
    <w:p w14:paraId="6E8D0AD4">
      <w:pPr>
        <w:ind w:firstLine="420" w:firstLineChars="200"/>
      </w:pPr>
      <w:r>
        <w:rPr>
          <w:rFonts w:hint="eastAsia"/>
          <w:lang w:eastAsia="zh-CN"/>
        </w:rPr>
        <w:t>2.</w:t>
      </w:r>
      <w:r>
        <w:rPr>
          <w:rFonts w:hint="eastAsia" w:ascii="宋体" w:hAnsi="宋体"/>
          <w:szCs w:val="21"/>
        </w:rPr>
        <w:t>乙</w:t>
      </w:r>
      <w:r>
        <w:t>方未经</w:t>
      </w:r>
      <w:r>
        <w:rPr>
          <w:rFonts w:hint="eastAsia"/>
        </w:rPr>
        <w:t>甲</w:t>
      </w:r>
      <w:r>
        <w:t>方的书面同意，不得将上述资料用于与本服务项目之外的任何项目</w:t>
      </w:r>
      <w:r>
        <w:rPr>
          <w:rFonts w:hint="eastAsia"/>
        </w:rPr>
        <w:t>。</w:t>
      </w:r>
    </w:p>
    <w:p w14:paraId="43CB185B">
      <w:pPr>
        <w:ind w:firstLine="420" w:firstLineChars="200"/>
      </w:pPr>
      <w:r>
        <w:rPr>
          <w:rFonts w:hint="eastAsia"/>
          <w:lang w:eastAsia="zh-CN"/>
        </w:rPr>
        <w:t>3.</w:t>
      </w:r>
      <w:r>
        <w:t>合同履行</w:t>
      </w:r>
      <w:r>
        <w:rPr>
          <w:rFonts w:hint="eastAsia"/>
        </w:rPr>
        <w:t>完毕，</w:t>
      </w:r>
      <w:r>
        <w:t>未经</w:t>
      </w:r>
      <w:r>
        <w:rPr>
          <w:rFonts w:hint="eastAsia"/>
        </w:rPr>
        <w:t>甲</w:t>
      </w:r>
      <w:r>
        <w:t>方的书面同意</w:t>
      </w:r>
      <w:r>
        <w:rPr>
          <w:rFonts w:hint="eastAsia"/>
        </w:rPr>
        <w:t>，</w:t>
      </w:r>
      <w:r>
        <w:rPr>
          <w:rFonts w:hint="eastAsia" w:ascii="宋体" w:hAnsi="宋体"/>
          <w:szCs w:val="21"/>
        </w:rPr>
        <w:t>乙</w:t>
      </w:r>
      <w:r>
        <w:t>方</w:t>
      </w:r>
      <w:r>
        <w:rPr>
          <w:rFonts w:hint="eastAsia"/>
        </w:rPr>
        <w:t>不得保存在</w:t>
      </w:r>
      <w:r>
        <w:t>履行合同过程中所获得或接触到的任何</w:t>
      </w:r>
      <w:r>
        <w:rPr>
          <w:rFonts w:hint="eastAsia" w:ascii="宋体" w:hAnsi="宋体"/>
          <w:szCs w:val="21"/>
        </w:rPr>
        <w:t>内部数据资料。</w:t>
      </w:r>
    </w:p>
    <w:p w14:paraId="72EA5BEA">
      <w:pPr>
        <w:ind w:firstLine="422" w:firstLineChars="200"/>
        <w:rPr>
          <w:rFonts w:ascii="宋体" w:hAnsi="宋体"/>
          <w:b/>
          <w:bCs/>
          <w:szCs w:val="21"/>
        </w:rPr>
      </w:pPr>
      <w:r>
        <w:rPr>
          <w:rFonts w:hint="eastAsia" w:ascii="宋体" w:hAnsi="宋体"/>
          <w:b/>
          <w:bCs/>
          <w:szCs w:val="21"/>
        </w:rPr>
        <w:t>第五条  甲方的义务</w:t>
      </w:r>
    </w:p>
    <w:p w14:paraId="46412CC4">
      <w:pPr>
        <w:ind w:firstLine="420" w:firstLineChars="200"/>
        <w:rPr>
          <w:rFonts w:ascii="宋体" w:hAnsi="宋体"/>
          <w:szCs w:val="21"/>
        </w:rPr>
      </w:pPr>
      <w:r>
        <w:rPr>
          <w:rFonts w:hint="eastAsia" w:ascii="宋体" w:hAnsi="宋体"/>
          <w:szCs w:val="21"/>
          <w:lang w:eastAsia="zh-CN"/>
        </w:rPr>
        <w:t>1.</w:t>
      </w:r>
      <w:r>
        <w:rPr>
          <w:rFonts w:hint="eastAsia" w:ascii="宋体" w:hAnsi="宋体"/>
          <w:szCs w:val="21"/>
        </w:rPr>
        <w:t>负责与本服务项目有关的第三方的协调，提供开展服务工作的外部条件。</w:t>
      </w:r>
    </w:p>
    <w:p w14:paraId="20F3AEBC">
      <w:pPr>
        <w:ind w:firstLine="420" w:firstLineChars="200"/>
        <w:rPr>
          <w:rFonts w:ascii="宋体" w:hAnsi="宋体"/>
          <w:szCs w:val="21"/>
        </w:rPr>
      </w:pPr>
      <w:r>
        <w:rPr>
          <w:rFonts w:hint="eastAsia" w:ascii="宋体" w:hAnsi="宋体"/>
          <w:szCs w:val="21"/>
          <w:lang w:eastAsia="zh-CN"/>
        </w:rPr>
        <w:t>2.</w:t>
      </w:r>
      <w:r>
        <w:rPr>
          <w:rFonts w:hint="eastAsia" w:ascii="宋体" w:hAnsi="宋体"/>
          <w:szCs w:val="21"/>
        </w:rPr>
        <w:t>向乙方提供与本项目服务工作有关的资料。</w:t>
      </w:r>
    </w:p>
    <w:p w14:paraId="3BBB38D4">
      <w:pPr>
        <w:ind w:firstLine="420" w:firstLineChars="200"/>
        <w:rPr>
          <w:rFonts w:ascii="宋体" w:hAnsi="宋体"/>
          <w:szCs w:val="21"/>
        </w:rPr>
      </w:pPr>
      <w:r>
        <w:rPr>
          <w:rFonts w:hint="eastAsia" w:ascii="宋体" w:hAnsi="宋体"/>
          <w:szCs w:val="21"/>
          <w:lang w:eastAsia="zh-CN"/>
        </w:rPr>
        <w:t>3.</w:t>
      </w:r>
      <w:r>
        <w:rPr>
          <w:rFonts w:hint="eastAsia" w:ascii="宋体" w:hAnsi="宋体"/>
          <w:szCs w:val="21"/>
        </w:rPr>
        <w:t>负责组织有关专家对项目试验成果评估报告的评审。</w:t>
      </w:r>
    </w:p>
    <w:p w14:paraId="1026E4D4">
      <w:pPr>
        <w:ind w:firstLine="422" w:firstLineChars="200"/>
        <w:rPr>
          <w:rFonts w:ascii="宋体" w:hAnsi="宋体"/>
          <w:b/>
          <w:bCs/>
          <w:szCs w:val="21"/>
        </w:rPr>
      </w:pPr>
      <w:r>
        <w:rPr>
          <w:rFonts w:hint="eastAsia" w:ascii="宋体" w:hAnsi="宋体"/>
          <w:b/>
          <w:bCs/>
          <w:szCs w:val="21"/>
        </w:rPr>
        <w:t>第六条　乙方的义务</w:t>
      </w:r>
    </w:p>
    <w:p w14:paraId="33C2ED6B">
      <w:pPr>
        <w:ind w:firstLine="420" w:firstLineChars="200"/>
        <w:rPr>
          <w:rFonts w:ascii="宋体" w:hAnsi="宋体"/>
          <w:szCs w:val="21"/>
        </w:rPr>
      </w:pPr>
      <w:r>
        <w:rPr>
          <w:rFonts w:hint="eastAsia" w:ascii="宋体" w:hAnsi="宋体"/>
          <w:szCs w:val="21"/>
          <w:lang w:eastAsia="zh-CN"/>
        </w:rPr>
        <w:t>1</w:t>
      </w:r>
      <w:r>
        <w:rPr>
          <w:rFonts w:hint="eastAsia" w:ascii="宋体" w:hAnsi="宋体"/>
          <w:szCs w:val="21"/>
          <w:lang w:val="en-US" w:eastAsia="zh-CN"/>
        </w:rPr>
        <w:t>.</w:t>
      </w:r>
      <w:r>
        <w:rPr>
          <w:rFonts w:hint="eastAsia" w:ascii="宋体" w:hAnsi="宋体"/>
          <w:szCs w:val="21"/>
        </w:rPr>
        <w:t>应按照招标文件、投标文件要求按期完成本项目服务工作。</w:t>
      </w:r>
    </w:p>
    <w:p w14:paraId="0C527948">
      <w:pPr>
        <w:ind w:firstLine="420" w:firstLineChars="200"/>
        <w:rPr>
          <w:rFonts w:ascii="宋体" w:hAnsi="宋体"/>
          <w:szCs w:val="21"/>
        </w:rPr>
      </w:pPr>
      <w:r>
        <w:rPr>
          <w:rFonts w:hint="eastAsia" w:ascii="宋体" w:hAnsi="宋体"/>
          <w:szCs w:val="21"/>
        </w:rPr>
        <w:t>2</w:t>
      </w:r>
      <w:r>
        <w:rPr>
          <w:rFonts w:hint="eastAsia" w:ascii="宋体" w:hAnsi="宋体"/>
          <w:szCs w:val="21"/>
          <w:lang w:val="en-US" w:eastAsia="zh-CN"/>
        </w:rPr>
        <w:t>.</w:t>
      </w:r>
      <w:r>
        <w:rPr>
          <w:rFonts w:hint="eastAsia" w:ascii="宋体" w:hAnsi="宋体"/>
          <w:szCs w:val="21"/>
        </w:rPr>
        <w:t>负责组织项目的实施，保证工程进度和成桥荷载试验工作质量，并满足</w:t>
      </w:r>
      <w:r>
        <w:rPr>
          <w:rFonts w:hint="eastAsia" w:ascii="宋体" w:hAnsi="宋体"/>
          <w:szCs w:val="21"/>
          <w:lang w:eastAsia="zh-CN"/>
        </w:rPr>
        <w:t>交通运输部</w:t>
      </w:r>
      <w:r>
        <w:rPr>
          <w:rFonts w:hint="eastAsia" w:ascii="宋体" w:hAnsi="宋体"/>
          <w:szCs w:val="21"/>
        </w:rPr>
        <w:t>交工验收相关标准。</w:t>
      </w:r>
    </w:p>
    <w:p w14:paraId="42BAEA76">
      <w:pPr>
        <w:ind w:firstLine="420" w:firstLineChars="200"/>
        <w:rPr>
          <w:rFonts w:ascii="宋体" w:hAnsi="宋体"/>
          <w:szCs w:val="21"/>
        </w:rPr>
      </w:pPr>
      <w:r>
        <w:rPr>
          <w:rFonts w:hint="eastAsia" w:ascii="宋体" w:hAnsi="宋体"/>
          <w:szCs w:val="21"/>
          <w:lang w:eastAsia="zh-CN"/>
        </w:rPr>
        <w:t>3.</w:t>
      </w:r>
      <w:r>
        <w:rPr>
          <w:rFonts w:hint="eastAsia" w:ascii="宋体" w:hAnsi="宋体"/>
        </w:rPr>
        <w:t>向甲方提交检测资料等各套，一套电子版文件。</w:t>
      </w:r>
    </w:p>
    <w:p w14:paraId="3CB6223E">
      <w:pPr>
        <w:ind w:firstLine="420" w:firstLineChars="200"/>
        <w:rPr>
          <w:rFonts w:ascii="宋体" w:hAnsi="宋体"/>
          <w:szCs w:val="21"/>
        </w:rPr>
      </w:pPr>
      <w:r>
        <w:rPr>
          <w:rFonts w:hint="eastAsia" w:ascii="宋体" w:hAnsi="宋体"/>
          <w:szCs w:val="21"/>
          <w:lang w:eastAsia="zh-CN"/>
        </w:rPr>
        <w:t>4.</w:t>
      </w:r>
      <w:r>
        <w:rPr>
          <w:rFonts w:hint="eastAsia" w:ascii="宋体" w:hAnsi="宋体"/>
          <w:szCs w:val="21"/>
        </w:rPr>
        <w:t>在履行合同期间或合同规定期限内，不得泄露与本合同规定业务活动有关的保密资料。</w:t>
      </w:r>
    </w:p>
    <w:p w14:paraId="5901FD81">
      <w:pPr>
        <w:ind w:firstLine="422" w:firstLineChars="200"/>
        <w:rPr>
          <w:rFonts w:ascii="宋体" w:hAnsi="宋体"/>
          <w:b/>
          <w:bCs/>
          <w:szCs w:val="21"/>
        </w:rPr>
      </w:pPr>
      <w:r>
        <w:rPr>
          <w:rFonts w:hint="eastAsia" w:ascii="宋体" w:hAnsi="宋体"/>
          <w:b/>
          <w:bCs/>
          <w:szCs w:val="21"/>
        </w:rPr>
        <w:t>第七条  甲方的权利</w:t>
      </w:r>
    </w:p>
    <w:p w14:paraId="1077E251">
      <w:pPr>
        <w:ind w:firstLine="420" w:firstLineChars="200"/>
        <w:rPr>
          <w:rFonts w:ascii="宋体" w:hAnsi="宋体"/>
          <w:szCs w:val="21"/>
        </w:rPr>
      </w:pPr>
      <w:r>
        <w:rPr>
          <w:rFonts w:hint="eastAsia" w:ascii="宋体" w:hAnsi="宋体"/>
          <w:szCs w:val="21"/>
          <w:lang w:eastAsia="zh-CN"/>
        </w:rPr>
        <w:t>1.</w:t>
      </w:r>
      <w:r>
        <w:rPr>
          <w:rFonts w:hint="eastAsia" w:ascii="宋体" w:hAnsi="宋体"/>
          <w:szCs w:val="21"/>
        </w:rPr>
        <w:t>有权向乙方询问工作进展情况及</w:t>
      </w:r>
      <w:r>
        <w:rPr>
          <w:rFonts w:hint="eastAsia" w:ascii="宋体" w:hAnsi="宋体"/>
          <w:szCs w:val="21"/>
          <w:lang w:eastAsia="zh-CN"/>
        </w:rPr>
        <w:t>相关</w:t>
      </w:r>
      <w:r>
        <w:rPr>
          <w:rFonts w:hint="eastAsia" w:ascii="宋体" w:hAnsi="宋体"/>
          <w:szCs w:val="21"/>
        </w:rPr>
        <w:t>内容。</w:t>
      </w:r>
    </w:p>
    <w:p w14:paraId="05F7CF60">
      <w:pPr>
        <w:ind w:firstLine="420" w:firstLineChars="200"/>
        <w:rPr>
          <w:rFonts w:ascii="宋体" w:hAnsi="宋体"/>
          <w:szCs w:val="21"/>
        </w:rPr>
      </w:pPr>
      <w:r>
        <w:rPr>
          <w:rFonts w:hint="eastAsia" w:ascii="宋体" w:hAnsi="宋体"/>
          <w:szCs w:val="21"/>
          <w:lang w:eastAsia="zh-CN"/>
        </w:rPr>
        <w:t>2.</w:t>
      </w:r>
      <w:r>
        <w:rPr>
          <w:rFonts w:hint="eastAsia" w:ascii="宋体" w:hAnsi="宋体"/>
          <w:szCs w:val="21"/>
        </w:rPr>
        <w:t>有权阐述对具体问题的意见和建议。</w:t>
      </w:r>
    </w:p>
    <w:p w14:paraId="1EFC6C14">
      <w:pPr>
        <w:ind w:firstLine="420" w:firstLineChars="200"/>
        <w:rPr>
          <w:rFonts w:ascii="宋体" w:hAnsi="宋体"/>
          <w:szCs w:val="21"/>
        </w:rPr>
      </w:pPr>
      <w:r>
        <w:rPr>
          <w:rFonts w:hint="eastAsia" w:ascii="宋体" w:hAnsi="宋体"/>
          <w:szCs w:val="21"/>
          <w:lang w:eastAsia="zh-CN"/>
        </w:rPr>
        <w:t>3.</w:t>
      </w:r>
      <w:r>
        <w:rPr>
          <w:rFonts w:hint="eastAsia" w:ascii="宋体" w:hAnsi="宋体"/>
          <w:szCs w:val="21"/>
        </w:rPr>
        <w:t>当甲方认定乙方人员不按合同履行其职责，或与第三人串通给甲方造成经济损失的，甲方有权要求更换人员，直至终止合同并要求乙方承担相应的赔偿责任。</w:t>
      </w:r>
    </w:p>
    <w:p w14:paraId="1C375A8D">
      <w:pPr>
        <w:ind w:firstLine="422" w:firstLineChars="200"/>
        <w:rPr>
          <w:rFonts w:ascii="宋体" w:hAnsi="宋体"/>
          <w:b/>
          <w:bCs/>
          <w:szCs w:val="21"/>
        </w:rPr>
      </w:pPr>
      <w:r>
        <w:rPr>
          <w:rFonts w:hint="eastAsia" w:ascii="宋体" w:hAnsi="宋体"/>
          <w:b/>
          <w:bCs/>
          <w:szCs w:val="21"/>
        </w:rPr>
        <w:t>第八条  乙方的权利</w:t>
      </w:r>
    </w:p>
    <w:p w14:paraId="4E5FC0B7">
      <w:pPr>
        <w:ind w:firstLine="420" w:firstLineChars="200"/>
        <w:rPr>
          <w:rFonts w:ascii="宋体" w:hAnsi="宋体"/>
          <w:szCs w:val="21"/>
        </w:rPr>
      </w:pPr>
      <w:r>
        <w:rPr>
          <w:rFonts w:hint="eastAsia" w:ascii="宋体" w:hAnsi="宋体"/>
          <w:szCs w:val="21"/>
          <w:lang w:eastAsia="zh-CN"/>
        </w:rPr>
        <w:t>1.</w:t>
      </w:r>
      <w:r>
        <w:rPr>
          <w:rFonts w:hint="eastAsia" w:ascii="宋体" w:hAnsi="宋体"/>
          <w:szCs w:val="21"/>
        </w:rPr>
        <w:t>乙方在本项目服务过程中，如甲方提供的资料不明确时可向甲方提出书面报告。</w:t>
      </w:r>
    </w:p>
    <w:p w14:paraId="11D50FEC">
      <w:pPr>
        <w:ind w:firstLine="420" w:firstLineChars="200"/>
        <w:rPr>
          <w:rFonts w:ascii="宋体" w:hAnsi="宋体"/>
          <w:szCs w:val="21"/>
        </w:rPr>
      </w:pPr>
      <w:r>
        <w:rPr>
          <w:rFonts w:hint="eastAsia" w:ascii="宋体" w:hAnsi="宋体"/>
          <w:szCs w:val="21"/>
          <w:lang w:eastAsia="zh-CN"/>
        </w:rPr>
        <w:t>2.</w:t>
      </w:r>
      <w:r>
        <w:rPr>
          <w:rFonts w:hint="eastAsia" w:ascii="宋体" w:hAnsi="宋体"/>
          <w:szCs w:val="21"/>
        </w:rPr>
        <w:t>乙方在本项目服务过程中，有权对第三方提出与本服务业务有关的问题进行核对或查问。</w:t>
      </w:r>
    </w:p>
    <w:p w14:paraId="4F770257">
      <w:pPr>
        <w:ind w:firstLine="420" w:firstLineChars="200"/>
        <w:rPr>
          <w:rFonts w:ascii="宋体" w:hAnsi="宋体"/>
          <w:szCs w:val="21"/>
        </w:rPr>
      </w:pPr>
      <w:r>
        <w:rPr>
          <w:rFonts w:hint="eastAsia" w:ascii="宋体" w:hAnsi="宋体"/>
          <w:szCs w:val="21"/>
          <w:lang w:eastAsia="zh-CN"/>
        </w:rPr>
        <w:t>3.</w:t>
      </w:r>
      <w:r>
        <w:rPr>
          <w:rFonts w:hint="eastAsia" w:ascii="宋体" w:hAnsi="宋体"/>
          <w:szCs w:val="21"/>
        </w:rPr>
        <w:t>乙方在本项目服务过程中，有到工程现场勘察的权利。</w:t>
      </w:r>
    </w:p>
    <w:p w14:paraId="3F999093">
      <w:pPr>
        <w:ind w:firstLine="422" w:firstLineChars="200"/>
        <w:rPr>
          <w:rFonts w:ascii="宋体" w:hAnsi="宋体"/>
          <w:b/>
          <w:bCs/>
          <w:szCs w:val="21"/>
        </w:rPr>
      </w:pPr>
      <w:r>
        <w:rPr>
          <w:rFonts w:hint="eastAsia" w:ascii="宋体" w:hAnsi="宋体"/>
          <w:b/>
          <w:bCs/>
          <w:szCs w:val="21"/>
        </w:rPr>
        <w:t>第九条  甲方的责任</w:t>
      </w:r>
    </w:p>
    <w:p w14:paraId="7E61F54B">
      <w:pPr>
        <w:ind w:firstLine="420" w:firstLineChars="200"/>
        <w:rPr>
          <w:rFonts w:ascii="宋体" w:hAnsi="宋体"/>
          <w:szCs w:val="21"/>
        </w:rPr>
      </w:pPr>
      <w:r>
        <w:rPr>
          <w:rFonts w:hint="eastAsia" w:ascii="宋体" w:hAnsi="宋体"/>
          <w:szCs w:val="21"/>
          <w:lang w:eastAsia="zh-CN"/>
        </w:rPr>
        <w:t>1.</w:t>
      </w:r>
      <w:r>
        <w:rPr>
          <w:rFonts w:hint="eastAsia" w:ascii="宋体" w:hAnsi="宋体"/>
          <w:szCs w:val="21"/>
        </w:rPr>
        <w:t>应当履行本合同约定的义务，如有违反则应当承担违约责任，赔偿给乙方造成的损失。</w:t>
      </w:r>
    </w:p>
    <w:p w14:paraId="13220780">
      <w:pPr>
        <w:ind w:firstLine="420" w:firstLineChars="200"/>
        <w:rPr>
          <w:rFonts w:ascii="宋体" w:hAnsi="宋体"/>
          <w:szCs w:val="21"/>
        </w:rPr>
      </w:pPr>
      <w:r>
        <w:rPr>
          <w:rFonts w:hint="eastAsia" w:ascii="宋体" w:hAnsi="宋体"/>
          <w:szCs w:val="21"/>
          <w:lang w:eastAsia="zh-CN"/>
        </w:rPr>
        <w:t>2.</w:t>
      </w:r>
      <w:r>
        <w:rPr>
          <w:rFonts w:hint="eastAsia" w:ascii="宋体" w:hAnsi="宋体"/>
          <w:szCs w:val="21"/>
        </w:rPr>
        <w:t>甲方向乙方提出赔偿要求不能成立时，则应补偿由于该赔偿或其他要求所导致乙方的各种费用的支出。</w:t>
      </w:r>
    </w:p>
    <w:p w14:paraId="6A188699">
      <w:pPr>
        <w:ind w:firstLine="422" w:firstLineChars="200"/>
        <w:rPr>
          <w:rFonts w:ascii="宋体" w:hAnsi="宋体"/>
          <w:b/>
          <w:bCs/>
          <w:szCs w:val="21"/>
        </w:rPr>
      </w:pPr>
      <w:r>
        <w:rPr>
          <w:rFonts w:hint="eastAsia" w:ascii="宋体" w:hAnsi="宋体"/>
          <w:b/>
          <w:bCs/>
          <w:szCs w:val="21"/>
        </w:rPr>
        <w:t>第十条  乙方的责任</w:t>
      </w:r>
    </w:p>
    <w:p w14:paraId="74497CD7">
      <w:pPr>
        <w:ind w:firstLine="420" w:firstLineChars="200"/>
        <w:rPr>
          <w:rFonts w:ascii="宋体" w:hAnsi="宋体"/>
          <w:szCs w:val="21"/>
        </w:rPr>
      </w:pPr>
      <w:r>
        <w:rPr>
          <w:rFonts w:hint="eastAsia" w:ascii="宋体" w:hAnsi="宋体"/>
          <w:szCs w:val="21"/>
          <w:lang w:eastAsia="zh-CN"/>
        </w:rPr>
        <w:t>1.</w:t>
      </w:r>
      <w:r>
        <w:rPr>
          <w:rFonts w:hint="eastAsia" w:ascii="宋体" w:hAnsi="宋体"/>
          <w:szCs w:val="21"/>
        </w:rPr>
        <w:t>乙方的责任期即本合同有效期。如因非乙方的责任造成进度的推迟或延误而超过约定的日期，双方应进一步约定相应延长合同有效期。</w:t>
      </w:r>
    </w:p>
    <w:p w14:paraId="439F2794">
      <w:pPr>
        <w:ind w:firstLine="420" w:firstLineChars="200"/>
        <w:rPr>
          <w:rFonts w:ascii="宋体" w:hAnsi="宋体"/>
          <w:szCs w:val="21"/>
        </w:rPr>
      </w:pPr>
      <w:r>
        <w:rPr>
          <w:rFonts w:hint="eastAsia" w:ascii="宋体" w:hAnsi="宋体"/>
          <w:szCs w:val="21"/>
          <w:lang w:eastAsia="zh-CN"/>
        </w:rPr>
        <w:t>2.</w:t>
      </w:r>
      <w:r>
        <w:rPr>
          <w:rFonts w:hint="eastAsia" w:ascii="宋体" w:hAnsi="宋体"/>
          <w:szCs w:val="21"/>
        </w:rPr>
        <w:t>乙方的责任期内，应当履行本合同中约定的义务，因乙方的单方过失造成的经济损失，应当向甲方进行赔偿。</w:t>
      </w:r>
    </w:p>
    <w:p w14:paraId="4B428428">
      <w:pPr>
        <w:ind w:firstLine="420" w:firstLineChars="200"/>
        <w:rPr>
          <w:rFonts w:ascii="宋体" w:hAnsi="宋体"/>
          <w:szCs w:val="21"/>
        </w:rPr>
      </w:pPr>
      <w:r>
        <w:rPr>
          <w:rFonts w:hint="eastAsia" w:ascii="宋体" w:hAnsi="宋体"/>
          <w:szCs w:val="21"/>
          <w:lang w:eastAsia="zh-CN"/>
        </w:rPr>
        <w:t>3.</w:t>
      </w:r>
      <w:r>
        <w:rPr>
          <w:rFonts w:hint="eastAsia" w:ascii="宋体" w:hAnsi="宋体"/>
          <w:szCs w:val="21"/>
        </w:rPr>
        <w:t>乙方对甲方或第三方所提出的问题不能及时核对或答复，导致合同不能全部或部分履行，乙方应承担责任。</w:t>
      </w:r>
    </w:p>
    <w:p w14:paraId="00AD4100">
      <w:pPr>
        <w:ind w:firstLine="420" w:firstLineChars="200"/>
        <w:rPr>
          <w:rFonts w:ascii="宋体" w:hAnsi="宋体"/>
          <w:szCs w:val="21"/>
        </w:rPr>
      </w:pPr>
      <w:r>
        <w:rPr>
          <w:rFonts w:hint="eastAsia" w:ascii="宋体" w:hAnsi="宋体"/>
          <w:szCs w:val="21"/>
          <w:lang w:eastAsia="zh-CN"/>
        </w:rPr>
        <w:t>4.</w:t>
      </w:r>
      <w:r>
        <w:rPr>
          <w:rFonts w:hint="eastAsia" w:ascii="宋体" w:hAnsi="宋体"/>
          <w:szCs w:val="21"/>
        </w:rPr>
        <w:t>乙方向甲方提出赔偿要求不能成立时，则应补偿由于该赔偿或其他要求所导致甲方的各种费用的支出。</w:t>
      </w:r>
    </w:p>
    <w:p w14:paraId="2489FF2D">
      <w:pPr>
        <w:ind w:firstLine="422" w:firstLineChars="200"/>
        <w:rPr>
          <w:rFonts w:ascii="宋体" w:hAnsi="宋体"/>
          <w:b/>
          <w:bCs/>
          <w:szCs w:val="21"/>
        </w:rPr>
      </w:pPr>
      <w:r>
        <w:rPr>
          <w:rFonts w:hint="eastAsia" w:ascii="宋体" w:hAnsi="宋体"/>
          <w:b/>
          <w:bCs/>
          <w:szCs w:val="21"/>
        </w:rPr>
        <w:t>第十一条  人员要求</w:t>
      </w:r>
    </w:p>
    <w:p w14:paraId="5ED61993">
      <w:pPr>
        <w:ind w:firstLine="420" w:firstLineChars="200"/>
        <w:rPr>
          <w:rFonts w:ascii="宋体" w:hAnsi="宋体"/>
          <w:szCs w:val="21"/>
        </w:rPr>
      </w:pPr>
      <w:r>
        <w:rPr>
          <w:rFonts w:hint="eastAsia" w:ascii="宋体" w:hAnsi="宋体"/>
          <w:szCs w:val="21"/>
          <w:lang w:eastAsia="zh-CN"/>
        </w:rPr>
        <w:t>1.</w:t>
      </w:r>
      <w:r>
        <w:rPr>
          <w:rFonts w:hint="eastAsia" w:ascii="宋体" w:hAnsi="宋体"/>
          <w:szCs w:val="21"/>
        </w:rPr>
        <w:t>参加本项目试验的人员必须具有国家和有关部门规定的相应资质。</w:t>
      </w:r>
    </w:p>
    <w:p w14:paraId="53922AC9">
      <w:pPr>
        <w:ind w:firstLine="420" w:firstLineChars="200"/>
        <w:rPr>
          <w:rFonts w:ascii="宋体" w:hAnsi="宋体"/>
          <w:szCs w:val="21"/>
        </w:rPr>
      </w:pPr>
      <w:r>
        <w:rPr>
          <w:rFonts w:hint="eastAsia" w:ascii="宋体" w:hAnsi="宋体"/>
          <w:szCs w:val="21"/>
          <w:lang w:eastAsia="zh-CN"/>
        </w:rPr>
        <w:t>2.</w:t>
      </w:r>
      <w:r>
        <w:rPr>
          <w:rFonts w:hint="eastAsia" w:ascii="宋体" w:hAnsi="宋体"/>
          <w:szCs w:val="21"/>
        </w:rPr>
        <w:t xml:space="preserve"> 参加本项目的试验人员的配置必须与投标文件中的服务承诺书和试验服务组织实施方案一致。</w:t>
      </w:r>
    </w:p>
    <w:p w14:paraId="5323B107">
      <w:pPr>
        <w:ind w:firstLine="420" w:firstLineChars="200"/>
        <w:rPr>
          <w:rFonts w:ascii="宋体" w:hAnsi="宋体"/>
          <w:szCs w:val="21"/>
        </w:rPr>
      </w:pPr>
      <w:r>
        <w:rPr>
          <w:rFonts w:hint="eastAsia" w:ascii="宋体" w:hAnsi="宋体"/>
          <w:szCs w:val="21"/>
          <w:lang w:eastAsia="zh-CN"/>
        </w:rPr>
        <w:t>3.</w:t>
      </w:r>
      <w:r>
        <w:rPr>
          <w:rFonts w:hint="eastAsia" w:ascii="宋体" w:hAnsi="宋体"/>
          <w:szCs w:val="21"/>
        </w:rPr>
        <w:t>必须以直属试验人员参与本项目服务，不得使用挂靠队伍。</w:t>
      </w:r>
    </w:p>
    <w:p w14:paraId="32A225B1">
      <w:pPr>
        <w:ind w:firstLine="422" w:firstLineChars="200"/>
        <w:rPr>
          <w:rFonts w:ascii="宋体" w:hAnsi="宋体"/>
          <w:b/>
          <w:bCs/>
          <w:szCs w:val="21"/>
        </w:rPr>
      </w:pPr>
      <w:r>
        <w:rPr>
          <w:rFonts w:hint="eastAsia" w:ascii="宋体" w:hAnsi="宋体"/>
          <w:b/>
          <w:bCs/>
          <w:szCs w:val="21"/>
        </w:rPr>
        <w:t>第十二条  乙方服务工具要求</w:t>
      </w:r>
    </w:p>
    <w:p w14:paraId="51A2FDF5">
      <w:pPr>
        <w:ind w:firstLine="420" w:firstLineChars="200"/>
        <w:rPr>
          <w:rFonts w:ascii="宋体" w:hAnsi="宋体"/>
          <w:szCs w:val="21"/>
        </w:rPr>
      </w:pPr>
      <w:r>
        <w:rPr>
          <w:rFonts w:hint="eastAsia" w:ascii="宋体" w:hAnsi="宋体"/>
          <w:szCs w:val="21"/>
          <w:lang w:eastAsia="zh-CN"/>
        </w:rPr>
        <w:t>1.</w:t>
      </w:r>
      <w:r>
        <w:rPr>
          <w:rFonts w:hint="eastAsia" w:ascii="宋体" w:hAnsi="宋体"/>
          <w:szCs w:val="21"/>
        </w:rPr>
        <w:t>乙方应配备中标项目所需的足够数量的仪器、仪表以及工具等设备。用户不需向乙方提供施工工具和仪器、仪表。</w:t>
      </w:r>
    </w:p>
    <w:p w14:paraId="6529D24B">
      <w:pPr>
        <w:ind w:firstLine="420" w:firstLineChars="200"/>
        <w:rPr>
          <w:rFonts w:ascii="宋体" w:hAnsi="宋体"/>
          <w:szCs w:val="21"/>
        </w:rPr>
      </w:pPr>
      <w:r>
        <w:rPr>
          <w:rFonts w:hint="eastAsia" w:ascii="宋体" w:hAnsi="宋体"/>
          <w:szCs w:val="21"/>
          <w:lang w:eastAsia="zh-CN"/>
        </w:rPr>
        <w:t>2.</w:t>
      </w:r>
      <w:r>
        <w:rPr>
          <w:rFonts w:hint="eastAsia" w:ascii="宋体" w:hAnsi="宋体"/>
          <w:szCs w:val="21"/>
        </w:rPr>
        <w:t>乙方在提供服务过程中应自备车辆。</w:t>
      </w:r>
    </w:p>
    <w:p w14:paraId="040D0642">
      <w:pPr>
        <w:ind w:firstLine="422" w:firstLineChars="200"/>
        <w:rPr>
          <w:rFonts w:ascii="宋体" w:hAnsi="宋体"/>
          <w:b/>
          <w:bCs/>
          <w:szCs w:val="21"/>
        </w:rPr>
      </w:pPr>
      <w:r>
        <w:rPr>
          <w:rFonts w:hint="eastAsia" w:ascii="宋体" w:hAnsi="宋体"/>
          <w:b/>
          <w:bCs/>
          <w:szCs w:val="21"/>
        </w:rPr>
        <w:t>第十三条  保密要求</w:t>
      </w:r>
    </w:p>
    <w:p w14:paraId="3531DB2B">
      <w:pPr>
        <w:ind w:firstLine="420" w:firstLineChars="200"/>
        <w:rPr>
          <w:rFonts w:ascii="宋体" w:hAnsi="宋体"/>
          <w:szCs w:val="21"/>
        </w:rPr>
      </w:pPr>
      <w:r>
        <w:rPr>
          <w:rFonts w:hint="eastAsia" w:ascii="宋体" w:hAnsi="宋体"/>
          <w:szCs w:val="21"/>
          <w:lang w:eastAsia="zh-CN"/>
        </w:rPr>
        <w:t>1.</w:t>
      </w:r>
      <w:r>
        <w:rPr>
          <w:rFonts w:ascii="宋体" w:hAnsi="宋体"/>
          <w:szCs w:val="21"/>
        </w:rPr>
        <w:t>由甲方收集的、开发的、整理的、复制的、研究的和准备的与本合同项下工作有关的所有资料在提供给乙方时，均被视为保密的，</w:t>
      </w:r>
      <w:r>
        <w:rPr>
          <w:rFonts w:hint="eastAsia" w:ascii="宋体" w:hAnsi="宋体"/>
          <w:szCs w:val="21"/>
          <w:lang w:eastAsia="zh-CN"/>
        </w:rPr>
        <w:t>不得泄露给除甲方或其</w:t>
      </w:r>
      <w:r>
        <w:rPr>
          <w:rFonts w:ascii="宋体" w:hAnsi="宋体"/>
          <w:szCs w:val="21"/>
        </w:rPr>
        <w:t>指定的代表之外的任何人、企业或公司，不管本合同因何种原因终止，本条款一直约束乙方。</w:t>
      </w:r>
    </w:p>
    <w:p w14:paraId="4A748752">
      <w:pPr>
        <w:ind w:firstLine="420" w:firstLineChars="200"/>
        <w:rPr>
          <w:rFonts w:ascii="宋体" w:hAnsi="宋体"/>
          <w:szCs w:val="21"/>
        </w:rPr>
      </w:pPr>
      <w:r>
        <w:rPr>
          <w:rFonts w:hint="eastAsia" w:ascii="宋体" w:hAnsi="宋体"/>
          <w:szCs w:val="21"/>
          <w:lang w:eastAsia="zh-CN"/>
        </w:rPr>
        <w:t>2.</w:t>
      </w:r>
      <w:r>
        <w:rPr>
          <w:rFonts w:ascii="宋体" w:hAnsi="宋体"/>
          <w:szCs w:val="21"/>
        </w:rPr>
        <w:t>乙方在履行合同过程中所获得或接触到的任何</w:t>
      </w:r>
      <w:r>
        <w:rPr>
          <w:rFonts w:hint="eastAsia" w:ascii="宋体" w:hAnsi="宋体"/>
          <w:szCs w:val="21"/>
        </w:rPr>
        <w:t>内部数据资料，未经甲方同意，不得向第三方透露。</w:t>
      </w:r>
    </w:p>
    <w:p w14:paraId="1AC9430E">
      <w:pPr>
        <w:ind w:firstLine="420" w:firstLineChars="200"/>
        <w:rPr>
          <w:rFonts w:ascii="宋体" w:hAnsi="宋体"/>
          <w:szCs w:val="21"/>
        </w:rPr>
      </w:pPr>
      <w:r>
        <w:rPr>
          <w:rFonts w:hint="eastAsia" w:ascii="宋体" w:hAnsi="宋体"/>
          <w:szCs w:val="21"/>
          <w:lang w:eastAsia="zh-CN"/>
        </w:rPr>
        <w:t>3.</w:t>
      </w:r>
      <w:r>
        <w:rPr>
          <w:rFonts w:ascii="宋体" w:hAnsi="宋体"/>
          <w:szCs w:val="21"/>
        </w:rPr>
        <w:t>乙方</w:t>
      </w:r>
      <w:r>
        <w:rPr>
          <w:rFonts w:hint="eastAsia" w:ascii="宋体" w:hAnsi="宋体"/>
          <w:szCs w:val="21"/>
        </w:rPr>
        <w:t>实施项目的一切程序都应符合国家安全、保密的有关规定和标准。</w:t>
      </w:r>
    </w:p>
    <w:p w14:paraId="32BABEF3">
      <w:pPr>
        <w:ind w:firstLine="420" w:firstLineChars="200"/>
        <w:rPr>
          <w:rFonts w:ascii="宋体" w:hAnsi="宋体"/>
          <w:szCs w:val="21"/>
        </w:rPr>
      </w:pPr>
      <w:r>
        <w:rPr>
          <w:rFonts w:hint="eastAsia" w:ascii="宋体" w:hAnsi="宋体"/>
          <w:szCs w:val="21"/>
          <w:lang w:eastAsia="zh-CN"/>
        </w:rPr>
        <w:t>4.</w:t>
      </w:r>
      <w:r>
        <w:rPr>
          <w:rFonts w:ascii="宋体" w:hAnsi="宋体"/>
          <w:szCs w:val="21"/>
        </w:rPr>
        <w:t>乙方</w:t>
      </w:r>
      <w:r>
        <w:rPr>
          <w:rFonts w:hint="eastAsia" w:ascii="宋体" w:hAnsi="宋体"/>
          <w:szCs w:val="21"/>
        </w:rPr>
        <w:t>参加项目的有关人员均需同甲方签订保密协议。</w:t>
      </w:r>
    </w:p>
    <w:p w14:paraId="090DD43A">
      <w:pPr>
        <w:ind w:firstLine="422" w:firstLineChars="200"/>
        <w:rPr>
          <w:rFonts w:ascii="宋体" w:hAnsi="宋体"/>
          <w:b/>
          <w:bCs/>
          <w:szCs w:val="21"/>
        </w:rPr>
      </w:pPr>
      <w:r>
        <w:rPr>
          <w:rFonts w:hint="eastAsia" w:ascii="宋体" w:hAnsi="宋体"/>
          <w:b/>
          <w:bCs/>
          <w:szCs w:val="21"/>
        </w:rPr>
        <w:t xml:space="preserve">第十四条  验收     </w:t>
      </w:r>
    </w:p>
    <w:p w14:paraId="6E5C8FF2">
      <w:pPr>
        <w:ind w:firstLine="420" w:firstLineChars="200"/>
        <w:rPr>
          <w:rFonts w:ascii="宋体" w:hAnsi="宋体"/>
          <w:szCs w:val="21"/>
        </w:rPr>
      </w:pPr>
      <w:r>
        <w:rPr>
          <w:rFonts w:hint="eastAsia" w:ascii="宋体" w:hAnsi="宋体"/>
          <w:szCs w:val="21"/>
          <w:lang w:eastAsia="zh-CN"/>
        </w:rPr>
        <w:t>1.</w:t>
      </w:r>
      <w:r>
        <w:rPr>
          <w:rFonts w:hint="eastAsia" w:ascii="宋体" w:hAnsi="宋体"/>
          <w:szCs w:val="21"/>
        </w:rPr>
        <w:t>下列文件的验收分为</w:t>
      </w:r>
      <w:r>
        <w:rPr>
          <w:rFonts w:hint="eastAsia" w:ascii="宋体" w:hAnsi="宋体"/>
          <w:szCs w:val="21"/>
          <w:u w:val="single"/>
        </w:rPr>
        <w:t xml:space="preserve">          三</w:t>
      </w:r>
      <w:r>
        <w:rPr>
          <w:rFonts w:hint="eastAsia" w:ascii="宋体" w:hAnsi="宋体"/>
          <w:szCs w:val="21"/>
        </w:rPr>
        <w:t>个阶段</w:t>
      </w:r>
      <w:r>
        <w:rPr>
          <w:rFonts w:hint="eastAsia" w:ascii="宋体" w:hAnsi="宋体"/>
          <w:szCs w:val="21"/>
          <w:lang w:eastAsia="zh-CN"/>
        </w:rPr>
        <w:t>：</w:t>
      </w:r>
    </w:p>
    <w:p w14:paraId="4B74C459">
      <w:pPr>
        <w:ind w:firstLine="420" w:firstLineChars="200"/>
        <w:rPr>
          <w:rFonts w:ascii="宋体" w:hAnsi="宋体"/>
          <w:szCs w:val="21"/>
        </w:rPr>
      </w:pPr>
      <w:r>
        <w:rPr>
          <w:rFonts w:hint="eastAsia" w:ascii="宋体" w:hAnsi="宋体"/>
          <w:szCs w:val="21"/>
          <w:lang w:eastAsia="zh-CN"/>
        </w:rPr>
        <w:t>2.</w:t>
      </w:r>
      <w:r>
        <w:rPr>
          <w:rFonts w:hint="eastAsia" w:ascii="宋体" w:hAnsi="宋体"/>
          <w:szCs w:val="21"/>
        </w:rPr>
        <w:t>其余文件和工作由用户组织有关技术人员根据国家和行业有关规范、规程、标准和用户需求直接验收。</w:t>
      </w:r>
    </w:p>
    <w:p w14:paraId="73866423">
      <w:pPr>
        <w:ind w:firstLine="420" w:firstLineChars="200"/>
        <w:rPr>
          <w:rFonts w:ascii="宋体" w:hAnsi="宋体"/>
          <w:szCs w:val="21"/>
        </w:rPr>
      </w:pPr>
      <w:r>
        <w:rPr>
          <w:rFonts w:hint="eastAsia" w:ascii="宋体" w:hAnsi="宋体"/>
          <w:szCs w:val="21"/>
          <w:lang w:eastAsia="zh-CN"/>
        </w:rPr>
        <w:t>3.</w:t>
      </w:r>
      <w:r>
        <w:rPr>
          <w:rFonts w:hint="eastAsia" w:ascii="宋体" w:hAnsi="宋体"/>
          <w:szCs w:val="21"/>
        </w:rPr>
        <w:t>验收依据为招标文件、投标文件，国家和行业有关规范、规程和标准。</w:t>
      </w:r>
    </w:p>
    <w:p w14:paraId="253D6356">
      <w:pPr>
        <w:ind w:firstLine="422" w:firstLineChars="200"/>
        <w:rPr>
          <w:rFonts w:ascii="宋体" w:hAnsi="宋体"/>
          <w:b/>
          <w:bCs/>
          <w:szCs w:val="21"/>
        </w:rPr>
      </w:pPr>
      <w:r>
        <w:rPr>
          <w:rFonts w:hint="eastAsia" w:ascii="宋体" w:hAnsi="宋体"/>
          <w:b/>
          <w:bCs/>
          <w:szCs w:val="21"/>
        </w:rPr>
        <w:t>第十五条  付款方式</w:t>
      </w:r>
    </w:p>
    <w:p w14:paraId="7A8CAA80">
      <w:pPr>
        <w:ind w:firstLine="420" w:firstLineChars="200"/>
        <w:rPr>
          <w:rFonts w:ascii="宋体" w:hAnsi="宋体"/>
          <w:szCs w:val="21"/>
        </w:rPr>
      </w:pPr>
      <w:r>
        <w:rPr>
          <w:rFonts w:hint="eastAsia" w:ascii="宋体" w:hAnsi="宋体"/>
          <w:szCs w:val="21"/>
          <w:lang w:eastAsia="zh-CN"/>
        </w:rPr>
        <w:t>1.</w:t>
      </w:r>
      <w:r>
        <w:rPr>
          <w:rFonts w:hint="eastAsia" w:ascii="宋体" w:hAnsi="宋体"/>
          <w:szCs w:val="21"/>
        </w:rPr>
        <w:t>合同签订后   天内乙方向甲方开具合法有效的发票后，甲方于   天内向乙方支付合同总价%的款项。</w:t>
      </w:r>
    </w:p>
    <w:p w14:paraId="24DEE6ED">
      <w:pPr>
        <w:ind w:firstLine="420" w:firstLineChars="200"/>
        <w:rPr>
          <w:rFonts w:ascii="宋体" w:hAnsi="宋体"/>
          <w:szCs w:val="21"/>
        </w:rPr>
      </w:pPr>
      <w:r>
        <w:rPr>
          <w:rFonts w:hint="eastAsia" w:ascii="宋体" w:hAnsi="宋体"/>
          <w:szCs w:val="21"/>
          <w:lang w:eastAsia="zh-CN"/>
        </w:rPr>
        <w:t>2.</w:t>
      </w:r>
      <w:r>
        <w:rPr>
          <w:rFonts w:hint="eastAsia" w:ascii="宋体" w:hAnsi="宋体"/>
          <w:szCs w:val="21"/>
        </w:rPr>
        <w:t>检测完成并提交评估报告后  天内，乙方向甲方开具合法有效发票后 天，甲方向乙方支付合同总价%的款项。</w:t>
      </w:r>
    </w:p>
    <w:p w14:paraId="07C63B85">
      <w:pPr>
        <w:ind w:firstLine="420" w:firstLineChars="200"/>
        <w:rPr>
          <w:rFonts w:ascii="宋体" w:hAnsi="宋体"/>
          <w:szCs w:val="21"/>
        </w:rPr>
      </w:pPr>
      <w:r>
        <w:rPr>
          <w:rFonts w:hint="eastAsia" w:ascii="宋体" w:hAnsi="宋体"/>
          <w:szCs w:val="21"/>
          <w:lang w:eastAsia="zh-CN"/>
        </w:rPr>
        <w:t>3.</w:t>
      </w:r>
      <w:r>
        <w:rPr>
          <w:rFonts w:hint="eastAsia" w:ascii="宋体" w:hAnsi="宋体"/>
          <w:szCs w:val="21"/>
        </w:rPr>
        <w:t>报告通过专家评审后，甲方向乙方支付合同总价%的款项。</w:t>
      </w:r>
    </w:p>
    <w:p w14:paraId="62CA86EC">
      <w:pPr>
        <w:ind w:firstLine="422" w:firstLineChars="200"/>
        <w:rPr>
          <w:rFonts w:ascii="宋体" w:hAnsi="宋体"/>
          <w:b/>
          <w:bCs/>
          <w:szCs w:val="21"/>
        </w:rPr>
      </w:pPr>
      <w:r>
        <w:rPr>
          <w:rFonts w:hint="eastAsia" w:ascii="宋体" w:hAnsi="宋体"/>
          <w:b/>
          <w:bCs/>
          <w:szCs w:val="21"/>
        </w:rPr>
        <w:t>第十六条  争议解决办法</w:t>
      </w:r>
    </w:p>
    <w:p w14:paraId="6E40CAE1">
      <w:pPr>
        <w:ind w:firstLine="420" w:firstLineChars="200"/>
        <w:rPr>
          <w:rFonts w:ascii="宋体" w:hAnsi="宋体"/>
          <w:szCs w:val="21"/>
        </w:rPr>
      </w:pPr>
      <w:r>
        <w:rPr>
          <w:rFonts w:hint="eastAsia" w:ascii="宋体" w:hAnsi="宋体"/>
          <w:szCs w:val="21"/>
        </w:rPr>
        <w:t>执行本合同发生的争议，由甲乙双方协商解决，如协商不成的，应提交甲方所在地人民法院诉讼解决。</w:t>
      </w:r>
    </w:p>
    <w:p w14:paraId="620143F8">
      <w:pPr>
        <w:ind w:firstLine="422" w:firstLineChars="200"/>
        <w:rPr>
          <w:rFonts w:ascii="宋体" w:hAnsi="宋体"/>
          <w:b/>
          <w:bCs/>
          <w:szCs w:val="21"/>
        </w:rPr>
      </w:pPr>
      <w:r>
        <w:rPr>
          <w:rFonts w:hint="eastAsia" w:ascii="宋体" w:hAnsi="宋体"/>
          <w:b/>
          <w:bCs/>
          <w:szCs w:val="21"/>
        </w:rPr>
        <w:t>第十七条  风险责任</w:t>
      </w:r>
    </w:p>
    <w:p w14:paraId="5610F77A">
      <w:pPr>
        <w:ind w:firstLine="420" w:firstLineChars="200"/>
        <w:rPr>
          <w:rFonts w:ascii="宋体" w:hAnsi="宋体"/>
          <w:szCs w:val="21"/>
        </w:rPr>
      </w:pPr>
      <w:r>
        <w:rPr>
          <w:rFonts w:hint="eastAsia" w:ascii="宋体" w:hAnsi="宋体"/>
          <w:szCs w:val="21"/>
          <w:lang w:eastAsia="zh-CN"/>
        </w:rPr>
        <w:t>1</w:t>
      </w:r>
      <w:r>
        <w:rPr>
          <w:rFonts w:hint="eastAsia" w:ascii="宋体" w:hAnsi="宋体"/>
          <w:szCs w:val="21"/>
        </w:rPr>
        <w:t>、乙方应</w:t>
      </w:r>
      <w:r>
        <w:rPr>
          <w:rFonts w:hint="eastAsia" w:ascii="宋体" w:hAnsi="宋体"/>
          <w:szCs w:val="21"/>
          <w:lang w:eastAsia="zh-CN"/>
        </w:rPr>
        <w:t>完全</w:t>
      </w:r>
      <w:r>
        <w:rPr>
          <w:rFonts w:hint="eastAsia" w:ascii="宋体" w:hAnsi="宋体"/>
          <w:szCs w:val="21"/>
        </w:rPr>
        <w:t>按照招标文件的要求和乙方投标文件的承诺完成本项目，出于自身财务、技术、人力等原因导致项目失败的，应承担全部责任。</w:t>
      </w:r>
    </w:p>
    <w:p w14:paraId="73BC264B">
      <w:pPr>
        <w:ind w:firstLine="420" w:firstLineChars="200"/>
        <w:rPr>
          <w:rFonts w:ascii="宋体" w:hAnsi="宋体"/>
          <w:szCs w:val="21"/>
        </w:rPr>
      </w:pPr>
      <w:r>
        <w:rPr>
          <w:rFonts w:hint="eastAsia" w:ascii="宋体" w:hAnsi="宋体"/>
          <w:szCs w:val="21"/>
          <w:lang w:eastAsia="zh-CN"/>
        </w:rPr>
        <w:t>2.</w:t>
      </w:r>
      <w:r>
        <w:rPr>
          <w:rFonts w:hint="eastAsia" w:ascii="宋体" w:hAnsi="宋体"/>
          <w:szCs w:val="21"/>
        </w:rPr>
        <w:t>乙方在实施荷载试验过程中应对自身的安全生产负责，若非因甲方原因发生的各种事故甲方不承担任何责任。</w:t>
      </w:r>
    </w:p>
    <w:p w14:paraId="1C350EDD">
      <w:pPr>
        <w:ind w:firstLine="422" w:firstLineChars="200"/>
        <w:rPr>
          <w:rFonts w:ascii="宋体" w:hAnsi="宋体"/>
          <w:b/>
          <w:bCs/>
          <w:szCs w:val="21"/>
        </w:rPr>
      </w:pPr>
      <w:r>
        <w:rPr>
          <w:rFonts w:hint="eastAsia" w:ascii="宋体" w:hAnsi="宋体"/>
          <w:b/>
          <w:bCs/>
          <w:szCs w:val="21"/>
        </w:rPr>
        <w:t>第十八条  违约责任</w:t>
      </w:r>
    </w:p>
    <w:p w14:paraId="5FD2A6DC">
      <w:pPr>
        <w:pStyle w:val="21"/>
        <w:spacing w:line="240" w:lineRule="auto"/>
        <w:rPr>
          <w:rFonts w:ascii="宋体" w:hAnsi="宋体"/>
          <w:szCs w:val="21"/>
        </w:rPr>
      </w:pPr>
      <w:r>
        <w:rPr>
          <w:rFonts w:hint="eastAsia" w:ascii="宋体" w:hAnsi="宋体"/>
          <w:szCs w:val="21"/>
          <w:lang w:eastAsia="zh-CN"/>
        </w:rPr>
        <w:t>1</w:t>
      </w:r>
      <w:r>
        <w:rPr>
          <w:rFonts w:hint="eastAsia" w:ascii="宋体" w:hAnsi="宋体"/>
          <w:szCs w:val="21"/>
          <w:lang w:val="en-US" w:eastAsia="zh-CN"/>
        </w:rPr>
        <w:t>.</w:t>
      </w:r>
      <w:r>
        <w:rPr>
          <w:rFonts w:hint="eastAsia" w:ascii="宋体" w:hAnsi="宋体"/>
          <w:szCs w:val="21"/>
        </w:rPr>
        <w:t>因乙方原因，未能按规定时间完成有关工作的，每延误一天，甲方可在支付合同余款中扣除合同价款千分之一。</w:t>
      </w:r>
    </w:p>
    <w:p w14:paraId="60A7D544">
      <w:pPr>
        <w:ind w:firstLine="420" w:firstLineChars="200"/>
        <w:rPr>
          <w:rFonts w:ascii="宋体" w:hAnsi="宋体"/>
          <w:szCs w:val="21"/>
        </w:rPr>
      </w:pPr>
      <w:r>
        <w:rPr>
          <w:rFonts w:hint="eastAsia" w:ascii="宋体" w:hAnsi="宋体"/>
          <w:szCs w:val="21"/>
          <w:lang w:eastAsia="zh-CN"/>
        </w:rPr>
        <w:t>2.</w:t>
      </w:r>
      <w:r>
        <w:rPr>
          <w:rFonts w:hint="eastAsia" w:ascii="宋体" w:hAnsi="宋体"/>
          <w:szCs w:val="21"/>
        </w:rPr>
        <w:t>由于乙方原因造成试验成果质量低劣，不能满足大纲要求时，应继续完善试验工作，其费用由乙方承担。</w:t>
      </w:r>
    </w:p>
    <w:p w14:paraId="0FCAECD3">
      <w:pPr>
        <w:ind w:firstLine="420" w:firstLineChars="200"/>
        <w:rPr>
          <w:rFonts w:ascii="宋体" w:hAnsi="宋体"/>
          <w:szCs w:val="21"/>
        </w:rPr>
      </w:pPr>
      <w:r>
        <w:rPr>
          <w:rFonts w:hint="eastAsia" w:ascii="宋体" w:hAnsi="宋体"/>
          <w:szCs w:val="21"/>
          <w:lang w:eastAsia="zh-CN"/>
        </w:rPr>
        <w:t>3.</w:t>
      </w:r>
      <w:r>
        <w:rPr>
          <w:rFonts w:hint="eastAsia" w:ascii="宋体" w:hAnsi="宋体"/>
          <w:szCs w:val="21"/>
        </w:rPr>
        <w:t>乙方交付的成果经验收不合格，应于7日内无条件修改，费用由乙方自行承担，在甲方要求整改后再次验收不合格的，甲方有权解除合同、要求乙方返还甲方已支付的合同款项，并有权要求乙方按合同总额   %支付违约金。</w:t>
      </w:r>
    </w:p>
    <w:p w14:paraId="46859981">
      <w:pPr>
        <w:ind w:firstLine="420" w:firstLineChars="200"/>
        <w:rPr>
          <w:rFonts w:ascii="宋体" w:hAnsi="宋体"/>
          <w:szCs w:val="21"/>
        </w:rPr>
      </w:pPr>
      <w:r>
        <w:rPr>
          <w:rFonts w:hint="eastAsia" w:ascii="宋体" w:hAnsi="宋体"/>
          <w:szCs w:val="21"/>
          <w:lang w:eastAsia="zh-CN"/>
        </w:rPr>
        <w:t>4.</w:t>
      </w:r>
      <w:r>
        <w:rPr>
          <w:rFonts w:hint="eastAsia" w:ascii="宋体" w:hAnsi="宋体"/>
          <w:szCs w:val="21"/>
        </w:rPr>
        <w:t>若甲方发现乙方派出的试验服务人员或提供的试验仪器设备不符合合同要求，乙方应在3天之内按要求派出人员或提供满足投标文件承诺的仪器设备，否则甲方有权终止合同，并保留追究乙方责任及要求赔偿损失的权利。</w:t>
      </w:r>
    </w:p>
    <w:p w14:paraId="3613197F">
      <w:pPr>
        <w:ind w:firstLine="420" w:firstLineChars="200"/>
        <w:rPr>
          <w:rFonts w:ascii="宋体" w:hAnsi="宋体"/>
          <w:szCs w:val="21"/>
        </w:rPr>
      </w:pPr>
      <w:r>
        <w:rPr>
          <w:rFonts w:hint="eastAsia" w:ascii="宋体" w:hAnsi="宋体"/>
          <w:szCs w:val="21"/>
          <w:lang w:eastAsia="zh-CN"/>
        </w:rPr>
        <w:t>5.</w:t>
      </w:r>
      <w:r>
        <w:rPr>
          <w:rFonts w:hint="eastAsia" w:ascii="宋体" w:hAnsi="宋体"/>
          <w:szCs w:val="21"/>
        </w:rPr>
        <w:t>乙方或其工作人员违反本合同约定的保密义务，甲方有权要求乙方按合同总额   %支付违约金；造成不良影响或对甲方造成损失的，甲方有权要求乙方消除影响，承担赔偿责任，并有权解除合同。</w:t>
      </w:r>
    </w:p>
    <w:p w14:paraId="258033C3">
      <w:pPr>
        <w:ind w:firstLine="420" w:firstLineChars="200"/>
        <w:rPr>
          <w:rFonts w:ascii="宋体" w:hAnsi="宋体"/>
          <w:szCs w:val="21"/>
        </w:rPr>
      </w:pPr>
      <w:r>
        <w:rPr>
          <w:rFonts w:hint="eastAsia" w:ascii="宋体" w:hAnsi="宋体"/>
          <w:szCs w:val="21"/>
          <w:lang w:eastAsia="zh-CN"/>
        </w:rPr>
        <w:t>6.</w:t>
      </w:r>
      <w:r>
        <w:rPr>
          <w:rFonts w:hint="eastAsia" w:ascii="宋体" w:hAnsi="宋体"/>
          <w:szCs w:val="21"/>
        </w:rPr>
        <w:t>因乙方提供的服务成果受到侵权指控或者引发法律纠纷，影响甲方使用服务成果或者导致合同目的不能实现的，甲方有权要求乙方按合同总额   %支付违约金，并有权解除合同。</w:t>
      </w:r>
    </w:p>
    <w:p w14:paraId="1C2DBE88">
      <w:pPr>
        <w:ind w:firstLine="422" w:firstLineChars="200"/>
        <w:rPr>
          <w:rFonts w:ascii="宋体" w:hAnsi="宋体"/>
          <w:b/>
          <w:bCs/>
          <w:szCs w:val="21"/>
        </w:rPr>
      </w:pPr>
      <w:r>
        <w:rPr>
          <w:rFonts w:hint="eastAsia" w:ascii="宋体" w:hAnsi="宋体"/>
          <w:b/>
          <w:bCs/>
          <w:szCs w:val="21"/>
        </w:rPr>
        <w:t>第十九条  其他</w:t>
      </w:r>
    </w:p>
    <w:p w14:paraId="5A35ED32">
      <w:pPr>
        <w:ind w:firstLine="420" w:firstLineChars="200"/>
        <w:rPr>
          <w:rFonts w:hint="eastAsia" w:ascii="宋体" w:hAnsi="宋体"/>
          <w:szCs w:val="21"/>
        </w:rPr>
      </w:pPr>
      <w:r>
        <w:rPr>
          <w:rFonts w:hint="eastAsia" w:ascii="宋体" w:hAnsi="宋体"/>
          <w:szCs w:val="21"/>
          <w:lang w:eastAsia="zh-CN"/>
        </w:rPr>
        <w:t>1.</w:t>
      </w:r>
      <w:r>
        <w:rPr>
          <w:rFonts w:hint="eastAsia" w:ascii="宋体" w:hAnsi="宋体"/>
          <w:szCs w:val="21"/>
        </w:rPr>
        <w:t>本协议书与下列文件一起构成合同文件，如下述文件之间有任何抵触、矛盾或歧义，应按以下顺序解释：</w:t>
      </w:r>
    </w:p>
    <w:p w14:paraId="62C12CA2">
      <w:pPr>
        <w:ind w:firstLine="420" w:firstLineChars="200"/>
        <w:rPr>
          <w:rFonts w:hint="eastAsia" w:ascii="宋体" w:hAnsi="宋体"/>
          <w:szCs w:val="21"/>
        </w:rPr>
      </w:pPr>
      <w:r>
        <w:rPr>
          <w:rFonts w:hint="eastAsia" w:ascii="宋体" w:hAnsi="宋体"/>
          <w:szCs w:val="21"/>
        </w:rPr>
        <w:t>（1）政府采购合同协议书及其变更、补充协议</w:t>
      </w:r>
    </w:p>
    <w:p w14:paraId="7F15A9C6">
      <w:pPr>
        <w:ind w:firstLine="420" w:firstLineChars="200"/>
        <w:rPr>
          <w:rFonts w:hint="eastAsia" w:ascii="宋体" w:hAnsi="宋体"/>
          <w:szCs w:val="21"/>
        </w:rPr>
      </w:pPr>
      <w:r>
        <w:rPr>
          <w:rFonts w:hint="eastAsia" w:ascii="宋体" w:hAnsi="宋体"/>
          <w:szCs w:val="21"/>
        </w:rPr>
        <w:t>（2）政府采购合同专用条款</w:t>
      </w:r>
    </w:p>
    <w:p w14:paraId="26D5E91B">
      <w:pPr>
        <w:ind w:firstLine="420" w:firstLineChars="200"/>
        <w:rPr>
          <w:rFonts w:hint="eastAsia" w:ascii="宋体" w:hAnsi="宋体"/>
          <w:szCs w:val="21"/>
        </w:rPr>
      </w:pPr>
      <w:r>
        <w:rPr>
          <w:rFonts w:hint="eastAsia" w:ascii="宋体" w:hAnsi="宋体"/>
          <w:szCs w:val="21"/>
        </w:rPr>
        <w:t>（3）政府采购合同通用条款</w:t>
      </w:r>
    </w:p>
    <w:p w14:paraId="3C8D4DC9">
      <w:pPr>
        <w:ind w:firstLine="420" w:firstLineChars="200"/>
        <w:rPr>
          <w:rFonts w:hint="eastAsia" w:ascii="宋体" w:hAnsi="宋体"/>
          <w:szCs w:val="21"/>
        </w:rPr>
      </w:pPr>
      <w:r>
        <w:rPr>
          <w:rFonts w:hint="eastAsia" w:ascii="宋体" w:hAnsi="宋体"/>
          <w:szCs w:val="21"/>
        </w:rPr>
        <w:t>（4）中标（成交）通知书</w:t>
      </w:r>
    </w:p>
    <w:p w14:paraId="7F52E5C9">
      <w:pPr>
        <w:ind w:firstLine="420" w:firstLineChars="200"/>
        <w:rPr>
          <w:rFonts w:hint="eastAsia" w:ascii="宋体" w:hAnsi="宋体"/>
          <w:szCs w:val="21"/>
        </w:rPr>
      </w:pPr>
      <w:r>
        <w:rPr>
          <w:rFonts w:hint="eastAsia" w:ascii="宋体" w:hAnsi="宋体"/>
          <w:szCs w:val="21"/>
        </w:rPr>
        <w:t>（5）投标（响应）文件</w:t>
      </w:r>
    </w:p>
    <w:p w14:paraId="75B97547">
      <w:pPr>
        <w:ind w:firstLine="420" w:firstLineChars="200"/>
        <w:rPr>
          <w:rFonts w:hint="eastAsia" w:ascii="宋体" w:hAnsi="宋体"/>
          <w:szCs w:val="21"/>
        </w:rPr>
      </w:pPr>
      <w:r>
        <w:rPr>
          <w:rFonts w:hint="eastAsia" w:ascii="宋体" w:hAnsi="宋体"/>
          <w:szCs w:val="21"/>
        </w:rPr>
        <w:t>（6）采购文件</w:t>
      </w:r>
    </w:p>
    <w:p w14:paraId="73B36336">
      <w:pPr>
        <w:ind w:firstLine="420" w:firstLineChars="200"/>
        <w:rPr>
          <w:rFonts w:hint="eastAsia" w:ascii="宋体" w:hAnsi="宋体"/>
          <w:szCs w:val="21"/>
        </w:rPr>
      </w:pPr>
      <w:r>
        <w:rPr>
          <w:rFonts w:hint="eastAsia" w:ascii="宋体" w:hAnsi="宋体"/>
          <w:szCs w:val="21"/>
        </w:rPr>
        <w:t>（7）有关技术文件，图纸</w:t>
      </w:r>
    </w:p>
    <w:p w14:paraId="2A82439C">
      <w:pPr>
        <w:ind w:firstLine="420" w:firstLineChars="200"/>
        <w:rPr>
          <w:rFonts w:ascii="宋体" w:hAnsi="宋体"/>
          <w:szCs w:val="21"/>
        </w:rPr>
      </w:pPr>
      <w:r>
        <w:rPr>
          <w:rFonts w:hint="eastAsia" w:ascii="宋体" w:hAnsi="宋体"/>
          <w:szCs w:val="21"/>
        </w:rPr>
        <w:t>（8）国家法律、行政法规和规章制度规定或合同约定的作为合同组成部分的其他文件。</w:t>
      </w:r>
    </w:p>
    <w:p w14:paraId="11C138E0">
      <w:pPr>
        <w:ind w:firstLine="420" w:firstLineChars="200"/>
        <w:rPr>
          <w:rFonts w:ascii="宋体" w:hAnsi="宋体"/>
          <w:szCs w:val="21"/>
        </w:rPr>
      </w:pPr>
      <w:r>
        <w:rPr>
          <w:rFonts w:hint="eastAsia" w:ascii="宋体" w:hAnsi="宋体"/>
          <w:szCs w:val="21"/>
          <w:lang w:eastAsia="zh-CN"/>
        </w:rPr>
        <w:t>2.</w:t>
      </w:r>
      <w:r>
        <w:rPr>
          <w:rFonts w:hint="eastAsia" w:ascii="宋体" w:hAnsi="宋体"/>
          <w:szCs w:val="21"/>
        </w:rPr>
        <w:t>下列文件均为本合同的组成部分：</w:t>
      </w:r>
    </w:p>
    <w:p w14:paraId="3D90D9F7">
      <w:pPr>
        <w:ind w:firstLine="420" w:firstLineChars="200"/>
        <w:rPr>
          <w:rFonts w:ascii="宋体" w:hAnsi="宋体"/>
          <w:szCs w:val="21"/>
        </w:rPr>
      </w:pPr>
      <w:r>
        <w:rPr>
          <w:rFonts w:hint="eastAsia" w:ascii="宋体" w:hAnsi="宋体"/>
          <w:szCs w:val="21"/>
        </w:rPr>
        <w:t>（1）号招标文件、答疑及补充通知；</w:t>
      </w:r>
    </w:p>
    <w:p w14:paraId="2E07EEBF">
      <w:pPr>
        <w:ind w:firstLine="420" w:firstLineChars="200"/>
        <w:rPr>
          <w:rFonts w:ascii="宋体" w:hAnsi="宋体"/>
          <w:szCs w:val="21"/>
        </w:rPr>
      </w:pPr>
      <w:r>
        <w:rPr>
          <w:rFonts w:hint="eastAsia" w:ascii="宋体" w:hAnsi="宋体"/>
          <w:szCs w:val="21"/>
        </w:rPr>
        <w:t>（2）投标文件；</w:t>
      </w:r>
    </w:p>
    <w:p w14:paraId="0B442400">
      <w:pPr>
        <w:ind w:firstLine="420" w:firstLineChars="200"/>
        <w:rPr>
          <w:rFonts w:ascii="宋体" w:hAnsi="宋体"/>
          <w:szCs w:val="21"/>
        </w:rPr>
      </w:pPr>
      <w:r>
        <w:rPr>
          <w:rFonts w:hint="eastAsia" w:ascii="宋体" w:hAnsi="宋体"/>
          <w:szCs w:val="21"/>
        </w:rPr>
        <w:t>（3）本合同执行中共同签署的补充与修正文件。</w:t>
      </w:r>
    </w:p>
    <w:p w14:paraId="307DAE24">
      <w:pPr>
        <w:ind w:firstLine="420" w:firstLineChars="200"/>
        <w:rPr>
          <w:rFonts w:ascii="宋体" w:hAnsi="宋体"/>
          <w:szCs w:val="21"/>
        </w:rPr>
      </w:pPr>
      <w:r>
        <w:rPr>
          <w:rFonts w:hint="eastAsia" w:ascii="宋体" w:hAnsi="宋体"/>
          <w:szCs w:val="21"/>
        </w:rPr>
        <w:t>本合同一式份，甲、乙方双方各执份，具有同等法律效力。本合同自双方法人代表签字（盖章）认可之日起生效。</w:t>
      </w:r>
    </w:p>
    <w:p w14:paraId="7808F3D6">
      <w:pPr>
        <w:ind w:firstLine="420" w:firstLineChars="200"/>
        <w:rPr>
          <w:rFonts w:ascii="宋体" w:hAnsi="宋体"/>
          <w:szCs w:val="21"/>
        </w:rPr>
      </w:pPr>
      <w:r>
        <w:rPr>
          <w:rFonts w:hint="eastAsia" w:ascii="宋体" w:hAnsi="宋体"/>
          <w:szCs w:val="21"/>
        </w:rPr>
        <w:t>本合同未尽事宜，双方友好协商，达成解决方案，经双方签字后，可作为本合同的有效附件。</w:t>
      </w:r>
    </w:p>
    <w:p w14:paraId="0BC1025C">
      <w:pPr>
        <w:ind w:firstLine="420" w:firstLineChars="200"/>
        <w:rPr>
          <w:rFonts w:ascii="宋体" w:hAnsi="宋体"/>
          <w:szCs w:val="21"/>
        </w:rPr>
      </w:pPr>
    </w:p>
    <w:p w14:paraId="0AA7BE07">
      <w:pPr>
        <w:ind w:firstLine="420" w:firstLineChars="200"/>
        <w:rPr>
          <w:rFonts w:ascii="宋体" w:hAnsi="宋体"/>
          <w:szCs w:val="21"/>
        </w:rPr>
      </w:pPr>
    </w:p>
    <w:p w14:paraId="3E06EEE0">
      <w:pPr>
        <w:spacing w:line="360" w:lineRule="auto"/>
        <w:ind w:firstLine="560"/>
        <w:jc w:val="left"/>
        <w:rPr>
          <w:rFonts w:ascii="宋体" w:hAnsi="宋体"/>
          <w:szCs w:val="21"/>
        </w:rPr>
      </w:pPr>
      <w:r>
        <w:rPr>
          <w:rFonts w:hint="eastAsia" w:ascii="宋体" w:hAnsi="宋体"/>
          <w:szCs w:val="21"/>
        </w:rPr>
        <w:t>甲方（采购人）：   （盖章）       乙方（供应商）：    （盖章）</w:t>
      </w:r>
    </w:p>
    <w:p w14:paraId="42719924">
      <w:pPr>
        <w:spacing w:line="360" w:lineRule="auto"/>
        <w:ind w:firstLine="560"/>
        <w:jc w:val="left"/>
        <w:rPr>
          <w:rFonts w:ascii="宋体" w:hAnsi="宋体"/>
          <w:szCs w:val="21"/>
        </w:rPr>
      </w:pPr>
      <w:r>
        <w:rPr>
          <w:rFonts w:hint="eastAsia" w:ascii="宋体" w:hAnsi="宋体"/>
          <w:szCs w:val="21"/>
        </w:rPr>
        <w:t xml:space="preserve">法定代表人：                     法定代表人： </w:t>
      </w:r>
    </w:p>
    <w:p w14:paraId="2367C948">
      <w:pPr>
        <w:spacing w:line="360" w:lineRule="auto"/>
        <w:ind w:firstLine="560"/>
        <w:jc w:val="left"/>
        <w:rPr>
          <w:rFonts w:ascii="宋体" w:hAnsi="宋体"/>
          <w:szCs w:val="21"/>
        </w:rPr>
      </w:pPr>
      <w:r>
        <w:rPr>
          <w:rFonts w:hint="eastAsia" w:ascii="宋体" w:hAnsi="宋体"/>
          <w:szCs w:val="21"/>
        </w:rPr>
        <w:t>委托代理人：                     委托代理人：</w:t>
      </w:r>
    </w:p>
    <w:p w14:paraId="2B799BCC">
      <w:pPr>
        <w:ind w:firstLine="420" w:firstLineChars="200"/>
        <w:rPr>
          <w:rFonts w:ascii="宋体" w:hAnsi="宋体"/>
          <w:szCs w:val="21"/>
        </w:rPr>
      </w:pPr>
      <w:r>
        <w:rPr>
          <w:rFonts w:hint="eastAsia" w:ascii="宋体" w:hAnsi="宋体"/>
          <w:szCs w:val="21"/>
        </w:rPr>
        <w:t>日期：   年     月    日         日期：   年     月    日</w:t>
      </w:r>
    </w:p>
    <w:p w14:paraId="3ACF95F5">
      <w:pPr>
        <w:ind w:firstLine="420" w:firstLineChars="200"/>
        <w:rPr>
          <w:rFonts w:ascii="宋体" w:hAnsi="宋体"/>
          <w:szCs w:val="21"/>
        </w:rPr>
      </w:pPr>
    </w:p>
    <w:p w14:paraId="4C42585D">
      <w:pPr>
        <w:ind w:firstLine="420" w:firstLineChars="200"/>
        <w:rPr>
          <w:rFonts w:ascii="宋体" w:hAnsi="宋体"/>
          <w:szCs w:val="21"/>
        </w:rPr>
      </w:pPr>
    </w:p>
    <w:p w14:paraId="5A38160E">
      <w:pPr>
        <w:ind w:firstLine="420" w:firstLineChars="200"/>
        <w:rPr>
          <w:rFonts w:ascii="宋体" w:hAnsi="宋体"/>
          <w:szCs w:val="21"/>
        </w:rPr>
      </w:pPr>
    </w:p>
    <w:p w14:paraId="121153B5">
      <w:pPr>
        <w:ind w:firstLine="420" w:firstLineChars="200"/>
        <w:rPr>
          <w:rFonts w:ascii="宋体" w:hAnsi="宋体"/>
          <w:szCs w:val="21"/>
        </w:rPr>
      </w:pPr>
    </w:p>
    <w:p w14:paraId="7515B52D">
      <w:pPr>
        <w:ind w:firstLine="420" w:firstLineChars="200"/>
        <w:rPr>
          <w:rFonts w:ascii="宋体" w:hAnsi="宋体"/>
          <w:szCs w:val="21"/>
        </w:rPr>
      </w:pPr>
    </w:p>
    <w:p w14:paraId="48D3C521">
      <w:pPr>
        <w:widowControl/>
        <w:jc w:val="left"/>
        <w:rPr>
          <w:rFonts w:ascii="宋体" w:hAnsi="宋体"/>
          <w:szCs w:val="21"/>
        </w:rPr>
      </w:pPr>
      <w:r>
        <w:br w:type="page"/>
      </w:r>
    </w:p>
    <w:p w14:paraId="4A1DBB1F">
      <w:pPr>
        <w:pStyle w:val="5"/>
        <w:spacing w:before="120" w:beforeLines="50" w:after="120" w:afterLines="50"/>
        <w:ind w:left="562"/>
        <w:rPr>
          <w:sz w:val="28"/>
          <w:szCs w:val="28"/>
        </w:rPr>
      </w:pPr>
      <w:r>
        <w:rPr>
          <w:rFonts w:hint="eastAsia"/>
          <w:sz w:val="28"/>
          <w:szCs w:val="28"/>
        </w:rPr>
        <w:t>第二册  通用条款（公开招标）</w:t>
      </w:r>
    </w:p>
    <w:p w14:paraId="5BA73315">
      <w:pPr>
        <w:pStyle w:val="5"/>
        <w:numPr>
          <w:ilvl w:val="0"/>
          <w:numId w:val="10"/>
        </w:numPr>
        <w:spacing w:before="120" w:beforeLines="50" w:after="120" w:afterLines="50"/>
        <w:ind w:left="562" w:hanging="562"/>
        <w:rPr>
          <w:sz w:val="28"/>
          <w:szCs w:val="28"/>
        </w:rPr>
      </w:pPr>
      <w:bookmarkStart w:id="43" w:name="_Hlk72399513"/>
      <w:r>
        <w:rPr>
          <w:rFonts w:hint="eastAsia"/>
          <w:sz w:val="28"/>
          <w:szCs w:val="28"/>
        </w:rPr>
        <w:t>总则</w:t>
      </w:r>
      <w:bookmarkEnd w:id="43"/>
    </w:p>
    <w:p w14:paraId="48041802">
      <w:pPr>
        <w:rPr>
          <w:rFonts w:ascii="黑体" w:hAnsi="宋体" w:eastAsia="黑体"/>
          <w:sz w:val="24"/>
        </w:rPr>
      </w:pPr>
      <w:r>
        <w:rPr>
          <w:rFonts w:hint="eastAsia" w:ascii="黑体" w:hAnsi="宋体" w:eastAsia="黑体"/>
          <w:sz w:val="24"/>
        </w:rPr>
        <w:t>1. 通用条款说明</w:t>
      </w:r>
    </w:p>
    <w:p w14:paraId="48BC0D25">
      <w:pPr>
        <w:ind w:firstLine="411" w:firstLineChars="196"/>
        <w:rPr>
          <w:rFonts w:ascii="宋体" w:hAnsi="宋体"/>
          <w:szCs w:val="21"/>
        </w:rPr>
      </w:pPr>
      <w:r>
        <w:rPr>
          <w:rFonts w:hint="eastAsia" w:ascii="宋体" w:hAnsi="宋体"/>
          <w:szCs w:val="21"/>
        </w:rPr>
        <w:t>1.1政府集中采购机构发出招标文件通用条款版本，列出深圳市政府采购项目进行招标采购所适用的通用条款内容。</w:t>
      </w:r>
      <w:bookmarkStart w:id="44" w:name="_Hlk72399729"/>
      <w:r>
        <w:rPr>
          <w:rFonts w:hint="eastAsia" w:ascii="宋体" w:hAnsi="宋体"/>
          <w:szCs w:val="21"/>
        </w:rPr>
        <w:t>如有需要，政府集中采购机构可以对通用条款的内容进行补充。</w:t>
      </w:r>
      <w:bookmarkEnd w:id="44"/>
    </w:p>
    <w:p w14:paraId="3ECA8193">
      <w:pPr>
        <w:ind w:firstLine="411" w:firstLineChars="196"/>
        <w:rPr>
          <w:rFonts w:ascii="宋体" w:hAnsi="宋体"/>
          <w:szCs w:val="21"/>
        </w:rPr>
      </w:pPr>
      <w:r>
        <w:rPr>
          <w:rFonts w:hint="eastAsia" w:ascii="宋体" w:hAnsi="宋体"/>
          <w:szCs w:val="21"/>
        </w:rPr>
        <w:t>1.2招标文件分为第一册“专用条款”和第二册“通用条款”。</w:t>
      </w:r>
    </w:p>
    <w:p w14:paraId="22010E9A">
      <w:pPr>
        <w:ind w:firstLine="411" w:firstLineChars="196"/>
        <w:rPr>
          <w:rFonts w:ascii="宋体" w:hAnsi="宋体"/>
          <w:szCs w:val="21"/>
        </w:rPr>
      </w:pPr>
      <w:r>
        <w:rPr>
          <w:rFonts w:hint="eastAsia" w:ascii="宋体" w:hAnsi="宋体"/>
          <w:szCs w:val="21"/>
        </w:rPr>
        <w:t>1.3“专用条款”是对本次采购项目的具体要求，包含招标公告、对通用条款的补充内容及其他关键信息、用户需求书、投标文件格式及附件、合同条款及格式等内容。</w:t>
      </w:r>
    </w:p>
    <w:p w14:paraId="552F6383">
      <w:pPr>
        <w:ind w:firstLine="411" w:firstLineChars="196"/>
        <w:rPr>
          <w:rFonts w:ascii="宋体" w:hAnsi="宋体"/>
          <w:szCs w:val="21"/>
        </w:rPr>
      </w:pPr>
      <w:r>
        <w:rPr>
          <w:rFonts w:hint="eastAsia" w:ascii="宋体" w:hAnsi="宋体"/>
          <w:szCs w:val="21"/>
        </w:rPr>
        <w:t>1.4“通用条款”是适用于政府采购公开招标项目的基础性条款，具有普遍性和通用性。</w:t>
      </w:r>
    </w:p>
    <w:p w14:paraId="5785F66B">
      <w:pPr>
        <w:ind w:firstLine="411" w:firstLineChars="196"/>
        <w:rPr>
          <w:rFonts w:ascii="宋体" w:hAnsi="宋体"/>
          <w:szCs w:val="21"/>
        </w:rPr>
      </w:pPr>
      <w:r>
        <w:rPr>
          <w:rFonts w:hint="eastAsia" w:ascii="宋体" w:hAnsi="宋体"/>
          <w:szCs w:val="21"/>
        </w:rPr>
        <w:t>1.5 “专用条款”和“通用条款”表述不一致或有冲突时，以“专用条款”为准。</w:t>
      </w:r>
    </w:p>
    <w:p w14:paraId="5A3AA9A2">
      <w:pPr>
        <w:rPr>
          <w:rFonts w:ascii="黑体" w:hAnsi="宋体" w:eastAsia="黑体"/>
          <w:sz w:val="24"/>
        </w:rPr>
      </w:pPr>
      <w:r>
        <w:rPr>
          <w:rFonts w:hint="eastAsia" w:ascii="黑体" w:hAnsi="宋体" w:eastAsia="黑体"/>
          <w:sz w:val="24"/>
          <w:lang w:eastAsia="zh-CN"/>
        </w:rPr>
        <w:t>2.</w:t>
      </w:r>
      <w:r>
        <w:rPr>
          <w:rFonts w:hint="eastAsia" w:ascii="黑体" w:hAnsi="宋体" w:eastAsia="黑体"/>
          <w:sz w:val="24"/>
        </w:rPr>
        <w:t>招标说明</w:t>
      </w:r>
    </w:p>
    <w:p w14:paraId="50D00712">
      <w:pPr>
        <w:ind w:firstLine="411" w:firstLineChars="196"/>
        <w:rPr>
          <w:rFonts w:ascii="宋体" w:hAnsi="宋体"/>
          <w:szCs w:val="21"/>
        </w:rPr>
      </w:pPr>
      <w:r>
        <w:rPr>
          <w:rFonts w:hint="eastAsia" w:ascii="宋体" w:hAnsi="宋体"/>
          <w:szCs w:val="21"/>
        </w:rPr>
        <w:t>本项目按照《深圳经济特区政府采购条例》《深圳经济特区政府采购条例实施细则》及政府采购其他法律法规，通过公开招标方式确定中标供应商。</w:t>
      </w:r>
    </w:p>
    <w:p w14:paraId="11965F45">
      <w:pPr>
        <w:rPr>
          <w:rFonts w:ascii="黑体" w:hAnsi="宋体" w:eastAsia="黑体"/>
          <w:sz w:val="24"/>
        </w:rPr>
      </w:pPr>
      <w:r>
        <w:rPr>
          <w:rFonts w:hint="eastAsia" w:ascii="黑体" w:hAnsi="宋体" w:eastAsia="黑体"/>
          <w:sz w:val="24"/>
          <w:lang w:eastAsia="zh-CN"/>
        </w:rPr>
        <w:t>3.</w:t>
      </w:r>
      <w:r>
        <w:rPr>
          <w:rFonts w:hint="eastAsia" w:ascii="黑体" w:hAnsi="宋体" w:eastAsia="黑体"/>
          <w:sz w:val="24"/>
        </w:rPr>
        <w:t>定义</w:t>
      </w:r>
    </w:p>
    <w:p w14:paraId="549ADA01">
      <w:pPr>
        <w:ind w:firstLine="420" w:firstLineChars="200"/>
        <w:rPr>
          <w:rFonts w:ascii="宋体" w:hAnsi="宋体"/>
          <w:szCs w:val="21"/>
        </w:rPr>
      </w:pPr>
      <w:r>
        <w:rPr>
          <w:rFonts w:ascii="宋体" w:hAnsi="宋体"/>
          <w:szCs w:val="21"/>
        </w:rPr>
        <w:t>招标文件中下列术语应解释为：</w:t>
      </w:r>
    </w:p>
    <w:p w14:paraId="046810F7">
      <w:pPr>
        <w:ind w:firstLine="411" w:firstLineChars="196"/>
        <w:rPr>
          <w:rFonts w:ascii="宋体" w:hAnsi="宋体"/>
          <w:szCs w:val="21"/>
        </w:rPr>
      </w:pPr>
      <w:r>
        <w:rPr>
          <w:rFonts w:hint="eastAsia" w:ascii="宋体" w:hAnsi="宋体"/>
          <w:szCs w:val="21"/>
        </w:rPr>
        <w:t>3.</w:t>
      </w:r>
      <w:r>
        <w:rPr>
          <w:rFonts w:ascii="宋体" w:hAnsi="宋体"/>
          <w:szCs w:val="21"/>
        </w:rPr>
        <w:t>1</w:t>
      </w:r>
      <w:r>
        <w:rPr>
          <w:rFonts w:hint="eastAsia" w:ascii="宋体" w:hAnsi="宋体"/>
          <w:szCs w:val="21"/>
        </w:rPr>
        <w:t>“采购人”：指利用财政性资金依法进行政府采购的国家机关、事业单位、团体组织；</w:t>
      </w:r>
      <w:r>
        <w:rPr>
          <w:rFonts w:ascii="宋体" w:hAnsi="宋体"/>
          <w:szCs w:val="21"/>
        </w:rPr>
        <w:t xml:space="preserve"> </w:t>
      </w:r>
    </w:p>
    <w:p w14:paraId="2A1BB848">
      <w:pPr>
        <w:ind w:firstLine="411" w:firstLineChars="196"/>
        <w:rPr>
          <w:rFonts w:ascii="宋体" w:hAnsi="宋体"/>
          <w:szCs w:val="21"/>
        </w:rPr>
      </w:pPr>
      <w:r>
        <w:rPr>
          <w:rFonts w:hint="eastAsia" w:ascii="宋体" w:hAnsi="宋体"/>
          <w:szCs w:val="21"/>
        </w:rPr>
        <w:t>3.2 “政府集中采购机构”</w:t>
      </w:r>
      <w:r>
        <w:rPr>
          <w:rFonts w:hint="eastAsia" w:ascii="Arial" w:hAnsi="Arial" w:cs="Arial"/>
          <w:szCs w:val="21"/>
          <w:shd w:val="clear" w:color="auto" w:fill="FFFFFF"/>
        </w:rPr>
        <w:t>是指市政府设立的，组织实施政府采购项目，并对政府采购活动提供服务的专门机构；</w:t>
      </w:r>
      <w:r>
        <w:rPr>
          <w:rFonts w:hint="eastAsia" w:ascii="宋体" w:hAnsi="宋体"/>
          <w:szCs w:val="21"/>
        </w:rPr>
        <w:t>本文件所述的“政府集中采购机构”</w:t>
      </w:r>
      <w:r>
        <w:rPr>
          <w:rFonts w:ascii="宋体" w:hAnsi="宋体"/>
          <w:szCs w:val="21"/>
        </w:rPr>
        <w:t>指</w:t>
      </w:r>
      <w:r>
        <w:rPr>
          <w:rFonts w:hint="eastAsia" w:ascii="宋体" w:hAnsi="宋体"/>
          <w:b/>
          <w:bCs/>
          <w:szCs w:val="21"/>
        </w:rPr>
        <w:t>深圳公共资源交易中心</w:t>
      </w:r>
      <w:r>
        <w:rPr>
          <w:rFonts w:hint="eastAsia" w:ascii="宋体" w:hAnsi="宋体"/>
          <w:szCs w:val="21"/>
        </w:rPr>
        <w:t>；</w:t>
      </w:r>
    </w:p>
    <w:p w14:paraId="17C8865A">
      <w:pPr>
        <w:ind w:firstLine="411" w:firstLineChars="196"/>
        <w:rPr>
          <w:rFonts w:ascii="宋体" w:hAnsi="宋体"/>
          <w:szCs w:val="21"/>
        </w:rPr>
      </w:pPr>
      <w:r>
        <w:rPr>
          <w:rFonts w:hint="eastAsia" w:ascii="宋体" w:hAnsi="宋体"/>
          <w:szCs w:val="21"/>
        </w:rPr>
        <w:t>3.3“投标人”，即供应商，指参加投标竞争并愿意按照招标文件要求向采购人提供货物、工程或者服务的依法成立的法人、其他组织或者自然人；</w:t>
      </w:r>
    </w:p>
    <w:p w14:paraId="697516D7">
      <w:pPr>
        <w:ind w:firstLine="411" w:firstLineChars="196"/>
        <w:rPr>
          <w:rFonts w:ascii="宋体" w:hAnsi="宋体"/>
          <w:szCs w:val="21"/>
        </w:rPr>
      </w:pPr>
      <w:r>
        <w:rPr>
          <w:rFonts w:hint="eastAsia" w:ascii="宋体" w:hAnsi="宋体"/>
          <w:szCs w:val="21"/>
        </w:rPr>
        <w:t>3.4“评审委员会”是依据《深圳经济特区政府采购条例》《深圳经济特区政府采购条例实施细则》等有关规定组建的专门负责本次招标评审工作的临时性机构；</w:t>
      </w:r>
    </w:p>
    <w:p w14:paraId="208C9423">
      <w:pPr>
        <w:ind w:firstLine="411" w:firstLineChars="196"/>
        <w:rPr>
          <w:rFonts w:ascii="宋体" w:hAnsi="宋体"/>
          <w:szCs w:val="21"/>
        </w:rPr>
      </w:pPr>
      <w:r>
        <w:rPr>
          <w:rFonts w:hint="eastAsia" w:ascii="宋体" w:hAnsi="宋体"/>
          <w:szCs w:val="21"/>
        </w:rPr>
        <w:t>3.5“日期”</w:t>
      </w:r>
      <w:r>
        <w:rPr>
          <w:rFonts w:ascii="宋体" w:hAnsi="宋体"/>
          <w:szCs w:val="21"/>
        </w:rPr>
        <w:t>指</w:t>
      </w:r>
      <w:r>
        <w:rPr>
          <w:rFonts w:hint="eastAsia" w:ascii="宋体" w:hAnsi="宋体"/>
          <w:szCs w:val="21"/>
        </w:rPr>
        <w:t>公历日；</w:t>
      </w:r>
    </w:p>
    <w:p w14:paraId="7A807D83">
      <w:pPr>
        <w:ind w:firstLine="411" w:firstLineChars="196"/>
        <w:rPr>
          <w:rFonts w:ascii="宋体" w:hAnsi="宋体"/>
          <w:szCs w:val="21"/>
        </w:rPr>
      </w:pPr>
      <w:r>
        <w:rPr>
          <w:rFonts w:hint="eastAsia" w:ascii="宋体" w:hAnsi="宋体"/>
          <w:szCs w:val="21"/>
        </w:rPr>
        <w:t>3.6“合同”指由本次招标所产生的合同或合约文件；</w:t>
      </w:r>
    </w:p>
    <w:p w14:paraId="21F23758">
      <w:pPr>
        <w:ind w:firstLine="411" w:firstLineChars="196"/>
        <w:rPr>
          <w:rFonts w:ascii="宋体" w:hAnsi="宋体"/>
          <w:szCs w:val="21"/>
        </w:rPr>
      </w:pPr>
      <w:r>
        <w:rPr>
          <w:rFonts w:hint="eastAsia" w:ascii="宋体" w:hAnsi="宋体"/>
          <w:szCs w:val="21"/>
        </w:rPr>
        <w:t>3.7“电子投标文件”指利用</w:t>
      </w:r>
      <w:r>
        <w:rPr>
          <w:rFonts w:hint="eastAsia" w:ascii="宋体" w:hAnsi="宋体"/>
          <w:b/>
          <w:bCs/>
          <w:szCs w:val="21"/>
        </w:rPr>
        <w:t>深圳公共资源交易中心（深圳交易集团有限公司</w:t>
      </w:r>
      <w:r>
        <w:rPr>
          <w:rFonts w:hint="eastAsia" w:ascii="宋体" w:hAnsi="宋体"/>
          <w:b/>
          <w:bCs/>
          <w:szCs w:val="21"/>
          <w:lang w:val="en-US" w:eastAsia="zh-CN"/>
        </w:rPr>
        <w:t>宝安</w:t>
      </w:r>
      <w:r>
        <w:rPr>
          <w:rFonts w:hint="eastAsia" w:ascii="宋体" w:hAnsi="宋体"/>
          <w:b/>
          <w:bCs/>
          <w:szCs w:val="21"/>
        </w:rPr>
        <w:t>分公司）</w:t>
      </w:r>
      <w:r>
        <w:rPr>
          <w:rFonts w:hint="eastAsia" w:ascii="宋体" w:hAnsi="宋体"/>
          <w:szCs w:val="21"/>
        </w:rPr>
        <w:t>网站提供的深圳智慧采购平台投标文件制作专用软件（以下简称：投标文件制作软件）制作并加密的投标文件,适用于网上投标；（投标文件制作软件可从“下载地址：http://zfcg.szggzy.com:8081/cgxy/013002/20210923/173e0b2c-7a4c-4246-a0c7-e0ea75d84dd6.html深圳智慧采购平台投标文件制作专用软件.zip”下载）</w:t>
      </w:r>
      <w:bookmarkStart w:id="45" w:name="_Hlk72398581"/>
      <w:r>
        <w:rPr>
          <w:rFonts w:hint="eastAsia" w:ascii="宋体" w:hAnsi="宋体"/>
          <w:szCs w:val="21"/>
        </w:rPr>
        <w:t>；</w:t>
      </w:r>
      <w:bookmarkEnd w:id="45"/>
    </w:p>
    <w:p w14:paraId="39C4B32A">
      <w:pPr>
        <w:ind w:firstLine="411" w:firstLineChars="196"/>
        <w:rPr>
          <w:rFonts w:ascii="宋体" w:hAnsi="宋体"/>
          <w:szCs w:val="21"/>
        </w:rPr>
      </w:pPr>
      <w:r>
        <w:rPr>
          <w:rFonts w:hint="eastAsia" w:ascii="宋体" w:hAnsi="宋体"/>
          <w:szCs w:val="21"/>
        </w:rPr>
        <w:t>3.8“网上投标”指通过</w:t>
      </w:r>
      <w:r>
        <w:rPr>
          <w:rFonts w:hint="eastAsia" w:ascii="宋体" w:hAnsi="宋体"/>
          <w:b/>
          <w:bCs/>
          <w:szCs w:val="21"/>
        </w:rPr>
        <w:t>深圳公共资源交易中心（深圳交易集团有限公司</w:t>
      </w:r>
      <w:r>
        <w:rPr>
          <w:rFonts w:hint="eastAsia" w:ascii="宋体" w:hAnsi="宋体"/>
          <w:b/>
          <w:bCs/>
          <w:szCs w:val="21"/>
          <w:lang w:val="en-US" w:eastAsia="zh-CN"/>
        </w:rPr>
        <w:t>宝安</w:t>
      </w:r>
      <w:r>
        <w:rPr>
          <w:rFonts w:hint="eastAsia" w:ascii="宋体" w:hAnsi="宋体"/>
          <w:b/>
          <w:bCs/>
          <w:szCs w:val="21"/>
        </w:rPr>
        <w:t>分公司）</w:t>
      </w:r>
      <w:r>
        <w:rPr>
          <w:rFonts w:hint="eastAsia" w:ascii="宋体" w:hAnsi="宋体"/>
          <w:szCs w:val="21"/>
        </w:rPr>
        <w:t>网站上传电子投标文件；</w:t>
      </w:r>
    </w:p>
    <w:p w14:paraId="5E543006">
      <w:pPr>
        <w:ind w:firstLine="411" w:firstLineChars="196"/>
        <w:rPr>
          <w:rFonts w:ascii="宋体" w:hAnsi="宋体"/>
          <w:szCs w:val="21"/>
        </w:rPr>
      </w:pPr>
      <w:r>
        <w:rPr>
          <w:rFonts w:hint="eastAsia" w:ascii="宋体" w:hAnsi="宋体"/>
          <w:szCs w:val="21"/>
        </w:rPr>
        <w:t>3.9招标文件中的标题或题名仅起引导作用，而不应视为对招标文件内容的理解和解释。</w:t>
      </w:r>
    </w:p>
    <w:p w14:paraId="75DC5C86">
      <w:pPr>
        <w:rPr>
          <w:rFonts w:ascii="黑体" w:hAnsi="宋体" w:eastAsia="黑体"/>
          <w:sz w:val="24"/>
        </w:rPr>
      </w:pPr>
      <w:r>
        <w:rPr>
          <w:rFonts w:hint="eastAsia" w:ascii="黑体" w:hAnsi="宋体" w:eastAsia="黑体"/>
          <w:sz w:val="24"/>
        </w:rPr>
        <w:t xml:space="preserve">4. </w:t>
      </w:r>
      <w:bookmarkStart w:id="46" w:name="_Hlk72398643"/>
      <w:r>
        <w:rPr>
          <w:rFonts w:hint="eastAsia" w:ascii="黑体" w:hAnsi="宋体" w:eastAsia="黑体"/>
          <w:sz w:val="24"/>
        </w:rPr>
        <w:t>政府采购供应商责任</w:t>
      </w:r>
    </w:p>
    <w:p w14:paraId="29FB6E09">
      <w:pPr>
        <w:ind w:firstLine="411" w:firstLineChars="196"/>
        <w:rPr>
          <w:rFonts w:ascii="宋体" w:hAnsi="宋体"/>
          <w:szCs w:val="21"/>
        </w:rPr>
      </w:pPr>
      <w:r>
        <w:rPr>
          <w:rFonts w:hint="eastAsia" w:ascii="宋体" w:hAnsi="宋体"/>
          <w:szCs w:val="21"/>
        </w:rPr>
        <w:t>4.1欢迎诚信、有实力和有社会责任心的供应商参与政府采购事业。</w:t>
      </w:r>
    </w:p>
    <w:p w14:paraId="1782C089">
      <w:pPr>
        <w:ind w:firstLine="411" w:firstLineChars="196"/>
        <w:rPr>
          <w:rFonts w:ascii="宋体" w:hAnsi="宋体"/>
          <w:szCs w:val="21"/>
        </w:rPr>
      </w:pPr>
      <w:r>
        <w:rPr>
          <w:rFonts w:hint="eastAsia" w:ascii="宋体" w:hAnsi="宋体"/>
          <w:szCs w:val="21"/>
        </w:rPr>
        <w:t>4.2投标人应当遵循公平竞争的原则，不得恶意串通，不得妨碍其他投标人的竞争行为，不得损害采购人或者其他投标人的合法权益。如违反上述要求，经核实后，供应商的投标无效。</w:t>
      </w:r>
    </w:p>
    <w:p w14:paraId="0C7C4DD6">
      <w:pPr>
        <w:rPr>
          <w:rFonts w:ascii="黑体" w:hAnsi="宋体" w:eastAsia="黑体"/>
          <w:sz w:val="24"/>
        </w:rPr>
      </w:pPr>
      <w:r>
        <w:rPr>
          <w:rFonts w:hint="eastAsia" w:ascii="黑体" w:hAnsi="宋体" w:eastAsia="黑体"/>
          <w:sz w:val="24"/>
          <w:lang w:eastAsia="zh-CN"/>
        </w:rPr>
        <w:t>5.</w:t>
      </w:r>
      <w:r>
        <w:rPr>
          <w:rFonts w:hint="eastAsia" w:ascii="黑体" w:hAnsi="宋体" w:eastAsia="黑体"/>
          <w:sz w:val="24"/>
        </w:rPr>
        <w:t>投标人参加政府采购的条件</w:t>
      </w:r>
    </w:p>
    <w:p w14:paraId="599EA539">
      <w:pPr>
        <w:ind w:firstLine="411" w:firstLineChars="196"/>
        <w:rPr>
          <w:rFonts w:ascii="宋体" w:hAnsi="宋体"/>
          <w:szCs w:val="21"/>
        </w:rPr>
      </w:pPr>
      <w:r>
        <w:rPr>
          <w:rFonts w:hint="eastAsia" w:ascii="宋体" w:hAnsi="宋体"/>
          <w:szCs w:val="21"/>
        </w:rPr>
        <w:t>5.1投标人应在投标前到</w:t>
      </w:r>
      <w:r>
        <w:rPr>
          <w:rFonts w:hint="eastAsia" w:ascii="宋体" w:hAnsi="宋体"/>
          <w:b/>
          <w:bCs/>
          <w:szCs w:val="21"/>
        </w:rPr>
        <w:t>深圳公共资源交易中心（具体在深圳交易集团有限公司政府采购业务分公司进行办理）</w:t>
      </w:r>
      <w:r>
        <w:rPr>
          <w:rFonts w:hint="eastAsia" w:ascii="宋体" w:hAnsi="宋体"/>
          <w:szCs w:val="21"/>
        </w:rPr>
        <w:t>进行注册并办理电子密钥。《供应商注册及信息变更指引》详见www.szggzy.com网站“交易服务指南</w:t>
      </w:r>
      <w:r>
        <w:rPr>
          <w:rFonts w:hint="eastAsia" w:ascii="宋体" w:hAnsi="宋体"/>
          <w:szCs w:val="21"/>
          <w:lang w:eastAsia="zh-CN"/>
        </w:rPr>
        <w:t>－</w:t>
      </w:r>
      <w:r>
        <w:rPr>
          <w:rFonts w:hint="eastAsia" w:ascii="宋体" w:hAnsi="宋体"/>
          <w:szCs w:val="21"/>
        </w:rPr>
        <w:t>政府采购”</w:t>
      </w:r>
      <w:r>
        <w:rPr>
          <w:rFonts w:hint="eastAsia" w:ascii="宋体" w:hAnsi="宋体"/>
          <w:szCs w:val="21"/>
          <w:lang w:val="en-US" w:eastAsia="zh-CN"/>
        </w:rPr>
        <w:t>。</w:t>
      </w:r>
    </w:p>
    <w:p w14:paraId="75E87FD0">
      <w:pPr>
        <w:ind w:firstLine="411" w:firstLineChars="196"/>
        <w:rPr>
          <w:rFonts w:ascii="宋体" w:hAnsi="宋体"/>
          <w:szCs w:val="21"/>
        </w:rPr>
      </w:pPr>
      <w:r>
        <w:rPr>
          <w:rFonts w:hint="eastAsia" w:ascii="宋体" w:hAnsi="宋体"/>
          <w:szCs w:val="21"/>
        </w:rPr>
        <w:t>5.2投标人资格要求</w:t>
      </w:r>
    </w:p>
    <w:p w14:paraId="4AFA35DE">
      <w:pPr>
        <w:ind w:firstLine="411" w:firstLineChars="196"/>
        <w:rPr>
          <w:rFonts w:ascii="宋体" w:hAnsi="宋体"/>
          <w:szCs w:val="21"/>
        </w:rPr>
      </w:pPr>
      <w:r>
        <w:rPr>
          <w:rFonts w:hint="eastAsia" w:ascii="宋体" w:hAnsi="宋体"/>
          <w:szCs w:val="21"/>
        </w:rPr>
        <w:t>参加本项目的投标人应具备的资格条件详见本项目招标公告中 “投标人资格要求”（即申请人的资格要求）的内容。</w:t>
      </w:r>
    </w:p>
    <w:p w14:paraId="2C3F0A72">
      <w:pPr>
        <w:ind w:firstLine="411" w:firstLineChars="196"/>
        <w:rPr>
          <w:rFonts w:ascii="宋体" w:hAnsi="宋体"/>
          <w:szCs w:val="21"/>
        </w:rPr>
      </w:pPr>
      <w:r>
        <w:rPr>
          <w:rFonts w:hint="eastAsia" w:ascii="宋体" w:hAnsi="宋体"/>
          <w:szCs w:val="21"/>
        </w:rPr>
        <w:t>5.3联合体投标</w:t>
      </w:r>
    </w:p>
    <w:p w14:paraId="065F5F41">
      <w:pPr>
        <w:ind w:firstLine="411" w:firstLineChars="196"/>
        <w:rPr>
          <w:rFonts w:ascii="宋体" w:hAnsi="宋体"/>
          <w:szCs w:val="21"/>
        </w:rPr>
      </w:pPr>
      <w:r>
        <w:rPr>
          <w:rFonts w:hint="eastAsia" w:ascii="宋体" w:hAnsi="宋体"/>
          <w:szCs w:val="21"/>
        </w:rPr>
        <w:t>5.3.1　以下有关联合体投标的条款仅适用于允许投标人组成联合体投标的项目。</w:t>
      </w:r>
    </w:p>
    <w:p w14:paraId="31CEBA21">
      <w:pPr>
        <w:ind w:firstLine="411" w:firstLineChars="196"/>
        <w:rPr>
          <w:rFonts w:ascii="宋体" w:hAnsi="宋体"/>
          <w:szCs w:val="21"/>
        </w:rPr>
      </w:pPr>
      <w:r>
        <w:rPr>
          <w:rFonts w:hint="eastAsia" w:ascii="宋体" w:hAnsi="宋体"/>
          <w:szCs w:val="21"/>
        </w:rPr>
        <w:t>5.3.2  由两个或两个以上的自然人、法人或者其他组织可以组成一个联合体，以一个供应商的身份共同投标时，应符合以下原则：</w:t>
      </w:r>
    </w:p>
    <w:p w14:paraId="26FD0508">
      <w:pPr>
        <w:ind w:firstLine="411" w:firstLineChars="196"/>
        <w:rPr>
          <w:rFonts w:ascii="宋体" w:hAnsi="宋体"/>
        </w:rPr>
      </w:pPr>
      <w:r>
        <w:rPr>
          <w:rFonts w:hint="eastAsia" w:ascii="宋体" w:hAnsi="宋体"/>
        </w:rPr>
        <w:t>（1）投标联合体各方参加政府采购活动应当具备下列条件：</w:t>
      </w:r>
      <w:r>
        <w:rPr>
          <w:rFonts w:ascii="宋体" w:hAnsi="宋体"/>
        </w:rPr>
        <w:t xml:space="preserve"> </w:t>
      </w:r>
    </w:p>
    <w:p w14:paraId="1EBAC759">
      <w:pPr>
        <w:ind w:left="420" w:leftChars="200" w:firstLine="411" w:firstLineChars="196"/>
        <w:rPr>
          <w:rFonts w:ascii="宋体" w:hAnsi="宋体"/>
        </w:rPr>
      </w:pPr>
      <w:r>
        <w:rPr>
          <w:rFonts w:hint="eastAsia" w:ascii="宋体" w:hAnsi="宋体"/>
          <w:lang w:eastAsia="zh-CN"/>
        </w:rPr>
        <w:t>1.</w:t>
      </w:r>
      <w:r>
        <w:rPr>
          <w:rFonts w:hint="eastAsia" w:ascii="宋体" w:hAnsi="宋体"/>
        </w:rPr>
        <w:t>具有独立承担民事责任的能力；</w:t>
      </w:r>
      <w:r>
        <w:rPr>
          <w:rFonts w:ascii="宋体" w:hAnsi="宋体"/>
        </w:rPr>
        <w:t xml:space="preserve"> </w:t>
      </w:r>
    </w:p>
    <w:p w14:paraId="130ED862">
      <w:pPr>
        <w:ind w:left="420" w:firstLine="411" w:firstLineChars="196"/>
        <w:rPr>
          <w:rFonts w:ascii="宋体" w:hAnsi="宋体"/>
        </w:rPr>
      </w:pPr>
      <w:r>
        <w:rPr>
          <w:rFonts w:hint="eastAsia" w:ascii="宋体" w:hAnsi="宋体"/>
          <w:lang w:eastAsia="zh-CN"/>
        </w:rPr>
        <w:t>2.</w:t>
      </w:r>
      <w:r>
        <w:rPr>
          <w:rFonts w:hint="eastAsia" w:ascii="宋体" w:hAnsi="宋体"/>
        </w:rPr>
        <w:t>具有良好的商业信誉和健全的财务会计制度；</w:t>
      </w:r>
      <w:r>
        <w:rPr>
          <w:rFonts w:ascii="宋体" w:hAnsi="宋体"/>
        </w:rPr>
        <w:t xml:space="preserve"> </w:t>
      </w:r>
    </w:p>
    <w:p w14:paraId="77EAFBFB">
      <w:pPr>
        <w:ind w:left="420" w:leftChars="200" w:firstLine="411" w:firstLineChars="196"/>
        <w:rPr>
          <w:rFonts w:ascii="宋体" w:hAnsi="宋体"/>
        </w:rPr>
      </w:pPr>
      <w:r>
        <w:rPr>
          <w:rFonts w:hint="eastAsia" w:ascii="宋体" w:hAnsi="宋体"/>
          <w:lang w:eastAsia="zh-CN"/>
        </w:rPr>
        <w:t>3.</w:t>
      </w:r>
      <w:r>
        <w:rPr>
          <w:rFonts w:hint="eastAsia" w:ascii="宋体" w:hAnsi="宋体"/>
        </w:rPr>
        <w:t>具有履行合同所必需的设备和专业技术能力；</w:t>
      </w:r>
      <w:r>
        <w:rPr>
          <w:rFonts w:ascii="宋体" w:hAnsi="宋体"/>
        </w:rPr>
        <w:t xml:space="preserve"> </w:t>
      </w:r>
    </w:p>
    <w:p w14:paraId="2BA54E01">
      <w:pPr>
        <w:ind w:left="420" w:leftChars="200" w:firstLine="411" w:firstLineChars="196"/>
        <w:rPr>
          <w:rFonts w:ascii="宋体" w:hAnsi="宋体"/>
        </w:rPr>
      </w:pPr>
      <w:r>
        <w:rPr>
          <w:rFonts w:hint="eastAsia" w:ascii="宋体" w:hAnsi="宋体"/>
          <w:lang w:eastAsia="zh-CN"/>
        </w:rPr>
        <w:t>4.</w:t>
      </w:r>
      <w:r>
        <w:rPr>
          <w:rFonts w:hint="eastAsia" w:ascii="宋体" w:hAnsi="宋体"/>
        </w:rPr>
        <w:t>有依法缴纳税收和社会保障资金的良好记录；</w:t>
      </w:r>
      <w:r>
        <w:rPr>
          <w:rFonts w:ascii="宋体" w:hAnsi="宋体"/>
        </w:rPr>
        <w:t xml:space="preserve"> </w:t>
      </w:r>
    </w:p>
    <w:p w14:paraId="64F72FAA">
      <w:pPr>
        <w:ind w:left="420" w:leftChars="200" w:firstLine="411" w:firstLineChars="196"/>
        <w:rPr>
          <w:rFonts w:ascii="宋体" w:hAnsi="宋体"/>
        </w:rPr>
      </w:pPr>
      <w:r>
        <w:rPr>
          <w:rFonts w:hint="eastAsia" w:ascii="宋体" w:hAnsi="宋体"/>
          <w:lang w:eastAsia="zh-CN"/>
        </w:rPr>
        <w:t>5.</w:t>
      </w:r>
      <w:r>
        <w:rPr>
          <w:rFonts w:hint="eastAsia" w:ascii="宋体" w:hAnsi="宋体"/>
        </w:rPr>
        <w:t>参加政府采购活动前三年内，在经营活动中没有重大违法记录；</w:t>
      </w:r>
      <w:r>
        <w:rPr>
          <w:rFonts w:ascii="宋体" w:hAnsi="宋体"/>
        </w:rPr>
        <w:t xml:space="preserve"> </w:t>
      </w:r>
    </w:p>
    <w:p w14:paraId="7BD48806">
      <w:pPr>
        <w:ind w:left="420" w:leftChars="200" w:firstLine="411" w:firstLineChars="196"/>
        <w:rPr>
          <w:rFonts w:ascii="宋体" w:hAnsi="宋体"/>
        </w:rPr>
      </w:pPr>
      <w:r>
        <w:rPr>
          <w:rFonts w:hint="eastAsia" w:ascii="宋体" w:hAnsi="宋体"/>
          <w:lang w:eastAsia="zh-CN"/>
        </w:rPr>
        <w:t>6.</w:t>
      </w:r>
      <w:r>
        <w:rPr>
          <w:rFonts w:hint="eastAsia" w:ascii="宋体" w:hAnsi="宋体"/>
        </w:rPr>
        <w:t>法律、行政法规规定的其他条件。</w:t>
      </w:r>
      <w:r>
        <w:rPr>
          <w:rFonts w:ascii="宋体" w:hAnsi="宋体"/>
        </w:rPr>
        <w:t xml:space="preserve"> </w:t>
      </w:r>
    </w:p>
    <w:p w14:paraId="51745047">
      <w:pPr>
        <w:ind w:firstLine="411" w:firstLineChars="196"/>
        <w:rPr>
          <w:rFonts w:ascii="宋体" w:hAnsi="宋体"/>
        </w:rPr>
      </w:pPr>
      <w:r>
        <w:rPr>
          <w:rFonts w:hint="eastAsia" w:ascii="宋体" w:hAnsi="宋体"/>
        </w:rPr>
        <w:t>（2）在投标截止前，投标联合体各方均应注册</w:t>
      </w:r>
      <w:r>
        <w:rPr>
          <w:rFonts w:hint="eastAsia" w:ascii="宋体" w:hAnsi="宋体"/>
          <w:lang w:eastAsia="zh-CN"/>
        </w:rPr>
        <w:t>成为</w:t>
      </w:r>
      <w:r>
        <w:rPr>
          <w:rFonts w:hint="eastAsia" w:ascii="宋体" w:hAnsi="宋体"/>
        </w:rPr>
        <w:t>政府集中采购机构供应商；</w:t>
      </w:r>
    </w:p>
    <w:p w14:paraId="49A1A95C">
      <w:pPr>
        <w:ind w:firstLine="411" w:firstLineChars="196"/>
        <w:rPr>
          <w:rFonts w:ascii="宋体" w:hAnsi="宋体"/>
        </w:rPr>
      </w:pPr>
      <w:r>
        <w:rPr>
          <w:rFonts w:hint="eastAsia" w:ascii="宋体" w:hAnsi="宋体"/>
        </w:rPr>
        <w:t>（3）联合体中有同类资质的供应商按照联合体分工承担相同工作的，应当按照资质等级较低的供应商确定资质等级；</w:t>
      </w:r>
    </w:p>
    <w:p w14:paraId="73D87867">
      <w:pPr>
        <w:ind w:firstLine="411" w:firstLineChars="196"/>
      </w:pPr>
      <w:r>
        <w:rPr>
          <w:rFonts w:hint="eastAsia"/>
        </w:rPr>
        <w:t>（4）是否允许联合体参加投标，应当由采购人和采购代理机构根据项目的实际情况和潜在供应商的数量自主决定，如果决定接受联合体投标则应当在招标公告中明示；</w:t>
      </w:r>
    </w:p>
    <w:p w14:paraId="1877A918">
      <w:pPr>
        <w:ind w:firstLine="411" w:firstLineChars="196"/>
        <w:rPr>
          <w:rFonts w:ascii="宋体" w:hAnsi="宋体"/>
        </w:rPr>
      </w:pPr>
      <w:r>
        <w:rPr>
          <w:rFonts w:hint="eastAsia" w:ascii="宋体" w:hAnsi="宋体"/>
        </w:rPr>
        <w:t>（5）投标人的投标文件及中标后签署的合同协议对联合体各方均</w:t>
      </w:r>
      <w:r>
        <w:rPr>
          <w:rFonts w:hint="eastAsia" w:ascii="宋体" w:hAnsi="宋体"/>
          <w:lang w:eastAsia="zh-CN"/>
        </w:rPr>
        <w:t>具有</w:t>
      </w:r>
      <w:r>
        <w:rPr>
          <w:rFonts w:hint="eastAsia" w:ascii="宋体" w:hAnsi="宋体"/>
        </w:rPr>
        <w:t>法律约束力；</w:t>
      </w:r>
    </w:p>
    <w:p w14:paraId="197546A4">
      <w:pPr>
        <w:ind w:firstLine="411" w:firstLineChars="196"/>
        <w:rPr>
          <w:rFonts w:ascii="宋体" w:hAnsi="宋体"/>
        </w:rPr>
      </w:pPr>
      <w:r>
        <w:rPr>
          <w:rFonts w:hint="eastAsia" w:ascii="宋体" w:hAnsi="宋体"/>
        </w:rPr>
        <w:t>（6）联合体各方应当签订联合体投标协议，明确约定各方拟承担的工作和责任，并将该协议随投标文件一并递交给政府集中采购机构；</w:t>
      </w:r>
    </w:p>
    <w:p w14:paraId="2B934CE0">
      <w:pPr>
        <w:ind w:firstLine="411" w:firstLineChars="196"/>
        <w:rPr>
          <w:rFonts w:ascii="宋体" w:hAnsi="宋体"/>
        </w:rPr>
      </w:pPr>
      <w:r>
        <w:rPr>
          <w:rFonts w:hint="eastAsia" w:ascii="宋体" w:hAnsi="宋体"/>
        </w:rPr>
        <w:t>（7）联合体中标后，联合体各方应当共同与采购人签订合同，就中标项目向采购人承担连带责任；</w:t>
      </w:r>
    </w:p>
    <w:p w14:paraId="33126B15">
      <w:pPr>
        <w:ind w:firstLine="411" w:firstLineChars="196"/>
        <w:rPr>
          <w:rFonts w:ascii="宋体" w:hAnsi="宋体"/>
        </w:rPr>
      </w:pPr>
      <w:r>
        <w:rPr>
          <w:rFonts w:hint="eastAsia" w:ascii="宋体" w:hAnsi="宋体"/>
        </w:rPr>
        <w:t>（8）以联合体形式参加政府采购活动的，联合体各方不得再单独参加或者与其他供应商另外组成联合体参加同一合同项下的政府采购活动，出现上述情况者，其投标和与此有关联合体、总包单位的投标将被拒绝；</w:t>
      </w:r>
    </w:p>
    <w:p w14:paraId="4265A302">
      <w:pPr>
        <w:ind w:firstLine="411" w:firstLineChars="196"/>
        <w:rPr>
          <w:rFonts w:ascii="宋体" w:hAnsi="宋体"/>
          <w:szCs w:val="21"/>
        </w:rPr>
      </w:pPr>
      <w:r>
        <w:rPr>
          <w:rFonts w:hint="eastAsia" w:ascii="宋体" w:hAnsi="宋体"/>
        </w:rPr>
        <w:t>（9）本通用条款中“投标人”一词亦指联合体各方，专用条款另有规定或说明的除外。</w:t>
      </w:r>
    </w:p>
    <w:p w14:paraId="07DD869E">
      <w:pPr>
        <w:rPr>
          <w:rFonts w:ascii="黑体" w:hAnsi="宋体" w:eastAsia="黑体"/>
          <w:sz w:val="24"/>
        </w:rPr>
      </w:pPr>
      <w:r>
        <w:rPr>
          <w:rFonts w:hint="eastAsia" w:ascii="黑体" w:hAnsi="宋体" w:eastAsia="黑体"/>
          <w:sz w:val="24"/>
          <w:lang w:eastAsia="zh-CN"/>
        </w:rPr>
        <w:t>6.</w:t>
      </w:r>
      <w:r>
        <w:rPr>
          <w:rFonts w:hint="eastAsia" w:ascii="黑体" w:hAnsi="宋体" w:eastAsia="黑体"/>
          <w:sz w:val="24"/>
        </w:rPr>
        <w:t>政策导向</w:t>
      </w:r>
    </w:p>
    <w:p w14:paraId="3365AFF1">
      <w:pPr>
        <w:ind w:firstLine="411" w:firstLineChars="196"/>
        <w:rPr>
          <w:rFonts w:ascii="宋体" w:hAnsi="宋体"/>
        </w:rPr>
      </w:pPr>
      <w:r>
        <w:rPr>
          <w:rFonts w:hint="eastAsia" w:ascii="宋体" w:hAnsi="宋体"/>
        </w:rPr>
        <w:t>6.1</w:t>
      </w:r>
      <w:r>
        <w:rPr>
          <w:rFonts w:ascii="宋体" w:hAnsi="宋体"/>
        </w:rPr>
        <w:t xml:space="preserve">  </w:t>
      </w:r>
      <w:r>
        <w:rPr>
          <w:rFonts w:hint="eastAsia" w:ascii="宋体" w:hAnsi="宋体"/>
        </w:rPr>
        <w:t>政府采购扶持贫困地区、中小企业、监狱企业和残疾人福利性单位发展，支持节能减排、环境保护。</w:t>
      </w:r>
    </w:p>
    <w:p w14:paraId="4A0C7BA6">
      <w:pPr>
        <w:ind w:firstLine="405"/>
        <w:rPr>
          <w:rFonts w:hint="eastAsia" w:ascii="宋体" w:hAnsi="宋体"/>
        </w:rPr>
      </w:pPr>
      <w:r>
        <w:rPr>
          <w:rFonts w:hint="eastAsia" w:ascii="宋体" w:hAnsi="宋体"/>
        </w:rPr>
        <w:t>6.2</w:t>
      </w:r>
      <w:r>
        <w:rPr>
          <w:rFonts w:ascii="宋体" w:hAnsi="宋体"/>
        </w:rPr>
        <w:t xml:space="preserve">  </w:t>
      </w:r>
      <w:r>
        <w:rPr>
          <w:rFonts w:hint="eastAsia" w:ascii="宋体" w:hAnsi="宋体"/>
        </w:rPr>
        <w:t>本项目落实深圳市政府采购供应商诚信管理政策要求。</w:t>
      </w:r>
    </w:p>
    <w:p w14:paraId="0DBEBFAD">
      <w:pPr>
        <w:ind w:firstLine="405"/>
        <w:rPr>
          <w:rFonts w:hint="default" w:eastAsia="宋体"/>
          <w:lang w:val="en-US" w:eastAsia="zh-CN"/>
        </w:rPr>
      </w:pPr>
      <w:r>
        <w:rPr>
          <w:rFonts w:hint="eastAsia" w:ascii="宋体" w:hAnsi="宋体"/>
          <w:lang w:val="en-US" w:eastAsia="zh-CN"/>
        </w:rPr>
        <w:t>6.3  本项目支持投标人性别平等的相关政策。</w:t>
      </w:r>
    </w:p>
    <w:p w14:paraId="18D469CC">
      <w:pPr>
        <w:rPr>
          <w:rFonts w:ascii="黑体" w:hAnsi="宋体" w:eastAsia="黑体"/>
          <w:sz w:val="24"/>
        </w:rPr>
      </w:pPr>
      <w:r>
        <w:rPr>
          <w:rFonts w:hint="eastAsia" w:ascii="黑体" w:hAnsi="宋体" w:eastAsia="黑体"/>
          <w:sz w:val="24"/>
        </w:rPr>
        <w:t>7. 本项目若涉及采购货物，则合格的货物及相应服务应满足以下要求：</w:t>
      </w:r>
    </w:p>
    <w:p w14:paraId="34D5B187">
      <w:pPr>
        <w:ind w:firstLine="411" w:firstLineChars="196"/>
        <w:rPr>
          <w:rFonts w:ascii="宋体" w:hAnsi="宋体"/>
        </w:rPr>
      </w:pPr>
      <w:r>
        <w:rPr>
          <w:rFonts w:hint="eastAsia" w:ascii="宋体" w:hAnsi="宋体"/>
        </w:rPr>
        <w:t>7</w:t>
      </w:r>
      <w:r>
        <w:rPr>
          <w:rFonts w:ascii="宋体" w:hAnsi="宋体"/>
        </w:rPr>
        <w:t xml:space="preserve">.1  </w:t>
      </w:r>
      <w:r>
        <w:rPr>
          <w:rFonts w:hint="eastAsia" w:ascii="宋体" w:hAnsi="宋体"/>
        </w:rPr>
        <w:t>必须是全新、未使用过的原装合格正品（包括零部件），如安装或配置了软件的，须为正版软件。</w:t>
      </w:r>
    </w:p>
    <w:p w14:paraId="6592128D">
      <w:pPr>
        <w:ind w:firstLine="411" w:firstLineChars="196"/>
        <w:rPr>
          <w:rFonts w:ascii="宋体" w:hAnsi="宋体"/>
        </w:rPr>
      </w:pPr>
      <w:r>
        <w:rPr>
          <w:rFonts w:hint="eastAsia" w:ascii="宋体" w:hAnsi="宋体"/>
        </w:rPr>
        <w:t>7.2  国产的货物及其有关服务必须符合中华人民共和国的设计、制造生产标准及行业标准。招标公告有其他要求的，亦应符合其要求。</w:t>
      </w:r>
    </w:p>
    <w:p w14:paraId="3D628FF2">
      <w:pPr>
        <w:ind w:firstLine="411" w:firstLineChars="196"/>
        <w:rPr>
          <w:rFonts w:ascii="宋体" w:hAnsi="宋体"/>
        </w:rPr>
      </w:pPr>
      <w:r>
        <w:rPr>
          <w:rFonts w:hint="eastAsia" w:ascii="宋体" w:hAnsi="宋体"/>
        </w:rPr>
        <w:t>7</w:t>
      </w:r>
      <w:r>
        <w:rPr>
          <w:rFonts w:ascii="宋体" w:hAnsi="宋体"/>
        </w:rPr>
        <w:t>.</w:t>
      </w:r>
      <w:r>
        <w:rPr>
          <w:rFonts w:hint="eastAsia" w:ascii="宋体" w:hAnsi="宋体"/>
        </w:rPr>
        <w:t>3</w:t>
      </w:r>
      <w:r>
        <w:rPr>
          <w:rFonts w:ascii="宋体" w:hAnsi="宋体"/>
        </w:rPr>
        <w:t xml:space="preserve">  </w:t>
      </w:r>
      <w:r>
        <w:rPr>
          <w:rFonts w:hint="eastAsia" w:ascii="宋体" w:hAnsi="宋体"/>
        </w:rPr>
        <w:t>进口货物及其有关服务必须符合原产地和中华人民共和国的设计、制造生产标准及行业标准。进口的货物必须具有合法的进口手续和途径，并通过中华人民共和国商检部门检验。招标公告有其他要求的，亦应符合其要求。</w:t>
      </w:r>
    </w:p>
    <w:p w14:paraId="4E3AF9EC">
      <w:pPr>
        <w:ind w:firstLine="411" w:firstLineChars="196"/>
        <w:rPr>
          <w:rFonts w:ascii="宋体" w:hAnsi="宋体"/>
        </w:rPr>
      </w:pPr>
      <w:r>
        <w:rPr>
          <w:rFonts w:hint="eastAsia" w:ascii="宋体" w:hAnsi="宋体"/>
        </w:rPr>
        <w:t>7</w:t>
      </w:r>
      <w:r>
        <w:rPr>
          <w:rFonts w:ascii="宋体" w:hAnsi="宋体"/>
        </w:rPr>
        <w:t>.</w:t>
      </w:r>
      <w:r>
        <w:rPr>
          <w:rFonts w:hint="eastAsia" w:ascii="宋体" w:hAnsi="宋体"/>
        </w:rPr>
        <w:t>4</w:t>
      </w:r>
      <w:r>
        <w:rPr>
          <w:rFonts w:ascii="宋体" w:hAnsi="宋体"/>
        </w:rPr>
        <w:t xml:space="preserve">  </w:t>
      </w:r>
      <w:r>
        <w:rPr>
          <w:rFonts w:hint="eastAsia" w:ascii="宋体" w:hAnsi="宋体"/>
        </w:rPr>
        <w:t>投标人</w:t>
      </w:r>
      <w:bookmarkStart w:id="47" w:name="_Hlk72152753"/>
      <w:r>
        <w:rPr>
          <w:rFonts w:hint="eastAsia" w:ascii="宋体" w:hAnsi="宋体"/>
        </w:rPr>
        <w:t>应保证，其所提供的货物通过合法正规渠道供货，在提供给采购人前具有完全的所有权，采购人在中华人民共和国使用该货物或货物的任何一部分时，不会产生因第三方提出的包括但不限于侵犯其专利权、商标权、工业设计权等知识产权和侵犯其所有权、抵押权等物权及其他权利而引发的纠纷。如有纠纷，投标人应承担全部责任。</w:t>
      </w:r>
      <w:bookmarkEnd w:id="47"/>
    </w:p>
    <w:p w14:paraId="74CAE2B9">
      <w:pPr>
        <w:ind w:firstLine="411" w:firstLineChars="196"/>
        <w:rPr>
          <w:rFonts w:ascii="宋体" w:hAnsi="宋体"/>
        </w:rPr>
      </w:pPr>
      <w:r>
        <w:rPr>
          <w:rFonts w:hint="eastAsia" w:ascii="宋体" w:hAnsi="宋体"/>
        </w:rPr>
        <w:t>7.5  投标人应保证，其所提供的货物符合国家强制性标准要求；符合相关行业标准（如具备行政主管部门颁发的资质证书或国家质量监督部门的产品《检验报告》等）。设备到货验收时，还必须提供设备的产品合格证、质量保证文件。若中标后，除非另有约定，投标人必须按合同规定完成设备的安装，并达到验收标准。</w:t>
      </w:r>
    </w:p>
    <w:p w14:paraId="76AF25A2">
      <w:pPr>
        <w:ind w:firstLine="411" w:firstLineChars="196"/>
        <w:rPr>
          <w:rFonts w:ascii="宋体" w:hAnsi="宋体"/>
        </w:rPr>
      </w:pPr>
      <w:r>
        <w:rPr>
          <w:rFonts w:hint="eastAsia" w:ascii="宋体" w:hAnsi="宋体"/>
        </w:rPr>
        <w:t>7.6  工期要求：投标人在投标时对其所投项目应提交交货进度、交货计划等，在合同规定的时间内完成项目实施工作。</w:t>
      </w:r>
    </w:p>
    <w:p w14:paraId="575704BB">
      <w:pPr>
        <w:ind w:firstLine="411" w:firstLineChars="196"/>
        <w:rPr>
          <w:rFonts w:ascii="宋体" w:hAnsi="宋体"/>
        </w:rPr>
      </w:pPr>
      <w:r>
        <w:rPr>
          <w:rFonts w:hint="eastAsia" w:ascii="宋体" w:hAnsi="宋体"/>
        </w:rPr>
        <w:t>7.7  投标人必须承担设备运输、安装调试、验收检测和提供设备操作说明书、图纸等其他相关及类似的义务。</w:t>
      </w:r>
    </w:p>
    <w:p w14:paraId="75051087">
      <w:pPr>
        <w:rPr>
          <w:rFonts w:ascii="黑体" w:hAnsi="宋体" w:eastAsia="黑体"/>
          <w:sz w:val="24"/>
        </w:rPr>
      </w:pPr>
      <w:r>
        <w:rPr>
          <w:rFonts w:hint="eastAsia" w:ascii="黑体" w:hAnsi="宋体" w:eastAsia="黑体"/>
          <w:sz w:val="24"/>
          <w:lang w:eastAsia="zh-CN"/>
        </w:rPr>
        <w:t>8.</w:t>
      </w:r>
      <w:r>
        <w:rPr>
          <w:rFonts w:hint="eastAsia" w:ascii="黑体" w:hAnsi="宋体" w:eastAsia="黑体"/>
          <w:sz w:val="24"/>
        </w:rPr>
        <w:t>投标费用</w:t>
      </w:r>
    </w:p>
    <w:p w14:paraId="04A97750">
      <w:pPr>
        <w:ind w:firstLine="411" w:firstLineChars="196"/>
        <w:rPr>
          <w:rFonts w:ascii="宋体" w:hAnsi="宋体"/>
          <w:szCs w:val="21"/>
        </w:rPr>
      </w:pPr>
      <w:r>
        <w:rPr>
          <w:rFonts w:hint="eastAsia" w:ascii="宋体" w:hAnsi="宋体"/>
          <w:szCs w:val="21"/>
        </w:rPr>
        <w:t>不论投标结果如何，投标人应承担其编制投标文件与递交投标文件所涉及的一切费用。</w:t>
      </w:r>
    </w:p>
    <w:p w14:paraId="3E320B37">
      <w:pPr>
        <w:rPr>
          <w:rFonts w:ascii="黑体" w:hAnsi="宋体" w:eastAsia="黑体"/>
          <w:sz w:val="24"/>
        </w:rPr>
      </w:pPr>
      <w:r>
        <w:rPr>
          <w:rFonts w:hint="eastAsia" w:ascii="黑体" w:hAnsi="宋体" w:eastAsia="黑体"/>
          <w:sz w:val="24"/>
          <w:lang w:eastAsia="zh-CN"/>
        </w:rPr>
        <w:t>9.</w:t>
      </w:r>
      <w:r>
        <w:rPr>
          <w:rFonts w:hint="eastAsia" w:ascii="黑体" w:hAnsi="宋体" w:eastAsia="黑体"/>
          <w:sz w:val="24"/>
        </w:rPr>
        <w:t>踏勘现场</w:t>
      </w:r>
    </w:p>
    <w:p w14:paraId="0CF3932B">
      <w:pPr>
        <w:ind w:firstLine="411" w:firstLineChars="196"/>
        <w:rPr>
          <w:rFonts w:ascii="宋体" w:hAnsi="宋体"/>
          <w:szCs w:val="21"/>
        </w:rPr>
      </w:pPr>
      <w:r>
        <w:rPr>
          <w:rFonts w:hint="eastAsia" w:ascii="宋体" w:hAnsi="宋体"/>
          <w:szCs w:val="21"/>
        </w:rPr>
        <w:t>9.1如有需要（详见专用条款），采购人或政府集中采购机构将组织投标人对项目现场及周围环境进行踏勘，以便投标人获取有关编制投标文件和签署合同所需的资料。踏勘现场所发生的费用由投标人自行承担。投标人应按招标文件所约定的时间、地点踏勘现场。</w:t>
      </w:r>
    </w:p>
    <w:p w14:paraId="5731C122">
      <w:pPr>
        <w:ind w:firstLine="411" w:firstLineChars="196"/>
        <w:rPr>
          <w:rFonts w:ascii="宋体" w:hAnsi="宋体"/>
        </w:rPr>
      </w:pPr>
      <w:r>
        <w:rPr>
          <w:rFonts w:hint="eastAsia" w:ascii="宋体" w:hAnsi="宋体"/>
        </w:rPr>
        <w:t>9.2投标人及其人员经过采购人的允许，可以进入采购人的项目现场踏勘。若招标文件要求投标人于统一时间地点踏勘现场的，投标人应当按时前往。</w:t>
      </w:r>
    </w:p>
    <w:p w14:paraId="33994B7E">
      <w:pPr>
        <w:ind w:firstLine="411" w:firstLineChars="196"/>
        <w:rPr>
          <w:rFonts w:ascii="宋体" w:hAnsi="宋体"/>
        </w:rPr>
      </w:pPr>
      <w:r>
        <w:rPr>
          <w:rFonts w:hint="eastAsia" w:ascii="宋体" w:hAnsi="宋体"/>
        </w:rPr>
        <w:t>9.3采购人应当通过政府集中采购机构向投标人提供有关现场的书面资料和数据。</w:t>
      </w:r>
    </w:p>
    <w:p w14:paraId="2B234529">
      <w:pPr>
        <w:ind w:firstLine="411" w:firstLineChars="196"/>
        <w:rPr>
          <w:rFonts w:ascii="宋体" w:hAnsi="宋体"/>
        </w:rPr>
      </w:pPr>
      <w:r>
        <w:rPr>
          <w:rFonts w:hint="eastAsia" w:ascii="宋体" w:hAnsi="宋体"/>
        </w:rPr>
        <w:t>9.4任何人或任何组织在踏勘现场时向投标人提供的任何书面资料或口头承诺，未经政府集中采购机构在网上发布或书面通知，均作无效处理。</w:t>
      </w:r>
    </w:p>
    <w:p w14:paraId="0BEBDB55">
      <w:pPr>
        <w:ind w:firstLine="411" w:firstLineChars="196"/>
        <w:rPr>
          <w:rFonts w:ascii="宋体" w:hAnsi="宋体"/>
        </w:rPr>
      </w:pPr>
      <w:r>
        <w:rPr>
          <w:rFonts w:ascii="宋体" w:hAnsi="宋体"/>
          <w:szCs w:val="21"/>
        </w:rPr>
        <w:t>9</w:t>
      </w:r>
      <w:r>
        <w:rPr>
          <w:rFonts w:hint="eastAsia" w:ascii="宋体" w:hAnsi="宋体"/>
          <w:szCs w:val="21"/>
        </w:rPr>
        <w:t>.</w:t>
      </w:r>
      <w:r>
        <w:rPr>
          <w:rFonts w:ascii="宋体" w:hAnsi="宋体"/>
          <w:szCs w:val="21"/>
        </w:rPr>
        <w:t>5</w:t>
      </w:r>
      <w:r>
        <w:rPr>
          <w:rFonts w:hint="eastAsia" w:ascii="宋体" w:hAnsi="宋体"/>
          <w:szCs w:val="21"/>
        </w:rPr>
        <w:t>未参与踏勘现场不作为否定投标人资格的理由。</w:t>
      </w:r>
    </w:p>
    <w:p w14:paraId="6970AA57">
      <w:pPr>
        <w:rPr>
          <w:rFonts w:ascii="宋体" w:hAnsi="宋体"/>
          <w:szCs w:val="21"/>
        </w:rPr>
      </w:pPr>
      <w:r>
        <w:rPr>
          <w:rFonts w:hint="eastAsia" w:ascii="黑体" w:hAnsi="宋体" w:eastAsia="黑体"/>
          <w:sz w:val="24"/>
          <w:lang w:eastAsia="zh-CN"/>
        </w:rPr>
        <w:t>10.</w:t>
      </w:r>
      <w:r>
        <w:rPr>
          <w:rFonts w:hint="eastAsia" w:ascii="黑体" w:hAnsi="宋体" w:eastAsia="黑体"/>
          <w:sz w:val="24"/>
        </w:rPr>
        <w:t>标前会议</w:t>
      </w:r>
    </w:p>
    <w:p w14:paraId="565B95FF">
      <w:pPr>
        <w:ind w:firstLine="411" w:firstLineChars="196"/>
        <w:rPr>
          <w:rFonts w:ascii="宋体" w:hAnsi="宋体"/>
          <w:szCs w:val="21"/>
        </w:rPr>
      </w:pPr>
      <w:r>
        <w:rPr>
          <w:rFonts w:hint="eastAsia" w:ascii="宋体" w:hAnsi="宋体"/>
          <w:szCs w:val="21"/>
        </w:rPr>
        <w:t>1</w:t>
      </w:r>
      <w:r>
        <w:rPr>
          <w:rFonts w:ascii="宋体" w:hAnsi="宋体"/>
          <w:szCs w:val="21"/>
        </w:rPr>
        <w:t>0</w:t>
      </w:r>
      <w:r>
        <w:rPr>
          <w:rFonts w:hint="eastAsia" w:ascii="宋体" w:hAnsi="宋体"/>
          <w:szCs w:val="21"/>
        </w:rPr>
        <w:t>.</w:t>
      </w:r>
      <w:r>
        <w:rPr>
          <w:rFonts w:ascii="宋体" w:hAnsi="宋体"/>
          <w:szCs w:val="21"/>
        </w:rPr>
        <w:t>1</w:t>
      </w:r>
      <w:r>
        <w:rPr>
          <w:rFonts w:hint="eastAsia" w:ascii="宋体" w:hAnsi="宋体"/>
          <w:szCs w:val="21"/>
        </w:rPr>
        <w:t>如采购人或政府集中采购机构认为有必要组织标前会议，投标人应按照招标文件规定的时间或政府集中采购机构另行书面通知（包括政府集中采购机构网站发布方式，如更正公告等）的时间和地点，参与标前会议。</w:t>
      </w:r>
    </w:p>
    <w:p w14:paraId="60917587">
      <w:pPr>
        <w:ind w:firstLine="411" w:firstLineChars="196"/>
        <w:rPr>
          <w:rFonts w:ascii="宋体" w:hAnsi="宋体"/>
          <w:szCs w:val="21"/>
        </w:rPr>
      </w:pPr>
      <w:r>
        <w:rPr>
          <w:rFonts w:ascii="宋体" w:hAnsi="宋体"/>
        </w:rPr>
        <w:t>10</w:t>
      </w:r>
      <w:r>
        <w:rPr>
          <w:rFonts w:hint="eastAsia" w:ascii="宋体" w:hAnsi="宋体"/>
        </w:rPr>
        <w:t>.</w:t>
      </w:r>
      <w:r>
        <w:rPr>
          <w:rFonts w:ascii="宋体" w:hAnsi="宋体"/>
        </w:rPr>
        <w:t>2</w:t>
      </w:r>
      <w:r>
        <w:rPr>
          <w:rFonts w:hint="eastAsia" w:ascii="宋体" w:hAnsi="宋体"/>
        </w:rPr>
        <w:t>任何人或任何组织在标前会议时向投标人提供的任何书面资料或口头承诺，未经政府集中采购机构在网上发布或书面通知，均作无效处理。</w:t>
      </w:r>
    </w:p>
    <w:p w14:paraId="352DBDA9">
      <w:pPr>
        <w:ind w:firstLine="411" w:firstLineChars="196"/>
        <w:rPr>
          <w:rFonts w:ascii="宋体" w:hAnsi="宋体"/>
          <w:szCs w:val="21"/>
        </w:rPr>
      </w:pPr>
      <w:r>
        <w:rPr>
          <w:rFonts w:hint="eastAsia" w:ascii="宋体" w:hAnsi="宋体"/>
          <w:szCs w:val="21"/>
        </w:rPr>
        <w:t>1</w:t>
      </w:r>
      <w:r>
        <w:rPr>
          <w:rFonts w:ascii="宋体" w:hAnsi="宋体"/>
          <w:szCs w:val="21"/>
        </w:rPr>
        <w:t>0</w:t>
      </w:r>
      <w:r>
        <w:rPr>
          <w:rFonts w:hint="eastAsia" w:ascii="宋体" w:hAnsi="宋体"/>
          <w:szCs w:val="21"/>
        </w:rPr>
        <w:t>.</w:t>
      </w:r>
      <w:r>
        <w:rPr>
          <w:rFonts w:ascii="宋体" w:hAnsi="宋体"/>
          <w:szCs w:val="21"/>
        </w:rPr>
        <w:t>3</w:t>
      </w:r>
      <w:r>
        <w:rPr>
          <w:rFonts w:hint="eastAsia" w:ascii="宋体" w:hAnsi="宋体"/>
          <w:szCs w:val="21"/>
        </w:rPr>
        <w:t>未参与标前会议不作为否定投标人资格的理由。</w:t>
      </w:r>
      <w:bookmarkEnd w:id="46"/>
    </w:p>
    <w:p w14:paraId="64EAF925">
      <w:pPr>
        <w:ind w:firstLine="411" w:firstLineChars="196"/>
        <w:rPr>
          <w:rFonts w:ascii="宋体" w:hAnsi="宋体"/>
        </w:rPr>
      </w:pPr>
    </w:p>
    <w:p w14:paraId="2F7F8A7C">
      <w:pPr>
        <w:pStyle w:val="5"/>
        <w:numPr>
          <w:ilvl w:val="0"/>
          <w:numId w:val="10"/>
        </w:numPr>
        <w:spacing w:before="120" w:beforeLines="50" w:after="120" w:afterLines="50"/>
        <w:ind w:left="562" w:hanging="562"/>
        <w:rPr>
          <w:sz w:val="28"/>
          <w:szCs w:val="28"/>
        </w:rPr>
      </w:pPr>
      <w:r>
        <w:rPr>
          <w:rFonts w:hint="eastAsia"/>
          <w:sz w:val="28"/>
          <w:szCs w:val="28"/>
        </w:rPr>
        <w:t>招标文件</w:t>
      </w:r>
    </w:p>
    <w:p w14:paraId="4BDD0E2E">
      <w:pPr>
        <w:rPr>
          <w:rFonts w:ascii="黑体" w:hAnsi="宋体" w:eastAsia="黑体"/>
          <w:sz w:val="24"/>
        </w:rPr>
      </w:pPr>
      <w:r>
        <w:rPr>
          <w:rFonts w:hint="eastAsia" w:ascii="黑体" w:hAnsi="宋体" w:eastAsia="黑体"/>
          <w:sz w:val="24"/>
          <w:lang w:eastAsia="zh-CN"/>
        </w:rPr>
        <w:t>11.</w:t>
      </w:r>
      <w:bookmarkStart w:id="48" w:name="_Hlk72399819"/>
      <w:r>
        <w:rPr>
          <w:rFonts w:hint="eastAsia" w:ascii="黑体" w:hAnsi="宋体" w:eastAsia="黑体"/>
          <w:sz w:val="24"/>
        </w:rPr>
        <w:t>招标文件的编制与组成</w:t>
      </w:r>
    </w:p>
    <w:p w14:paraId="0766EB25">
      <w:pPr>
        <w:snapToGrid w:val="0"/>
        <w:ind w:firstLine="420" w:firstLineChars="200"/>
        <w:rPr>
          <w:rFonts w:ascii="宋体" w:hAnsi="宋体"/>
          <w:szCs w:val="21"/>
        </w:rPr>
      </w:pPr>
      <w:r>
        <w:rPr>
          <w:rFonts w:hint="eastAsia" w:ascii="宋体" w:hAnsi="宋体"/>
          <w:szCs w:val="21"/>
        </w:rPr>
        <w:t>1</w:t>
      </w:r>
      <w:r>
        <w:rPr>
          <w:rFonts w:ascii="宋体" w:hAnsi="宋体"/>
          <w:szCs w:val="21"/>
        </w:rPr>
        <w:t>1</w:t>
      </w:r>
      <w:r>
        <w:rPr>
          <w:rFonts w:hint="eastAsia" w:ascii="宋体" w:hAnsi="宋体"/>
          <w:szCs w:val="21"/>
        </w:rPr>
        <w:t>.1招标文件除以下内容外，政府集中采购机构在招标期间发出的澄清或修改等相关公告或通知内容，均是招标文件的组成部分，对投标人起约束作用；</w:t>
      </w:r>
    </w:p>
    <w:p w14:paraId="32BBBC44">
      <w:pPr>
        <w:ind w:firstLine="411" w:firstLineChars="196"/>
        <w:rPr>
          <w:rFonts w:ascii="宋体" w:hAnsi="宋体"/>
          <w:szCs w:val="21"/>
        </w:rPr>
      </w:pPr>
      <w:r>
        <w:rPr>
          <w:rFonts w:hint="eastAsia" w:ascii="宋体" w:hAnsi="宋体"/>
          <w:szCs w:val="21"/>
        </w:rPr>
        <w:t>招标文件包括下列内容：</w:t>
      </w:r>
    </w:p>
    <w:p w14:paraId="5915A549">
      <w:pPr>
        <w:ind w:left="420" w:leftChars="200" w:firstLine="413" w:firstLineChars="196"/>
        <w:rPr>
          <w:rFonts w:ascii="宋体" w:hAnsi="宋体"/>
          <w:b/>
          <w:szCs w:val="21"/>
        </w:rPr>
      </w:pPr>
      <w:r>
        <w:rPr>
          <w:rFonts w:hint="eastAsia" w:ascii="宋体" w:hAnsi="宋体"/>
          <w:b/>
          <w:szCs w:val="21"/>
        </w:rPr>
        <w:t>第一册  专用条款</w:t>
      </w:r>
    </w:p>
    <w:p w14:paraId="52AA99CC">
      <w:pPr>
        <w:ind w:left="1079" w:leftChars="514"/>
        <w:rPr>
          <w:rFonts w:ascii="宋体" w:hAnsi="宋体"/>
          <w:b/>
          <w:szCs w:val="21"/>
        </w:rPr>
      </w:pPr>
      <w:r>
        <w:rPr>
          <w:rFonts w:hint="eastAsia" w:ascii="宋体" w:hAnsi="宋体"/>
          <w:b/>
          <w:szCs w:val="21"/>
        </w:rPr>
        <w:t>关键信息</w:t>
      </w:r>
    </w:p>
    <w:p w14:paraId="4125E25B">
      <w:pPr>
        <w:ind w:left="630" w:leftChars="300" w:firstLine="411" w:firstLineChars="196"/>
        <w:rPr>
          <w:rFonts w:ascii="宋体" w:hAnsi="宋体"/>
          <w:szCs w:val="21"/>
        </w:rPr>
      </w:pPr>
      <w:r>
        <w:rPr>
          <w:rFonts w:hint="eastAsia" w:ascii="宋体" w:hAnsi="宋体"/>
          <w:szCs w:val="21"/>
        </w:rPr>
        <w:t>第一章  招标公告</w:t>
      </w:r>
    </w:p>
    <w:p w14:paraId="4CA87AD4">
      <w:pPr>
        <w:ind w:left="630" w:leftChars="300" w:firstLine="411" w:firstLineChars="196"/>
        <w:rPr>
          <w:rFonts w:ascii="宋体" w:hAnsi="宋体"/>
          <w:szCs w:val="21"/>
        </w:rPr>
      </w:pPr>
      <w:r>
        <w:rPr>
          <w:rFonts w:hint="eastAsia" w:ascii="宋体" w:hAnsi="宋体"/>
          <w:szCs w:val="21"/>
        </w:rPr>
        <w:t>第二章  对通用条款的补充内容及其他关键信息</w:t>
      </w:r>
    </w:p>
    <w:p w14:paraId="2ECAB7E7">
      <w:pPr>
        <w:ind w:left="630" w:leftChars="300" w:firstLine="411" w:firstLineChars="196"/>
        <w:rPr>
          <w:rFonts w:ascii="宋体" w:hAnsi="宋体"/>
          <w:szCs w:val="21"/>
        </w:rPr>
      </w:pPr>
      <w:r>
        <w:rPr>
          <w:rFonts w:hint="eastAsia" w:ascii="宋体" w:hAnsi="宋体"/>
          <w:szCs w:val="21"/>
        </w:rPr>
        <w:t>第三章  用户需求书</w:t>
      </w:r>
    </w:p>
    <w:p w14:paraId="1AECC6DD">
      <w:pPr>
        <w:ind w:left="630" w:leftChars="300" w:firstLine="411" w:firstLineChars="196"/>
        <w:rPr>
          <w:rFonts w:ascii="宋体" w:hAnsi="宋体"/>
          <w:szCs w:val="21"/>
        </w:rPr>
      </w:pPr>
      <w:r>
        <w:rPr>
          <w:rFonts w:hint="eastAsia"/>
        </w:rPr>
        <w:t xml:space="preserve">第四章 </w:t>
      </w:r>
      <w:r>
        <w:t xml:space="preserve"> </w:t>
      </w:r>
      <w:r>
        <w:rPr>
          <w:rFonts w:hint="eastAsia"/>
        </w:rPr>
        <w:t>投标文件格式及附件</w:t>
      </w:r>
    </w:p>
    <w:p w14:paraId="5176E4D0">
      <w:pPr>
        <w:ind w:left="630" w:leftChars="300" w:firstLine="411" w:firstLineChars="196"/>
        <w:rPr>
          <w:rFonts w:ascii="宋体" w:hAnsi="宋体"/>
          <w:szCs w:val="21"/>
        </w:rPr>
      </w:pPr>
      <w:r>
        <w:rPr>
          <w:rFonts w:hint="eastAsia" w:ascii="宋体" w:hAnsi="宋体"/>
          <w:szCs w:val="21"/>
        </w:rPr>
        <w:t>第五章  合同条款及格式</w:t>
      </w:r>
    </w:p>
    <w:p w14:paraId="5EBD4E9D">
      <w:pPr>
        <w:ind w:left="420" w:leftChars="200" w:firstLine="413" w:firstLineChars="196"/>
        <w:rPr>
          <w:rFonts w:ascii="宋体" w:hAnsi="宋体"/>
          <w:b/>
          <w:szCs w:val="21"/>
        </w:rPr>
      </w:pPr>
      <w:r>
        <w:rPr>
          <w:rFonts w:hint="eastAsia" w:ascii="宋体" w:hAnsi="宋体"/>
          <w:b/>
          <w:szCs w:val="21"/>
        </w:rPr>
        <w:t>第二册  通用条款</w:t>
      </w:r>
    </w:p>
    <w:p w14:paraId="0D5A726C">
      <w:pPr>
        <w:ind w:left="630" w:leftChars="300" w:firstLine="411" w:firstLineChars="196"/>
        <w:rPr>
          <w:rFonts w:ascii="宋体" w:hAnsi="宋体"/>
          <w:szCs w:val="21"/>
        </w:rPr>
      </w:pPr>
      <w:r>
        <w:rPr>
          <w:rFonts w:hint="eastAsia" w:ascii="宋体" w:hAnsi="宋体"/>
          <w:szCs w:val="21"/>
        </w:rPr>
        <w:t>第一章  总则</w:t>
      </w:r>
    </w:p>
    <w:p w14:paraId="00A14678">
      <w:pPr>
        <w:ind w:left="630" w:leftChars="300" w:firstLine="411" w:firstLineChars="196"/>
        <w:rPr>
          <w:rFonts w:ascii="宋体" w:hAnsi="宋体"/>
          <w:szCs w:val="21"/>
        </w:rPr>
      </w:pPr>
      <w:r>
        <w:rPr>
          <w:rFonts w:hint="eastAsia" w:ascii="宋体" w:hAnsi="宋体"/>
          <w:szCs w:val="21"/>
        </w:rPr>
        <w:t>第二章  招标文件</w:t>
      </w:r>
    </w:p>
    <w:p w14:paraId="0A25B97F">
      <w:pPr>
        <w:ind w:left="630" w:leftChars="300" w:firstLine="411" w:firstLineChars="196"/>
        <w:rPr>
          <w:rFonts w:ascii="宋体" w:hAnsi="宋体"/>
          <w:szCs w:val="21"/>
        </w:rPr>
      </w:pPr>
      <w:r>
        <w:rPr>
          <w:rFonts w:hint="eastAsia" w:ascii="宋体" w:hAnsi="宋体"/>
          <w:szCs w:val="21"/>
        </w:rPr>
        <w:t>第三章  投标文件的编制</w:t>
      </w:r>
    </w:p>
    <w:p w14:paraId="3026DE61">
      <w:pPr>
        <w:ind w:left="630" w:leftChars="300" w:firstLine="411" w:firstLineChars="196"/>
        <w:rPr>
          <w:rFonts w:ascii="宋体" w:hAnsi="宋体"/>
          <w:szCs w:val="21"/>
        </w:rPr>
      </w:pPr>
      <w:r>
        <w:rPr>
          <w:rFonts w:hint="eastAsia" w:ascii="宋体" w:hAnsi="宋体"/>
          <w:szCs w:val="21"/>
        </w:rPr>
        <w:t>第四章  投标文件的递交</w:t>
      </w:r>
    </w:p>
    <w:p w14:paraId="4C797231">
      <w:pPr>
        <w:ind w:left="630" w:leftChars="300" w:firstLine="411" w:firstLineChars="196"/>
        <w:rPr>
          <w:rFonts w:ascii="宋体" w:hAnsi="宋体"/>
          <w:szCs w:val="21"/>
        </w:rPr>
      </w:pPr>
      <w:r>
        <w:rPr>
          <w:rFonts w:hint="eastAsia" w:ascii="宋体" w:hAnsi="宋体"/>
          <w:szCs w:val="21"/>
        </w:rPr>
        <w:t>第五章  开标</w:t>
      </w:r>
    </w:p>
    <w:p w14:paraId="156CB761">
      <w:pPr>
        <w:ind w:left="630" w:leftChars="300" w:firstLine="411" w:firstLineChars="196"/>
        <w:rPr>
          <w:rFonts w:ascii="宋体" w:hAnsi="宋体"/>
          <w:szCs w:val="21"/>
        </w:rPr>
      </w:pPr>
      <w:r>
        <w:rPr>
          <w:rFonts w:hint="eastAsia" w:ascii="宋体" w:hAnsi="宋体"/>
          <w:szCs w:val="21"/>
        </w:rPr>
        <w:t>第六章  评审要求</w:t>
      </w:r>
    </w:p>
    <w:p w14:paraId="25E0A55A">
      <w:pPr>
        <w:ind w:left="630" w:leftChars="300" w:firstLine="411" w:firstLineChars="196"/>
        <w:rPr>
          <w:rFonts w:ascii="宋体" w:hAnsi="宋体"/>
          <w:szCs w:val="21"/>
        </w:rPr>
      </w:pPr>
      <w:r>
        <w:rPr>
          <w:rFonts w:hint="eastAsia" w:ascii="宋体" w:hAnsi="宋体"/>
          <w:szCs w:val="21"/>
        </w:rPr>
        <w:t>第七章  评审程序及评审方法</w:t>
      </w:r>
    </w:p>
    <w:p w14:paraId="12EB34F8">
      <w:pPr>
        <w:ind w:left="630" w:leftChars="300" w:firstLine="411" w:firstLineChars="196"/>
        <w:rPr>
          <w:rFonts w:ascii="宋体" w:hAnsi="宋体"/>
          <w:szCs w:val="21"/>
        </w:rPr>
      </w:pPr>
      <w:r>
        <w:rPr>
          <w:rFonts w:hint="eastAsia" w:ascii="宋体" w:hAnsi="宋体"/>
          <w:szCs w:val="21"/>
        </w:rPr>
        <w:t>第八章  定标及公示</w:t>
      </w:r>
    </w:p>
    <w:p w14:paraId="27A5CCB1">
      <w:pPr>
        <w:ind w:left="630" w:leftChars="300" w:firstLine="411" w:firstLineChars="196"/>
        <w:rPr>
          <w:rFonts w:ascii="宋体" w:hAnsi="宋体"/>
          <w:szCs w:val="21"/>
        </w:rPr>
      </w:pPr>
      <w:r>
        <w:rPr>
          <w:rFonts w:hint="eastAsia" w:ascii="宋体" w:hAnsi="宋体"/>
          <w:szCs w:val="21"/>
        </w:rPr>
        <w:t>第九章  公开招标失败的后续处理</w:t>
      </w:r>
    </w:p>
    <w:p w14:paraId="651628C0">
      <w:pPr>
        <w:ind w:left="630" w:leftChars="300" w:firstLine="411" w:firstLineChars="196"/>
        <w:rPr>
          <w:rFonts w:ascii="宋体" w:hAnsi="宋体"/>
          <w:szCs w:val="21"/>
        </w:rPr>
      </w:pPr>
      <w:r>
        <w:rPr>
          <w:rFonts w:hint="eastAsia" w:ascii="宋体" w:hAnsi="宋体"/>
          <w:szCs w:val="21"/>
        </w:rPr>
        <w:t>第十章  合同的授予与备案</w:t>
      </w:r>
    </w:p>
    <w:p w14:paraId="42C18302">
      <w:pPr>
        <w:ind w:left="630" w:leftChars="300" w:firstLine="411" w:firstLineChars="196"/>
        <w:rPr>
          <w:rFonts w:ascii="宋体" w:hAnsi="宋体"/>
          <w:szCs w:val="21"/>
        </w:rPr>
      </w:pPr>
      <w:r>
        <w:rPr>
          <w:rFonts w:hint="eastAsia" w:ascii="宋体" w:hAnsi="宋体"/>
          <w:szCs w:val="21"/>
        </w:rPr>
        <w:t>第十一章  质疑处理</w:t>
      </w:r>
    </w:p>
    <w:p w14:paraId="4C7F2D82">
      <w:pPr>
        <w:ind w:firstLine="411" w:firstLineChars="196"/>
        <w:rPr>
          <w:rFonts w:ascii="宋体" w:hAnsi="宋体"/>
          <w:szCs w:val="21"/>
        </w:rPr>
      </w:pPr>
      <w:r>
        <w:rPr>
          <w:rFonts w:hint="eastAsia" w:ascii="宋体" w:hAnsi="宋体"/>
          <w:szCs w:val="21"/>
        </w:rPr>
        <w:t>1</w:t>
      </w:r>
      <w:r>
        <w:rPr>
          <w:rFonts w:ascii="宋体" w:hAnsi="宋体"/>
          <w:szCs w:val="21"/>
        </w:rPr>
        <w:t>1</w:t>
      </w:r>
      <w:r>
        <w:rPr>
          <w:rFonts w:hint="eastAsia" w:ascii="宋体" w:hAnsi="宋体"/>
          <w:szCs w:val="21"/>
        </w:rPr>
        <w:t>.2 投标人</w:t>
      </w:r>
      <w:r>
        <w:rPr>
          <w:rFonts w:hint="eastAsia" w:ascii="宋体" w:hAnsi="宋体"/>
          <w:color w:val="FF0000"/>
          <w:szCs w:val="21"/>
          <w:lang w:val="en-US" w:eastAsia="zh-CN"/>
        </w:rPr>
        <w:t>登录</w:t>
      </w:r>
      <w:r>
        <w:rPr>
          <w:rFonts w:hint="eastAsia" w:ascii="宋体" w:hAnsi="宋体"/>
          <w:color w:val="FF0000"/>
          <w:szCs w:val="21"/>
        </w:rPr>
        <w:t>深圳政府采购智慧平台（http://zfcg.szggzy.com:8081/）</w:t>
      </w:r>
      <w:r>
        <w:rPr>
          <w:rFonts w:hint="eastAsia" w:ascii="宋体" w:hAnsi="宋体"/>
          <w:szCs w:val="21"/>
        </w:rPr>
        <w:t>下载招标文件后，应仔细检查招标文件的所有内容，如有疑问应在答疑截止时间之前向政府集中采购机构提出，否则，由此引起的投标损失自负；投标人同时应认真审阅招标文件所有的事项、格式、条款和规范要求等，如果投标人的投标文件未按招标文件要求提交全部资料或者投标文件未对招标文件做出实质性响应，其风险由投标人自行承担。</w:t>
      </w:r>
    </w:p>
    <w:p w14:paraId="4DB28F6A">
      <w:pPr>
        <w:ind w:firstLine="411" w:firstLineChars="196"/>
        <w:rPr>
          <w:rFonts w:hint="eastAsia" w:ascii="宋体" w:hAnsi="宋体"/>
        </w:rPr>
      </w:pPr>
      <w:r>
        <w:rPr>
          <w:rFonts w:hint="eastAsia" w:ascii="宋体" w:hAnsi="宋体"/>
          <w:szCs w:val="21"/>
        </w:rPr>
        <w:t>1</w:t>
      </w:r>
      <w:r>
        <w:rPr>
          <w:rFonts w:ascii="宋体" w:hAnsi="宋体"/>
          <w:szCs w:val="21"/>
        </w:rPr>
        <w:t>1</w:t>
      </w:r>
      <w:r>
        <w:rPr>
          <w:rFonts w:hint="eastAsia" w:ascii="宋体" w:hAnsi="宋体"/>
          <w:szCs w:val="21"/>
        </w:rPr>
        <w:t>.3</w:t>
      </w:r>
      <w:r>
        <w:rPr>
          <w:rFonts w:hint="eastAsia" w:ascii="宋体" w:hAnsi="宋体"/>
        </w:rPr>
        <w:t>任何人或任何组织向投标人提交的任何书面或口头资料，未经政府集中采购机构在网上发布或书面通知，均作无效处理，不得作为招标文件的组成部分。政府集中采购机构对投标人由此而做出的推论、理解和结论概不负责。</w:t>
      </w:r>
    </w:p>
    <w:p w14:paraId="59A42FBD">
      <w:pPr>
        <w:pStyle w:val="19"/>
        <w:ind w:firstLine="420" w:firstLineChars="200"/>
      </w:pPr>
      <w:r>
        <w:rPr>
          <w:rFonts w:hint="eastAsia" w:ascii="宋体" w:hAnsi="宋体" w:eastAsia="宋体" w:cs="Times New Roman"/>
          <w:b w:val="0"/>
          <w:bCs w:val="0"/>
          <w:kern w:val="2"/>
          <w:sz w:val="21"/>
          <w:szCs w:val="24"/>
          <w:lang w:val="en-US" w:eastAsia="zh-CN" w:bidi="ar-SA"/>
        </w:rPr>
        <w:t>11.4</w:t>
      </w:r>
      <w:r>
        <w:rPr>
          <w:rFonts w:hint="eastAsia" w:ascii="宋体" w:hAnsi="宋体" w:cs="Times New Roman"/>
          <w:b w:val="0"/>
          <w:bCs w:val="0"/>
          <w:kern w:val="2"/>
          <w:sz w:val="21"/>
          <w:szCs w:val="24"/>
          <w:lang w:val="en-US" w:eastAsia="zh-CN" w:bidi="ar-SA"/>
        </w:rPr>
        <w:t>招标文件所称“原件</w:t>
      </w:r>
      <w:r>
        <w:rPr>
          <w:rFonts w:hint="eastAsia" w:ascii="宋体" w:hAnsi="宋体" w:eastAsia="宋体" w:cs="Times New Roman"/>
          <w:b w:val="0"/>
          <w:bCs w:val="0"/>
          <w:kern w:val="2"/>
          <w:sz w:val="21"/>
          <w:szCs w:val="24"/>
          <w:lang w:val="en-US" w:eastAsia="zh-CN" w:bidi="ar-SA"/>
        </w:rPr>
        <w:t>备查</w:t>
      </w:r>
      <w:r>
        <w:rPr>
          <w:rFonts w:hint="eastAsia" w:ascii="宋体" w:hAnsi="宋体" w:cs="Times New Roman"/>
          <w:b w:val="0"/>
          <w:bCs w:val="0"/>
          <w:kern w:val="2"/>
          <w:sz w:val="21"/>
          <w:szCs w:val="24"/>
          <w:lang w:val="en-US" w:eastAsia="zh-CN" w:bidi="ar-SA"/>
        </w:rPr>
        <w:t>”，</w:t>
      </w:r>
      <w:r>
        <w:rPr>
          <w:rFonts w:hint="eastAsia" w:ascii="宋体" w:hAnsi="宋体" w:eastAsia="宋体" w:cs="Times New Roman"/>
          <w:b w:val="0"/>
          <w:bCs w:val="0"/>
          <w:kern w:val="2"/>
          <w:sz w:val="21"/>
          <w:szCs w:val="24"/>
          <w:lang w:val="en-US" w:eastAsia="zh-CN" w:bidi="ar-SA"/>
        </w:rPr>
        <w:t>是指在项目产生质疑、投诉等阶段，主管部门、采购人、代理机构、评审委员会等可以要求供应商提供原件进行核查。</w:t>
      </w:r>
    </w:p>
    <w:p w14:paraId="49057249">
      <w:pPr>
        <w:rPr>
          <w:rFonts w:ascii="黑体" w:hAnsi="宋体" w:eastAsia="黑体"/>
          <w:sz w:val="24"/>
        </w:rPr>
      </w:pPr>
      <w:r>
        <w:rPr>
          <w:rFonts w:hint="eastAsia" w:ascii="黑体" w:hAnsi="宋体" w:eastAsia="黑体"/>
          <w:sz w:val="24"/>
          <w:lang w:eastAsia="zh-CN"/>
        </w:rPr>
        <w:t>12.</w:t>
      </w:r>
      <w:r>
        <w:rPr>
          <w:rFonts w:hint="eastAsia" w:ascii="黑体" w:hAnsi="宋体" w:eastAsia="黑体"/>
          <w:sz w:val="24"/>
        </w:rPr>
        <w:t>招标文件的澄清</w:t>
      </w:r>
    </w:p>
    <w:p w14:paraId="1A595937">
      <w:pPr>
        <w:ind w:firstLine="411" w:firstLineChars="196"/>
        <w:rPr>
          <w:rFonts w:ascii="宋体" w:hAnsi="宋体"/>
          <w:szCs w:val="21"/>
        </w:rPr>
      </w:pPr>
      <w:r>
        <w:rPr>
          <w:rFonts w:hint="eastAsia" w:ascii="宋体" w:hAnsi="宋体"/>
          <w:szCs w:val="21"/>
        </w:rPr>
        <w:t>1</w:t>
      </w:r>
      <w:r>
        <w:rPr>
          <w:rFonts w:ascii="宋体" w:hAnsi="宋体"/>
          <w:szCs w:val="21"/>
        </w:rPr>
        <w:t>2</w:t>
      </w:r>
      <w:r>
        <w:rPr>
          <w:rFonts w:hint="eastAsia" w:ascii="宋体" w:hAnsi="宋体"/>
          <w:szCs w:val="21"/>
        </w:rPr>
        <w:t>.1招标文件澄清的目的是澄清、解答投标人在查阅招标文件后或现场踏勘中可能提出的与投标有关的疑问或询问。</w:t>
      </w:r>
    </w:p>
    <w:p w14:paraId="71F748AC">
      <w:pPr>
        <w:ind w:firstLine="411" w:firstLineChars="196"/>
        <w:rPr>
          <w:rFonts w:ascii="宋体" w:hAnsi="宋体"/>
          <w:szCs w:val="21"/>
        </w:rPr>
      </w:pPr>
      <w:r>
        <w:rPr>
          <w:rFonts w:hint="eastAsia" w:ascii="宋体" w:hAnsi="宋体"/>
          <w:szCs w:val="21"/>
        </w:rPr>
        <w:t>1</w:t>
      </w:r>
      <w:r>
        <w:rPr>
          <w:rFonts w:ascii="宋体" w:hAnsi="宋体"/>
          <w:szCs w:val="21"/>
        </w:rPr>
        <w:t>2</w:t>
      </w:r>
      <w:r>
        <w:rPr>
          <w:rFonts w:hint="eastAsia" w:ascii="宋体" w:hAnsi="宋体"/>
          <w:szCs w:val="21"/>
        </w:rPr>
        <w:t>.2投标人如对招标文件内容有疑问，应当在招标公告规定的澄清（提问）截止时间前以网上提问的形式通过网上政府采购系统提交政府集中采购机构。</w:t>
      </w:r>
    </w:p>
    <w:p w14:paraId="2CFE2A20">
      <w:pPr>
        <w:ind w:firstLine="411" w:firstLineChars="196"/>
        <w:rPr>
          <w:rFonts w:ascii="宋体" w:hAnsi="宋体"/>
          <w:szCs w:val="21"/>
        </w:rPr>
      </w:pPr>
      <w:r>
        <w:rPr>
          <w:rFonts w:hint="eastAsia" w:ascii="宋体" w:hAnsi="宋体"/>
          <w:szCs w:val="21"/>
        </w:rPr>
        <w:t>1</w:t>
      </w:r>
      <w:r>
        <w:rPr>
          <w:rFonts w:ascii="宋体" w:hAnsi="宋体"/>
          <w:szCs w:val="21"/>
        </w:rPr>
        <w:t>2</w:t>
      </w:r>
      <w:r>
        <w:rPr>
          <w:rFonts w:hint="eastAsia" w:ascii="宋体" w:hAnsi="宋体"/>
          <w:szCs w:val="21"/>
        </w:rPr>
        <w:t>.3不论是政府集中采购机构根据需要主动对招标文件进行必要的澄清或是根据投标人的要求对招标文件做出澄清，政府集中采购机构都将在投标截止日期前以书面形式（包括政府集中采购机构网站发布方式）答复或发送给所有投标人。答复内容是招标文件的组成部分，对投标人起约束作用，其有效性按照本通用条款第1</w:t>
      </w:r>
      <w:r>
        <w:rPr>
          <w:rFonts w:ascii="宋体" w:hAnsi="宋体"/>
          <w:szCs w:val="21"/>
        </w:rPr>
        <w:t>3.3</w:t>
      </w:r>
      <w:r>
        <w:rPr>
          <w:rFonts w:hint="eastAsia" w:ascii="宋体" w:hAnsi="宋体"/>
          <w:szCs w:val="21"/>
        </w:rPr>
        <w:t>、1</w:t>
      </w:r>
      <w:r>
        <w:rPr>
          <w:rFonts w:ascii="宋体" w:hAnsi="宋体"/>
          <w:szCs w:val="21"/>
        </w:rPr>
        <w:t>3.4</w:t>
      </w:r>
      <w:r>
        <w:rPr>
          <w:rFonts w:hint="eastAsia" w:ascii="宋体" w:hAnsi="宋体"/>
          <w:szCs w:val="21"/>
        </w:rPr>
        <w:t>款规定执行。</w:t>
      </w:r>
    </w:p>
    <w:p w14:paraId="7CF97245">
      <w:pPr>
        <w:rPr>
          <w:rFonts w:ascii="黑体" w:hAnsi="宋体" w:eastAsia="黑体"/>
          <w:sz w:val="24"/>
        </w:rPr>
      </w:pPr>
      <w:r>
        <w:rPr>
          <w:rFonts w:hint="eastAsia" w:ascii="黑体" w:hAnsi="宋体" w:eastAsia="黑体"/>
          <w:sz w:val="24"/>
          <w:lang w:eastAsia="zh-CN"/>
        </w:rPr>
        <w:t>13.</w:t>
      </w:r>
      <w:r>
        <w:rPr>
          <w:rFonts w:hint="eastAsia" w:ascii="黑体" w:hAnsi="宋体" w:eastAsia="黑体"/>
          <w:sz w:val="24"/>
        </w:rPr>
        <w:t>招标文件的修改</w:t>
      </w:r>
    </w:p>
    <w:p w14:paraId="2745ABA0">
      <w:pPr>
        <w:ind w:firstLine="411" w:firstLineChars="196"/>
        <w:rPr>
          <w:rFonts w:ascii="宋体" w:hAnsi="宋体"/>
          <w:szCs w:val="21"/>
        </w:rPr>
      </w:pPr>
      <w:r>
        <w:rPr>
          <w:rFonts w:ascii="宋体" w:hAnsi="宋体"/>
          <w:szCs w:val="21"/>
        </w:rPr>
        <w:t>1</w:t>
      </w:r>
      <w:r>
        <w:rPr>
          <w:rFonts w:hint="eastAsia" w:ascii="宋体" w:hAnsi="宋体"/>
          <w:szCs w:val="21"/>
        </w:rPr>
        <w:t>3.1招标文件发出后，在投标截止日期前任何时候，确需要变更招标文件内容的，政府集中采购机构可主动或在解答投标人提出的澄清问题时对招标文件进行修改。</w:t>
      </w:r>
    </w:p>
    <w:p w14:paraId="0F566467">
      <w:pPr>
        <w:ind w:firstLine="411" w:firstLineChars="196"/>
        <w:rPr>
          <w:rFonts w:ascii="宋体" w:hAnsi="宋体"/>
          <w:szCs w:val="21"/>
        </w:rPr>
      </w:pPr>
      <w:r>
        <w:rPr>
          <w:rFonts w:ascii="宋体" w:hAnsi="宋体"/>
          <w:szCs w:val="21"/>
        </w:rPr>
        <w:t>1</w:t>
      </w:r>
      <w:r>
        <w:rPr>
          <w:rFonts w:hint="eastAsia" w:ascii="宋体" w:hAnsi="宋体"/>
          <w:szCs w:val="21"/>
        </w:rPr>
        <w:t>3.2招标文件的修改以书面形式（包括政府集中采购机构网站发布方式，如更正公告等）发送给所有投标人，招标文件的修改内容作为招标文件的组成部分，并具有约束力。</w:t>
      </w:r>
    </w:p>
    <w:p w14:paraId="01ADE6E5">
      <w:pPr>
        <w:ind w:firstLine="411" w:firstLineChars="196"/>
        <w:rPr>
          <w:rFonts w:ascii="宋体" w:hAnsi="宋体"/>
          <w:szCs w:val="21"/>
        </w:rPr>
      </w:pPr>
      <w:r>
        <w:rPr>
          <w:rFonts w:ascii="宋体" w:hAnsi="宋体"/>
          <w:szCs w:val="21"/>
        </w:rPr>
        <w:t>1</w:t>
      </w:r>
      <w:r>
        <w:rPr>
          <w:rFonts w:hint="eastAsia" w:ascii="宋体" w:hAnsi="宋体"/>
          <w:szCs w:val="21"/>
        </w:rPr>
        <w:t>3.3招标文件、招标文件澄清答复内容、招标文件修改补充内容均以书面形式（包括政府集中采购机构网站公开发布方式，如更正公告等）明确的内容为准</w:t>
      </w:r>
      <w:r>
        <w:rPr>
          <w:rFonts w:hint="eastAsia" w:ascii="宋体" w:hAnsi="宋体"/>
          <w:color w:val="FF0000"/>
          <w:szCs w:val="21"/>
          <w:lang w:eastAsia="zh-CN"/>
        </w:rPr>
        <w:t>，</w:t>
      </w:r>
      <w:r>
        <w:rPr>
          <w:rFonts w:hint="eastAsia" w:ascii="宋体" w:hAnsi="宋体"/>
          <w:color w:val="FF0000"/>
          <w:szCs w:val="21"/>
          <w:lang w:val="en-US" w:eastAsia="zh-CN"/>
        </w:rPr>
        <w:t>投标人应当登录</w:t>
      </w:r>
      <w:r>
        <w:rPr>
          <w:rFonts w:hint="eastAsia" w:ascii="宋体" w:hAnsi="宋体"/>
          <w:color w:val="FF0000"/>
          <w:szCs w:val="21"/>
        </w:rPr>
        <w:t>深圳政府采购智慧平台（http://zfcg.szggzy.com:8081/）下载</w:t>
      </w:r>
      <w:r>
        <w:rPr>
          <w:rFonts w:hint="eastAsia" w:ascii="宋体" w:hAnsi="宋体"/>
          <w:color w:val="FF0000"/>
          <w:szCs w:val="21"/>
          <w:lang w:val="en-US" w:eastAsia="zh-CN"/>
        </w:rPr>
        <w:t>最新的</w:t>
      </w:r>
      <w:r>
        <w:rPr>
          <w:rFonts w:hint="eastAsia" w:ascii="宋体" w:hAnsi="宋体"/>
          <w:color w:val="FF0000"/>
          <w:szCs w:val="21"/>
        </w:rPr>
        <w:t>招标文件</w:t>
      </w:r>
      <w:r>
        <w:rPr>
          <w:rFonts w:hint="eastAsia" w:ascii="宋体" w:hAnsi="宋体"/>
          <w:szCs w:val="21"/>
        </w:rPr>
        <w:t>。当招标文件、修改补充通知、招标文件澄清答复内容相互矛盾时，以最后发出的内容为准。</w:t>
      </w:r>
    </w:p>
    <w:p w14:paraId="7F660175">
      <w:pPr>
        <w:ind w:firstLine="411" w:firstLineChars="196"/>
        <w:rPr>
          <w:rFonts w:ascii="宋体" w:hAnsi="宋体"/>
          <w:szCs w:val="21"/>
        </w:rPr>
      </w:pPr>
      <w:r>
        <w:rPr>
          <w:rFonts w:ascii="宋体" w:hAnsi="宋体"/>
          <w:szCs w:val="21"/>
        </w:rPr>
        <w:t>1</w:t>
      </w:r>
      <w:r>
        <w:rPr>
          <w:rFonts w:hint="eastAsia" w:ascii="宋体" w:hAnsi="宋体"/>
          <w:szCs w:val="21"/>
        </w:rPr>
        <w:t>3.4政府集中采购机构保证招标文件澄清答复内容和招标文件修改补充内容在投标截止时间前以书面形式（包括政府集中采购机构网站发布方式，如更正公告等）发送给所有投标人。为使投标人在编制投标文件时有充分时间对招标文件的修改部分进行研究，政府集中采购机构可以酌情延长递交投标文件的截止日期。</w:t>
      </w:r>
      <w:bookmarkEnd w:id="48"/>
    </w:p>
    <w:p w14:paraId="51FDC05E">
      <w:pPr>
        <w:rPr>
          <w:rFonts w:ascii="宋体" w:hAnsi="宋体"/>
          <w:szCs w:val="21"/>
        </w:rPr>
      </w:pPr>
    </w:p>
    <w:p w14:paraId="4A534930">
      <w:pPr>
        <w:pStyle w:val="5"/>
        <w:numPr>
          <w:ilvl w:val="0"/>
          <w:numId w:val="10"/>
        </w:numPr>
        <w:spacing w:before="120" w:beforeLines="50" w:after="120" w:afterLines="50"/>
        <w:ind w:left="562" w:hanging="562"/>
        <w:rPr>
          <w:sz w:val="28"/>
          <w:szCs w:val="28"/>
        </w:rPr>
      </w:pPr>
      <w:r>
        <w:rPr>
          <w:rFonts w:hint="eastAsia"/>
          <w:sz w:val="28"/>
          <w:szCs w:val="28"/>
        </w:rPr>
        <w:t>投标文件的编制</w:t>
      </w:r>
    </w:p>
    <w:p w14:paraId="7F5CE2F1">
      <w:pPr>
        <w:rPr>
          <w:rFonts w:ascii="黑体" w:hAnsi="宋体" w:eastAsia="黑体"/>
          <w:sz w:val="24"/>
        </w:rPr>
      </w:pPr>
      <w:r>
        <w:rPr>
          <w:rFonts w:hint="eastAsia" w:ascii="黑体" w:hAnsi="宋体" w:eastAsia="黑体"/>
          <w:sz w:val="24"/>
          <w:lang w:eastAsia="zh-CN"/>
        </w:rPr>
        <w:t>14.</w:t>
      </w:r>
      <w:bookmarkStart w:id="49" w:name="_Hlk72400236"/>
      <w:r>
        <w:rPr>
          <w:rFonts w:hint="eastAsia" w:ascii="黑体" w:hAnsi="宋体" w:eastAsia="黑体"/>
          <w:sz w:val="24"/>
        </w:rPr>
        <w:t>投标文件的语言及度量单位</w:t>
      </w:r>
    </w:p>
    <w:p w14:paraId="2C35365F">
      <w:pPr>
        <w:ind w:firstLine="411" w:firstLineChars="196"/>
        <w:rPr>
          <w:rFonts w:ascii="宋体" w:hAnsi="宋体"/>
          <w:szCs w:val="21"/>
        </w:rPr>
      </w:pPr>
      <w:r>
        <w:rPr>
          <w:rFonts w:hint="eastAsia" w:ascii="宋体" w:hAnsi="宋体"/>
          <w:szCs w:val="21"/>
        </w:rPr>
        <w:t>14.1 投标人与政府集中采购机构之间与投标有关的所有往来通知、函件和投标文件均用中文表述。投标人随投标文件提供的证明文件和资料可以为其它语言，但必须附中文译文。翻译的中文资料与外文资料如果出现差异时，以中文为准。</w:t>
      </w:r>
    </w:p>
    <w:p w14:paraId="5B9161A5">
      <w:pPr>
        <w:ind w:firstLine="411" w:firstLineChars="196"/>
        <w:rPr>
          <w:rFonts w:ascii="宋体" w:hAnsi="宋体"/>
          <w:szCs w:val="21"/>
        </w:rPr>
      </w:pPr>
      <w:r>
        <w:rPr>
          <w:rFonts w:hint="eastAsia" w:ascii="宋体" w:hAnsi="宋体"/>
          <w:szCs w:val="21"/>
        </w:rPr>
        <w:t>14.2 除技术规范另有规定外，投标文件使用的度量单位，均采用中华人民共和国法定计量单位。</w:t>
      </w:r>
      <w:bookmarkEnd w:id="49"/>
    </w:p>
    <w:p w14:paraId="7698989B">
      <w:pPr>
        <w:rPr>
          <w:rFonts w:ascii="黑体" w:hAnsi="宋体" w:eastAsia="黑体"/>
          <w:sz w:val="24"/>
        </w:rPr>
      </w:pPr>
      <w:r>
        <w:rPr>
          <w:rFonts w:hint="eastAsia" w:ascii="黑体" w:hAnsi="宋体" w:eastAsia="黑体"/>
          <w:sz w:val="24"/>
          <w:lang w:eastAsia="zh-CN"/>
        </w:rPr>
        <w:t>15.</w:t>
      </w:r>
      <w:bookmarkStart w:id="50" w:name="_Hlk72401567"/>
      <w:r>
        <w:rPr>
          <w:rFonts w:hint="eastAsia" w:ascii="黑体" w:hAnsi="宋体" w:eastAsia="黑体"/>
          <w:sz w:val="24"/>
        </w:rPr>
        <w:t>投标文件的组成</w:t>
      </w:r>
    </w:p>
    <w:p w14:paraId="35593E59">
      <w:pPr>
        <w:ind w:firstLine="411" w:firstLineChars="196"/>
        <w:rPr>
          <w:rFonts w:ascii="宋体" w:hAnsi="宋体"/>
          <w:szCs w:val="21"/>
        </w:rPr>
      </w:pPr>
      <w:r>
        <w:rPr>
          <w:rFonts w:hint="eastAsia" w:ascii="宋体" w:hAnsi="宋体"/>
          <w:szCs w:val="21"/>
        </w:rPr>
        <w:t>具体内容在招标文件专用条款中进行规定。</w:t>
      </w:r>
    </w:p>
    <w:p w14:paraId="7388B24B">
      <w:pPr>
        <w:rPr>
          <w:rFonts w:ascii="黑体" w:hAnsi="宋体" w:eastAsia="黑体"/>
          <w:sz w:val="24"/>
        </w:rPr>
      </w:pPr>
      <w:r>
        <w:rPr>
          <w:rFonts w:hint="eastAsia" w:ascii="黑体" w:hAnsi="宋体" w:eastAsia="黑体"/>
          <w:sz w:val="24"/>
          <w:lang w:eastAsia="zh-CN"/>
        </w:rPr>
        <w:t>16.</w:t>
      </w:r>
      <w:r>
        <w:rPr>
          <w:rFonts w:ascii="黑体" w:hAnsi="宋体" w:eastAsia="黑体"/>
          <w:sz w:val="24"/>
        </w:rPr>
        <w:t>投标文件格式</w:t>
      </w:r>
    </w:p>
    <w:p w14:paraId="7DE2D32F">
      <w:pPr>
        <w:ind w:firstLine="411" w:firstLineChars="196"/>
        <w:rPr>
          <w:rFonts w:ascii="宋体" w:hAnsi="宋体"/>
          <w:szCs w:val="21"/>
        </w:rPr>
      </w:pPr>
      <w:r>
        <w:rPr>
          <w:rFonts w:hint="eastAsia" w:ascii="宋体" w:hAnsi="宋体"/>
          <w:szCs w:val="21"/>
        </w:rPr>
        <w:t>投标文件包括本通用条款第</w:t>
      </w:r>
      <w:r>
        <w:rPr>
          <w:rFonts w:ascii="宋体" w:hAnsi="宋体"/>
          <w:szCs w:val="21"/>
        </w:rPr>
        <w:t>15条中规定的内容。如招标文件提供了投标文件格式，则</w:t>
      </w:r>
      <w:r>
        <w:rPr>
          <w:rFonts w:hint="eastAsia" w:ascii="宋体" w:hAnsi="宋体"/>
          <w:b/>
          <w:bCs/>
          <w:szCs w:val="21"/>
        </w:rPr>
        <w:t>投标人提交的投标文件应毫无例外地使用招标文件所提供的相应格式</w:t>
      </w:r>
      <w:r>
        <w:rPr>
          <w:rFonts w:hint="eastAsia" w:ascii="宋体" w:hAnsi="宋体"/>
          <w:szCs w:val="21"/>
        </w:rPr>
        <w:t>（表格均可按同样格式扩展）。</w:t>
      </w:r>
    </w:p>
    <w:p w14:paraId="7D2A8566">
      <w:pPr>
        <w:rPr>
          <w:rFonts w:ascii="黑体" w:hAnsi="宋体" w:eastAsia="黑体"/>
          <w:sz w:val="24"/>
        </w:rPr>
      </w:pPr>
      <w:r>
        <w:rPr>
          <w:rFonts w:hint="eastAsia" w:ascii="黑体" w:hAnsi="宋体" w:eastAsia="黑体"/>
          <w:sz w:val="24"/>
          <w:lang w:eastAsia="zh-CN"/>
        </w:rPr>
        <w:t>17.</w:t>
      </w:r>
      <w:r>
        <w:rPr>
          <w:rFonts w:hint="eastAsia" w:ascii="黑体" w:hAnsi="宋体" w:eastAsia="黑体"/>
          <w:sz w:val="24"/>
        </w:rPr>
        <w:t>投标货币</w:t>
      </w:r>
    </w:p>
    <w:p w14:paraId="064665D7">
      <w:pPr>
        <w:ind w:firstLine="411" w:firstLineChars="196"/>
        <w:rPr>
          <w:rFonts w:ascii="宋体" w:hAnsi="宋体"/>
          <w:szCs w:val="21"/>
        </w:rPr>
      </w:pPr>
      <w:r>
        <w:rPr>
          <w:rFonts w:hint="eastAsia" w:ascii="宋体" w:hAnsi="宋体"/>
          <w:szCs w:val="21"/>
        </w:rPr>
        <w:t>本项目的投标报价应以人民币计。</w:t>
      </w:r>
      <w:bookmarkEnd w:id="50"/>
    </w:p>
    <w:p w14:paraId="7DF0F9DF">
      <w:pPr>
        <w:rPr>
          <w:rFonts w:ascii="黑体" w:hAnsi="宋体" w:eastAsia="黑体"/>
          <w:sz w:val="24"/>
        </w:rPr>
      </w:pPr>
      <w:r>
        <w:rPr>
          <w:rFonts w:hint="eastAsia" w:ascii="黑体" w:hAnsi="宋体" w:eastAsia="黑体"/>
          <w:sz w:val="24"/>
          <w:lang w:eastAsia="zh-CN"/>
        </w:rPr>
        <w:t>18.</w:t>
      </w:r>
      <w:bookmarkStart w:id="51" w:name="_Hlk72401735"/>
      <w:r>
        <w:rPr>
          <w:rFonts w:hint="eastAsia" w:ascii="黑体" w:hAnsi="宋体" w:eastAsia="黑体"/>
          <w:sz w:val="24"/>
        </w:rPr>
        <w:t>证明投标文件投标技术方案的合格性和符合招标文件规定的文件要求</w:t>
      </w:r>
    </w:p>
    <w:p w14:paraId="519C50D4">
      <w:pPr>
        <w:ind w:firstLine="411" w:firstLineChars="196"/>
        <w:rPr>
          <w:rFonts w:ascii="宋体" w:hAnsi="宋体"/>
          <w:szCs w:val="21"/>
        </w:rPr>
      </w:pPr>
      <w:r>
        <w:rPr>
          <w:rFonts w:hint="eastAsia" w:ascii="宋体" w:hAnsi="宋体"/>
          <w:szCs w:val="21"/>
        </w:rPr>
        <w:t>18</w:t>
      </w:r>
      <w:r>
        <w:rPr>
          <w:rFonts w:ascii="宋体" w:hAnsi="宋体"/>
          <w:szCs w:val="21"/>
        </w:rPr>
        <w:t xml:space="preserve">.1 </w:t>
      </w:r>
      <w:r>
        <w:rPr>
          <w:rFonts w:hint="eastAsia" w:ascii="宋体" w:hAnsi="宋体"/>
          <w:szCs w:val="21"/>
        </w:rPr>
        <w:t>投标人应提交证明文件，证明其投标技术方案项下的货物和服务的合格性符合招标文件规定。该投标技术方案及其证明文件均作为投标文件组成部分。</w:t>
      </w:r>
    </w:p>
    <w:p w14:paraId="221E8D34">
      <w:pPr>
        <w:ind w:firstLine="411" w:firstLineChars="196"/>
        <w:rPr>
          <w:rFonts w:ascii="宋体" w:hAnsi="宋体"/>
          <w:szCs w:val="21"/>
        </w:rPr>
      </w:pPr>
      <w:r>
        <w:rPr>
          <w:rFonts w:ascii="宋体" w:hAnsi="宋体"/>
          <w:szCs w:val="21"/>
        </w:rPr>
        <w:t>1</w:t>
      </w:r>
      <w:r>
        <w:rPr>
          <w:rFonts w:hint="eastAsia" w:ascii="宋体" w:hAnsi="宋体"/>
          <w:szCs w:val="21"/>
        </w:rPr>
        <w:t>8</w:t>
      </w:r>
      <w:r>
        <w:rPr>
          <w:rFonts w:ascii="宋体" w:hAnsi="宋体"/>
          <w:szCs w:val="21"/>
        </w:rPr>
        <w:t xml:space="preserve">.2 </w:t>
      </w:r>
      <w:r>
        <w:rPr>
          <w:rFonts w:hint="eastAsia" w:ascii="宋体" w:hAnsi="宋体"/>
          <w:szCs w:val="21"/>
        </w:rPr>
        <w:t>投标人提供证明投标技术方案与招标文件的要求相一致的文件，可以是文字资料、图纸、数据或数码照片、制造商公布的产品说明书、产品彩页和我国政府机构出具的产品检验和核准证件等，提供的文件应符合以下要求：</w:t>
      </w:r>
    </w:p>
    <w:p w14:paraId="30B9D440">
      <w:pPr>
        <w:ind w:firstLine="411" w:firstLineChars="196"/>
        <w:rPr>
          <w:rFonts w:ascii="宋体" w:hAnsi="宋体"/>
          <w:szCs w:val="21"/>
        </w:rPr>
      </w:pPr>
      <w:r>
        <w:rPr>
          <w:rFonts w:hint="eastAsia" w:ascii="宋体" w:hAnsi="宋体"/>
          <w:szCs w:val="21"/>
        </w:rPr>
        <w:t>18.2.1主要技术指标和性能的详细说明。</w:t>
      </w:r>
    </w:p>
    <w:p w14:paraId="7512F47D">
      <w:pPr>
        <w:ind w:firstLine="411" w:firstLineChars="196"/>
        <w:rPr>
          <w:rFonts w:ascii="宋体" w:hAnsi="宋体"/>
          <w:szCs w:val="21"/>
        </w:rPr>
      </w:pPr>
      <w:r>
        <w:rPr>
          <w:rFonts w:hint="eastAsia" w:ascii="宋体" w:hAnsi="宋体"/>
          <w:szCs w:val="21"/>
        </w:rPr>
        <w:t>18.2.</w:t>
      </w:r>
      <w:r>
        <w:rPr>
          <w:rFonts w:ascii="宋体" w:hAnsi="宋体"/>
          <w:szCs w:val="21"/>
        </w:rPr>
        <w:t>2</w:t>
      </w:r>
      <w:r>
        <w:rPr>
          <w:rFonts w:hint="eastAsia" w:ascii="宋体" w:hAnsi="宋体"/>
          <w:szCs w:val="21"/>
        </w:rPr>
        <w:t>投标产品从采购人开始使用至招标文件中规定的周期内正常、连续地使用所必须的备件和专用工具清单，包括备件和专用工具的货源及现行价格。</w:t>
      </w:r>
    </w:p>
    <w:p w14:paraId="0A7FB490">
      <w:pPr>
        <w:ind w:firstLine="411" w:firstLineChars="196"/>
        <w:rPr>
          <w:rFonts w:ascii="宋体" w:hAnsi="宋体"/>
          <w:szCs w:val="21"/>
        </w:rPr>
      </w:pPr>
      <w:r>
        <w:rPr>
          <w:rFonts w:hint="eastAsia" w:ascii="宋体" w:hAnsi="宋体"/>
          <w:szCs w:val="21"/>
        </w:rPr>
        <w:t>18.2.</w:t>
      </w:r>
      <w:r>
        <w:rPr>
          <w:rFonts w:ascii="宋体" w:hAnsi="宋体"/>
          <w:szCs w:val="21"/>
        </w:rPr>
        <w:t>3</w:t>
      </w:r>
      <w:r>
        <w:rPr>
          <w:rFonts w:hint="eastAsia" w:ascii="宋体" w:hAnsi="宋体"/>
          <w:szCs w:val="21"/>
        </w:rPr>
        <w:t>对照招标文件技术规格，逐条说明投标技术方案已对采购人的技术规格做出了实质性的响应，或申明与技术规格条文的偏差和例外。投标人应详细说明投标技术方案中产品的具体参数，不得不合理照搬照抄招标文件的技术要求。</w:t>
      </w:r>
    </w:p>
    <w:p w14:paraId="02F12096">
      <w:pPr>
        <w:ind w:firstLine="411" w:firstLineChars="196"/>
        <w:rPr>
          <w:rFonts w:ascii="宋体" w:hAnsi="宋体"/>
          <w:szCs w:val="21"/>
        </w:rPr>
      </w:pPr>
      <w:r>
        <w:rPr>
          <w:rFonts w:hint="eastAsia" w:ascii="宋体" w:hAnsi="宋体"/>
          <w:szCs w:val="21"/>
        </w:rPr>
        <w:t>18.2.4产品说明书或彩页应为制造商公布或出具的中文产品说明书或彩页；提供外文说明书或彩页的，必须同时提供加盖制造商公章的对应中文翻译说明，评标依据以中文翻译内容为准，外文说明书或彩页仅供参考；产品说明书或彩页的尺寸和</w:t>
      </w:r>
      <w:r>
        <w:rPr>
          <w:rFonts w:hint="eastAsia"/>
        </w:rPr>
        <w:t>清晰度要求能够使用电脑阅读、识别和判断</w:t>
      </w:r>
      <w:r>
        <w:rPr>
          <w:rFonts w:hint="eastAsia" w:ascii="宋体" w:hAnsi="宋体"/>
          <w:szCs w:val="21"/>
        </w:rPr>
        <w:t>；</w:t>
      </w:r>
    </w:p>
    <w:p w14:paraId="5C6BDE6B">
      <w:pPr>
        <w:ind w:firstLine="411" w:firstLineChars="196"/>
        <w:rPr>
          <w:rFonts w:ascii="宋体" w:hAnsi="宋体"/>
          <w:szCs w:val="21"/>
        </w:rPr>
      </w:pPr>
      <w:r>
        <w:rPr>
          <w:rFonts w:hint="eastAsia" w:ascii="宋体" w:hAnsi="宋体"/>
          <w:szCs w:val="21"/>
        </w:rPr>
        <w:t>18.2.5我国政府机构出具的产品检验和核准证件应为证件正面、背面和附件标注的全部具体内容；产品检验和核准证件的尺寸和清晰度应该能够在电脑上被阅读、识别和判断，提供原件扫描件。</w:t>
      </w:r>
    </w:p>
    <w:p w14:paraId="7B3DC2B8">
      <w:pPr>
        <w:ind w:firstLine="411" w:firstLineChars="196"/>
        <w:rPr>
          <w:rFonts w:ascii="宋体" w:hAnsi="宋体"/>
          <w:szCs w:val="21"/>
        </w:rPr>
      </w:pPr>
      <w:r>
        <w:rPr>
          <w:rFonts w:hint="eastAsia" w:ascii="宋体" w:hAnsi="宋体"/>
          <w:szCs w:val="21"/>
        </w:rPr>
        <w:t>18.3相关资料不符合18.2款要求的，评审委员会有权认定为投标技术方案不合格响应，其相关分数予以扣减或作投标无效处理。</w:t>
      </w:r>
    </w:p>
    <w:p w14:paraId="726B05B0">
      <w:pPr>
        <w:ind w:firstLine="411" w:firstLineChars="196"/>
        <w:rPr>
          <w:rFonts w:ascii="宋体" w:hAnsi="宋体"/>
          <w:szCs w:val="21"/>
        </w:rPr>
      </w:pPr>
      <w:r>
        <w:rPr>
          <w:rFonts w:ascii="宋体" w:hAnsi="宋体"/>
          <w:szCs w:val="21"/>
        </w:rPr>
        <w:t>1</w:t>
      </w:r>
      <w:r>
        <w:rPr>
          <w:rFonts w:hint="eastAsia" w:ascii="宋体" w:hAnsi="宋体"/>
          <w:szCs w:val="21"/>
        </w:rPr>
        <w:t>8</w:t>
      </w:r>
      <w:r>
        <w:rPr>
          <w:rFonts w:ascii="宋体" w:hAnsi="宋体"/>
          <w:szCs w:val="21"/>
        </w:rPr>
        <w:t>.</w:t>
      </w:r>
      <w:r>
        <w:rPr>
          <w:rFonts w:hint="eastAsia" w:ascii="宋体" w:hAnsi="宋体"/>
          <w:szCs w:val="21"/>
        </w:rPr>
        <w:t>4投标人在阐述上述第18.2时应注意采购人在技术规格中指出的工艺、材料和设备的标准以及参照的牌号或分类号仅起说明作用，并没有任何限制性。投标人在投标中可以选用替代标准、牌号或分类号，但这些替代要实质上满足招标文件中技术规格的要求，是否</w:t>
      </w:r>
      <w:r>
        <w:rPr>
          <w:rFonts w:hint="eastAsia"/>
        </w:rPr>
        <w:t>满足要求</w:t>
      </w:r>
      <w:r>
        <w:rPr>
          <w:rFonts w:hint="eastAsia" w:ascii="宋体" w:hAnsi="宋体"/>
          <w:szCs w:val="21"/>
        </w:rPr>
        <w:t>，由评审委员会来评判。</w:t>
      </w:r>
    </w:p>
    <w:p w14:paraId="30AB22FB">
      <w:pPr>
        <w:ind w:firstLine="411" w:firstLineChars="196"/>
        <w:rPr>
          <w:rFonts w:ascii="宋体" w:hAnsi="宋体"/>
          <w:szCs w:val="21"/>
        </w:rPr>
      </w:pPr>
      <w:r>
        <w:rPr>
          <w:rFonts w:hint="eastAsia" w:ascii="宋体" w:hAnsi="宋体"/>
          <w:szCs w:val="21"/>
        </w:rPr>
        <w:t>18.5除非另有规定或说明，投标人对同一项目投标时，不得同时提供两套或两套以上的投标方案。</w:t>
      </w:r>
      <w:bookmarkEnd w:id="51"/>
    </w:p>
    <w:p w14:paraId="4B0E96E3">
      <w:pPr>
        <w:rPr>
          <w:rFonts w:ascii="黑体" w:hAnsi="宋体" w:eastAsia="黑体"/>
          <w:sz w:val="24"/>
        </w:rPr>
      </w:pPr>
      <w:r>
        <w:rPr>
          <w:rFonts w:hint="eastAsia" w:ascii="黑体" w:hAnsi="宋体" w:eastAsia="黑体"/>
          <w:sz w:val="24"/>
          <w:lang w:eastAsia="zh-CN"/>
        </w:rPr>
        <w:t>19.</w:t>
      </w:r>
      <w:bookmarkStart w:id="52" w:name="_Hlk72402034"/>
      <w:r>
        <w:rPr>
          <w:rFonts w:hint="eastAsia" w:ascii="黑体" w:hAnsi="宋体" w:eastAsia="黑体"/>
          <w:sz w:val="24"/>
        </w:rPr>
        <w:t>投标文件其他证明文件的要求</w:t>
      </w:r>
    </w:p>
    <w:p w14:paraId="4D85F1F7">
      <w:pPr>
        <w:rPr>
          <w:rFonts w:ascii="宋体" w:hAnsi="宋体"/>
          <w:color w:val="FF0000"/>
          <w:szCs w:val="21"/>
        </w:rPr>
      </w:pPr>
      <w:r>
        <w:rPr>
          <w:rFonts w:hint="eastAsia" w:ascii="黑体" w:hAnsi="宋体" w:eastAsia="黑体"/>
          <w:sz w:val="24"/>
        </w:rPr>
        <w:t xml:space="preserve">    </w:t>
      </w:r>
      <w:r>
        <w:rPr>
          <w:rFonts w:hint="eastAsia" w:ascii="宋体" w:hAnsi="宋体"/>
          <w:szCs w:val="21"/>
        </w:rPr>
        <w:t>19.1采用综合评分法的项目，对项目招标文件《评标信息》评分项中涉及的相关业绩、社保情况等内容以及《资格性审查表》和《符合性审查表》中涉及的证明材料，投标人应提供相关部门出具的证明材料扫描件或照片，原件备查。有关扫描件（或照片）的尺寸和清晰度要求能够使用电脑阅读、识别和判断。</w:t>
      </w:r>
      <w:bookmarkStart w:id="53" w:name="_Hlk71407299"/>
      <w:r>
        <w:rPr>
          <w:rFonts w:hint="eastAsia" w:ascii="宋体" w:hAnsi="宋体"/>
          <w:szCs w:val="21"/>
        </w:rPr>
        <w:t>若投标人未按要求提供证明材料或提供的是部分证明材料或提供不清晰的扫描件（或照片）的，采购人</w:t>
      </w:r>
      <w:r>
        <w:rPr>
          <w:rFonts w:hint="eastAsia" w:ascii="宋体" w:hAnsi="宋体"/>
          <w:szCs w:val="21"/>
          <w:lang w:eastAsia="zh-CN"/>
        </w:rPr>
        <w:t>、</w:t>
      </w:r>
      <w:r>
        <w:rPr>
          <w:rFonts w:hint="eastAsia" w:ascii="宋体" w:hAnsi="宋体"/>
          <w:szCs w:val="21"/>
        </w:rPr>
        <w:t>代理机构</w:t>
      </w:r>
      <w:r>
        <w:rPr>
          <w:rFonts w:hint="eastAsia" w:ascii="宋体" w:hAnsi="宋体"/>
          <w:szCs w:val="21"/>
          <w:lang w:val="en-US" w:eastAsia="zh-CN"/>
        </w:rPr>
        <w:t>以及</w:t>
      </w:r>
      <w:r>
        <w:rPr>
          <w:rFonts w:hint="eastAsia" w:ascii="宋体" w:hAnsi="宋体"/>
          <w:szCs w:val="21"/>
        </w:rPr>
        <w:t>评审委员会依据各自审查范围，有权认定其投标文件未对招标文件有关需求进行响应，涉及资格性审查或符合性审查的予以投标无效处理，涉及《评标信息》打分项的则该项评分予以0分处理。对供应商投标资料是否异常、是否有效问题进行核查和判定，如认为供应商投标资料有异常或无效的，若涉及资格性审查或符合性审查条款的，则应作投标无效处理；若涉及评分的，则作不得分处理。</w:t>
      </w:r>
      <w:bookmarkEnd w:id="53"/>
    </w:p>
    <w:p w14:paraId="5ACCFDD7">
      <w:pPr>
        <w:ind w:firstLine="411" w:firstLineChars="196"/>
        <w:rPr>
          <w:rFonts w:ascii="宋体" w:hAnsi="宋体"/>
          <w:szCs w:val="21"/>
        </w:rPr>
      </w:pPr>
      <w:r>
        <w:rPr>
          <w:rFonts w:hint="eastAsia" w:ascii="宋体" w:hAnsi="宋体"/>
          <w:szCs w:val="21"/>
        </w:rPr>
        <w:t>19.2本项目涉及提供的有关资质（资格）证书，若原有资质（资格）证书处于年审期间，须提供证书颁发部门提供的回执，并且回执须证明该证书依然有效（若在法规范</w:t>
      </w:r>
      <w:r>
        <w:rPr>
          <w:rFonts w:hint="eastAsia" w:ascii="宋体" w:hAnsi="宋体"/>
          <w:szCs w:val="21"/>
          <w:lang w:eastAsia="zh-CN"/>
        </w:rPr>
        <w:t>围内</w:t>
      </w:r>
      <w:r>
        <w:rPr>
          <w:rFonts w:hint="eastAsia" w:ascii="宋体" w:hAnsi="宋体"/>
          <w:szCs w:val="21"/>
        </w:rPr>
        <w:t>不需提供的，供应商应做书面说明并提供证明文件，否则该证书无效），则该投标人提供年审证明的可按原资质（资格）投标；若投标人正在申报上一级别资质（资格），在未获批准之前，仍按原级别资质（资格）投标。</w:t>
      </w:r>
    </w:p>
    <w:p w14:paraId="07A5FECC">
      <w:pPr>
        <w:rPr>
          <w:rFonts w:ascii="黑体" w:hAnsi="宋体" w:eastAsia="黑体"/>
          <w:sz w:val="24"/>
        </w:rPr>
      </w:pPr>
      <w:r>
        <w:rPr>
          <w:rFonts w:hint="eastAsia" w:ascii="黑体" w:hAnsi="宋体" w:eastAsia="黑体"/>
          <w:sz w:val="24"/>
          <w:lang w:eastAsia="zh-CN"/>
        </w:rPr>
        <w:t>20.</w:t>
      </w:r>
      <w:r>
        <w:rPr>
          <w:rFonts w:hint="eastAsia" w:ascii="黑体" w:hAnsi="宋体" w:eastAsia="黑体"/>
          <w:sz w:val="24"/>
        </w:rPr>
        <w:t>投标有效期</w:t>
      </w:r>
      <w:bookmarkEnd w:id="52"/>
    </w:p>
    <w:p w14:paraId="3D0E2887">
      <w:pPr>
        <w:ind w:firstLine="411" w:firstLineChars="196"/>
        <w:rPr>
          <w:rFonts w:ascii="宋体" w:hAnsi="宋体"/>
          <w:szCs w:val="21"/>
        </w:rPr>
      </w:pPr>
      <w:bookmarkStart w:id="54" w:name="_Hlk72402214"/>
      <w:r>
        <w:rPr>
          <w:rFonts w:hint="eastAsia" w:ascii="宋体" w:hAnsi="宋体"/>
          <w:szCs w:val="21"/>
        </w:rPr>
        <w:t>20.1 投标有效期为</w:t>
      </w:r>
      <w:r>
        <w:rPr>
          <w:rFonts w:hint="eastAsia" w:ascii="Arial" w:hAnsi="Arial" w:cs="Arial"/>
          <w:szCs w:val="21"/>
        </w:rPr>
        <w:t>从投标截止之日算起的日历天数。</w:t>
      </w:r>
      <w:r>
        <w:rPr>
          <w:rFonts w:hint="eastAsia" w:ascii="宋体" w:hAnsi="宋体"/>
          <w:szCs w:val="21"/>
        </w:rPr>
        <w:t>在此期限内，所有投标文件均保持有效。</w:t>
      </w:r>
    </w:p>
    <w:p w14:paraId="4A733C1D">
      <w:pPr>
        <w:ind w:firstLine="411" w:firstLineChars="196"/>
        <w:rPr>
          <w:rFonts w:ascii="宋体" w:hAnsi="宋体"/>
          <w:szCs w:val="21"/>
        </w:rPr>
      </w:pPr>
      <w:r>
        <w:rPr>
          <w:rFonts w:hint="eastAsia" w:ascii="宋体" w:hAnsi="宋体"/>
          <w:szCs w:val="21"/>
        </w:rPr>
        <w:t>20.2 在特殊情况下，政府集中采购机构在原定的投标有效期满之前，政府集中采购机构可以根据需要以书面形式（包括政府集中采购机构网站公开发布方式）向投标人提出延长投标有效期的要求，对此要求投标人须以书面形式予以答复，投标人可以拒绝政府集中采购机构此项要求，其投标在原投标有效期满后不再有效。同意延长投标有效期的投标人不能要求也不允许修改其投标文件。</w:t>
      </w:r>
    </w:p>
    <w:p w14:paraId="3BE0389C">
      <w:pPr>
        <w:ind w:firstLine="411" w:firstLineChars="196"/>
        <w:rPr>
          <w:rFonts w:ascii="宋体" w:hAnsi="宋体"/>
          <w:szCs w:val="21"/>
        </w:rPr>
      </w:pPr>
      <w:r>
        <w:rPr>
          <w:rFonts w:hint="eastAsia" w:ascii="宋体" w:hAnsi="宋体"/>
          <w:szCs w:val="21"/>
        </w:rPr>
        <w:t>20</w:t>
      </w:r>
      <w:r>
        <w:rPr>
          <w:rFonts w:ascii="宋体" w:hAnsi="宋体"/>
          <w:szCs w:val="21"/>
        </w:rPr>
        <w:t>.3</w:t>
      </w:r>
      <w:r>
        <w:rPr>
          <w:rFonts w:hint="eastAsia" w:ascii="宋体" w:hAnsi="宋体"/>
          <w:szCs w:val="21"/>
        </w:rPr>
        <w:t xml:space="preserve"> 中标供应商的投标文件有效期，截止于完成本招标文件规定的全部项目内容，并通过竣工验收及保修期结束。</w:t>
      </w:r>
      <w:bookmarkEnd w:id="54"/>
    </w:p>
    <w:p w14:paraId="00AD3386">
      <w:pPr>
        <w:rPr>
          <w:rFonts w:ascii="黑体" w:hAnsi="宋体" w:eastAsia="黑体"/>
          <w:sz w:val="24"/>
        </w:rPr>
      </w:pPr>
      <w:r>
        <w:rPr>
          <w:rFonts w:hint="eastAsia" w:ascii="黑体" w:hAnsi="宋体" w:eastAsia="黑体"/>
          <w:sz w:val="24"/>
          <w:lang w:eastAsia="zh-CN"/>
        </w:rPr>
        <w:t>21.</w:t>
      </w:r>
      <w:bookmarkStart w:id="55" w:name="_Hlk72402325"/>
      <w:r>
        <w:rPr>
          <w:rFonts w:hint="eastAsia" w:ascii="黑体" w:hAnsi="宋体" w:eastAsia="黑体"/>
          <w:sz w:val="24"/>
        </w:rPr>
        <w:t xml:space="preserve">关于投标保证金 </w:t>
      </w:r>
    </w:p>
    <w:p w14:paraId="7F39FC0D">
      <w:pPr>
        <w:rPr>
          <w:rFonts w:ascii="宋体" w:hAnsi="宋体"/>
          <w:szCs w:val="21"/>
        </w:rPr>
      </w:pPr>
      <w:r>
        <w:rPr>
          <w:rFonts w:hint="eastAsia" w:ascii="宋体" w:hAnsi="宋体"/>
          <w:szCs w:val="21"/>
        </w:rPr>
        <w:t xml:space="preserve">    21.1 </w:t>
      </w:r>
      <w:r>
        <w:rPr>
          <w:rFonts w:hint="eastAsia"/>
        </w:rPr>
        <w:t>根据《深圳市财政局关于调整政府采购投标（响应）保证金管理政策的通知》（深财购〔2021〕51号）的规定，本项目不收取投标保证金。</w:t>
      </w:r>
    </w:p>
    <w:p w14:paraId="7200DBD4">
      <w:pPr>
        <w:rPr>
          <w:rFonts w:ascii="黑体" w:hAnsi="宋体" w:eastAsia="黑体"/>
          <w:sz w:val="24"/>
        </w:rPr>
      </w:pPr>
      <w:r>
        <w:rPr>
          <w:rFonts w:hint="eastAsia" w:ascii="黑体" w:hAnsi="宋体" w:eastAsia="黑体"/>
          <w:sz w:val="24"/>
          <w:lang w:eastAsia="zh-CN"/>
        </w:rPr>
        <w:t>22.</w:t>
      </w:r>
      <w:r>
        <w:rPr>
          <w:rFonts w:hint="eastAsia" w:ascii="黑体" w:hAnsi="宋体" w:eastAsia="黑体"/>
          <w:sz w:val="24"/>
        </w:rPr>
        <w:t>投标人的替代方案</w:t>
      </w:r>
    </w:p>
    <w:p w14:paraId="28D61671">
      <w:pPr>
        <w:ind w:firstLine="411" w:firstLineChars="196"/>
        <w:rPr>
          <w:rFonts w:ascii="宋体" w:hAnsi="宋体"/>
          <w:szCs w:val="21"/>
        </w:rPr>
      </w:pPr>
      <w:r>
        <w:rPr>
          <w:rFonts w:hint="eastAsia" w:ascii="宋体" w:hAnsi="宋体"/>
          <w:szCs w:val="21"/>
        </w:rPr>
        <w:t>22.1投标人所提交的投标文件应完全满足招标文件（包括图纸和技术规范所示的基本技术设计）的要求。除非项目明确允许投标人提交替代方案，否则投标人有关替代方案的条款将初审不通过，作投标无效处理。</w:t>
      </w:r>
    </w:p>
    <w:p w14:paraId="3CFE89E3">
      <w:pPr>
        <w:ind w:firstLine="411" w:firstLineChars="196"/>
        <w:rPr>
          <w:rFonts w:ascii="宋体" w:hAnsi="宋体"/>
          <w:szCs w:val="21"/>
        </w:rPr>
      </w:pPr>
      <w:r>
        <w:rPr>
          <w:rFonts w:hint="eastAsia" w:ascii="宋体" w:hAnsi="宋体"/>
          <w:szCs w:val="21"/>
        </w:rPr>
        <w:t>22.2 如果允许投标人提交替代方案，则准备提交替代方案的投标人除应提交一份满足招标文件（包括图纸和技术规范所示的基本技术设计）要求的投标文件外，还应提交需评审其替代方案所需的全部资料，包括项目方案书、技术规范、替代方案报价书、所建议的项目方案及有关的其它详细资料。</w:t>
      </w:r>
      <w:bookmarkEnd w:id="55"/>
    </w:p>
    <w:p w14:paraId="12BC778F">
      <w:pPr>
        <w:rPr>
          <w:rFonts w:ascii="黑体" w:hAnsi="宋体" w:eastAsia="黑体"/>
          <w:sz w:val="24"/>
        </w:rPr>
      </w:pPr>
      <w:r>
        <w:rPr>
          <w:rFonts w:hint="eastAsia" w:ascii="黑体" w:hAnsi="宋体" w:eastAsia="黑体"/>
          <w:sz w:val="24"/>
          <w:lang w:eastAsia="zh-CN"/>
        </w:rPr>
        <w:t>23.</w:t>
      </w:r>
      <w:bookmarkStart w:id="56" w:name="_Hlk72402860"/>
      <w:r>
        <w:rPr>
          <w:rFonts w:ascii="黑体" w:hAnsi="宋体" w:eastAsia="黑体"/>
          <w:sz w:val="24"/>
        </w:rPr>
        <w:t>投标文件的</w:t>
      </w:r>
      <w:r>
        <w:rPr>
          <w:rFonts w:hint="eastAsia" w:ascii="黑体" w:hAnsi="宋体" w:eastAsia="黑体"/>
          <w:sz w:val="24"/>
        </w:rPr>
        <w:t>制作</w:t>
      </w:r>
      <w:r>
        <w:rPr>
          <w:rFonts w:ascii="黑体" w:hAnsi="宋体" w:eastAsia="黑体"/>
          <w:sz w:val="24"/>
        </w:rPr>
        <w:t>要求</w:t>
      </w:r>
    </w:p>
    <w:p w14:paraId="36AFA973">
      <w:pPr>
        <w:ind w:firstLine="411" w:firstLineChars="196"/>
        <w:rPr>
          <w:rFonts w:ascii="宋体" w:hAnsi="宋体"/>
        </w:rPr>
      </w:pPr>
      <w:r>
        <w:rPr>
          <w:rFonts w:hint="eastAsia" w:ascii="宋体" w:hAnsi="宋体"/>
        </w:rPr>
        <w:t>23.1投标人应准备所投项目的电子投标文件一份。此电子投标文件须由投标人根据政府集中采购机构提供的后缀名为.</w:t>
      </w:r>
      <w:r>
        <w:rPr>
          <w:rFonts w:ascii="宋体" w:hAnsi="宋体"/>
        </w:rPr>
        <w:t>szczf</w:t>
      </w:r>
      <w:r>
        <w:rPr>
          <w:rFonts w:hint="eastAsia" w:ascii="宋体" w:hAnsi="宋体"/>
        </w:rPr>
        <w:t>的电子招标文件，下载并使用相应的深圳智慧采购平台投标文件制作专用软件打开招标文件（.szczf格式）【下载地址：</w:t>
      </w:r>
      <w:r>
        <w:rPr>
          <w:rFonts w:ascii="宋体" w:hAnsi="宋体"/>
        </w:rPr>
        <w:t>http://zfcg.szggzy.com:8081/cgxy/013002/list.html</w:t>
      </w:r>
      <w:r>
        <w:rPr>
          <w:rFonts w:hint="eastAsia" w:ascii="宋体" w:hAnsi="宋体"/>
        </w:rPr>
        <w:t>深圳智慧采购平台投标文件制作专用软件.zip】。</w:t>
      </w:r>
    </w:p>
    <w:p w14:paraId="756E01C7">
      <w:pPr>
        <w:ind w:firstLine="411" w:firstLineChars="196"/>
        <w:rPr>
          <w:rFonts w:ascii="宋体" w:hAnsi="宋体"/>
        </w:rPr>
      </w:pPr>
      <w:r>
        <w:rPr>
          <w:rFonts w:hint="eastAsia" w:ascii="宋体" w:hAnsi="宋体"/>
        </w:rPr>
        <w:t>23.2投标人在使用《投标书编制软件》编制投标书时须注意：</w:t>
      </w:r>
    </w:p>
    <w:p w14:paraId="5ED6D21A">
      <w:pPr>
        <w:ind w:firstLine="411" w:firstLineChars="196"/>
        <w:rPr>
          <w:rFonts w:ascii="宋体" w:hAnsi="宋体"/>
        </w:rPr>
      </w:pPr>
      <w:r>
        <w:rPr>
          <w:rFonts w:hint="eastAsia" w:ascii="宋体" w:hAnsi="宋体"/>
        </w:rPr>
        <w:t>23.2.1导入《投标书编制软件》的招标文件项目编号、包号应与以此制作的投标文件项目编号、包号一致。例如，不能将甲项目A包的招标书导入《投标书编制软件》，制作乙项目B包的投标书。</w:t>
      </w:r>
    </w:p>
    <w:p w14:paraId="0C450287">
      <w:pPr>
        <w:ind w:firstLine="411" w:firstLineChars="196"/>
        <w:rPr>
          <w:rFonts w:ascii="宋体" w:hAnsi="宋体"/>
        </w:rPr>
      </w:pPr>
      <w:r>
        <w:rPr>
          <w:rFonts w:hint="eastAsia" w:ascii="宋体" w:hAnsi="宋体"/>
        </w:rPr>
        <w:t>23.2.2不能用非本公司的电子密钥加密本公司的投标文件，或者用其它公司的登录用户上传本公司的投标文件。</w:t>
      </w:r>
    </w:p>
    <w:p w14:paraId="22636E04">
      <w:pPr>
        <w:ind w:firstLine="411" w:firstLineChars="196"/>
        <w:rPr>
          <w:rFonts w:ascii="宋体" w:hAnsi="宋体"/>
        </w:rPr>
      </w:pPr>
      <w:r>
        <w:rPr>
          <w:rFonts w:hint="eastAsia" w:ascii="宋体" w:hAnsi="宋体"/>
        </w:rPr>
        <w:t>23.2.3要求用《投标书编制软件》编制投标书的包，不能用其它方式编制投标书。编制投标文件时，电脑须连通互联网。</w:t>
      </w:r>
    </w:p>
    <w:p w14:paraId="532AFA38">
      <w:pPr>
        <w:ind w:firstLine="411" w:firstLineChars="196"/>
        <w:rPr>
          <w:rFonts w:ascii="宋体" w:hAnsi="宋体"/>
        </w:rPr>
      </w:pPr>
      <w:r>
        <w:rPr>
          <w:rFonts w:hint="eastAsia" w:ascii="宋体" w:hAnsi="宋体"/>
        </w:rPr>
        <w:t>23.2.4投标文件不能带病毒。政府集中采购机构将用专业杀毒软件对投标文件进行病毒检测，如果发现病毒，则政府集中采购机构认为该投标文件带病毒。</w:t>
      </w:r>
    </w:p>
    <w:p w14:paraId="16677A33">
      <w:pPr>
        <w:ind w:firstLine="411" w:firstLineChars="196"/>
        <w:rPr>
          <w:rFonts w:ascii="宋体" w:hAnsi="宋体"/>
        </w:rPr>
      </w:pPr>
      <w:r>
        <w:rPr>
          <w:rFonts w:hint="eastAsia" w:ascii="宋体" w:hAnsi="宋体"/>
        </w:rPr>
        <w:t>23.2.5完整填写“投标关键信息”，如下图所示：</w:t>
      </w:r>
    </w:p>
    <w:p w14:paraId="22852004">
      <w:pPr>
        <w:ind w:firstLine="411" w:firstLineChars="196"/>
        <w:rPr>
          <w:rFonts w:ascii="宋体" w:hAnsi="宋体"/>
        </w:rPr>
      </w:pPr>
      <w:r>
        <w:rPr>
          <w:rFonts w:ascii="宋体" w:hAnsi="宋体"/>
        </w:rPr>
        <w:drawing>
          <wp:inline distT="0" distB="0" distL="0" distR="0">
            <wp:extent cx="5279390" cy="2719070"/>
            <wp:effectExtent l="0" t="0" r="3810" b="11430"/>
            <wp:docPr id="4" name="_x0000_i1028" descr="图形用户界面, 应用程序&#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_x0000_i1028" descr="图形用户界面, 应用程序&#10;&#10;描述已自动生成"/>
                    <pic:cNvPicPr>
                      <a:picLocks noChangeAspect="1"/>
                    </pic:cNvPicPr>
                  </pic:nvPicPr>
                  <pic:blipFill>
                    <a:blip r:embed="rId9"/>
                    <a:stretch>
                      <a:fillRect/>
                    </a:stretch>
                  </pic:blipFill>
                  <pic:spPr>
                    <a:xfrm>
                      <a:off x="0" y="0"/>
                      <a:ext cx="5279390" cy="2719070"/>
                    </a:xfrm>
                    <a:prstGeom prst="rect">
                      <a:avLst/>
                    </a:prstGeom>
                    <a:noFill/>
                    <a:ln>
                      <a:noFill/>
                    </a:ln>
                  </pic:spPr>
                </pic:pic>
              </a:graphicData>
            </a:graphic>
          </wp:inline>
        </w:drawing>
      </w:r>
    </w:p>
    <w:p w14:paraId="2B6EFCE5">
      <w:pPr>
        <w:widowControl/>
        <w:jc w:val="left"/>
        <w:rPr>
          <w:rFonts w:ascii="宋体" w:hAnsi="宋体" w:cs="宋体"/>
          <w:kern w:val="0"/>
          <w:sz w:val="24"/>
        </w:rPr>
      </w:pPr>
    </w:p>
    <w:p w14:paraId="284D9FB0">
      <w:pPr>
        <w:ind w:firstLine="413" w:firstLineChars="196"/>
        <w:rPr>
          <w:rFonts w:ascii="宋体" w:hAnsi="宋体"/>
          <w:b/>
        </w:rPr>
      </w:pPr>
      <w:r>
        <w:rPr>
          <w:rFonts w:hint="eastAsia" w:ascii="宋体" w:hAnsi="宋体"/>
          <w:b/>
        </w:rPr>
        <w:t>备注：上述“开标一览表”中的“投标</w:t>
      </w:r>
      <w:r>
        <w:rPr>
          <w:rFonts w:hint="eastAsia" w:ascii="宋体" w:hAnsi="宋体"/>
          <w:b/>
          <w:lang w:val="en-US" w:eastAsia="zh-CN"/>
        </w:rPr>
        <w:t>报价</w:t>
      </w:r>
      <w:r>
        <w:rPr>
          <w:rFonts w:hint="eastAsia" w:ascii="宋体" w:hAnsi="宋体"/>
          <w:b/>
        </w:rPr>
        <w:t>”将作为价格分计算依据；其它信息仅是对投标文件相关内容的概括性表述，不作为评审依据。</w:t>
      </w:r>
    </w:p>
    <w:p w14:paraId="3338D565">
      <w:pPr>
        <w:ind w:firstLine="411" w:firstLineChars="196"/>
        <w:rPr>
          <w:rFonts w:ascii="宋体" w:hAnsi="宋体"/>
        </w:rPr>
      </w:pPr>
      <w:r>
        <w:rPr>
          <w:rFonts w:hint="eastAsia" w:ascii="宋体" w:hAnsi="宋体"/>
        </w:rPr>
        <w:t>23.2.6投标人在编辑投标文件时，</w:t>
      </w:r>
      <w:r>
        <w:rPr>
          <w:rFonts w:hint="eastAsia" w:ascii="宋体" w:hAnsi="宋体"/>
          <w:b/>
        </w:rPr>
        <w:t>在投标文件目录中属于本节点内容的必须在本节点中填写，填写到其他节点或附件，</w:t>
      </w:r>
      <w:r>
        <w:rPr>
          <w:rFonts w:hint="eastAsia" w:ascii="宋体" w:hAnsi="宋体"/>
        </w:rPr>
        <w:t>一切后果由供应商自行承担。</w:t>
      </w:r>
    </w:p>
    <w:p w14:paraId="71D8AADA">
      <w:pPr>
        <w:ind w:firstLine="411" w:firstLineChars="196"/>
        <w:rPr>
          <w:rFonts w:ascii="宋体" w:hAnsi="宋体"/>
        </w:rPr>
      </w:pPr>
      <w:r>
        <w:rPr>
          <w:rFonts w:hint="eastAsia" w:ascii="宋体" w:hAnsi="宋体"/>
        </w:rPr>
        <w:t>23.2.7投标文件编写完成后，</w:t>
      </w:r>
      <w:r>
        <w:rPr>
          <w:rFonts w:hint="eastAsia" w:ascii="宋体" w:hAnsi="宋体"/>
          <w:b/>
        </w:rPr>
        <w:t>必须用属于投标人的电子密钥</w:t>
      </w:r>
      <w:r>
        <w:rPr>
          <w:rFonts w:hint="eastAsia" w:ascii="宋体" w:hAnsi="宋体"/>
          <w:b/>
          <w:lang w:val="en-US" w:eastAsia="zh-CN"/>
        </w:rPr>
        <w:t>或电子营业执照</w:t>
      </w:r>
      <w:r>
        <w:rPr>
          <w:rFonts w:hint="eastAsia" w:ascii="宋体" w:hAnsi="宋体"/>
          <w:b/>
        </w:rPr>
        <w:t>进行加密，否则视同未盖公章，将导致投标文件无效。</w:t>
      </w:r>
    </w:p>
    <w:p w14:paraId="0558473D">
      <w:pPr>
        <w:ind w:firstLine="411" w:firstLineChars="196"/>
        <w:rPr>
          <w:rFonts w:ascii="宋体" w:hAnsi="宋体"/>
        </w:rPr>
      </w:pPr>
      <w:r>
        <w:rPr>
          <w:rFonts w:hint="eastAsia" w:ascii="宋体" w:hAnsi="宋体"/>
        </w:rPr>
        <w:t>23.2.8政府集中采购机构不接受投标截止时间后递交的纸质、电子、传真等所有形式的投标文件。由于对网上政府采购系统操作不熟悉或自身电脑、网络等原因导致不能在投标截止时间之前上传投标文件，政府集中采购机构概不负责。建议于开标前一个工作日完成投标文件的制作与上传，如上传确有困难，请及时咨询。</w:t>
      </w:r>
    </w:p>
    <w:p w14:paraId="3048C353">
      <w:pPr>
        <w:ind w:firstLine="411" w:firstLineChars="196"/>
        <w:rPr>
          <w:rFonts w:ascii="宋体" w:hAnsi="宋体"/>
        </w:rPr>
      </w:pPr>
      <w:r>
        <w:rPr>
          <w:rFonts w:hint="eastAsia" w:ascii="宋体" w:hAnsi="宋体"/>
        </w:rPr>
        <w:t>23.2.9如果开标时出现网络故障、技术故障，影响了政府采购活动，政府集中采购机构有权采取措施如延期、接受无法从网上上传的投标书等，以保障政府采购活动的公开、公平和公正。</w:t>
      </w:r>
    </w:p>
    <w:p w14:paraId="58C0DF70">
      <w:pPr>
        <w:ind w:firstLine="411" w:firstLineChars="196"/>
        <w:rPr>
          <w:rFonts w:ascii="宋体" w:hAnsi="宋体"/>
        </w:rPr>
      </w:pPr>
      <w:r>
        <w:rPr>
          <w:rFonts w:hint="eastAsia" w:ascii="宋体" w:hAnsi="宋体"/>
        </w:rPr>
        <w:t>23.3电报、电话、传真形式的投标概不接受。</w:t>
      </w:r>
    </w:p>
    <w:p w14:paraId="1110431D">
      <w:pPr>
        <w:ind w:firstLine="413" w:firstLineChars="196"/>
        <w:rPr>
          <w:rFonts w:ascii="宋体" w:hAnsi="宋体"/>
          <w:b/>
        </w:rPr>
      </w:pPr>
      <w:r>
        <w:rPr>
          <w:rFonts w:hint="eastAsia" w:ascii="宋体" w:hAnsi="宋体"/>
          <w:b/>
        </w:rPr>
        <w:t>23.4经投标人电子密钥</w:t>
      </w:r>
      <w:r>
        <w:rPr>
          <w:rFonts w:hint="eastAsia" w:ascii="宋体" w:hAnsi="宋体"/>
          <w:b/>
          <w:lang w:val="en-US" w:eastAsia="zh-CN"/>
        </w:rPr>
        <w:t>或电子营业执照</w:t>
      </w:r>
      <w:r>
        <w:rPr>
          <w:rFonts w:hint="eastAsia" w:ascii="宋体" w:hAnsi="宋体"/>
          <w:b/>
        </w:rPr>
        <w:t>加密的投标文件无须盖章或签字，</w:t>
      </w:r>
      <w:r>
        <w:rPr>
          <w:rFonts w:hint="eastAsia" w:ascii="宋体" w:hAnsi="宋体"/>
        </w:rPr>
        <w:t>专用条款另有要求的除外。</w:t>
      </w:r>
    </w:p>
    <w:p w14:paraId="2718D6B0">
      <w:pPr>
        <w:ind w:firstLine="413" w:firstLineChars="196"/>
        <w:rPr>
          <w:rFonts w:ascii="宋体" w:hAnsi="宋体"/>
        </w:rPr>
      </w:pPr>
      <w:r>
        <w:rPr>
          <w:rFonts w:hint="eastAsia" w:ascii="宋体" w:hAnsi="宋体"/>
          <w:b/>
        </w:rPr>
        <w:t>23.5</w:t>
      </w:r>
      <w:r>
        <w:rPr>
          <w:rFonts w:hint="eastAsia" w:ascii="宋体" w:hAnsi="宋体"/>
        </w:rPr>
        <w:t xml:space="preserve"> 各类资格（资质）文件提供扫描件，专用条款另有要求的除外。</w:t>
      </w:r>
      <w:bookmarkEnd w:id="56"/>
    </w:p>
    <w:p w14:paraId="0C32DBF3">
      <w:pPr>
        <w:ind w:firstLine="411" w:firstLineChars="196"/>
        <w:rPr>
          <w:rFonts w:ascii="宋体" w:hAnsi="宋体"/>
          <w:szCs w:val="21"/>
        </w:rPr>
      </w:pPr>
    </w:p>
    <w:p w14:paraId="154C5850">
      <w:pPr>
        <w:pStyle w:val="5"/>
        <w:numPr>
          <w:ilvl w:val="0"/>
          <w:numId w:val="10"/>
        </w:numPr>
        <w:spacing w:before="120" w:beforeLines="50" w:after="120" w:afterLines="50"/>
        <w:ind w:left="562" w:hanging="562"/>
        <w:rPr>
          <w:sz w:val="28"/>
          <w:szCs w:val="28"/>
        </w:rPr>
      </w:pPr>
      <w:r>
        <w:rPr>
          <w:rFonts w:hint="eastAsia"/>
          <w:sz w:val="28"/>
          <w:szCs w:val="28"/>
        </w:rPr>
        <w:t>投标文件的递交</w:t>
      </w:r>
    </w:p>
    <w:p w14:paraId="5C82E973">
      <w:pPr>
        <w:rPr>
          <w:rFonts w:ascii="黑体" w:hAnsi="宋体" w:eastAsia="黑体"/>
          <w:sz w:val="24"/>
        </w:rPr>
      </w:pPr>
      <w:bookmarkStart w:id="57" w:name="_Hlk72405459"/>
      <w:r>
        <w:rPr>
          <w:rFonts w:hint="eastAsia" w:ascii="黑体" w:hAnsi="宋体" w:eastAsia="黑体"/>
          <w:sz w:val="24"/>
          <w:lang w:eastAsia="zh-CN"/>
        </w:rPr>
        <w:t>24.</w:t>
      </w:r>
      <w:r>
        <w:rPr>
          <w:rFonts w:hint="eastAsia" w:ascii="黑体" w:hAnsi="宋体" w:eastAsia="黑体"/>
          <w:sz w:val="24"/>
        </w:rPr>
        <w:t>投标文件的保密</w:t>
      </w:r>
    </w:p>
    <w:p w14:paraId="40F7147E">
      <w:pPr>
        <w:ind w:firstLine="411" w:firstLineChars="196"/>
        <w:rPr>
          <w:rFonts w:ascii="宋体" w:hAnsi="宋体"/>
        </w:rPr>
      </w:pPr>
      <w:r>
        <w:rPr>
          <w:rFonts w:hint="eastAsia" w:ascii="宋体" w:hAnsi="宋体"/>
        </w:rPr>
        <w:t>24.1在投标文件制作完成后，在投标书编制软件点击【生成标书】按钮进入【填写开标一览表界面】界面，在该界面填写完开标一览表信息后点击【确定】，进入投标文件生成环节。投标文件制作软件会在投标文件生成过程中，提示用户输入密码，输入密码后对</w:t>
      </w:r>
      <w:r>
        <w:rPr>
          <w:rFonts w:hint="eastAsia" w:ascii="宋体" w:hAnsi="宋体"/>
          <w:lang w:val="en-US" w:eastAsia="zh-CN"/>
        </w:rPr>
        <w:t>投</w:t>
      </w:r>
      <w:r>
        <w:rPr>
          <w:rFonts w:hint="eastAsia" w:ascii="宋体" w:hAnsi="宋体"/>
        </w:rPr>
        <w:t>标文件自动进行加密，此加密程序确保投标文件在到达投标截止时间后才能解密查看。在加密过程中，请按照软件提示进行操作。加密界面如下图所示：</w:t>
      </w:r>
    </w:p>
    <w:p w14:paraId="4D14D8AF">
      <w:pPr>
        <w:ind w:firstLine="411" w:firstLineChars="196"/>
        <w:rPr>
          <w:rFonts w:ascii="宋体" w:hAnsi="宋体"/>
        </w:rPr>
      </w:pPr>
    </w:p>
    <w:p w14:paraId="00E251CB">
      <w:pPr>
        <w:ind w:firstLine="411" w:firstLineChars="196"/>
        <w:rPr>
          <w:rFonts w:ascii="宋体" w:hAnsi="宋体"/>
        </w:rPr>
      </w:pPr>
      <w:r>
        <w:rPr>
          <w:rFonts w:ascii="宋体" w:hAnsi="宋体"/>
        </w:rPr>
        <w:drawing>
          <wp:inline distT="0" distB="0" distL="0" distR="0">
            <wp:extent cx="5279390" cy="2719070"/>
            <wp:effectExtent l="0" t="0" r="3810" b="11430"/>
            <wp:docPr id="5" name="_x0000_i1029" descr="图形用户界面, 应用程序&#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_x0000_i1029" descr="图形用户界面, 应用程序&#10;&#10;描述已自动生成"/>
                    <pic:cNvPicPr>
                      <a:picLocks noChangeAspect="1"/>
                    </pic:cNvPicPr>
                  </pic:nvPicPr>
                  <pic:blipFill>
                    <a:blip r:embed="rId9"/>
                    <a:stretch>
                      <a:fillRect/>
                    </a:stretch>
                  </pic:blipFill>
                  <pic:spPr>
                    <a:xfrm>
                      <a:off x="0" y="0"/>
                      <a:ext cx="5279390" cy="2719070"/>
                    </a:xfrm>
                    <a:prstGeom prst="rect">
                      <a:avLst/>
                    </a:prstGeom>
                    <a:noFill/>
                    <a:ln>
                      <a:noFill/>
                    </a:ln>
                  </pic:spPr>
                </pic:pic>
              </a:graphicData>
            </a:graphic>
          </wp:inline>
        </w:drawing>
      </w:r>
    </w:p>
    <w:p w14:paraId="52BB34D1">
      <w:pPr>
        <w:ind w:firstLine="411" w:firstLineChars="196"/>
        <w:rPr>
          <w:rFonts w:ascii="宋体" w:hAnsi="宋体"/>
        </w:rPr>
      </w:pPr>
    </w:p>
    <w:p w14:paraId="61E953AA">
      <w:pPr>
        <w:ind w:firstLine="411" w:firstLineChars="196"/>
        <w:rPr>
          <w:rFonts w:ascii="宋体" w:hAnsi="宋体"/>
        </w:rPr>
      </w:pPr>
      <w:r>
        <w:rPr>
          <w:rFonts w:ascii="宋体" w:hAnsi="宋体"/>
        </w:rPr>
        <w:drawing>
          <wp:inline distT="0" distB="0" distL="0" distR="0">
            <wp:extent cx="5279390" cy="2727325"/>
            <wp:effectExtent l="0" t="0" r="3810" b="3175"/>
            <wp:docPr id="6" name="_x0000_i1030" descr="图形用户界面&#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_x0000_i1030" descr="图形用户界面&#10;&#10;描述已自动生成"/>
                    <pic:cNvPicPr>
                      <a:picLocks noChangeAspect="1"/>
                    </pic:cNvPicPr>
                  </pic:nvPicPr>
                  <pic:blipFill>
                    <a:blip r:embed="rId10"/>
                    <a:stretch>
                      <a:fillRect/>
                    </a:stretch>
                  </pic:blipFill>
                  <pic:spPr>
                    <a:xfrm>
                      <a:off x="0" y="0"/>
                      <a:ext cx="5279390" cy="2727325"/>
                    </a:xfrm>
                    <a:prstGeom prst="rect">
                      <a:avLst/>
                    </a:prstGeom>
                    <a:noFill/>
                    <a:ln>
                      <a:noFill/>
                    </a:ln>
                  </pic:spPr>
                </pic:pic>
              </a:graphicData>
            </a:graphic>
          </wp:inline>
        </w:drawing>
      </w:r>
    </w:p>
    <w:p w14:paraId="1FB39DE2">
      <w:pPr>
        <w:ind w:firstLine="411" w:firstLineChars="196"/>
        <w:rPr>
          <w:rFonts w:ascii="宋体" w:hAnsi="宋体"/>
        </w:rPr>
      </w:pPr>
    </w:p>
    <w:p w14:paraId="4987C6E0">
      <w:pPr>
        <w:widowControl/>
        <w:jc w:val="left"/>
        <w:rPr>
          <w:sz w:val="24"/>
        </w:rPr>
      </w:pPr>
    </w:p>
    <w:p w14:paraId="7C261C79">
      <w:pPr>
        <w:rPr>
          <w:rFonts w:ascii="宋体" w:hAnsi="宋体"/>
          <w:b/>
        </w:rPr>
      </w:pPr>
      <w:r>
        <w:rPr>
          <w:rFonts w:hint="eastAsia" w:ascii="宋体" w:hAnsi="宋体"/>
        </w:rPr>
        <w:t xml:space="preserve">   </w:t>
      </w:r>
      <w:r>
        <w:rPr>
          <w:rFonts w:hint="eastAsia" w:ascii="宋体" w:hAnsi="宋体"/>
          <w:b/>
        </w:rPr>
        <w:t xml:space="preserve"> 24.2若采购项目出现延期情况：</w:t>
      </w:r>
    </w:p>
    <w:p w14:paraId="255D39A4">
      <w:pPr>
        <w:ind w:firstLine="422" w:firstLineChars="200"/>
        <w:rPr>
          <w:rFonts w:ascii="黑体" w:hAnsi="宋体" w:eastAsia="黑体"/>
          <w:b/>
          <w:sz w:val="24"/>
        </w:rPr>
      </w:pPr>
      <w:r>
        <w:rPr>
          <w:rFonts w:hint="eastAsia" w:ascii="宋体" w:hAnsi="宋体"/>
          <w:b/>
        </w:rPr>
        <w:t>如果供下载的招标文件（后缀名为.szczf）有更新，投标人必须重新下载招标文件、重新制作投标文件、重新加密投标文件、重新上传投标文件；如果供下载的招标文件（后缀名为.szczf）没有更新，投标人必须重新加密投标文件、重新上传投标文件（是否重新制作投标文件根据项目实际情</w:t>
      </w:r>
      <w:r>
        <w:rPr>
          <w:rFonts w:hint="eastAsia" w:ascii="宋体" w:hAnsi="宋体"/>
          <w:b/>
          <w:bCs/>
          <w:lang w:eastAsia="zh-CN"/>
        </w:rPr>
        <w:t>况确</w:t>
      </w:r>
      <w:r>
        <w:rPr>
          <w:rFonts w:hint="eastAsia" w:ascii="宋体" w:hAnsi="宋体"/>
          <w:b/>
        </w:rPr>
        <w:t>定）。否则，投标人自行承担投标文件无法解密导致投标无效的后果。</w:t>
      </w:r>
    </w:p>
    <w:p w14:paraId="3BB0A906">
      <w:pPr>
        <w:rPr>
          <w:rFonts w:ascii="黑体" w:hAnsi="宋体" w:eastAsia="黑体"/>
          <w:sz w:val="24"/>
        </w:rPr>
      </w:pPr>
      <w:r>
        <w:rPr>
          <w:rFonts w:hint="eastAsia" w:ascii="黑体" w:hAnsi="宋体" w:eastAsia="黑体"/>
          <w:sz w:val="24"/>
          <w:lang w:eastAsia="zh-CN"/>
        </w:rPr>
        <w:t>25.</w:t>
      </w:r>
      <w:r>
        <w:rPr>
          <w:rFonts w:hint="eastAsia" w:ascii="黑体" w:hAnsi="宋体" w:eastAsia="黑体"/>
          <w:sz w:val="24"/>
        </w:rPr>
        <w:t>上传投标文件及投标截止日期</w:t>
      </w:r>
    </w:p>
    <w:p w14:paraId="4CB5D6A2">
      <w:pPr>
        <w:ind w:firstLine="411" w:firstLineChars="196"/>
        <w:rPr>
          <w:rFonts w:ascii="宋体" w:hAnsi="宋体"/>
        </w:rPr>
      </w:pPr>
      <w:r>
        <w:rPr>
          <w:rFonts w:hint="eastAsia" w:ascii="宋体" w:hAnsi="宋体"/>
        </w:rPr>
        <w:t>25</w:t>
      </w:r>
      <w:r>
        <w:rPr>
          <w:rFonts w:ascii="宋体" w:hAnsi="宋体"/>
        </w:rPr>
        <w:t>.</w:t>
      </w:r>
      <w:r>
        <w:rPr>
          <w:rFonts w:hint="eastAsia" w:ascii="宋体" w:hAnsi="宋体"/>
        </w:rPr>
        <w:t>1实行网上投标，</w:t>
      </w:r>
      <w:r>
        <w:rPr>
          <w:rFonts w:ascii="宋体" w:hAnsi="宋体"/>
        </w:rPr>
        <w:t>投标人必须</w:t>
      </w:r>
      <w:r>
        <w:rPr>
          <w:rFonts w:hint="eastAsia" w:ascii="宋体" w:hAnsi="宋体"/>
        </w:rPr>
        <w:t>在招标</w:t>
      </w:r>
      <w:r>
        <w:rPr>
          <w:rFonts w:ascii="宋体" w:hAnsi="宋体"/>
        </w:rPr>
        <w:t>文件规定的投标截止时间前</w:t>
      </w:r>
      <w:r>
        <w:rPr>
          <w:rFonts w:hint="eastAsia" w:ascii="宋体" w:hAnsi="宋体"/>
        </w:rPr>
        <w:t>用电子密钥登录“深圳政府采购智慧平台用户网上办事子系统（http://zfcg.szggzy.com:8081/TPBidder/memberLogin）”，用“【我的项目】→【项目流程】→【递交投标(应答)文件】”功能点上传投标文件。如上传过程中遇到问题，可拨打</w:t>
      </w:r>
      <w:r>
        <w:rPr>
          <w:rFonts w:hint="eastAsia" w:ascii="宋体" w:hAnsi="宋体"/>
          <w:lang w:val="en-US" w:eastAsia="zh-CN"/>
        </w:rPr>
        <w:t>采购公告中的技术支持电话</w:t>
      </w:r>
      <w:r>
        <w:rPr>
          <w:rFonts w:hint="eastAsia" w:ascii="宋体" w:hAnsi="宋体"/>
        </w:rPr>
        <w:t>。如多次上传均告失败，请在投标截止时间之前携带加密后的电子投标文件送达</w:t>
      </w:r>
      <w:r>
        <w:rPr>
          <w:rFonts w:hint="eastAsia" w:ascii="宋体" w:hAnsi="宋体"/>
          <w:b/>
          <w:bCs/>
        </w:rPr>
        <w:t>深圳公共资源交易中心（深圳交易集团有限公司宝安分公司）一楼服务大厅（地址：深圳市宝安区湖滨东路40号）协助上传，但上传过程中投标截止时间到达仍无法上传成功的，由投标人自行负责。</w:t>
      </w:r>
    </w:p>
    <w:p w14:paraId="1C008C66">
      <w:pPr>
        <w:ind w:firstLine="411" w:firstLineChars="196"/>
        <w:rPr>
          <w:rFonts w:ascii="宋体" w:hAnsi="宋体"/>
        </w:rPr>
      </w:pPr>
      <w:r>
        <w:rPr>
          <w:rFonts w:hint="eastAsia" w:ascii="宋体" w:hAnsi="宋体"/>
        </w:rPr>
        <w:t>25.2政府集中采购机构可以按本通用条款第13条规定，通过修改招标文件自行决定酌情延长投标截止期。在此情况下，政府集中采购机构、采购人和投标人受投标截止期制约的所有权利和义务均应延长至新的截止期。</w:t>
      </w:r>
    </w:p>
    <w:p w14:paraId="7009A392">
      <w:pPr>
        <w:ind w:firstLine="411" w:firstLineChars="196"/>
        <w:rPr>
          <w:rFonts w:ascii="宋体" w:hAnsi="宋体"/>
        </w:rPr>
      </w:pPr>
      <w:r>
        <w:rPr>
          <w:rFonts w:hint="eastAsia" w:ascii="宋体" w:hAnsi="宋体"/>
        </w:rPr>
        <w:t>25</w:t>
      </w:r>
      <w:r>
        <w:rPr>
          <w:rFonts w:ascii="宋体" w:hAnsi="宋体"/>
        </w:rPr>
        <w:t>.</w:t>
      </w:r>
      <w:r>
        <w:rPr>
          <w:rFonts w:hint="eastAsia" w:ascii="宋体" w:hAnsi="宋体"/>
        </w:rPr>
        <w:t>3投标截止时间以后不得上传投标文件。</w:t>
      </w:r>
    </w:p>
    <w:bookmarkEnd w:id="57"/>
    <w:p w14:paraId="602B177C">
      <w:pPr>
        <w:ind w:firstLine="411" w:firstLineChars="196"/>
        <w:rPr>
          <w:rFonts w:ascii="宋体" w:hAnsi="宋体"/>
        </w:rPr>
      </w:pPr>
    </w:p>
    <w:p w14:paraId="1BA733B7">
      <w:pPr>
        <w:rPr>
          <w:rFonts w:ascii="黑体" w:hAnsi="宋体" w:eastAsia="黑体"/>
          <w:sz w:val="24"/>
        </w:rPr>
      </w:pPr>
      <w:r>
        <w:rPr>
          <w:rFonts w:hint="eastAsia" w:ascii="黑体" w:hAnsi="宋体" w:eastAsia="黑体"/>
          <w:sz w:val="24"/>
        </w:rPr>
        <w:t>26. 样品、现场演示、方案讲解</w:t>
      </w:r>
    </w:p>
    <w:p w14:paraId="05FDF116">
      <w:pPr>
        <w:ind w:firstLine="411" w:firstLineChars="196"/>
        <w:rPr>
          <w:rFonts w:ascii="宋体" w:hAnsi="宋体"/>
          <w:szCs w:val="21"/>
        </w:rPr>
      </w:pPr>
      <w:r>
        <w:rPr>
          <w:rFonts w:hint="eastAsia" w:ascii="宋体" w:hAnsi="宋体"/>
          <w:szCs w:val="21"/>
        </w:rPr>
        <w:t>26.1 样品、现场演示、方案讲解等事项在招标文件专用条款中进行规定。</w:t>
      </w:r>
    </w:p>
    <w:p w14:paraId="1BCA7B07">
      <w:pPr>
        <w:rPr>
          <w:rFonts w:ascii="黑体" w:hAnsi="宋体" w:eastAsia="黑体"/>
          <w:sz w:val="24"/>
        </w:rPr>
      </w:pPr>
      <w:bookmarkStart w:id="58" w:name="_Hlk72428346"/>
      <w:r>
        <w:rPr>
          <w:rFonts w:hint="eastAsia" w:ascii="黑体" w:hAnsi="宋体" w:eastAsia="黑体"/>
          <w:sz w:val="24"/>
          <w:lang w:eastAsia="zh-CN"/>
        </w:rPr>
        <w:t>27.</w:t>
      </w:r>
      <w:r>
        <w:rPr>
          <w:rFonts w:ascii="黑体" w:hAnsi="宋体" w:eastAsia="黑体"/>
          <w:sz w:val="24"/>
        </w:rPr>
        <w:t>投标文件的修改和撤销</w:t>
      </w:r>
    </w:p>
    <w:p w14:paraId="3FA5A445">
      <w:pPr>
        <w:ind w:firstLine="411" w:firstLineChars="196"/>
        <w:rPr>
          <w:rFonts w:ascii="宋体" w:hAnsi="宋体"/>
        </w:rPr>
      </w:pPr>
      <w:r>
        <w:rPr>
          <w:rFonts w:ascii="宋体" w:hAnsi="宋体"/>
        </w:rPr>
        <w:t>2</w:t>
      </w:r>
      <w:r>
        <w:rPr>
          <w:rFonts w:hint="eastAsia" w:ascii="宋体" w:hAnsi="宋体"/>
        </w:rPr>
        <w:t>7</w:t>
      </w:r>
      <w:r>
        <w:rPr>
          <w:rFonts w:ascii="宋体" w:hAnsi="宋体"/>
        </w:rPr>
        <w:t>.</w:t>
      </w:r>
      <w:r>
        <w:rPr>
          <w:rFonts w:hint="eastAsia" w:ascii="宋体" w:hAnsi="宋体"/>
        </w:rPr>
        <w:t>1</w:t>
      </w:r>
      <w:r>
        <w:rPr>
          <w:rFonts w:ascii="宋体" w:hAnsi="宋体"/>
        </w:rPr>
        <w:t>投标方在提交投标文件后可对其投标文件进行修改</w:t>
      </w:r>
      <w:r>
        <w:rPr>
          <w:rFonts w:hint="eastAsia" w:ascii="宋体" w:hAnsi="宋体"/>
        </w:rPr>
        <w:t>并重新上传投标文件</w:t>
      </w:r>
      <w:r>
        <w:rPr>
          <w:rFonts w:ascii="宋体" w:hAnsi="宋体"/>
        </w:rPr>
        <w:t>或</w:t>
      </w:r>
      <w:r>
        <w:rPr>
          <w:rFonts w:hint="eastAsia" w:ascii="宋体" w:hAnsi="宋体"/>
        </w:rPr>
        <w:t>在网上进行</w:t>
      </w:r>
      <w:r>
        <w:rPr>
          <w:rFonts w:ascii="宋体" w:hAnsi="宋体"/>
        </w:rPr>
        <w:t>撤销</w:t>
      </w:r>
      <w:r>
        <w:rPr>
          <w:rFonts w:hint="eastAsia" w:ascii="宋体" w:hAnsi="宋体"/>
        </w:rPr>
        <w:t>投标的操作</w:t>
      </w:r>
      <w:r>
        <w:rPr>
          <w:rFonts w:ascii="宋体" w:hAnsi="宋体"/>
        </w:rPr>
        <w:t>。</w:t>
      </w:r>
    </w:p>
    <w:p w14:paraId="67B33727">
      <w:pPr>
        <w:ind w:firstLine="411" w:firstLineChars="196"/>
        <w:rPr>
          <w:rFonts w:ascii="宋体" w:hAnsi="宋体"/>
        </w:rPr>
      </w:pPr>
      <w:r>
        <w:rPr>
          <w:rFonts w:ascii="宋体" w:hAnsi="宋体"/>
        </w:rPr>
        <w:t>2</w:t>
      </w:r>
      <w:r>
        <w:rPr>
          <w:rFonts w:hint="eastAsia" w:ascii="宋体" w:hAnsi="宋体"/>
        </w:rPr>
        <w:t>7</w:t>
      </w:r>
      <w:r>
        <w:rPr>
          <w:rFonts w:ascii="宋体" w:hAnsi="宋体"/>
        </w:rPr>
        <w:t>.</w:t>
      </w:r>
      <w:r>
        <w:rPr>
          <w:rFonts w:hint="eastAsia" w:ascii="宋体" w:hAnsi="宋体"/>
        </w:rPr>
        <w:t>2</w:t>
      </w:r>
      <w:r>
        <w:rPr>
          <w:rFonts w:ascii="宋体" w:hAnsi="宋体"/>
        </w:rPr>
        <w:t>投标截止时间以后不得修改投标文件。</w:t>
      </w:r>
    </w:p>
    <w:p w14:paraId="7A8F459C">
      <w:pPr>
        <w:ind w:firstLine="411" w:firstLineChars="196"/>
        <w:rPr>
          <w:rFonts w:ascii="宋体" w:hAnsi="宋体"/>
        </w:rPr>
      </w:pPr>
      <w:r>
        <w:rPr>
          <w:rFonts w:ascii="宋体" w:hAnsi="宋体"/>
        </w:rPr>
        <w:t>2</w:t>
      </w:r>
      <w:r>
        <w:rPr>
          <w:rFonts w:hint="eastAsia" w:ascii="宋体" w:hAnsi="宋体"/>
        </w:rPr>
        <w:t>7</w:t>
      </w:r>
      <w:r>
        <w:rPr>
          <w:rFonts w:ascii="宋体" w:hAnsi="宋体"/>
        </w:rPr>
        <w:t>.</w:t>
      </w:r>
      <w:r>
        <w:rPr>
          <w:rFonts w:hint="eastAsia" w:ascii="宋体" w:hAnsi="宋体"/>
        </w:rPr>
        <w:t>3从投标截止期至投标人在投标文件中确定的投标有效期之间的这段时间内，投标人不得撤回其投标。</w:t>
      </w:r>
    </w:p>
    <w:p w14:paraId="5F1DC94E">
      <w:pPr>
        <w:ind w:firstLine="411" w:firstLineChars="196"/>
        <w:rPr>
          <w:rFonts w:ascii="宋体" w:hAnsi="宋体"/>
          <w:szCs w:val="21"/>
        </w:rPr>
      </w:pPr>
      <w:r>
        <w:rPr>
          <w:rFonts w:hint="eastAsia" w:ascii="宋体" w:hAnsi="宋体"/>
          <w:szCs w:val="21"/>
        </w:rPr>
        <w:t>27.4政府集中采购机构不退还投标文件，专用条款另有规定的除外。</w:t>
      </w:r>
      <w:bookmarkEnd w:id="58"/>
    </w:p>
    <w:p w14:paraId="1E5DD300">
      <w:pPr>
        <w:pStyle w:val="5"/>
        <w:numPr>
          <w:ilvl w:val="0"/>
          <w:numId w:val="10"/>
        </w:numPr>
        <w:spacing w:before="120" w:beforeLines="50" w:after="120" w:afterLines="50"/>
        <w:ind w:left="562" w:hanging="562"/>
        <w:rPr>
          <w:sz w:val="28"/>
          <w:szCs w:val="28"/>
        </w:rPr>
      </w:pPr>
      <w:r>
        <w:rPr>
          <w:rFonts w:hint="eastAsia"/>
          <w:sz w:val="28"/>
          <w:szCs w:val="28"/>
        </w:rPr>
        <w:t>开标</w:t>
      </w:r>
    </w:p>
    <w:p w14:paraId="125231E4">
      <w:pPr>
        <w:rPr>
          <w:rFonts w:ascii="黑体" w:hAnsi="宋体" w:eastAsia="黑体"/>
          <w:sz w:val="24"/>
        </w:rPr>
      </w:pPr>
      <w:r>
        <w:rPr>
          <w:rFonts w:hint="eastAsia" w:ascii="黑体" w:hAnsi="宋体" w:eastAsia="黑体"/>
          <w:sz w:val="24"/>
          <w:lang w:eastAsia="zh-CN"/>
        </w:rPr>
        <w:t>28.</w:t>
      </w:r>
      <w:r>
        <w:rPr>
          <w:rFonts w:hint="eastAsia" w:ascii="黑体" w:hAnsi="宋体" w:eastAsia="黑体"/>
          <w:sz w:val="24"/>
        </w:rPr>
        <w:t>开标</w:t>
      </w:r>
    </w:p>
    <w:p w14:paraId="5A47A3A0">
      <w:pPr>
        <w:ind w:firstLine="315" w:firstLineChars="150"/>
        <w:rPr>
          <w:rFonts w:ascii="宋体" w:hAnsi="宋体"/>
          <w:szCs w:val="21"/>
        </w:rPr>
      </w:pPr>
      <w:r>
        <w:rPr>
          <w:rFonts w:hint="eastAsia" w:ascii="宋体" w:hAnsi="宋体"/>
          <w:szCs w:val="21"/>
        </w:rPr>
        <w:t>28.1投标人须在开标当日的开标时间至解密截止时间内进行解密，逾期未解密的作无效处理。解密方法：登录“深圳政府采购智慧平台用户网上办事子系统（http://zfcg.szggzy.com:8081/TPBidder/memberLogin）”，使用本单位制作电子投标文件同一个电子密钥，在“【我的项目】→【项目流程】→【开标及解密】”进行在线解密、查询开标情况。</w:t>
      </w:r>
    </w:p>
    <w:p w14:paraId="20638AC6">
      <w:pPr>
        <w:ind w:firstLine="315" w:firstLineChars="150"/>
        <w:rPr>
          <w:rFonts w:ascii="宋体" w:hAnsi="宋体"/>
          <w:szCs w:val="21"/>
        </w:rPr>
      </w:pPr>
      <w:r>
        <w:rPr>
          <w:rFonts w:hint="eastAsia" w:ascii="宋体" w:hAnsi="宋体"/>
          <w:szCs w:val="21"/>
        </w:rPr>
        <w:t>28.2 政府集中采购机构将在满足开标条件（①解密时间结束，解密后的投标供应商数量满足开标要求或②解密时间结束前所有投标供应商均完成投标文件解密）后，对投标文件进行开标，并在网上公布开标结果。</w:t>
      </w:r>
    </w:p>
    <w:p w14:paraId="7F0D08EF">
      <w:pPr>
        <w:ind w:firstLine="315" w:firstLineChars="150"/>
        <w:rPr>
          <w:rFonts w:ascii="宋体" w:hAnsi="宋体"/>
          <w:szCs w:val="21"/>
        </w:rPr>
      </w:pPr>
    </w:p>
    <w:p w14:paraId="610D7F2A">
      <w:pPr>
        <w:pStyle w:val="5"/>
        <w:numPr>
          <w:ilvl w:val="0"/>
          <w:numId w:val="10"/>
        </w:numPr>
        <w:spacing w:before="120" w:beforeLines="50" w:after="120" w:afterLines="50"/>
        <w:ind w:left="562" w:hanging="562"/>
        <w:rPr>
          <w:sz w:val="28"/>
          <w:szCs w:val="28"/>
        </w:rPr>
      </w:pPr>
      <w:r>
        <w:rPr>
          <w:rFonts w:hint="eastAsia"/>
          <w:sz w:val="28"/>
          <w:szCs w:val="28"/>
        </w:rPr>
        <w:t>评审要求</w:t>
      </w:r>
    </w:p>
    <w:p w14:paraId="7B1337A6">
      <w:pPr>
        <w:rPr>
          <w:rFonts w:ascii="黑体" w:hAnsi="宋体" w:eastAsia="黑体"/>
          <w:sz w:val="24"/>
        </w:rPr>
      </w:pPr>
      <w:r>
        <w:rPr>
          <w:rFonts w:hint="eastAsia" w:ascii="黑体" w:hAnsi="宋体" w:eastAsia="黑体"/>
          <w:sz w:val="24"/>
          <w:lang w:eastAsia="zh-CN"/>
        </w:rPr>
        <w:t>29.</w:t>
      </w:r>
      <w:r>
        <w:rPr>
          <w:rFonts w:hint="eastAsia" w:ascii="黑体" w:hAnsi="宋体" w:eastAsia="黑体"/>
          <w:sz w:val="24"/>
        </w:rPr>
        <w:t>评审委员会组成</w:t>
      </w:r>
    </w:p>
    <w:p w14:paraId="5AD379EE">
      <w:pPr>
        <w:ind w:firstLine="411" w:firstLineChars="196"/>
        <w:rPr>
          <w:rFonts w:ascii="宋体" w:hAnsi="宋体"/>
        </w:rPr>
      </w:pPr>
      <w:r>
        <w:rPr>
          <w:rFonts w:hint="eastAsia" w:ascii="宋体" w:hAnsi="宋体"/>
        </w:rPr>
        <w:t>29.1网上开标结束后召开评审会议，</w:t>
      </w:r>
      <w:r>
        <w:rPr>
          <w:rFonts w:hint="eastAsia" w:ascii="宋体" w:hAnsi="宋体"/>
          <w:szCs w:val="21"/>
        </w:rPr>
        <w:t>评审委员会</w:t>
      </w:r>
      <w:r>
        <w:rPr>
          <w:rFonts w:hint="eastAsia" w:ascii="宋体" w:hAnsi="宋体"/>
        </w:rPr>
        <w:t>由政府集中采购机构依法组建，负责评审活动。</w:t>
      </w:r>
    </w:p>
    <w:p w14:paraId="79502801">
      <w:pPr>
        <w:ind w:firstLine="411" w:firstLineChars="196"/>
        <w:rPr>
          <w:rFonts w:hint="eastAsia" w:ascii="宋体" w:hAnsi="宋体"/>
        </w:rPr>
      </w:pPr>
      <w:bookmarkStart w:id="59" w:name="_Hlk72436580"/>
      <w:r>
        <w:rPr>
          <w:rFonts w:hint="eastAsia" w:ascii="宋体" w:hAnsi="宋体"/>
        </w:rPr>
        <w:t>评审委员会由采购人代表和评审专家组成，成员人数应当为5人以上单数（部分条件下为7人以上单数），其中评审专家不得少于成员总数的三分之二。</w:t>
      </w:r>
      <w:bookmarkEnd w:id="59"/>
      <w:r>
        <w:rPr>
          <w:rFonts w:hint="eastAsia" w:ascii="宋体" w:hAnsi="宋体"/>
        </w:rPr>
        <w:t>评定</w:t>
      </w:r>
      <w:r>
        <w:rPr>
          <w:rFonts w:hint="eastAsia"/>
        </w:rPr>
        <w:t>分离项目</w:t>
      </w:r>
      <w:r>
        <w:t>评审专家</w:t>
      </w:r>
      <w:r>
        <w:rPr>
          <w:rFonts w:hint="eastAsia"/>
        </w:rPr>
        <w:t>均</w:t>
      </w:r>
      <w:r>
        <w:t>由</w:t>
      </w:r>
      <w:r>
        <w:rPr>
          <w:rFonts w:hint="eastAsia"/>
        </w:rPr>
        <w:t>评审专家组成。</w:t>
      </w:r>
      <w:r>
        <w:rPr>
          <w:rFonts w:hint="eastAsia" w:ascii="宋体" w:hAnsi="宋体"/>
          <w:szCs w:val="21"/>
        </w:rPr>
        <w:t>评审专家一般是</w:t>
      </w:r>
      <w:r>
        <w:rPr>
          <w:rFonts w:hint="eastAsia" w:ascii="宋体" w:hAnsi="宋体"/>
        </w:rPr>
        <w:t>从深圳市政府采购评审专家库中随机抽取。采购人代表须持本单位签发的《评审授权书》参加评审。</w:t>
      </w:r>
    </w:p>
    <w:p w14:paraId="0CF07647">
      <w:pPr>
        <w:ind w:firstLine="411" w:firstLineChars="196"/>
        <w:rPr>
          <w:rFonts w:ascii="宋体" w:hAnsi="宋体"/>
        </w:rPr>
      </w:pPr>
      <w:r>
        <w:rPr>
          <w:rFonts w:hint="eastAsia" w:ascii="宋体" w:hAnsi="宋体"/>
        </w:rPr>
        <w:t>29.2评审定标应当遵循公平、公正、科学、择优的原则。</w:t>
      </w:r>
    </w:p>
    <w:p w14:paraId="01246532">
      <w:pPr>
        <w:ind w:firstLine="411" w:firstLineChars="196"/>
        <w:rPr>
          <w:rFonts w:ascii="宋体" w:hAnsi="宋体"/>
        </w:rPr>
      </w:pPr>
      <w:r>
        <w:rPr>
          <w:rFonts w:hint="eastAsia" w:ascii="宋体" w:hAnsi="宋体"/>
        </w:rPr>
        <w:t>29.3评审活动依法进行，任何单位和个人不得非法干预评标过程和结果。</w:t>
      </w:r>
    </w:p>
    <w:p w14:paraId="7E6A3217">
      <w:pPr>
        <w:ind w:firstLine="411" w:firstLineChars="196"/>
        <w:rPr>
          <w:rFonts w:ascii="宋体" w:hAnsi="宋体"/>
        </w:rPr>
      </w:pPr>
      <w:r>
        <w:rPr>
          <w:rFonts w:hint="eastAsia" w:ascii="宋体" w:hAnsi="宋体"/>
        </w:rPr>
        <w:t>29.4评审过程中不允许违背评标程序或采用招标文件未载明的评标方法或评标因素进行评标。</w:t>
      </w:r>
    </w:p>
    <w:p w14:paraId="7185F1B2">
      <w:pPr>
        <w:ind w:firstLine="411" w:firstLineChars="196"/>
        <w:rPr>
          <w:rFonts w:ascii="宋体" w:hAnsi="宋体"/>
          <w:bCs/>
        </w:rPr>
      </w:pPr>
      <w:r>
        <w:rPr>
          <w:rFonts w:hint="eastAsia" w:ascii="宋体" w:hAnsi="宋体"/>
          <w:bCs/>
        </w:rPr>
        <w:t>29.5 开标后，直到签订合同为止，凡属于对投标文件的审查、澄清、评价和比较的有关资料以及中标候选人的推荐情况、与评审有关的其他任何情况均严格保密（</w:t>
      </w:r>
      <w:r>
        <w:rPr>
          <w:rFonts w:hint="eastAsia"/>
        </w:rPr>
        <w:t>信息公开的内容除外</w:t>
      </w:r>
      <w:r>
        <w:rPr>
          <w:rFonts w:hint="eastAsia" w:ascii="宋体" w:hAnsi="宋体"/>
          <w:bCs/>
        </w:rPr>
        <w:t>）。</w:t>
      </w:r>
    </w:p>
    <w:p w14:paraId="32DA9DE6">
      <w:pPr>
        <w:rPr>
          <w:rFonts w:ascii="黑体" w:hAnsi="宋体" w:eastAsia="黑体"/>
          <w:sz w:val="24"/>
        </w:rPr>
      </w:pPr>
      <w:r>
        <w:rPr>
          <w:rFonts w:hint="eastAsia" w:ascii="黑体" w:hAnsi="宋体" w:eastAsia="黑体"/>
          <w:sz w:val="24"/>
          <w:lang w:eastAsia="zh-CN"/>
        </w:rPr>
        <w:t>30.</w:t>
      </w:r>
      <w:r>
        <w:rPr>
          <w:rFonts w:hint="eastAsia" w:ascii="黑体" w:hAnsi="宋体" w:eastAsia="黑体"/>
          <w:sz w:val="24"/>
        </w:rPr>
        <w:t>向评审委员会提供的资料</w:t>
      </w:r>
    </w:p>
    <w:p w14:paraId="7179B92C">
      <w:pPr>
        <w:ind w:firstLine="411" w:firstLineChars="196"/>
        <w:rPr>
          <w:rFonts w:ascii="宋体" w:hAnsi="宋体"/>
        </w:rPr>
      </w:pPr>
      <w:r>
        <w:rPr>
          <w:rFonts w:hint="eastAsia" w:ascii="宋体" w:hAnsi="宋体"/>
        </w:rPr>
        <w:t>30.1公开发布的招标文件，包括图纸、服务清单、答疑文件等；</w:t>
      </w:r>
    </w:p>
    <w:p w14:paraId="1C15C05E">
      <w:pPr>
        <w:ind w:firstLine="411" w:firstLineChars="196"/>
        <w:rPr>
          <w:rFonts w:ascii="宋体" w:hAnsi="宋体"/>
        </w:rPr>
      </w:pPr>
      <w:r>
        <w:rPr>
          <w:rFonts w:hint="eastAsia" w:ascii="宋体" w:hAnsi="宋体"/>
        </w:rPr>
        <w:t>30.2其他评标</w:t>
      </w:r>
      <w:r>
        <w:rPr>
          <w:rFonts w:hint="eastAsia" w:ascii="宋体" w:hAnsi="宋体"/>
          <w:lang w:eastAsia="zh-CN"/>
        </w:rPr>
        <w:t>必需的</w:t>
      </w:r>
      <w:r>
        <w:rPr>
          <w:rFonts w:hint="eastAsia" w:ascii="宋体" w:hAnsi="宋体"/>
        </w:rPr>
        <w:t>资料。</w:t>
      </w:r>
    </w:p>
    <w:p w14:paraId="6726D10D">
      <w:pPr>
        <w:ind w:firstLine="411" w:firstLineChars="196"/>
        <w:rPr>
          <w:rFonts w:ascii="宋体" w:hAnsi="宋体"/>
        </w:rPr>
      </w:pPr>
      <w:r>
        <w:rPr>
          <w:rFonts w:hint="eastAsia" w:ascii="宋体" w:hAnsi="宋体"/>
        </w:rPr>
        <w:t>30.3</w:t>
      </w:r>
      <w:r>
        <w:rPr>
          <w:rFonts w:hint="eastAsia" w:ascii="宋体" w:hAnsi="宋体"/>
          <w:szCs w:val="21"/>
        </w:rPr>
        <w:t>评审委员会</w:t>
      </w:r>
      <w:r>
        <w:rPr>
          <w:rFonts w:hint="eastAsia" w:ascii="宋体" w:hAnsi="宋体"/>
        </w:rPr>
        <w:t>应当认真研究招标文件，至少应了解熟悉以下内容：</w:t>
      </w:r>
    </w:p>
    <w:p w14:paraId="562E7144">
      <w:pPr>
        <w:ind w:firstLine="411" w:firstLineChars="196"/>
        <w:rPr>
          <w:rFonts w:ascii="宋体" w:hAnsi="宋体"/>
        </w:rPr>
      </w:pPr>
      <w:r>
        <w:rPr>
          <w:rFonts w:hint="eastAsia" w:ascii="宋体" w:hAnsi="宋体"/>
        </w:rPr>
        <w:t>（1）招标的目的；</w:t>
      </w:r>
    </w:p>
    <w:p w14:paraId="18492114">
      <w:pPr>
        <w:ind w:firstLine="411" w:firstLineChars="196"/>
        <w:rPr>
          <w:rFonts w:ascii="宋体" w:hAnsi="宋体"/>
        </w:rPr>
      </w:pPr>
      <w:r>
        <w:rPr>
          <w:rFonts w:hint="eastAsia" w:ascii="宋体" w:hAnsi="宋体"/>
        </w:rPr>
        <w:t>（2）招标项目需求的范围和性质；</w:t>
      </w:r>
    </w:p>
    <w:p w14:paraId="7161EF01">
      <w:pPr>
        <w:ind w:firstLine="411" w:firstLineChars="196"/>
        <w:rPr>
          <w:rFonts w:ascii="宋体" w:hAnsi="宋体"/>
        </w:rPr>
      </w:pPr>
      <w:r>
        <w:rPr>
          <w:rFonts w:hint="eastAsia" w:ascii="宋体" w:hAnsi="宋体"/>
        </w:rPr>
        <w:t>（3）招标文件规定的投标人的资格、财政预算限额、商务条款；</w:t>
      </w:r>
    </w:p>
    <w:p w14:paraId="6AAB2756">
      <w:pPr>
        <w:ind w:firstLine="411" w:firstLineChars="196"/>
        <w:rPr>
          <w:rFonts w:ascii="宋体" w:hAnsi="宋体"/>
        </w:rPr>
      </w:pPr>
      <w:r>
        <w:rPr>
          <w:rFonts w:hint="eastAsia" w:ascii="宋体" w:hAnsi="宋体"/>
        </w:rPr>
        <w:t>（4）招标文件规定的评标程序、评标方法和评标因素；</w:t>
      </w:r>
    </w:p>
    <w:p w14:paraId="2F52CEA3">
      <w:pPr>
        <w:ind w:firstLine="411" w:firstLineChars="196"/>
        <w:rPr>
          <w:rFonts w:ascii="宋体" w:hAnsi="宋体"/>
        </w:rPr>
      </w:pPr>
      <w:r>
        <w:rPr>
          <w:rFonts w:hint="eastAsia" w:ascii="宋体" w:hAnsi="宋体"/>
        </w:rPr>
        <w:t>（5）招标文件所列示的资格性审查表及符合性审查表。</w:t>
      </w:r>
    </w:p>
    <w:p w14:paraId="5FDA0F41">
      <w:pPr>
        <w:rPr>
          <w:rFonts w:ascii="黑体" w:hAnsi="宋体" w:eastAsia="黑体"/>
          <w:sz w:val="24"/>
        </w:rPr>
      </w:pPr>
      <w:r>
        <w:rPr>
          <w:rFonts w:hint="eastAsia" w:ascii="黑体" w:hAnsi="宋体" w:eastAsia="黑体"/>
          <w:sz w:val="24"/>
          <w:lang w:eastAsia="zh-CN"/>
        </w:rPr>
        <w:t>31.</w:t>
      </w:r>
      <w:r>
        <w:rPr>
          <w:rFonts w:hint="eastAsia" w:ascii="黑体" w:hAnsi="宋体" w:eastAsia="黑体"/>
          <w:sz w:val="24"/>
        </w:rPr>
        <w:t>独立评审</w:t>
      </w:r>
    </w:p>
    <w:p w14:paraId="1961D4C4">
      <w:pPr>
        <w:ind w:firstLine="411" w:firstLineChars="196"/>
        <w:rPr>
          <w:rFonts w:ascii="宋体" w:hAnsi="宋体"/>
          <w:bCs/>
        </w:rPr>
      </w:pPr>
      <w:r>
        <w:rPr>
          <w:rFonts w:hint="eastAsia" w:ascii="宋体" w:hAnsi="宋体"/>
          <w:bCs/>
        </w:rPr>
        <w:t>3</w:t>
      </w:r>
      <w:r>
        <w:rPr>
          <w:rFonts w:ascii="宋体" w:hAnsi="宋体"/>
          <w:bCs/>
        </w:rPr>
        <w:t>1</w:t>
      </w:r>
      <w:r>
        <w:rPr>
          <w:rFonts w:hint="eastAsia" w:ascii="宋体" w:hAnsi="宋体"/>
          <w:bCs/>
        </w:rPr>
        <w:t>.1</w:t>
      </w:r>
      <w:r>
        <w:rPr>
          <w:rFonts w:hint="eastAsia" w:ascii="宋体" w:hAnsi="宋体"/>
          <w:szCs w:val="21"/>
        </w:rPr>
        <w:t>评审委员会</w:t>
      </w:r>
      <w:r>
        <w:rPr>
          <w:rFonts w:hint="eastAsia" w:ascii="宋体" w:hAnsi="宋体"/>
          <w:bCs/>
        </w:rPr>
        <w:t>成员的评标活动应当独立进行，并应遵循投标文件初审、澄清有关问题、比较与评价、确定中标供应商、编写评审报告的工作程序。</w:t>
      </w:r>
    </w:p>
    <w:p w14:paraId="08ACAC1E">
      <w:pPr>
        <w:ind w:firstLine="411" w:firstLineChars="196"/>
        <w:rPr>
          <w:rFonts w:ascii="宋体" w:hAnsi="宋体"/>
          <w:bCs/>
          <w:szCs w:val="21"/>
        </w:rPr>
      </w:pPr>
    </w:p>
    <w:p w14:paraId="533E1EF0">
      <w:pPr>
        <w:pStyle w:val="5"/>
        <w:numPr>
          <w:ilvl w:val="0"/>
          <w:numId w:val="10"/>
        </w:numPr>
        <w:spacing w:before="120" w:beforeLines="50" w:after="120" w:afterLines="50"/>
        <w:ind w:left="562" w:hanging="562"/>
        <w:rPr>
          <w:sz w:val="28"/>
          <w:szCs w:val="28"/>
        </w:rPr>
      </w:pPr>
      <w:r>
        <w:rPr>
          <w:rFonts w:hint="eastAsia"/>
          <w:sz w:val="28"/>
          <w:szCs w:val="28"/>
        </w:rPr>
        <w:t>评审程序及评审方法</w:t>
      </w:r>
    </w:p>
    <w:p w14:paraId="3C444BE8">
      <w:pPr>
        <w:rPr>
          <w:rFonts w:ascii="黑体" w:hAnsi="宋体" w:eastAsia="黑体"/>
          <w:sz w:val="24"/>
          <w:highlight w:val="none"/>
        </w:rPr>
      </w:pPr>
      <w:r>
        <w:rPr>
          <w:rFonts w:hint="eastAsia" w:ascii="黑体" w:hAnsi="宋体" w:eastAsia="黑体"/>
          <w:sz w:val="24"/>
          <w:lang w:eastAsia="zh-CN"/>
        </w:rPr>
        <w:t>32.</w:t>
      </w:r>
      <w:r>
        <w:rPr>
          <w:rFonts w:hint="eastAsia" w:ascii="黑体" w:hAnsi="宋体" w:eastAsia="黑体"/>
          <w:sz w:val="24"/>
        </w:rPr>
        <w:t>投标文件初审</w:t>
      </w:r>
    </w:p>
    <w:p w14:paraId="770A6D62">
      <w:pPr>
        <w:ind w:firstLine="411" w:firstLineChars="196"/>
        <w:rPr>
          <w:rFonts w:ascii="宋体" w:hAnsi="宋体"/>
        </w:rPr>
      </w:pPr>
      <w:r>
        <w:rPr>
          <w:rFonts w:hint="eastAsia" w:ascii="宋体" w:hAnsi="宋体"/>
          <w:highlight w:val="none"/>
        </w:rPr>
        <w:t>32.1投标文件初审包括资格性审查</w:t>
      </w:r>
      <w:r>
        <w:rPr>
          <w:rFonts w:hint="eastAsia" w:ascii="宋体" w:hAnsi="宋体"/>
          <w:highlight w:val="none"/>
          <w:lang w:eastAsia="zh-CN"/>
        </w:rPr>
        <w:t>、</w:t>
      </w:r>
      <w:r>
        <w:rPr>
          <w:rFonts w:hint="eastAsia" w:ascii="宋体" w:hAnsi="宋体"/>
          <w:highlight w:val="none"/>
        </w:rPr>
        <w:t>符合性审查</w:t>
      </w:r>
      <w:r>
        <w:rPr>
          <w:rFonts w:hint="eastAsia" w:ascii="宋体" w:hAnsi="宋体"/>
          <w:highlight w:val="none"/>
          <w:lang w:val="en-US" w:eastAsia="zh-CN"/>
        </w:rPr>
        <w:t>和异常低价审</w:t>
      </w:r>
      <w:r>
        <w:rPr>
          <w:rFonts w:hint="eastAsia" w:ascii="宋体" w:hAnsi="宋体"/>
          <w:highlight w:val="none"/>
        </w:rPr>
        <w:t>查</w:t>
      </w:r>
      <w:r>
        <w:rPr>
          <w:rFonts w:hint="eastAsia" w:ascii="宋体" w:hAnsi="宋体"/>
        </w:rPr>
        <w:t>。</w:t>
      </w:r>
    </w:p>
    <w:p w14:paraId="5C5602C8">
      <w:pPr>
        <w:ind w:firstLine="411" w:firstLineChars="196"/>
        <w:rPr>
          <w:rFonts w:ascii="宋体" w:hAnsi="宋体"/>
        </w:rPr>
      </w:pPr>
      <w:r>
        <w:rPr>
          <w:rFonts w:hint="eastAsia" w:ascii="宋体" w:hAnsi="宋体"/>
        </w:rPr>
        <w:t>资格性审查：依据法律法规和招标文件的规定，对投标文件中的资格证明等进行审查，以确定投标供应商是否具备投标资格。</w:t>
      </w:r>
    </w:p>
    <w:p w14:paraId="36119FC4">
      <w:pPr>
        <w:ind w:firstLine="411" w:firstLineChars="196"/>
        <w:rPr>
          <w:rFonts w:hint="eastAsia" w:ascii="宋体" w:hAnsi="宋体"/>
        </w:rPr>
      </w:pPr>
      <w:r>
        <w:rPr>
          <w:rFonts w:hint="eastAsia" w:ascii="宋体" w:hAnsi="宋体"/>
        </w:rPr>
        <w:t>符合性审查：依据招标文件的规定，对投标文件的有效性、完整性和对招标文件的响应程度进行审查，以确定是否满足符合性审查的要求。</w:t>
      </w:r>
    </w:p>
    <w:p w14:paraId="53855EAA">
      <w:pPr>
        <w:pStyle w:val="19"/>
        <w:spacing w:line="240" w:lineRule="auto"/>
        <w:ind w:firstLine="420" w:firstLineChars="200"/>
        <w:rPr>
          <w:rFonts w:hint="eastAsia" w:ascii="宋体" w:hAnsi="宋体"/>
          <w:b w:val="0"/>
          <w:bCs w:val="0"/>
          <w:sz w:val="21"/>
          <w:highlight w:val="none"/>
        </w:rPr>
      </w:pPr>
      <w:r>
        <w:rPr>
          <w:rFonts w:hint="eastAsia" w:ascii="宋体" w:hAnsi="宋体"/>
          <w:b w:val="0"/>
          <w:bCs w:val="0"/>
          <w:sz w:val="21"/>
          <w:lang w:val="en-US" w:eastAsia="zh-CN"/>
        </w:rPr>
        <w:t>异常低价审查</w:t>
      </w:r>
      <w:r>
        <w:rPr>
          <w:rFonts w:hint="eastAsia" w:ascii="宋体" w:hAnsi="宋体"/>
          <w:b w:val="0"/>
          <w:bCs w:val="0"/>
          <w:sz w:val="21"/>
        </w:rPr>
        <w:t>：依据招标文件的规定，对投标</w:t>
      </w:r>
      <w:r>
        <w:rPr>
          <w:rFonts w:hint="eastAsia" w:ascii="宋体" w:hAnsi="宋体"/>
          <w:b w:val="0"/>
          <w:bCs w:val="0"/>
          <w:sz w:val="21"/>
          <w:lang w:val="en-US" w:eastAsia="zh-CN"/>
        </w:rPr>
        <w:t>报价合理性</w:t>
      </w:r>
      <w:r>
        <w:rPr>
          <w:rFonts w:hint="eastAsia" w:ascii="宋体" w:hAnsi="宋体"/>
          <w:b w:val="0"/>
          <w:bCs w:val="0"/>
          <w:sz w:val="21"/>
          <w:highlight w:val="none"/>
        </w:rPr>
        <w:t>进行审查，以确定是否</w:t>
      </w:r>
      <w:r>
        <w:rPr>
          <w:rFonts w:hint="eastAsia" w:ascii="宋体" w:hAnsi="宋体"/>
          <w:b w:val="0"/>
          <w:bCs w:val="0"/>
          <w:sz w:val="21"/>
          <w:highlight w:val="none"/>
          <w:lang w:val="en-US" w:eastAsia="zh-CN"/>
        </w:rPr>
        <w:t>存在异常低价情形</w:t>
      </w:r>
      <w:r>
        <w:rPr>
          <w:rFonts w:hint="eastAsia" w:ascii="宋体" w:hAnsi="宋体"/>
          <w:b w:val="0"/>
          <w:bCs w:val="0"/>
          <w:sz w:val="21"/>
          <w:highlight w:val="none"/>
        </w:rPr>
        <w:t>。</w:t>
      </w:r>
    </w:p>
    <w:p w14:paraId="4DBF025D">
      <w:pPr>
        <w:ind w:firstLine="413" w:firstLineChars="196"/>
        <w:rPr>
          <w:rFonts w:ascii="宋体" w:hAnsi="宋体"/>
          <w:b/>
          <w:bCs/>
          <w:color w:val="FF0000"/>
          <w:highlight w:val="none"/>
        </w:rPr>
      </w:pPr>
      <w:r>
        <w:rPr>
          <w:rFonts w:hint="eastAsia" w:ascii="宋体" w:hAnsi="宋体"/>
          <w:b/>
          <w:bCs/>
          <w:color w:val="FF0000"/>
          <w:highlight w:val="none"/>
        </w:rPr>
        <w:t>32.2 投标文件初审内容详见《资格性审查表》《符合性审查表》</w:t>
      </w:r>
      <w:r>
        <w:rPr>
          <w:rFonts w:hint="eastAsia" w:ascii="宋体" w:hAnsi="宋体"/>
          <w:b/>
          <w:bCs/>
          <w:color w:val="FF0000"/>
          <w:highlight w:val="none"/>
          <w:lang w:val="en-US" w:eastAsia="zh-CN"/>
        </w:rPr>
        <w:t>《异常低价审查表》</w:t>
      </w:r>
      <w:r>
        <w:rPr>
          <w:rFonts w:hint="eastAsia" w:ascii="宋体" w:hAnsi="宋体"/>
          <w:b/>
          <w:bCs/>
          <w:color w:val="FF0000"/>
          <w:highlight w:val="none"/>
        </w:rPr>
        <w:t>部分。投标人若有一条审查不通过则按投标无效处理。</w:t>
      </w:r>
    </w:p>
    <w:p w14:paraId="6C52CB81">
      <w:pPr>
        <w:ind w:firstLine="411" w:firstLineChars="196"/>
        <w:rPr>
          <w:rFonts w:ascii="宋体" w:hAnsi="宋体"/>
          <w:bCs/>
          <w:highlight w:val="none"/>
        </w:rPr>
      </w:pPr>
      <w:r>
        <w:rPr>
          <w:rFonts w:hint="eastAsia" w:ascii="宋体" w:hAnsi="宋体"/>
          <w:bCs/>
          <w:highlight w:val="none"/>
        </w:rPr>
        <w:t>32.3 投标文件初审中关于供应商家数的计算</w:t>
      </w:r>
      <w:r>
        <w:rPr>
          <w:rFonts w:hint="eastAsia" w:ascii="宋体" w:hAnsi="宋体"/>
          <w:bCs/>
          <w:highlight w:val="none"/>
          <w:lang w:eastAsia="zh-CN"/>
        </w:rPr>
        <w:t>：</w:t>
      </w:r>
    </w:p>
    <w:p w14:paraId="09CB7109">
      <w:pPr>
        <w:ind w:firstLine="411" w:firstLineChars="196"/>
        <w:rPr>
          <w:rFonts w:ascii="宋体" w:hAnsi="宋体"/>
          <w:bCs/>
        </w:rPr>
      </w:pPr>
      <w:r>
        <w:rPr>
          <w:rFonts w:hint="eastAsia" w:ascii="宋体" w:hAnsi="宋体"/>
          <w:bCs/>
          <w:highlight w:val="none"/>
        </w:rPr>
        <w:t>32.3.1采用最低价法的采购项目，提供相同品牌产品的不同投</w:t>
      </w:r>
      <w:r>
        <w:rPr>
          <w:rFonts w:hint="eastAsia" w:ascii="宋体" w:hAnsi="宋体"/>
          <w:bCs/>
        </w:rPr>
        <w:t>标人参加同一合同项下投标的，以其中通过投标文件初审且报价最低的参加评标；报价相同的，由采购人或者采购人委托评审委员会按照招标文件规定的方式确定一个参加评审的投标人，招标文件未规定的采取随机抽取方式确定，其他投标无效。</w:t>
      </w:r>
    </w:p>
    <w:p w14:paraId="1C0ED99F">
      <w:pPr>
        <w:ind w:firstLine="411" w:firstLineChars="196"/>
        <w:rPr>
          <w:rFonts w:ascii="宋体" w:hAnsi="宋体"/>
          <w:bCs/>
        </w:rPr>
      </w:pPr>
      <w:r>
        <w:rPr>
          <w:rFonts w:hint="eastAsia" w:ascii="宋体" w:hAnsi="宋体"/>
          <w:bCs/>
        </w:rPr>
        <w:t>32.3.2采用综合评分法的采购项目，提供相同品牌产品且通过投标文件初审的不同投标人参加同一合同项下投标的，按一家投标人计算，评审后得分最高的同品牌投标人获得中标人推荐资格；评审得分相同的，由采购人或者采购人委托</w:t>
      </w:r>
      <w:r>
        <w:rPr>
          <w:rFonts w:hint="eastAsia" w:ascii="宋体" w:hAnsi="宋体"/>
          <w:bCs/>
          <w:szCs w:val="21"/>
        </w:rPr>
        <w:t>评审委员会</w:t>
      </w:r>
      <w:r>
        <w:rPr>
          <w:rFonts w:hint="eastAsia" w:ascii="宋体" w:hAnsi="宋体"/>
          <w:bCs/>
        </w:rPr>
        <w:t>按照招标文件规定的方式确定一个投标人获得中标人推荐资格，招标文件未规定的采取随机抽取方式确定，其他同品牌投标人不作为中标候选人。</w:t>
      </w:r>
    </w:p>
    <w:p w14:paraId="4EDF8F8B">
      <w:pPr>
        <w:ind w:firstLine="411" w:firstLineChars="196"/>
        <w:rPr>
          <w:rFonts w:ascii="宋体" w:hAnsi="宋体"/>
          <w:bCs/>
        </w:rPr>
      </w:pPr>
      <w:r>
        <w:rPr>
          <w:rFonts w:hint="eastAsia" w:ascii="宋体" w:hAnsi="宋体"/>
          <w:bCs/>
        </w:rPr>
        <w:t>32.3.3非单一产品采购项目，采购人应当根据采购项目技术构成、产品价格比重等合理确定核心产品，并在招标文件中载明。多家投标人提供的核心产品品牌相同的，按前两款规定处理。</w:t>
      </w:r>
    </w:p>
    <w:p w14:paraId="09CA3753">
      <w:pPr>
        <w:ind w:firstLine="411" w:firstLineChars="196"/>
        <w:rPr>
          <w:rFonts w:ascii="宋体" w:hAnsi="宋体"/>
        </w:rPr>
      </w:pPr>
      <w:r>
        <w:rPr>
          <w:rFonts w:hint="eastAsia" w:ascii="宋体" w:hAnsi="宋体"/>
        </w:rPr>
        <w:t>32.4投标人投标文件</w:t>
      </w:r>
      <w:r>
        <w:rPr>
          <w:rFonts w:hint="eastAsia" w:ascii="宋体" w:hAnsi="宋体"/>
          <w:lang w:val="en-US" w:eastAsia="zh-CN"/>
        </w:rPr>
        <w:t>出现以下情形之一的</w:t>
      </w:r>
      <w:r>
        <w:rPr>
          <w:rFonts w:hint="eastAsia" w:ascii="宋体" w:hAnsi="宋体"/>
        </w:rPr>
        <w:t>作无效处理，具体包括：</w:t>
      </w:r>
    </w:p>
    <w:p w14:paraId="6AE959C7">
      <w:pPr>
        <w:ind w:firstLine="411" w:firstLineChars="196"/>
      </w:pPr>
      <w:r>
        <w:rPr>
          <w:rFonts w:hint="eastAsia" w:ascii="宋体" w:hAnsi="宋体"/>
        </w:rPr>
        <w:t>32.4.1</w:t>
      </w:r>
      <w:r>
        <w:rPr>
          <w:rFonts w:hint="eastAsia"/>
        </w:rPr>
        <w:t>不同投标人的投标文件由同一单位或者同一个人编制，或者由同一个人分阶段参与编制；</w:t>
      </w:r>
    </w:p>
    <w:p w14:paraId="4A24744B">
      <w:pPr>
        <w:ind w:firstLine="411" w:firstLineChars="196"/>
      </w:pPr>
      <w:r>
        <w:rPr>
          <w:rFonts w:ascii="宋体" w:hAnsi="宋体"/>
        </w:rPr>
        <w:t>32.4.</w:t>
      </w:r>
      <w:r>
        <w:rPr>
          <w:rFonts w:hint="eastAsia" w:ascii="宋体" w:hAnsi="宋体"/>
        </w:rPr>
        <w:t>2</w:t>
      </w:r>
      <w:r>
        <w:rPr>
          <w:rFonts w:hint="eastAsia"/>
        </w:rPr>
        <w:t>不同投标人委托同一单位或者个人办理投标事宜；</w:t>
      </w:r>
    </w:p>
    <w:p w14:paraId="05603E34">
      <w:pPr>
        <w:ind w:firstLine="411" w:firstLineChars="196"/>
        <w:rPr>
          <w:rFonts w:ascii="宋体" w:hAnsi="宋体"/>
        </w:rPr>
      </w:pPr>
      <w:r>
        <w:rPr>
          <w:rFonts w:hint="eastAsia" w:ascii="宋体" w:hAnsi="宋体"/>
        </w:rPr>
        <w:t>32.4.3不同投标人的投标文件载明的项目管理成员或者联系人员为同一人；</w:t>
      </w:r>
    </w:p>
    <w:p w14:paraId="72F231CF">
      <w:pPr>
        <w:ind w:firstLine="411" w:firstLineChars="196"/>
        <w:rPr>
          <w:rFonts w:ascii="宋体" w:hAnsi="宋体"/>
        </w:rPr>
      </w:pPr>
      <w:r>
        <w:rPr>
          <w:rFonts w:hint="eastAsia" w:ascii="宋体" w:hAnsi="宋体"/>
        </w:rPr>
        <w:t>32.4.4不同投标人的投标文件异常一致或者投标报价呈规律性差异；</w:t>
      </w:r>
    </w:p>
    <w:p w14:paraId="66B252D3">
      <w:pPr>
        <w:ind w:firstLine="411" w:firstLineChars="196"/>
        <w:rPr>
          <w:rFonts w:ascii="宋体" w:hAnsi="宋体"/>
        </w:rPr>
      </w:pPr>
      <w:r>
        <w:rPr>
          <w:rFonts w:hint="eastAsia" w:ascii="宋体" w:hAnsi="宋体"/>
        </w:rPr>
        <w:t>32.4.5</w:t>
      </w:r>
      <w:r>
        <w:rPr>
          <w:rFonts w:ascii="宋体" w:hAnsi="宋体"/>
        </w:rPr>
        <w:t>不同投标供应商的投标文件或部分投标文件相互混装</w:t>
      </w:r>
      <w:r>
        <w:rPr>
          <w:rFonts w:hint="eastAsia" w:ascii="宋体" w:hAnsi="宋体"/>
        </w:rPr>
        <w:t>；</w:t>
      </w:r>
    </w:p>
    <w:p w14:paraId="6A650725">
      <w:pPr>
        <w:ind w:firstLine="411" w:firstLineChars="196"/>
        <w:rPr>
          <w:rFonts w:ascii="宋体" w:hAnsi="宋体"/>
        </w:rPr>
      </w:pPr>
      <w:r>
        <w:rPr>
          <w:rFonts w:hint="eastAsia" w:ascii="宋体" w:hAnsi="宋体"/>
        </w:rPr>
        <w:t>32.4.6投标供应商之间相互约定给予未中标的供应商利益补偿；</w:t>
      </w:r>
    </w:p>
    <w:p w14:paraId="14CFF85B">
      <w:pPr>
        <w:ind w:firstLine="411" w:firstLineChars="196"/>
        <w:rPr>
          <w:rFonts w:ascii="宋体" w:hAnsi="宋体"/>
        </w:rPr>
      </w:pPr>
      <w:r>
        <w:rPr>
          <w:rFonts w:hint="eastAsia" w:ascii="宋体" w:hAnsi="宋体"/>
        </w:rPr>
        <w:t>32.4.7不同投标供应商的法定代表人、主要经营负责人、项目投标授权代表人、项目负责人、主要技术人员为同一人、属同一单位或者同一单位缴纳社会保险；</w:t>
      </w:r>
    </w:p>
    <w:p w14:paraId="0FDB38C6">
      <w:pPr>
        <w:ind w:firstLine="411" w:firstLineChars="196"/>
        <w:rPr>
          <w:rFonts w:ascii="宋体" w:hAnsi="宋体"/>
        </w:rPr>
      </w:pPr>
      <w:r>
        <w:rPr>
          <w:rFonts w:hint="eastAsia" w:ascii="宋体" w:hAnsi="宋体"/>
        </w:rPr>
        <w:t>32.4.8不同投标供应商的投标文件内容存在非正常一致；</w:t>
      </w:r>
    </w:p>
    <w:p w14:paraId="3E458276">
      <w:pPr>
        <w:ind w:firstLine="411" w:firstLineChars="196"/>
        <w:rPr>
          <w:rFonts w:ascii="宋体" w:hAnsi="宋体"/>
          <w:highlight w:val="none"/>
        </w:rPr>
      </w:pPr>
      <w:r>
        <w:rPr>
          <w:rFonts w:hint="eastAsia" w:ascii="宋体" w:hAnsi="宋体"/>
        </w:rPr>
        <w:t>32.4.9在同一单位工作人员为两</w:t>
      </w:r>
      <w:r>
        <w:rPr>
          <w:rFonts w:hint="eastAsia" w:ascii="宋体" w:hAnsi="宋体"/>
          <w:highlight w:val="none"/>
        </w:rPr>
        <w:t>家以上（含两家）供应商进行同一项投标活动；</w:t>
      </w:r>
    </w:p>
    <w:p w14:paraId="4AB5814E">
      <w:pPr>
        <w:ind w:firstLine="411" w:firstLineChars="196"/>
        <w:rPr>
          <w:rFonts w:ascii="宋体" w:hAnsi="宋体"/>
          <w:highlight w:val="none"/>
        </w:rPr>
      </w:pPr>
      <w:r>
        <w:rPr>
          <w:rFonts w:hint="eastAsia" w:ascii="宋体" w:hAnsi="宋体"/>
          <w:highlight w:val="none"/>
        </w:rPr>
        <w:t>32.4.10主管部门依照法律、法规认定的其他情形。</w:t>
      </w:r>
    </w:p>
    <w:p w14:paraId="4645AA6D">
      <w:pPr>
        <w:ind w:firstLine="420" w:firstLineChars="200"/>
        <w:rPr>
          <w:rFonts w:hint="default" w:ascii="宋体" w:hAnsi="宋体" w:eastAsia="宋体"/>
          <w:color w:val="FF0000"/>
          <w:highlight w:val="none"/>
          <w:lang w:val="en-US" w:eastAsia="zh-CN"/>
        </w:rPr>
      </w:pPr>
      <w:r>
        <w:rPr>
          <w:rFonts w:hint="eastAsia" w:ascii="宋体" w:hAnsi="宋体"/>
          <w:color w:val="FF0000"/>
          <w:highlight w:val="none"/>
          <w:lang w:val="en-US" w:eastAsia="zh-CN"/>
        </w:rPr>
        <w:t>32.5</w:t>
      </w:r>
      <w:r>
        <w:rPr>
          <w:rFonts w:hint="eastAsia" w:ascii="宋体" w:hAnsi="宋体"/>
          <w:color w:val="FF0000"/>
          <w:highlight w:val="none"/>
        </w:rPr>
        <w:t>政府采购异常低价</w:t>
      </w:r>
      <w:r>
        <w:rPr>
          <w:rFonts w:hint="eastAsia" w:ascii="宋体" w:hAnsi="宋体"/>
          <w:color w:val="FF0000"/>
          <w:highlight w:val="none"/>
          <w:lang w:eastAsia="zh-CN"/>
        </w:rPr>
        <w:t>审查</w:t>
      </w:r>
      <w:r>
        <w:rPr>
          <w:rFonts w:hint="eastAsia" w:ascii="宋体" w:hAnsi="宋体"/>
          <w:color w:val="FF0000"/>
          <w:highlight w:val="none"/>
          <w:lang w:val="en-US" w:eastAsia="zh-CN"/>
        </w:rPr>
        <w:t>的程序及要求：</w:t>
      </w:r>
    </w:p>
    <w:p w14:paraId="3B1A8169">
      <w:pPr>
        <w:ind w:firstLine="420" w:firstLineChars="200"/>
        <w:rPr>
          <w:rFonts w:hint="eastAsia" w:ascii="宋体" w:hAnsi="宋体"/>
          <w:color w:val="FF0000"/>
          <w:highlight w:val="none"/>
        </w:rPr>
      </w:pPr>
      <w:r>
        <w:rPr>
          <w:rFonts w:hint="eastAsia" w:ascii="宋体" w:hAnsi="宋体"/>
          <w:color w:val="FF0000"/>
          <w:highlight w:val="none"/>
          <w:lang w:val="en-US" w:eastAsia="zh-CN"/>
        </w:rPr>
        <w:t>32.5.1政府采购评审中出现《异常低价审查表》中四种情形之一的，</w:t>
      </w:r>
      <w:r>
        <w:rPr>
          <w:rFonts w:hint="eastAsia" w:ascii="宋体" w:hAnsi="宋体"/>
          <w:color w:val="FF0000"/>
          <w:highlight w:val="none"/>
        </w:rPr>
        <w:t>评审委员会应当启动异常低价投标（响应）审查程序</w:t>
      </w:r>
      <w:r>
        <w:rPr>
          <w:rFonts w:hint="eastAsia" w:ascii="宋体" w:hAnsi="宋体"/>
          <w:color w:val="FF0000"/>
          <w:highlight w:val="none"/>
          <w:lang w:eastAsia="zh-CN"/>
        </w:rPr>
        <w:t>。</w:t>
      </w:r>
    </w:p>
    <w:p w14:paraId="0D17A232">
      <w:pPr>
        <w:ind w:firstLine="420" w:firstLineChars="200"/>
        <w:rPr>
          <w:rFonts w:hint="eastAsia" w:ascii="宋体" w:hAnsi="宋体"/>
          <w:color w:val="FF0000"/>
          <w:highlight w:val="none"/>
        </w:rPr>
      </w:pPr>
      <w:r>
        <w:rPr>
          <w:rFonts w:hint="eastAsia" w:ascii="宋体" w:hAnsi="宋体"/>
          <w:color w:val="FF0000"/>
          <w:highlight w:val="none"/>
        </w:rPr>
        <w:t>相关法律法规对供应商报价有规定的，从其规定。</w:t>
      </w:r>
    </w:p>
    <w:p w14:paraId="6F8E3DD2">
      <w:pPr>
        <w:pStyle w:val="201"/>
        <w:ind w:firstLine="420" w:firstLineChars="200"/>
        <w:rPr>
          <w:rFonts w:hint="eastAsia" w:ascii="宋体" w:hAnsi="宋体"/>
          <w:color w:val="FF0000"/>
          <w:highlight w:val="none"/>
          <w:lang w:val="en-US" w:eastAsia="zh-CN"/>
        </w:rPr>
      </w:pPr>
      <w:r>
        <w:rPr>
          <w:rFonts w:hint="eastAsia" w:ascii="宋体" w:hAnsi="宋体"/>
          <w:color w:val="FF0000"/>
          <w:highlight w:val="none"/>
          <w:lang w:val="en-US" w:eastAsia="zh-CN"/>
        </w:rPr>
        <w:t>32.5.2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1B5119F6">
      <w:pPr>
        <w:pStyle w:val="201"/>
        <w:ind w:firstLine="420" w:firstLineChars="200"/>
        <w:rPr>
          <w:rFonts w:hint="default" w:ascii="宋体" w:hAnsi="宋体"/>
          <w:highlight w:val="none"/>
          <w:lang w:val="en-US" w:eastAsia="zh-CN"/>
        </w:rPr>
      </w:pPr>
      <w:r>
        <w:rPr>
          <w:rFonts w:hint="eastAsia" w:ascii="宋体" w:hAnsi="宋体"/>
          <w:color w:val="FF0000"/>
          <w:highlight w:val="none"/>
          <w:lang w:val="en-US" w:eastAsia="zh-CN"/>
        </w:rPr>
        <w:t>32.5.3异常低价投标（响应）审查的启动原因、审查意见和审查结果应当在评审报告中记录，并随供应商提供的相关书面说明及证明材料，以及评审委员会有关互联网浏览、查询历史一并归档。</w:t>
      </w:r>
    </w:p>
    <w:p w14:paraId="7F59552A">
      <w:pPr>
        <w:ind w:firstLine="411" w:firstLineChars="196"/>
        <w:rPr>
          <w:rFonts w:ascii="宋体" w:hAnsi="宋体"/>
          <w:highlight w:val="none"/>
        </w:rPr>
      </w:pPr>
      <w:r>
        <w:rPr>
          <w:rFonts w:hint="eastAsia" w:ascii="宋体" w:hAnsi="宋体"/>
          <w:highlight w:val="none"/>
        </w:rPr>
        <w:t>32.</w:t>
      </w:r>
      <w:r>
        <w:rPr>
          <w:rFonts w:hint="eastAsia" w:ascii="宋体" w:hAnsi="宋体"/>
          <w:highlight w:val="none"/>
          <w:lang w:val="en-US" w:eastAsia="zh-CN"/>
        </w:rPr>
        <w:t>6</w:t>
      </w:r>
      <w:r>
        <w:rPr>
          <w:rFonts w:hint="eastAsia" w:ascii="宋体" w:hAnsi="宋体"/>
          <w:highlight w:val="none"/>
        </w:rPr>
        <w:t>对不属于《资格性审查表》《符合性审查表》</w:t>
      </w:r>
      <w:r>
        <w:rPr>
          <w:rFonts w:hint="eastAsia" w:ascii="宋体" w:hAnsi="宋体"/>
          <w:highlight w:val="none"/>
          <w:lang w:val="en-US" w:eastAsia="zh-CN"/>
        </w:rPr>
        <w:t>《异常低价审查表》</w:t>
      </w:r>
      <w:r>
        <w:rPr>
          <w:rFonts w:hint="eastAsia" w:ascii="宋体" w:hAnsi="宋体"/>
          <w:highlight w:val="none"/>
        </w:rPr>
        <w:t>所列的其他情形，除专用条款另有规定和32.4条款所列情形外，不得作为投标无效的理由。</w:t>
      </w:r>
    </w:p>
    <w:p w14:paraId="1627FF0F">
      <w:pPr>
        <w:rPr>
          <w:rFonts w:ascii="黑体" w:hAnsi="宋体" w:eastAsia="黑体"/>
          <w:sz w:val="24"/>
          <w:highlight w:val="none"/>
        </w:rPr>
      </w:pPr>
      <w:r>
        <w:rPr>
          <w:rFonts w:hint="eastAsia" w:ascii="黑体" w:hAnsi="宋体" w:eastAsia="黑体"/>
          <w:sz w:val="24"/>
          <w:highlight w:val="none"/>
          <w:lang w:eastAsia="zh-CN"/>
        </w:rPr>
        <w:t>33.</w:t>
      </w:r>
      <w:r>
        <w:rPr>
          <w:rFonts w:hint="eastAsia" w:ascii="黑体" w:hAnsi="宋体" w:eastAsia="黑体"/>
          <w:sz w:val="24"/>
          <w:highlight w:val="none"/>
        </w:rPr>
        <w:t>澄清有关问题</w:t>
      </w:r>
    </w:p>
    <w:p w14:paraId="10178AA3">
      <w:pPr>
        <w:ind w:firstLine="411" w:firstLineChars="196"/>
        <w:rPr>
          <w:rFonts w:ascii="宋体" w:hAnsi="宋体"/>
        </w:rPr>
      </w:pPr>
      <w:bookmarkStart w:id="60" w:name="_Hlk71407321"/>
      <w:r>
        <w:rPr>
          <w:rFonts w:hint="eastAsia" w:ascii="宋体" w:hAnsi="宋体"/>
        </w:rPr>
        <w:t>3</w:t>
      </w:r>
      <w:r>
        <w:rPr>
          <w:rFonts w:ascii="宋体" w:hAnsi="宋体"/>
        </w:rPr>
        <w:t>3.1</w:t>
      </w:r>
      <w:r>
        <w:rPr>
          <w:rFonts w:hint="eastAsia" w:ascii="宋体" w:hAnsi="宋体"/>
        </w:rPr>
        <w:t>对招标文件中描述有歧义或前后不一致的地方（不含</w:t>
      </w:r>
      <w:r>
        <w:rPr>
          <w:szCs w:val="21"/>
        </w:rPr>
        <w:t>招标文件存在歧义、重大缺陷导致评</w:t>
      </w:r>
      <w:r>
        <w:rPr>
          <w:rFonts w:hint="eastAsia"/>
          <w:szCs w:val="21"/>
        </w:rPr>
        <w:t>审</w:t>
      </w:r>
      <w:r>
        <w:rPr>
          <w:szCs w:val="21"/>
        </w:rPr>
        <w:t>工作无法进行</w:t>
      </w:r>
      <w:r>
        <w:rPr>
          <w:rFonts w:hint="eastAsia"/>
          <w:szCs w:val="21"/>
        </w:rPr>
        <w:t>的情况）</w:t>
      </w:r>
      <w:r>
        <w:rPr>
          <w:rFonts w:hint="eastAsia" w:ascii="宋体" w:hAnsi="宋体"/>
        </w:rPr>
        <w:t>，评审委员会有权进行评判，但对同一条款的评判应适用于每个投标人。</w:t>
      </w:r>
      <w:bookmarkEnd w:id="60"/>
    </w:p>
    <w:p w14:paraId="047F5FB2">
      <w:pPr>
        <w:ind w:firstLine="411" w:firstLineChars="196"/>
        <w:rPr>
          <w:rFonts w:ascii="宋体" w:hAnsi="宋体"/>
        </w:rPr>
      </w:pPr>
      <w:r>
        <w:rPr>
          <w:rFonts w:hint="eastAsia" w:ascii="宋体" w:hAnsi="宋体"/>
        </w:rPr>
        <w:t>3</w:t>
      </w:r>
      <w:r>
        <w:rPr>
          <w:rFonts w:ascii="宋体" w:hAnsi="宋体"/>
        </w:rPr>
        <w:t>3.2</w:t>
      </w:r>
      <w:r>
        <w:rPr>
          <w:szCs w:val="21"/>
        </w:rPr>
        <w:t>评</w:t>
      </w:r>
      <w:r>
        <w:rPr>
          <w:rFonts w:hint="eastAsia"/>
          <w:szCs w:val="21"/>
        </w:rPr>
        <w:t>审</w:t>
      </w:r>
      <w:r>
        <w:rPr>
          <w:szCs w:val="21"/>
        </w:rPr>
        <w:t>委员会发现招标文件存在歧义、重大缺陷导致评</w:t>
      </w:r>
      <w:r>
        <w:rPr>
          <w:rFonts w:hint="eastAsia"/>
          <w:szCs w:val="21"/>
        </w:rPr>
        <w:t>审</w:t>
      </w:r>
      <w:r>
        <w:rPr>
          <w:szCs w:val="21"/>
        </w:rPr>
        <w:t>工作无法进行，或者招标文件内容违反国家有关强制性规定的，应当停止评</w:t>
      </w:r>
      <w:r>
        <w:rPr>
          <w:rFonts w:hint="eastAsia"/>
          <w:szCs w:val="21"/>
        </w:rPr>
        <w:t>审</w:t>
      </w:r>
      <w:r>
        <w:rPr>
          <w:szCs w:val="21"/>
        </w:rPr>
        <w:t>工作，与</w:t>
      </w:r>
      <w:r>
        <w:rPr>
          <w:rFonts w:hint="eastAsia"/>
          <w:szCs w:val="21"/>
        </w:rPr>
        <w:t>政府集中采购机构</w:t>
      </w:r>
      <w:r>
        <w:rPr>
          <w:szCs w:val="21"/>
        </w:rPr>
        <w:t>沟通并作书面记录。</w:t>
      </w:r>
      <w:r>
        <w:rPr>
          <w:rFonts w:hint="eastAsia"/>
          <w:szCs w:val="21"/>
        </w:rPr>
        <w:t>经</w:t>
      </w:r>
      <w:r>
        <w:rPr>
          <w:szCs w:val="21"/>
        </w:rPr>
        <w:t>确认后，</w:t>
      </w:r>
      <w:r>
        <w:rPr>
          <w:rFonts w:hint="eastAsia"/>
          <w:szCs w:val="21"/>
        </w:rPr>
        <w:t>项目</w:t>
      </w:r>
      <w:r>
        <w:rPr>
          <w:szCs w:val="21"/>
        </w:rPr>
        <w:t>应当修改招标文件，重新组织采购活动。</w:t>
      </w:r>
    </w:p>
    <w:p w14:paraId="3DBB9FDA">
      <w:pPr>
        <w:ind w:firstLine="411" w:firstLineChars="196"/>
        <w:rPr>
          <w:rFonts w:ascii="宋体" w:hAnsi="宋体"/>
        </w:rPr>
      </w:pPr>
      <w:r>
        <w:rPr>
          <w:rFonts w:ascii="宋体" w:hAnsi="宋体"/>
        </w:rPr>
        <w:t>33.3</w:t>
      </w:r>
      <w:r>
        <w:rPr>
          <w:rFonts w:hint="eastAsia" w:ascii="宋体" w:hAnsi="宋体"/>
        </w:rPr>
        <w:t>对于投标文件中含义不明确、同类问题表述不一致或者有明显文字和计算错误的内容，评审委员会应当以书面形式要求投标人作出必要的澄清、说明或者补正。</w:t>
      </w:r>
    </w:p>
    <w:p w14:paraId="3EB84916">
      <w:pPr>
        <w:ind w:firstLine="411" w:firstLineChars="196"/>
        <w:rPr>
          <w:rFonts w:ascii="宋体" w:hAnsi="宋体"/>
        </w:rPr>
      </w:pPr>
      <w:r>
        <w:rPr>
          <w:rFonts w:hint="eastAsia" w:ascii="宋体" w:hAnsi="宋体"/>
        </w:rPr>
        <w:t>投标人的澄清、说明或者补正应当采用书面形式【书面形式是指文书、信件（含电子邮件）、电报、电传、传真等形式】，并加盖公章（或者由法定代表人或其授权的代表签字）。投标人的澄清、说明或者补正不得超出投标文件的范围或者改变投标文件的实质性内容。</w:t>
      </w:r>
    </w:p>
    <w:p w14:paraId="4B036A40">
      <w:pPr>
        <w:ind w:firstLine="411" w:firstLineChars="196"/>
        <w:rPr>
          <w:rFonts w:ascii="宋体" w:hAnsi="宋体"/>
          <w:szCs w:val="21"/>
        </w:rPr>
      </w:pPr>
      <w:r>
        <w:rPr>
          <w:rFonts w:hint="eastAsia" w:ascii="宋体" w:hAnsi="宋体"/>
          <w:szCs w:val="21"/>
        </w:rPr>
        <w:t>根据本通用条款第34条，凡属于评审委员会在评审中发现的算术错误进行核实的修改不在此列。</w:t>
      </w:r>
    </w:p>
    <w:p w14:paraId="0E68972F">
      <w:pPr>
        <w:rPr>
          <w:rFonts w:ascii="黑体" w:hAnsi="宋体" w:eastAsia="黑体"/>
          <w:sz w:val="24"/>
        </w:rPr>
      </w:pPr>
      <w:bookmarkStart w:id="61" w:name="_Toc73517673"/>
      <w:bookmarkStart w:id="62" w:name="_Toc100052400"/>
      <w:bookmarkStart w:id="63" w:name="_Toc73521669"/>
      <w:bookmarkStart w:id="64" w:name="_Toc73518151"/>
      <w:bookmarkStart w:id="65" w:name="_Toc73521581"/>
      <w:r>
        <w:rPr>
          <w:rFonts w:hint="eastAsia" w:ascii="黑体" w:hAnsi="宋体" w:eastAsia="黑体"/>
          <w:sz w:val="24"/>
          <w:lang w:eastAsia="zh-CN"/>
        </w:rPr>
        <w:t>34.</w:t>
      </w:r>
      <w:r>
        <w:rPr>
          <w:rFonts w:hint="eastAsia" w:ascii="黑体" w:hAnsi="宋体" w:eastAsia="黑体"/>
          <w:sz w:val="24"/>
        </w:rPr>
        <w:t>错误的修正</w:t>
      </w:r>
      <w:bookmarkEnd w:id="61"/>
      <w:bookmarkEnd w:id="62"/>
      <w:bookmarkEnd w:id="63"/>
      <w:bookmarkEnd w:id="64"/>
      <w:bookmarkEnd w:id="65"/>
    </w:p>
    <w:p w14:paraId="2B0BCA88">
      <w:pPr>
        <w:ind w:firstLine="411" w:firstLineChars="196"/>
        <w:rPr>
          <w:rFonts w:ascii="宋体" w:hAnsi="宋体"/>
          <w:szCs w:val="21"/>
        </w:rPr>
      </w:pPr>
      <w:r>
        <w:rPr>
          <w:rFonts w:hint="eastAsia" w:ascii="宋体" w:hAnsi="宋体"/>
          <w:szCs w:val="21"/>
        </w:rPr>
        <w:t>投标文件报价出现前后不一致的，除专用条款另有规定外，按照下列规定修正：</w:t>
      </w:r>
    </w:p>
    <w:p w14:paraId="21E7CEEC">
      <w:pPr>
        <w:ind w:firstLine="411" w:firstLineChars="196"/>
        <w:rPr>
          <w:rFonts w:ascii="宋体" w:hAnsi="宋体"/>
          <w:szCs w:val="21"/>
        </w:rPr>
      </w:pPr>
      <w:r>
        <w:rPr>
          <w:rFonts w:hint="eastAsia" w:ascii="宋体" w:hAnsi="宋体"/>
          <w:szCs w:val="21"/>
        </w:rPr>
        <w:t>34.1投标文件中开标一览表投标报价内容与投标文件中投标报价相应内容不一致的，以开标一览表为准；</w:t>
      </w:r>
    </w:p>
    <w:p w14:paraId="199C17AC">
      <w:pPr>
        <w:ind w:firstLine="411" w:firstLineChars="196"/>
        <w:rPr>
          <w:rFonts w:ascii="宋体" w:hAnsi="宋体"/>
          <w:szCs w:val="21"/>
        </w:rPr>
      </w:pPr>
      <w:r>
        <w:rPr>
          <w:rFonts w:hint="eastAsia" w:ascii="宋体" w:hAnsi="宋体"/>
          <w:szCs w:val="21"/>
        </w:rPr>
        <w:t>34.2大写金额和小写金额不一致的，以大写金额为准；</w:t>
      </w:r>
    </w:p>
    <w:p w14:paraId="6892DC07">
      <w:pPr>
        <w:ind w:firstLine="411" w:firstLineChars="196"/>
        <w:rPr>
          <w:rFonts w:ascii="宋体" w:hAnsi="宋体"/>
          <w:szCs w:val="21"/>
        </w:rPr>
      </w:pPr>
      <w:r>
        <w:rPr>
          <w:rFonts w:hint="eastAsia" w:ascii="宋体" w:hAnsi="宋体"/>
          <w:szCs w:val="21"/>
        </w:rPr>
        <w:t>34.3单价金额小数点或者百分比有明显错位，以开标一览表的总价为准，并修改单价；</w:t>
      </w:r>
    </w:p>
    <w:p w14:paraId="27202CBB">
      <w:pPr>
        <w:ind w:firstLine="411" w:firstLineChars="196"/>
        <w:rPr>
          <w:rFonts w:ascii="宋体" w:hAnsi="宋体"/>
          <w:szCs w:val="21"/>
        </w:rPr>
      </w:pPr>
      <w:r>
        <w:rPr>
          <w:rFonts w:hint="eastAsia" w:ascii="宋体" w:hAnsi="宋体"/>
          <w:szCs w:val="21"/>
        </w:rPr>
        <w:t>34.4总价金额与按单价汇总金额不一致的，以单价金额计算结果为准。</w:t>
      </w:r>
    </w:p>
    <w:p w14:paraId="2847794A">
      <w:pPr>
        <w:ind w:firstLine="411" w:firstLineChars="196"/>
        <w:rPr>
          <w:rFonts w:ascii="宋体" w:hAnsi="宋体"/>
          <w:szCs w:val="21"/>
        </w:rPr>
      </w:pPr>
      <w:r>
        <w:rPr>
          <w:rFonts w:hint="eastAsia" w:ascii="宋体" w:hAnsi="宋体"/>
          <w:szCs w:val="21"/>
        </w:rPr>
        <w:t>34.5同时出现两种以上不一致的，按照前款规定的顺序修正。修正后的报价按照本通用条</w:t>
      </w:r>
      <w:r>
        <w:rPr>
          <w:rFonts w:hint="eastAsia" w:ascii="宋体" w:hAnsi="宋体"/>
          <w:szCs w:val="21"/>
          <w:lang w:eastAsia="zh-CN"/>
        </w:rPr>
        <w:t>款第</w:t>
      </w:r>
      <w:r>
        <w:rPr>
          <w:rFonts w:hint="eastAsia" w:ascii="宋体" w:hAnsi="宋体"/>
          <w:szCs w:val="21"/>
        </w:rPr>
        <w:t>33条的规定，经投标人确认后产生约束力，投标人不确认的，其投标无效。</w:t>
      </w:r>
    </w:p>
    <w:p w14:paraId="4D487DD0">
      <w:pPr>
        <w:rPr>
          <w:rFonts w:ascii="黑体" w:hAnsi="宋体" w:eastAsia="黑体"/>
          <w:sz w:val="24"/>
        </w:rPr>
      </w:pPr>
      <w:r>
        <w:rPr>
          <w:rFonts w:hint="eastAsia" w:ascii="黑体" w:hAnsi="宋体" w:eastAsia="黑体"/>
          <w:sz w:val="24"/>
          <w:lang w:eastAsia="zh-CN"/>
        </w:rPr>
        <w:t>35.</w:t>
      </w:r>
      <w:r>
        <w:rPr>
          <w:rFonts w:hint="eastAsia" w:ascii="黑体" w:hAnsi="宋体" w:eastAsia="黑体"/>
          <w:sz w:val="24"/>
        </w:rPr>
        <w:t>投标文件的比较与评价</w:t>
      </w:r>
    </w:p>
    <w:p w14:paraId="36501A90">
      <w:pPr>
        <w:ind w:firstLine="411" w:firstLineChars="196"/>
        <w:rPr>
          <w:rFonts w:ascii="宋体" w:hAnsi="宋体"/>
          <w:szCs w:val="21"/>
        </w:rPr>
      </w:pPr>
      <w:r>
        <w:rPr>
          <w:rFonts w:hint="eastAsia" w:ascii="宋体" w:hAnsi="宋体"/>
          <w:szCs w:val="21"/>
        </w:rPr>
        <w:t>评审委员会将按照《深圳经济特区政府采购条例》《深圳经济特区政府采购条例实施细则》《深圳市政府采购评标定标分离管理办法》及政府采购其他法律法规，仅对通过投标文件初审的投标文件进行综合比较与评价。</w:t>
      </w:r>
    </w:p>
    <w:p w14:paraId="20EFE7EA">
      <w:pPr>
        <w:ind w:firstLine="411" w:firstLineChars="196"/>
        <w:rPr>
          <w:rFonts w:ascii="宋体" w:hAnsi="宋体"/>
          <w:szCs w:val="21"/>
        </w:rPr>
      </w:pPr>
      <w:r>
        <w:rPr>
          <w:rFonts w:hint="eastAsia" w:ascii="宋体" w:hAnsi="宋体"/>
          <w:szCs w:val="21"/>
        </w:rPr>
        <w:t>评审委员会成员对需要共同认定的事项存在争议的，应当按照少数服从多数的原则作出结论。持不同意见的评审委员会成员应当书面作出说明，否则视为无异议。</w:t>
      </w:r>
    </w:p>
    <w:p w14:paraId="31429F55">
      <w:pPr>
        <w:rPr>
          <w:rFonts w:ascii="黑体" w:hAnsi="宋体" w:eastAsia="黑体"/>
          <w:sz w:val="24"/>
        </w:rPr>
      </w:pPr>
      <w:r>
        <w:rPr>
          <w:rFonts w:hint="eastAsia" w:ascii="黑体" w:hAnsi="宋体" w:eastAsia="黑体"/>
          <w:sz w:val="24"/>
          <w:lang w:eastAsia="zh-CN"/>
        </w:rPr>
        <w:t>36.</w:t>
      </w:r>
      <w:r>
        <w:rPr>
          <w:rFonts w:hint="eastAsia" w:ascii="黑体" w:hAnsi="宋体" w:eastAsia="黑体"/>
          <w:sz w:val="24"/>
        </w:rPr>
        <w:t>评审方法</w:t>
      </w:r>
    </w:p>
    <w:p w14:paraId="0FDE37A5">
      <w:pPr>
        <w:ind w:firstLine="413" w:firstLineChars="196"/>
        <w:rPr>
          <w:rFonts w:ascii="宋体" w:hAnsi="宋体"/>
          <w:b/>
          <w:bCs/>
          <w:szCs w:val="21"/>
        </w:rPr>
      </w:pPr>
      <w:r>
        <w:rPr>
          <w:rFonts w:hint="eastAsia" w:ascii="宋体" w:hAnsi="宋体"/>
          <w:b/>
          <w:bCs/>
          <w:szCs w:val="21"/>
        </w:rPr>
        <w:t>3</w:t>
      </w:r>
      <w:r>
        <w:rPr>
          <w:rFonts w:hint="eastAsia" w:ascii="宋体" w:hAnsi="宋体"/>
          <w:b/>
          <w:bCs/>
          <w:szCs w:val="21"/>
          <w:lang w:val="en-US" w:eastAsia="zh-CN"/>
        </w:rPr>
        <w:t>6</w:t>
      </w:r>
      <w:r>
        <w:rPr>
          <w:rFonts w:hint="eastAsia" w:ascii="宋体" w:hAnsi="宋体"/>
          <w:b/>
          <w:bCs/>
          <w:szCs w:val="21"/>
        </w:rPr>
        <w:t>.1.1最低价法</w:t>
      </w:r>
    </w:p>
    <w:p w14:paraId="59C1FA4A">
      <w:pPr>
        <w:ind w:firstLine="411" w:firstLineChars="196"/>
        <w:rPr>
          <w:rFonts w:hint="eastAsia" w:ascii="ˎ̥" w:hAnsi="ˎ̥"/>
        </w:rPr>
      </w:pPr>
      <w:bookmarkStart w:id="66" w:name="_Hlk72438142"/>
      <w:r>
        <w:rPr>
          <w:rFonts w:ascii="ˎ̥" w:hAnsi="ˎ̥"/>
        </w:rPr>
        <w:t>最低价法，是指</w:t>
      </w:r>
      <w:r>
        <w:rPr>
          <w:rFonts w:hint="eastAsia" w:ascii="ˎ̥" w:hAnsi="ˎ̥"/>
        </w:rPr>
        <w:t>完全</w:t>
      </w:r>
      <w:r>
        <w:rPr>
          <w:rFonts w:ascii="ˎ̥" w:hAnsi="ˎ̥"/>
        </w:rPr>
        <w:t>满足招标文件实质性要求，</w:t>
      </w:r>
      <w:r>
        <w:rPr>
          <w:rFonts w:hint="eastAsia" w:ascii="ˎ̥" w:hAnsi="ˎ̥"/>
        </w:rPr>
        <w:t>按照报价由低到高的顺序，依据招标文件中规定的数量或者比例推荐候选中标供应商。</w:t>
      </w:r>
    </w:p>
    <w:p w14:paraId="229FD183">
      <w:pPr>
        <w:ind w:firstLine="411" w:firstLineChars="196"/>
        <w:rPr>
          <w:rFonts w:ascii="宋体" w:hAnsi="宋体"/>
          <w:b/>
          <w:bCs/>
          <w:szCs w:val="21"/>
        </w:rPr>
      </w:pPr>
      <w:r>
        <w:rPr>
          <w:rFonts w:hint="eastAsia" w:ascii="ˎ̥" w:hAnsi="ˎ̥"/>
          <w:lang w:eastAsia="zh-CN"/>
        </w:rPr>
        <w:t>采用最低价法的，评标结果按投标报价由低到高顺序排列。投标报价相同的并列。投标文件满足招标文件全部实质性要求且投标报价最低的投标人为排名第一的中标候选人（</w:t>
      </w:r>
      <w:r>
        <w:rPr>
          <w:rFonts w:hint="eastAsia" w:ascii="ˎ̥" w:hAnsi="ˎ̥"/>
          <w:lang w:val="en-US" w:eastAsia="zh-CN"/>
        </w:rPr>
        <w:t>如</w:t>
      </w:r>
      <w:r>
        <w:rPr>
          <w:rFonts w:hint="eastAsia" w:ascii="ˎ̥" w:hAnsi="ˎ̥"/>
        </w:rPr>
        <w:t>中标候选人</w:t>
      </w:r>
      <w:r>
        <w:rPr>
          <w:rFonts w:hint="eastAsia" w:ascii="ˎ̥" w:hAnsi="ˎ̥"/>
          <w:lang w:val="en-US" w:eastAsia="zh-CN"/>
        </w:rPr>
        <w:t>数量</w:t>
      </w:r>
      <w:r>
        <w:rPr>
          <w:rFonts w:hint="eastAsia" w:ascii="ˎ̥" w:hAnsi="ˎ̥"/>
        </w:rPr>
        <w:t>为2家或以上</w:t>
      </w:r>
      <w:r>
        <w:rPr>
          <w:rFonts w:hint="eastAsia" w:ascii="ˎ̥" w:hAnsi="ˎ̥"/>
          <w:lang w:val="en-US" w:eastAsia="zh-CN"/>
        </w:rPr>
        <w:t>的，则</w:t>
      </w:r>
      <w:r>
        <w:rPr>
          <w:rFonts w:hint="eastAsia" w:ascii="ˎ̥" w:hAnsi="ˎ̥"/>
        </w:rPr>
        <w:t>排名</w:t>
      </w:r>
      <w:r>
        <w:rPr>
          <w:rFonts w:ascii="ˎ̥" w:hAnsi="ˎ̥"/>
        </w:rPr>
        <w:t>第二</w:t>
      </w:r>
      <w:r>
        <w:rPr>
          <w:rFonts w:hint="eastAsia" w:ascii="ˎ̥" w:hAnsi="ˎ̥"/>
        </w:rPr>
        <w:t>的投标人为第一替补中标候选人、排名</w:t>
      </w:r>
      <w:r>
        <w:rPr>
          <w:rFonts w:ascii="ˎ̥" w:hAnsi="ˎ̥"/>
        </w:rPr>
        <w:t>第</w:t>
      </w:r>
      <w:r>
        <w:rPr>
          <w:rFonts w:hint="eastAsia" w:ascii="ˎ̥" w:hAnsi="ˎ̥"/>
        </w:rPr>
        <w:t>三的投标人为第二替补中标候选人</w:t>
      </w:r>
      <w:r>
        <w:rPr>
          <w:rFonts w:hint="eastAsia" w:ascii="ˎ̥" w:hAnsi="ˎ̥"/>
          <w:lang w:eastAsia="zh-CN"/>
        </w:rPr>
        <w:t>，</w:t>
      </w:r>
      <w:r>
        <w:rPr>
          <w:rFonts w:hint="eastAsia" w:ascii="ˎ̥" w:hAnsi="ˎ̥"/>
          <w:lang w:val="en-US" w:eastAsia="zh-CN"/>
        </w:rPr>
        <w:t>以此类推</w:t>
      </w:r>
      <w:r>
        <w:rPr>
          <w:rFonts w:hint="eastAsia" w:ascii="ˎ̥" w:hAnsi="ˎ̥"/>
          <w:lang w:eastAsia="zh-CN"/>
        </w:rPr>
        <w:t>）。中标候选人并列的，由采购人或者采购人委托评标委员会按照招标文件规定的方式确定中标人；招标文件未规定的，采取随机抽取的方式确定，</w:t>
      </w:r>
      <w:r>
        <w:rPr>
          <w:rFonts w:hint="eastAsia" w:ascii="ˎ̥" w:hAnsi="ˎ̥"/>
        </w:rPr>
        <w:t>具体操作办法及流程由评审委员会确定</w:t>
      </w:r>
      <w:r>
        <w:rPr>
          <w:rFonts w:hint="eastAsia" w:ascii="ˎ̥" w:hAnsi="ˎ̥"/>
          <w:lang w:eastAsia="zh-CN"/>
        </w:rPr>
        <w:t>。</w:t>
      </w:r>
      <w:r>
        <w:rPr>
          <w:rFonts w:hint="eastAsia" w:ascii="宋体" w:hAnsi="宋体"/>
          <w:b/>
          <w:bCs/>
          <w:szCs w:val="21"/>
        </w:rPr>
        <w:t>3</w:t>
      </w:r>
      <w:r>
        <w:rPr>
          <w:rFonts w:hint="eastAsia" w:ascii="宋体" w:hAnsi="宋体"/>
          <w:b/>
          <w:bCs/>
          <w:szCs w:val="21"/>
          <w:lang w:val="en-US" w:eastAsia="zh-CN"/>
        </w:rPr>
        <w:t>6</w:t>
      </w:r>
      <w:r>
        <w:rPr>
          <w:rFonts w:hint="eastAsia" w:ascii="宋体" w:hAnsi="宋体"/>
          <w:b/>
          <w:bCs/>
          <w:szCs w:val="21"/>
        </w:rPr>
        <w:t>.1.2综合评分法</w:t>
      </w:r>
    </w:p>
    <w:p w14:paraId="27726518">
      <w:pPr>
        <w:ind w:firstLine="411" w:firstLineChars="196"/>
        <w:rPr>
          <w:rFonts w:hint="eastAsia" w:ascii="ˎ̥" w:hAnsi="ˎ̥"/>
        </w:rPr>
      </w:pPr>
      <w:r>
        <w:rPr>
          <w:rFonts w:ascii="ˎ̥" w:hAnsi="ˎ̥"/>
        </w:rPr>
        <w:t>综合评分法，是指</w:t>
      </w:r>
      <w:r>
        <w:rPr>
          <w:rFonts w:hint="eastAsia" w:ascii="ˎ̥" w:hAnsi="ˎ̥"/>
        </w:rPr>
        <w:t>在</w:t>
      </w:r>
      <w:r>
        <w:rPr>
          <w:rFonts w:ascii="ˎ̥" w:hAnsi="ˎ̥"/>
        </w:rPr>
        <w:t>满足招标文件全部实质性要求</w:t>
      </w:r>
      <w:r>
        <w:rPr>
          <w:rFonts w:hint="eastAsia" w:ascii="ˎ̥" w:hAnsi="ˎ̥"/>
        </w:rPr>
        <w:t>的前提下</w:t>
      </w:r>
      <w:r>
        <w:rPr>
          <w:rFonts w:ascii="ˎ̥" w:hAnsi="ˎ̥"/>
        </w:rPr>
        <w:t>，</w:t>
      </w:r>
      <w:r>
        <w:rPr>
          <w:rFonts w:hint="eastAsia" w:ascii="ˎ̥" w:hAnsi="ˎ̥"/>
        </w:rPr>
        <w:t>按照招标文件中规定的各项因素进行综合评审，评审总得分排名前列的投标人，作为推荐的候选中标供应商。</w:t>
      </w:r>
      <w:bookmarkEnd w:id="66"/>
    </w:p>
    <w:p w14:paraId="50CCF4B1">
      <w:pPr>
        <w:pStyle w:val="19"/>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ˎ̥" w:hAnsi="ˎ̥" w:eastAsia="宋体" w:cs="Times New Roman"/>
          <w:b w:val="0"/>
          <w:bCs w:val="0"/>
          <w:kern w:val="2"/>
          <w:sz w:val="21"/>
          <w:szCs w:val="24"/>
          <w:lang w:val="en-US" w:eastAsia="zh-CN" w:bidi="ar-SA"/>
        </w:rPr>
      </w:pPr>
      <w:r>
        <w:rPr>
          <w:rFonts w:hint="eastAsia" w:ascii="ˎ̥" w:hAnsi="ˎ̥" w:eastAsia="宋体" w:cs="Times New Roman"/>
          <w:b w:val="0"/>
          <w:bCs w:val="0"/>
          <w:kern w:val="2"/>
          <w:sz w:val="21"/>
          <w:szCs w:val="24"/>
          <w:lang w:val="en-US" w:eastAsia="zh-CN" w:bidi="ar-SA"/>
        </w:rPr>
        <w:t>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如中标候选人数量为2家或以上的，则排名第二的投标人为第一替补中标候选人、排名第三的投标人为第二替补中标候选人，以此类推）。中标候选人并列的，由采购人或者采购人委托评标委员会按照招标文件规定的方式确定中标人；招标文件未规定的，采取随机抽取的方式确定，具体操作办法及流程由评审委员会确定。</w:t>
      </w:r>
    </w:p>
    <w:p w14:paraId="5C282F15">
      <w:pPr>
        <w:ind w:firstLine="411" w:firstLineChars="196"/>
        <w:rPr>
          <w:rFonts w:ascii="宋体" w:hAnsi="宋体"/>
          <w:b/>
          <w:bCs/>
          <w:szCs w:val="21"/>
        </w:rPr>
      </w:pPr>
      <w:r>
        <w:rPr>
          <w:rFonts w:hint="eastAsia" w:ascii="ˎ̥" w:hAnsi="ˎ̥"/>
          <w:lang w:val="en-US" w:eastAsia="zh-CN"/>
        </w:rPr>
        <w:t>3</w:t>
      </w:r>
      <w:r>
        <w:rPr>
          <w:rFonts w:hint="eastAsia" w:ascii="宋体" w:hAnsi="宋体"/>
          <w:b/>
          <w:bCs/>
          <w:szCs w:val="21"/>
          <w:lang w:val="en-US" w:eastAsia="zh-CN"/>
        </w:rPr>
        <w:t>6</w:t>
      </w:r>
      <w:r>
        <w:rPr>
          <w:rFonts w:hint="eastAsia" w:ascii="宋体" w:hAnsi="宋体"/>
          <w:b/>
          <w:bCs/>
          <w:szCs w:val="21"/>
        </w:rPr>
        <w:t>.2 本项目采用的评审方法见本项目招标文件第一册“专用条款”的相关内容。</w:t>
      </w:r>
    </w:p>
    <w:p w14:paraId="71279679">
      <w:pPr>
        <w:ind w:firstLine="413" w:firstLineChars="196"/>
        <w:rPr>
          <w:rFonts w:ascii="宋体" w:hAnsi="宋体"/>
          <w:b/>
          <w:bCs/>
          <w:szCs w:val="21"/>
        </w:rPr>
      </w:pPr>
      <w:r>
        <w:rPr>
          <w:rFonts w:hint="eastAsia" w:ascii="宋体" w:hAnsi="宋体"/>
          <w:b/>
          <w:bCs/>
          <w:szCs w:val="21"/>
        </w:rPr>
        <w:t>3</w:t>
      </w:r>
      <w:r>
        <w:rPr>
          <w:rFonts w:hint="eastAsia" w:ascii="宋体" w:hAnsi="宋体"/>
          <w:b/>
          <w:bCs/>
          <w:szCs w:val="21"/>
          <w:lang w:val="en-US" w:eastAsia="zh-CN"/>
        </w:rPr>
        <w:t>6</w:t>
      </w:r>
      <w:r>
        <w:rPr>
          <w:rFonts w:hint="eastAsia" w:ascii="宋体" w:hAnsi="宋体"/>
          <w:b/>
          <w:bCs/>
          <w:szCs w:val="21"/>
        </w:rPr>
        <w:t>.3重新评审的情形</w:t>
      </w:r>
    </w:p>
    <w:p w14:paraId="6DBCC5E2">
      <w:pPr>
        <w:ind w:firstLine="411" w:firstLineChars="196"/>
        <w:rPr>
          <w:rFonts w:ascii="宋体" w:hAnsi="宋体"/>
          <w:b/>
          <w:bCs/>
          <w:szCs w:val="21"/>
        </w:rPr>
      </w:pPr>
      <w:r>
        <w:rPr>
          <w:rFonts w:hint="eastAsia" w:ascii="宋体" w:hAnsi="宋体" w:cs="宋体"/>
          <w:kern w:val="0"/>
          <w:szCs w:val="21"/>
        </w:rPr>
        <w:t>评审结果汇总完成后，除下列情形外，任何人不得修改评审结果：</w:t>
      </w:r>
    </w:p>
    <w:p w14:paraId="58D0CDE8">
      <w:pPr>
        <w:ind w:firstLine="411" w:firstLineChars="196"/>
        <w:rPr>
          <w:rFonts w:ascii="宋体" w:hAnsi="宋体" w:cs="宋体"/>
          <w:kern w:val="0"/>
          <w:szCs w:val="21"/>
        </w:rPr>
      </w:pPr>
      <w:r>
        <w:rPr>
          <w:rFonts w:hint="eastAsia" w:ascii="宋体" w:hAnsi="宋体" w:cs="宋体"/>
          <w:kern w:val="0"/>
          <w:szCs w:val="21"/>
        </w:rPr>
        <w:t>3</w:t>
      </w:r>
      <w:r>
        <w:rPr>
          <w:rFonts w:hint="eastAsia" w:ascii="宋体" w:hAnsi="宋体" w:cs="宋体"/>
          <w:kern w:val="0"/>
          <w:szCs w:val="21"/>
          <w:lang w:val="en-US" w:eastAsia="zh-CN"/>
        </w:rPr>
        <w:t>6</w:t>
      </w:r>
      <w:r>
        <w:rPr>
          <w:rFonts w:hint="eastAsia" w:ascii="宋体" w:hAnsi="宋体" w:cs="宋体"/>
          <w:kern w:val="0"/>
          <w:szCs w:val="21"/>
        </w:rPr>
        <w:t>.3.1分值汇总计算错误的；</w:t>
      </w:r>
    </w:p>
    <w:p w14:paraId="66182F36">
      <w:pPr>
        <w:ind w:firstLine="411" w:firstLineChars="196"/>
        <w:rPr>
          <w:rFonts w:ascii="宋体" w:hAnsi="宋体" w:cs="宋体"/>
          <w:kern w:val="0"/>
          <w:szCs w:val="21"/>
        </w:rPr>
      </w:pPr>
      <w:r>
        <w:rPr>
          <w:rFonts w:hint="eastAsia" w:ascii="宋体" w:hAnsi="宋体" w:cs="宋体"/>
          <w:kern w:val="0"/>
          <w:szCs w:val="21"/>
        </w:rPr>
        <w:t>3</w:t>
      </w:r>
      <w:r>
        <w:rPr>
          <w:rFonts w:hint="eastAsia" w:ascii="宋体" w:hAnsi="宋体" w:cs="宋体"/>
          <w:kern w:val="0"/>
          <w:szCs w:val="21"/>
          <w:lang w:val="en-US" w:eastAsia="zh-CN"/>
        </w:rPr>
        <w:t>6</w:t>
      </w:r>
      <w:r>
        <w:rPr>
          <w:rFonts w:hint="eastAsia" w:ascii="宋体" w:hAnsi="宋体" w:cs="宋体"/>
          <w:kern w:val="0"/>
          <w:szCs w:val="21"/>
        </w:rPr>
        <w:t>.3.2分项评分超出评分标准范围的；</w:t>
      </w:r>
    </w:p>
    <w:p w14:paraId="60C8779E">
      <w:pPr>
        <w:ind w:firstLine="411" w:firstLineChars="196"/>
        <w:rPr>
          <w:rFonts w:ascii="宋体" w:hAnsi="宋体" w:cs="宋体"/>
          <w:kern w:val="0"/>
          <w:szCs w:val="21"/>
        </w:rPr>
      </w:pPr>
      <w:r>
        <w:rPr>
          <w:rFonts w:hint="eastAsia" w:ascii="宋体" w:hAnsi="宋体" w:cs="宋体"/>
          <w:kern w:val="0"/>
          <w:szCs w:val="21"/>
        </w:rPr>
        <w:t>3</w:t>
      </w:r>
      <w:r>
        <w:rPr>
          <w:rFonts w:hint="eastAsia" w:ascii="宋体" w:hAnsi="宋体" w:cs="宋体"/>
          <w:kern w:val="0"/>
          <w:szCs w:val="21"/>
          <w:lang w:val="en-US" w:eastAsia="zh-CN"/>
        </w:rPr>
        <w:t>6</w:t>
      </w:r>
      <w:r>
        <w:rPr>
          <w:rFonts w:hint="eastAsia" w:ascii="宋体" w:hAnsi="宋体" w:cs="宋体"/>
          <w:kern w:val="0"/>
          <w:szCs w:val="21"/>
        </w:rPr>
        <w:t>.3.3评审委员会成员对客观评审因素评分不一致的；</w:t>
      </w:r>
    </w:p>
    <w:p w14:paraId="67AE0B4E">
      <w:pPr>
        <w:ind w:firstLine="411" w:firstLineChars="196"/>
        <w:rPr>
          <w:rFonts w:ascii="宋体" w:hAnsi="宋体" w:cs="宋体"/>
          <w:kern w:val="0"/>
          <w:szCs w:val="21"/>
        </w:rPr>
      </w:pPr>
      <w:r>
        <w:rPr>
          <w:rFonts w:hint="eastAsia" w:ascii="宋体" w:hAnsi="宋体" w:cs="宋体"/>
          <w:kern w:val="0"/>
          <w:szCs w:val="21"/>
        </w:rPr>
        <w:t>3</w:t>
      </w:r>
      <w:r>
        <w:rPr>
          <w:rFonts w:hint="eastAsia" w:ascii="宋体" w:hAnsi="宋体" w:cs="宋体"/>
          <w:kern w:val="0"/>
          <w:szCs w:val="21"/>
          <w:lang w:val="en-US" w:eastAsia="zh-CN"/>
        </w:rPr>
        <w:t>6</w:t>
      </w:r>
      <w:r>
        <w:rPr>
          <w:rFonts w:hint="eastAsia" w:ascii="宋体" w:hAnsi="宋体" w:cs="宋体"/>
          <w:kern w:val="0"/>
          <w:szCs w:val="21"/>
        </w:rPr>
        <w:t>.3.4经评审委员会认定评分畸高、畸低的。</w:t>
      </w:r>
    </w:p>
    <w:p w14:paraId="32FABDD7">
      <w:pPr>
        <w:ind w:firstLine="411" w:firstLineChars="196"/>
        <w:rPr>
          <w:rFonts w:ascii="宋体" w:hAnsi="宋体" w:cs="宋体"/>
          <w:kern w:val="0"/>
          <w:szCs w:val="21"/>
        </w:rPr>
      </w:pPr>
      <w:r>
        <w:rPr>
          <w:rFonts w:hint="eastAsia" w:ascii="宋体" w:hAnsi="宋体" w:cs="宋体"/>
          <w:kern w:val="0"/>
          <w:szCs w:val="21"/>
        </w:rPr>
        <w:t>评审报告签署前，经复核发现存在以上情形之一的，评审委员会应当当场修改评审结果，并进行书面记载；评审报告签署后，采购人或者采购代理机构发现存在以上情形之一的，应当组织原评审委员会进行重新评审，重新评审改变评审结果的，书面报告本级财政部门。</w:t>
      </w:r>
    </w:p>
    <w:p w14:paraId="070B1806">
      <w:pPr>
        <w:ind w:firstLine="411" w:firstLineChars="196"/>
        <w:rPr>
          <w:rFonts w:ascii="宋体" w:hAnsi="宋体" w:cs="宋体"/>
          <w:kern w:val="0"/>
          <w:szCs w:val="21"/>
        </w:rPr>
      </w:pPr>
      <w:r>
        <w:rPr>
          <w:rFonts w:hint="eastAsia" w:ascii="宋体" w:hAnsi="宋体" w:cs="宋体"/>
          <w:kern w:val="0"/>
          <w:szCs w:val="21"/>
        </w:rPr>
        <w:t>投标人对本条第一款情形提出质疑的，采购人或者采购代理机构可以组织原评审委员会进行重新评审，重新评审改变评审结果的，应当书面报告本级财政部门。</w:t>
      </w:r>
    </w:p>
    <w:p w14:paraId="25D49F96">
      <w:pPr>
        <w:ind w:firstLine="413" w:firstLineChars="196"/>
        <w:rPr>
          <w:rFonts w:ascii="宋体" w:hAnsi="宋体"/>
          <w:b/>
          <w:bCs/>
          <w:szCs w:val="21"/>
        </w:rPr>
      </w:pPr>
      <w:r>
        <w:rPr>
          <w:rFonts w:hint="eastAsia" w:ascii="宋体" w:hAnsi="宋体"/>
          <w:b/>
          <w:bCs/>
          <w:szCs w:val="21"/>
        </w:rPr>
        <w:t>3</w:t>
      </w:r>
      <w:r>
        <w:rPr>
          <w:rFonts w:hint="eastAsia" w:ascii="宋体" w:hAnsi="宋体"/>
          <w:b/>
          <w:bCs/>
          <w:szCs w:val="21"/>
          <w:lang w:val="en-US" w:eastAsia="zh-CN"/>
        </w:rPr>
        <w:t>6</w:t>
      </w:r>
      <w:r>
        <w:rPr>
          <w:rFonts w:hint="eastAsia" w:ascii="宋体" w:hAnsi="宋体"/>
          <w:b/>
          <w:bCs/>
          <w:szCs w:val="21"/>
        </w:rPr>
        <w:t>.4重新组建评审委员会的情形</w:t>
      </w:r>
    </w:p>
    <w:p w14:paraId="39E13951">
      <w:pPr>
        <w:ind w:firstLine="411" w:firstLineChars="196"/>
        <w:rPr>
          <w:rFonts w:ascii="宋体" w:hAnsi="宋体" w:cs="宋体"/>
          <w:kern w:val="0"/>
          <w:szCs w:val="21"/>
        </w:rPr>
      </w:pPr>
      <w:r>
        <w:rPr>
          <w:rFonts w:hint="eastAsia" w:ascii="宋体" w:hAnsi="宋体" w:cs="宋体"/>
          <w:kern w:val="0"/>
          <w:szCs w:val="21"/>
        </w:rPr>
        <w:t>评审委员会或者其成员存在下列情形导致评审结果无效的，重新组建评审委员会进行评标，并书面报告本级财政部门：</w:t>
      </w:r>
    </w:p>
    <w:p w14:paraId="1922DEE6">
      <w:pPr>
        <w:ind w:firstLine="411" w:firstLineChars="196"/>
        <w:rPr>
          <w:rFonts w:ascii="宋体" w:hAnsi="宋体" w:cs="宋体"/>
          <w:kern w:val="0"/>
          <w:szCs w:val="21"/>
        </w:rPr>
      </w:pPr>
      <w:r>
        <w:rPr>
          <w:rFonts w:hint="eastAsia" w:ascii="宋体" w:hAnsi="宋体" w:cs="宋体"/>
          <w:kern w:val="0"/>
          <w:szCs w:val="21"/>
        </w:rPr>
        <w:t>3</w:t>
      </w:r>
      <w:r>
        <w:rPr>
          <w:rFonts w:hint="eastAsia" w:ascii="宋体" w:hAnsi="宋体" w:cs="宋体"/>
          <w:kern w:val="0"/>
          <w:szCs w:val="21"/>
          <w:lang w:val="en-US" w:eastAsia="zh-CN"/>
        </w:rPr>
        <w:t>6</w:t>
      </w:r>
      <w:r>
        <w:rPr>
          <w:rFonts w:hint="eastAsia" w:ascii="宋体" w:hAnsi="宋体" w:cs="宋体"/>
          <w:kern w:val="0"/>
          <w:szCs w:val="21"/>
        </w:rPr>
        <w:t>.4.1评审委员会组成不符合《政府采购货物和服务招标投标管理办法》规定的；</w:t>
      </w:r>
    </w:p>
    <w:p w14:paraId="393EB5FC">
      <w:pPr>
        <w:ind w:firstLine="411" w:firstLineChars="196"/>
        <w:rPr>
          <w:rFonts w:ascii="宋体" w:hAnsi="宋体" w:cs="宋体"/>
          <w:kern w:val="0"/>
          <w:szCs w:val="21"/>
        </w:rPr>
      </w:pPr>
      <w:r>
        <w:rPr>
          <w:rFonts w:hint="eastAsia" w:ascii="宋体" w:hAnsi="宋体" w:cs="宋体"/>
          <w:kern w:val="0"/>
          <w:szCs w:val="21"/>
        </w:rPr>
        <w:t>3</w:t>
      </w:r>
      <w:r>
        <w:rPr>
          <w:rFonts w:hint="eastAsia" w:ascii="宋体" w:hAnsi="宋体" w:cs="宋体"/>
          <w:kern w:val="0"/>
          <w:szCs w:val="21"/>
          <w:lang w:val="en-US" w:eastAsia="zh-CN"/>
        </w:rPr>
        <w:t>6</w:t>
      </w:r>
      <w:r>
        <w:rPr>
          <w:rFonts w:hint="eastAsia" w:ascii="宋体" w:hAnsi="宋体" w:cs="宋体"/>
          <w:kern w:val="0"/>
          <w:szCs w:val="21"/>
        </w:rPr>
        <w:t>.4.2有《政府采购货物和服务招标投标管理办法》第六十二条第一至五项情形的；</w:t>
      </w:r>
    </w:p>
    <w:p w14:paraId="263DF599">
      <w:pPr>
        <w:ind w:firstLine="411" w:firstLineChars="196"/>
        <w:rPr>
          <w:rFonts w:ascii="宋体" w:hAnsi="宋体" w:cs="宋体"/>
          <w:kern w:val="0"/>
          <w:szCs w:val="21"/>
        </w:rPr>
      </w:pPr>
      <w:r>
        <w:rPr>
          <w:rFonts w:hint="eastAsia" w:ascii="宋体" w:hAnsi="宋体" w:cs="宋体"/>
          <w:kern w:val="0"/>
          <w:szCs w:val="21"/>
        </w:rPr>
        <w:t>3</w:t>
      </w:r>
      <w:r>
        <w:rPr>
          <w:rFonts w:hint="eastAsia" w:ascii="宋体" w:hAnsi="宋体" w:cs="宋体"/>
          <w:kern w:val="0"/>
          <w:szCs w:val="21"/>
          <w:lang w:val="en-US" w:eastAsia="zh-CN"/>
        </w:rPr>
        <w:t>6</w:t>
      </w:r>
      <w:r>
        <w:rPr>
          <w:rFonts w:hint="eastAsia" w:ascii="宋体" w:hAnsi="宋体" w:cs="宋体"/>
          <w:kern w:val="0"/>
          <w:szCs w:val="21"/>
        </w:rPr>
        <w:t>.4.3评审委员会及其成员独立评标受到非法干预的；</w:t>
      </w:r>
    </w:p>
    <w:p w14:paraId="480B4E99">
      <w:pPr>
        <w:ind w:firstLine="411" w:firstLineChars="196"/>
        <w:rPr>
          <w:rFonts w:ascii="宋体" w:hAnsi="宋体" w:cs="宋体"/>
          <w:kern w:val="0"/>
          <w:szCs w:val="21"/>
        </w:rPr>
      </w:pPr>
      <w:r>
        <w:rPr>
          <w:rFonts w:hint="eastAsia" w:ascii="宋体" w:hAnsi="宋体" w:cs="宋体"/>
          <w:kern w:val="0"/>
          <w:szCs w:val="21"/>
        </w:rPr>
        <w:t>3</w:t>
      </w:r>
      <w:r>
        <w:rPr>
          <w:rFonts w:hint="eastAsia" w:ascii="宋体" w:hAnsi="宋体" w:cs="宋体"/>
          <w:kern w:val="0"/>
          <w:szCs w:val="21"/>
          <w:lang w:val="en-US" w:eastAsia="zh-CN"/>
        </w:rPr>
        <w:t>6</w:t>
      </w:r>
      <w:r>
        <w:rPr>
          <w:rFonts w:hint="eastAsia" w:ascii="宋体" w:hAnsi="宋体" w:cs="宋体"/>
          <w:kern w:val="0"/>
          <w:szCs w:val="21"/>
        </w:rPr>
        <w:t>.4.4有政府采购法实施条例第七十五条规定的违法行为的。</w:t>
      </w:r>
    </w:p>
    <w:p w14:paraId="35C2CC62">
      <w:pPr>
        <w:ind w:firstLine="411" w:firstLineChars="196"/>
        <w:rPr>
          <w:rFonts w:ascii="宋体" w:hAnsi="宋体" w:cs="宋体"/>
          <w:kern w:val="0"/>
          <w:szCs w:val="21"/>
        </w:rPr>
      </w:pPr>
      <w:r>
        <w:rPr>
          <w:rFonts w:hint="eastAsia" w:ascii="宋体" w:hAnsi="宋体" w:cs="宋体"/>
          <w:kern w:val="0"/>
          <w:szCs w:val="21"/>
        </w:rPr>
        <w:t>有违法违规行为的原评审委员会成员不得参加重新组建的评审委员会。</w:t>
      </w:r>
    </w:p>
    <w:p w14:paraId="2EB2C87B">
      <w:pPr>
        <w:ind w:firstLine="411" w:firstLineChars="196"/>
        <w:rPr>
          <w:rFonts w:ascii="宋体" w:hAnsi="宋体"/>
          <w:szCs w:val="21"/>
        </w:rPr>
      </w:pPr>
    </w:p>
    <w:p w14:paraId="4A44FB0D">
      <w:pPr>
        <w:pStyle w:val="5"/>
        <w:numPr>
          <w:ilvl w:val="0"/>
          <w:numId w:val="10"/>
        </w:numPr>
        <w:spacing w:before="120" w:beforeLines="50" w:after="120" w:afterLines="50"/>
        <w:ind w:left="562" w:hanging="562"/>
        <w:rPr>
          <w:sz w:val="28"/>
          <w:szCs w:val="28"/>
        </w:rPr>
      </w:pPr>
      <w:r>
        <w:rPr>
          <w:rFonts w:hint="eastAsia"/>
          <w:sz w:val="28"/>
          <w:szCs w:val="28"/>
        </w:rPr>
        <w:t>定标及公示</w:t>
      </w:r>
    </w:p>
    <w:p w14:paraId="2A66BDA7">
      <w:pPr>
        <w:rPr>
          <w:rFonts w:ascii="黑体" w:hAnsi="宋体" w:eastAsia="黑体"/>
          <w:sz w:val="24"/>
        </w:rPr>
      </w:pPr>
      <w:r>
        <w:rPr>
          <w:rFonts w:hint="eastAsia" w:ascii="黑体" w:hAnsi="宋体" w:eastAsia="黑体"/>
          <w:sz w:val="24"/>
          <w:lang w:eastAsia="zh-CN"/>
        </w:rPr>
        <w:t>37.</w:t>
      </w:r>
      <w:r>
        <w:rPr>
          <w:rFonts w:hint="eastAsia" w:ascii="黑体" w:hAnsi="宋体" w:eastAsia="黑体"/>
          <w:sz w:val="24"/>
        </w:rPr>
        <w:t>定标方法</w:t>
      </w:r>
    </w:p>
    <w:p w14:paraId="4712DE67">
      <w:pPr>
        <w:ind w:firstLine="411" w:firstLineChars="196"/>
        <w:rPr>
          <w:rFonts w:ascii="宋体" w:hAnsi="宋体"/>
          <w:szCs w:val="21"/>
        </w:rPr>
      </w:pPr>
      <w:r>
        <w:rPr>
          <w:rFonts w:hint="eastAsia" w:ascii="宋体" w:hAnsi="宋体"/>
          <w:szCs w:val="21"/>
        </w:rPr>
        <w:t>3</w:t>
      </w:r>
      <w:r>
        <w:rPr>
          <w:rFonts w:hint="eastAsia" w:ascii="宋体" w:hAnsi="宋体"/>
          <w:szCs w:val="21"/>
          <w:lang w:val="en-US" w:eastAsia="zh-CN"/>
        </w:rPr>
        <w:t>7</w:t>
      </w:r>
      <w:r>
        <w:rPr>
          <w:rFonts w:hint="eastAsia" w:ascii="宋体" w:hAnsi="宋体"/>
          <w:szCs w:val="21"/>
        </w:rPr>
        <w:t>.1非评定分离项目定标方法</w:t>
      </w:r>
    </w:p>
    <w:p w14:paraId="0A1F3EB8">
      <w:pPr>
        <w:ind w:firstLine="411" w:firstLineChars="196"/>
        <w:rPr>
          <w:rFonts w:ascii="宋体" w:hAnsi="宋体"/>
          <w:szCs w:val="21"/>
        </w:rPr>
      </w:pPr>
      <w:r>
        <w:rPr>
          <w:rFonts w:hint="eastAsia" w:ascii="宋体" w:hAnsi="宋体"/>
          <w:szCs w:val="21"/>
        </w:rPr>
        <w:t>3</w:t>
      </w:r>
      <w:r>
        <w:rPr>
          <w:rFonts w:hint="eastAsia" w:ascii="宋体" w:hAnsi="宋体"/>
          <w:szCs w:val="21"/>
          <w:lang w:val="en-US" w:eastAsia="zh-CN"/>
        </w:rPr>
        <w:t>7</w:t>
      </w:r>
      <w:r>
        <w:rPr>
          <w:rFonts w:ascii="宋体" w:hAnsi="宋体"/>
          <w:szCs w:val="21"/>
        </w:rPr>
        <w:t>.</w:t>
      </w:r>
      <w:r>
        <w:rPr>
          <w:rFonts w:hint="eastAsia" w:ascii="宋体" w:hAnsi="宋体"/>
          <w:szCs w:val="21"/>
        </w:rPr>
        <w:t>1.1评审委员会依据本项目招标文件所约定的评审方法进行评审和比较，向政府集中采购机构提交书面评审报告，并根据评审方法比较评价结果从优到劣进行排序，确定候选中标供应商。</w:t>
      </w:r>
    </w:p>
    <w:p w14:paraId="36F03B9B">
      <w:pPr>
        <w:ind w:firstLine="411" w:firstLineChars="196"/>
        <w:rPr>
          <w:rFonts w:ascii="ˎ̥" w:hAnsi="ˎ̥"/>
        </w:rPr>
      </w:pPr>
      <w:r>
        <w:rPr>
          <w:rFonts w:hint="eastAsia" w:ascii="宋体" w:hAnsi="宋体"/>
          <w:szCs w:val="21"/>
        </w:rPr>
        <w:t>3</w:t>
      </w:r>
      <w:r>
        <w:rPr>
          <w:rFonts w:hint="eastAsia" w:ascii="宋体" w:hAnsi="宋体"/>
          <w:szCs w:val="21"/>
          <w:lang w:val="en-US" w:eastAsia="zh-CN"/>
        </w:rPr>
        <w:t>7</w:t>
      </w:r>
      <w:r>
        <w:rPr>
          <w:rFonts w:ascii="宋体" w:hAnsi="宋体"/>
          <w:szCs w:val="21"/>
        </w:rPr>
        <w:t>.</w:t>
      </w:r>
      <w:r>
        <w:rPr>
          <w:rFonts w:hint="eastAsia" w:ascii="宋体" w:hAnsi="宋体"/>
          <w:szCs w:val="21"/>
        </w:rPr>
        <w:t>1.2</w:t>
      </w:r>
      <w:r>
        <w:rPr>
          <w:rFonts w:hint="eastAsia" w:ascii="ˎ̥" w:hAnsi="ˎ̥"/>
          <w:lang w:eastAsia="zh-CN"/>
        </w:rPr>
        <w:t>采用最低价法的，评标结果按投标报价由低到高顺序排列。投标报价相同的并列。投标文件满足招标文件全部实质性要求且投标报价最低的投标人为排名第一的中标候选人（</w:t>
      </w:r>
      <w:r>
        <w:rPr>
          <w:rFonts w:hint="eastAsia" w:ascii="ˎ̥" w:hAnsi="ˎ̥"/>
          <w:lang w:val="en-US" w:eastAsia="zh-CN"/>
        </w:rPr>
        <w:t>如</w:t>
      </w:r>
      <w:r>
        <w:rPr>
          <w:rFonts w:hint="eastAsia" w:ascii="ˎ̥" w:hAnsi="ˎ̥"/>
        </w:rPr>
        <w:t>中标候选人</w:t>
      </w:r>
      <w:r>
        <w:rPr>
          <w:rFonts w:hint="eastAsia" w:ascii="ˎ̥" w:hAnsi="ˎ̥"/>
          <w:lang w:val="en-US" w:eastAsia="zh-CN"/>
        </w:rPr>
        <w:t>数量</w:t>
      </w:r>
      <w:r>
        <w:rPr>
          <w:rFonts w:hint="eastAsia" w:ascii="ˎ̥" w:hAnsi="ˎ̥"/>
        </w:rPr>
        <w:t>为2家或以上</w:t>
      </w:r>
      <w:r>
        <w:rPr>
          <w:rFonts w:hint="eastAsia" w:ascii="ˎ̥" w:hAnsi="ˎ̥"/>
          <w:lang w:val="en-US" w:eastAsia="zh-CN"/>
        </w:rPr>
        <w:t>的，则</w:t>
      </w:r>
      <w:r>
        <w:rPr>
          <w:rFonts w:hint="eastAsia" w:ascii="ˎ̥" w:hAnsi="ˎ̥"/>
        </w:rPr>
        <w:t>排名</w:t>
      </w:r>
      <w:r>
        <w:rPr>
          <w:rFonts w:ascii="ˎ̥" w:hAnsi="ˎ̥"/>
        </w:rPr>
        <w:t>第二</w:t>
      </w:r>
      <w:r>
        <w:rPr>
          <w:rFonts w:hint="eastAsia" w:ascii="ˎ̥" w:hAnsi="ˎ̥"/>
        </w:rPr>
        <w:t>的投标人为第一替补中标候选人、排名</w:t>
      </w:r>
      <w:r>
        <w:rPr>
          <w:rFonts w:ascii="ˎ̥" w:hAnsi="ˎ̥"/>
        </w:rPr>
        <w:t>第</w:t>
      </w:r>
      <w:r>
        <w:rPr>
          <w:rFonts w:hint="eastAsia" w:ascii="ˎ̥" w:hAnsi="ˎ̥"/>
        </w:rPr>
        <w:t>三的投标人为第二替补中标候选人</w:t>
      </w:r>
      <w:r>
        <w:rPr>
          <w:rFonts w:hint="eastAsia" w:ascii="ˎ̥" w:hAnsi="ˎ̥"/>
          <w:lang w:eastAsia="zh-CN"/>
        </w:rPr>
        <w:t>，</w:t>
      </w:r>
      <w:r>
        <w:rPr>
          <w:rFonts w:hint="eastAsia" w:ascii="ˎ̥" w:hAnsi="ˎ̥"/>
          <w:lang w:val="en-US" w:eastAsia="zh-CN"/>
        </w:rPr>
        <w:t>以此类推</w:t>
      </w:r>
      <w:r>
        <w:rPr>
          <w:rFonts w:hint="eastAsia" w:ascii="ˎ̥" w:hAnsi="ˎ̥"/>
          <w:lang w:eastAsia="zh-CN"/>
        </w:rPr>
        <w:t>）。中标候选人并列的，由采购人或者采购人委托评标委员会按照招标文件规定的方式确定中标人；招标文件未规定的，采取随机抽取的方式确定，</w:t>
      </w:r>
      <w:r>
        <w:rPr>
          <w:rFonts w:hint="eastAsia" w:ascii="ˎ̥" w:hAnsi="ˎ̥"/>
        </w:rPr>
        <w:t>具体操作办法及流程由评审委员会确定</w:t>
      </w:r>
      <w:r>
        <w:rPr>
          <w:rFonts w:hint="eastAsia" w:ascii="ˎ̥" w:hAnsi="ˎ̥"/>
          <w:lang w:eastAsia="zh-CN"/>
        </w:rPr>
        <w:t>。</w:t>
      </w:r>
    </w:p>
    <w:p w14:paraId="1E5F7D23">
      <w:r>
        <w:rPr>
          <w:rFonts w:hint="eastAsia" w:ascii="宋体" w:hAnsi="宋体"/>
          <w:szCs w:val="21"/>
        </w:rPr>
        <w:t>3</w:t>
      </w:r>
      <w:r>
        <w:rPr>
          <w:rFonts w:hint="eastAsia" w:ascii="宋体" w:hAnsi="宋体"/>
          <w:szCs w:val="21"/>
          <w:lang w:val="en-US" w:eastAsia="zh-CN"/>
        </w:rPr>
        <w:t>7</w:t>
      </w:r>
      <w:r>
        <w:rPr>
          <w:rFonts w:ascii="宋体" w:hAnsi="宋体"/>
          <w:szCs w:val="21"/>
        </w:rPr>
        <w:t>.</w:t>
      </w:r>
      <w:r>
        <w:rPr>
          <w:rFonts w:hint="eastAsia" w:ascii="宋体" w:hAnsi="宋体"/>
          <w:szCs w:val="21"/>
        </w:rPr>
        <w:t>1.3</w:t>
      </w:r>
      <w:r>
        <w:rPr>
          <w:rFonts w:hint="eastAsia" w:ascii="ˎ̥" w:hAnsi="ˎ̥"/>
          <w:lang w:eastAsia="zh-CN"/>
        </w:rPr>
        <w:t>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ˎ̥" w:hAnsi="ˎ̥"/>
          <w:lang w:val="en-US" w:eastAsia="zh-CN"/>
        </w:rPr>
        <w:t>如</w:t>
      </w:r>
      <w:r>
        <w:rPr>
          <w:rFonts w:hint="eastAsia" w:ascii="ˎ̥" w:hAnsi="ˎ̥"/>
        </w:rPr>
        <w:t>中标候选人</w:t>
      </w:r>
      <w:r>
        <w:rPr>
          <w:rFonts w:hint="eastAsia" w:ascii="ˎ̥" w:hAnsi="ˎ̥"/>
          <w:lang w:val="en-US" w:eastAsia="zh-CN"/>
        </w:rPr>
        <w:t>数量</w:t>
      </w:r>
      <w:r>
        <w:rPr>
          <w:rFonts w:hint="eastAsia" w:ascii="ˎ̥" w:hAnsi="ˎ̥"/>
        </w:rPr>
        <w:t>为2家或以上</w:t>
      </w:r>
      <w:r>
        <w:rPr>
          <w:rFonts w:hint="eastAsia" w:ascii="ˎ̥" w:hAnsi="ˎ̥"/>
          <w:lang w:val="en-US" w:eastAsia="zh-CN"/>
        </w:rPr>
        <w:t>的，则</w:t>
      </w:r>
      <w:r>
        <w:rPr>
          <w:rFonts w:hint="eastAsia" w:ascii="ˎ̥" w:hAnsi="ˎ̥"/>
        </w:rPr>
        <w:t>排名</w:t>
      </w:r>
      <w:r>
        <w:rPr>
          <w:rFonts w:ascii="ˎ̥" w:hAnsi="ˎ̥"/>
        </w:rPr>
        <w:t>第二</w:t>
      </w:r>
      <w:r>
        <w:rPr>
          <w:rFonts w:hint="eastAsia" w:ascii="ˎ̥" w:hAnsi="ˎ̥"/>
        </w:rPr>
        <w:t>的投标人为第一替补中标候选人、排名</w:t>
      </w:r>
      <w:r>
        <w:rPr>
          <w:rFonts w:ascii="ˎ̥" w:hAnsi="ˎ̥"/>
        </w:rPr>
        <w:t>第</w:t>
      </w:r>
      <w:r>
        <w:rPr>
          <w:rFonts w:hint="eastAsia" w:ascii="ˎ̥" w:hAnsi="ˎ̥"/>
        </w:rPr>
        <w:t>三的投标人为第二替补中标候选人</w:t>
      </w:r>
      <w:r>
        <w:rPr>
          <w:rFonts w:hint="eastAsia" w:ascii="ˎ̥" w:hAnsi="ˎ̥"/>
          <w:lang w:eastAsia="zh-CN"/>
        </w:rPr>
        <w:t>，</w:t>
      </w:r>
      <w:r>
        <w:rPr>
          <w:rFonts w:hint="eastAsia" w:ascii="ˎ̥" w:hAnsi="ˎ̥"/>
          <w:lang w:val="en-US" w:eastAsia="zh-CN"/>
        </w:rPr>
        <w:t>以此类推</w:t>
      </w:r>
      <w:r>
        <w:rPr>
          <w:rFonts w:hint="eastAsia" w:ascii="ˎ̥" w:hAnsi="ˎ̥"/>
          <w:lang w:eastAsia="zh-CN"/>
        </w:rPr>
        <w:t>）。中标候选人并列的，由采购人或者采购人委托评标委员会按照招标文件规定的方式确定中标人；招标文件未规定的，采取随机抽取的方式确定，</w:t>
      </w:r>
      <w:r>
        <w:rPr>
          <w:rFonts w:hint="eastAsia" w:ascii="ˎ̥" w:hAnsi="ˎ̥"/>
        </w:rPr>
        <w:t>具体操作办法及流程由评审委员会确定</w:t>
      </w:r>
      <w:r>
        <w:rPr>
          <w:rFonts w:hint="eastAsia" w:ascii="ˎ̥" w:hAnsi="ˎ̥"/>
          <w:lang w:eastAsia="zh-CN"/>
        </w:rPr>
        <w:t>。</w:t>
      </w:r>
    </w:p>
    <w:p w14:paraId="66DD6D0C">
      <w:pPr>
        <w:ind w:firstLine="411" w:firstLineChars="196"/>
        <w:rPr>
          <w:rFonts w:ascii="ˎ̥" w:hAnsi="ˎ̥"/>
        </w:rPr>
      </w:pPr>
    </w:p>
    <w:p w14:paraId="785B3538">
      <w:pPr>
        <w:ind w:firstLine="411" w:firstLineChars="196"/>
        <w:rPr>
          <w:rFonts w:ascii="宋体" w:hAnsi="宋体"/>
          <w:szCs w:val="21"/>
        </w:rPr>
      </w:pPr>
      <w:r>
        <w:rPr>
          <w:rFonts w:hint="eastAsia" w:ascii="宋体" w:hAnsi="宋体"/>
          <w:szCs w:val="21"/>
        </w:rPr>
        <w:t>3</w:t>
      </w:r>
      <w:r>
        <w:rPr>
          <w:rFonts w:hint="eastAsia" w:ascii="宋体" w:hAnsi="宋体"/>
          <w:szCs w:val="21"/>
          <w:lang w:val="en-US" w:eastAsia="zh-CN"/>
        </w:rPr>
        <w:t>7</w:t>
      </w:r>
      <w:r>
        <w:rPr>
          <w:rFonts w:hint="eastAsia" w:ascii="宋体" w:hAnsi="宋体"/>
          <w:szCs w:val="21"/>
        </w:rPr>
        <w:t>.2评定分离项目定标方法</w:t>
      </w:r>
    </w:p>
    <w:p w14:paraId="13BC3085">
      <w:pPr>
        <w:ind w:firstLine="411" w:firstLineChars="196"/>
        <w:rPr>
          <w:rFonts w:ascii="宋体" w:hAnsi="宋体"/>
          <w:szCs w:val="21"/>
        </w:rPr>
      </w:pPr>
      <w:r>
        <w:rPr>
          <w:rFonts w:hint="eastAsia" w:ascii="宋体" w:hAnsi="宋体"/>
          <w:szCs w:val="21"/>
        </w:rPr>
        <w:t>3</w:t>
      </w:r>
      <w:r>
        <w:rPr>
          <w:rFonts w:hint="eastAsia" w:ascii="宋体" w:hAnsi="宋体"/>
          <w:szCs w:val="21"/>
          <w:lang w:val="en-US" w:eastAsia="zh-CN"/>
        </w:rPr>
        <w:t>7</w:t>
      </w:r>
      <w:r>
        <w:rPr>
          <w:rFonts w:hint="eastAsia" w:ascii="宋体" w:hAnsi="宋体"/>
          <w:szCs w:val="21"/>
        </w:rPr>
        <w:t>.2.1评定分离是指在政府集中采购程序中，以公开招标方式执行采购，评审委员会负责对投标文件进行评审、推荐候选中标供应商并出具书面评审报告，由采购人根据评审委员会出具的评审报告从推荐的候选中标供应商中确定中标供应商。单个项目需要确定多家中标供应商的，不适用评定分离。</w:t>
      </w:r>
    </w:p>
    <w:p w14:paraId="5318D500">
      <w:pPr>
        <w:ind w:firstLine="411" w:firstLineChars="196"/>
      </w:pPr>
      <w:r>
        <w:rPr>
          <w:rFonts w:ascii="宋体" w:hAnsi="宋体"/>
          <w:szCs w:val="21"/>
        </w:rPr>
        <w:t>3</w:t>
      </w:r>
      <w:r>
        <w:rPr>
          <w:rFonts w:hint="eastAsia" w:ascii="宋体" w:hAnsi="宋体"/>
          <w:szCs w:val="21"/>
          <w:lang w:val="en-US" w:eastAsia="zh-CN"/>
        </w:rPr>
        <w:t>7</w:t>
      </w:r>
      <w:r>
        <w:rPr>
          <w:rFonts w:ascii="宋体" w:hAnsi="宋体"/>
          <w:szCs w:val="21"/>
        </w:rPr>
        <w:t xml:space="preserve">.2.2 </w:t>
      </w:r>
      <w:bookmarkStart w:id="67" w:name="_Hlk71469733"/>
      <w:r>
        <w:t>适用评定分离的政府采购项目，采用综合评分法评</w:t>
      </w:r>
      <w:r>
        <w:rPr>
          <w:rFonts w:hint="eastAsia"/>
        </w:rPr>
        <w:t>审。</w:t>
      </w:r>
      <w:r>
        <w:rPr>
          <w:rFonts w:hint="eastAsia" w:ascii="宋体" w:hAnsi="宋体"/>
          <w:szCs w:val="21"/>
        </w:rPr>
        <w:t>评审委员会按照评审结果，推荐</w:t>
      </w:r>
      <w:r>
        <w:t>三个合格的候选中标供应商。</w:t>
      </w:r>
    </w:p>
    <w:p w14:paraId="3534B355">
      <w:pPr>
        <w:ind w:firstLine="411" w:firstLineChars="196"/>
        <w:rPr>
          <w:rFonts w:ascii="宋体" w:hAnsi="宋体"/>
          <w:szCs w:val="21"/>
        </w:rPr>
      </w:pPr>
      <w:r>
        <w:rPr>
          <w:rFonts w:hint="eastAsia" w:ascii="宋体" w:hAnsi="宋体"/>
          <w:szCs w:val="21"/>
        </w:rPr>
        <w:t>3</w:t>
      </w:r>
      <w:r>
        <w:rPr>
          <w:rFonts w:hint="eastAsia" w:ascii="宋体" w:hAnsi="宋体"/>
          <w:szCs w:val="21"/>
          <w:lang w:val="en-US" w:eastAsia="zh-CN"/>
        </w:rPr>
        <w:t>7</w:t>
      </w:r>
      <w:r>
        <w:rPr>
          <w:rFonts w:hint="eastAsia" w:ascii="宋体" w:hAnsi="宋体"/>
          <w:szCs w:val="21"/>
        </w:rPr>
        <w:t>.2.3</w:t>
      </w:r>
      <w:bookmarkStart w:id="68" w:name="_Hlk71469688"/>
      <w:r>
        <w:t>适用评定分离的政府采购项目，</w:t>
      </w:r>
      <w:r>
        <w:rPr>
          <w:rFonts w:hint="eastAsia" w:ascii="宋体" w:hAnsi="宋体"/>
          <w:szCs w:val="21"/>
        </w:rPr>
        <w:t>按照自定法确定中标供应商：自定法是指采购人组织定标委员会，由定标委员会在三家候选中标供应商中确定中标供应商。</w:t>
      </w:r>
      <w:bookmarkEnd w:id="67"/>
      <w:bookmarkEnd w:id="68"/>
    </w:p>
    <w:p w14:paraId="19E0671C">
      <w:pPr>
        <w:ind w:firstLine="411" w:firstLineChars="196"/>
        <w:rPr>
          <w:rFonts w:ascii="宋体" w:hAnsi="宋体"/>
          <w:szCs w:val="21"/>
        </w:rPr>
      </w:pPr>
      <w:r>
        <w:rPr>
          <w:rFonts w:ascii="宋体" w:hAnsi="宋体"/>
          <w:szCs w:val="21"/>
        </w:rPr>
        <w:t>3</w:t>
      </w:r>
      <w:r>
        <w:rPr>
          <w:rFonts w:hint="eastAsia" w:ascii="宋体" w:hAnsi="宋体"/>
          <w:szCs w:val="21"/>
          <w:lang w:val="en-US" w:eastAsia="zh-CN"/>
        </w:rPr>
        <w:t>7</w:t>
      </w:r>
      <w:r>
        <w:rPr>
          <w:rFonts w:ascii="宋体" w:hAnsi="宋体"/>
          <w:szCs w:val="21"/>
        </w:rPr>
        <w:t>.2.4</w:t>
      </w:r>
      <w:r>
        <w:rPr>
          <w:rFonts w:hint="eastAsia" w:ascii="宋体" w:hAnsi="宋体"/>
          <w:szCs w:val="21"/>
        </w:rPr>
        <w:t>政府集中采购机构</w:t>
      </w:r>
      <w:r>
        <w:t>应当自评审结束之日起两个工作日内将候选中标供应商名单及其投标文件、评审报告送交采购人</w:t>
      </w:r>
      <w:r>
        <w:rPr>
          <w:rFonts w:hint="eastAsia" w:ascii="宋体" w:hAnsi="宋体"/>
          <w:szCs w:val="21"/>
        </w:rPr>
        <w:t>。</w:t>
      </w:r>
      <w:r>
        <w:t>采购人应当安排专人对定标过程进行书面记录，形成定标报告，作为采购文件的组成部分存档，并及时将定标结果反馈</w:t>
      </w:r>
      <w:r>
        <w:rPr>
          <w:rFonts w:hint="eastAsia"/>
        </w:rPr>
        <w:t>政府集中采购机构。具体定标程序及相关要求按照《深圳市财政局关于</w:t>
      </w:r>
      <w:r>
        <w:rPr>
          <w:rFonts w:hint="eastAsia" w:ascii="Times New Roman" w:eastAsia="宋体"/>
          <w:lang w:val="en-US" w:eastAsia="zh-CN"/>
        </w:rPr>
        <w:t>&lt;</w:t>
      </w:r>
      <w:r>
        <w:rPr>
          <w:rFonts w:hint="eastAsia"/>
        </w:rPr>
        <w:t>深圳市政府采购评标定标分离管理办法</w:t>
      </w:r>
      <w:r>
        <w:rPr>
          <w:rFonts w:hint="eastAsia" w:ascii="Times New Roman" w:eastAsia="宋体"/>
          <w:lang w:val="en-US" w:eastAsia="zh-CN"/>
        </w:rPr>
        <w:t>&gt;</w:t>
      </w:r>
      <w:r>
        <w:rPr>
          <w:rFonts w:hint="eastAsia"/>
        </w:rPr>
        <w:t>续期的通知》（深财规〔2023〕1号）执行。</w:t>
      </w:r>
    </w:p>
    <w:p w14:paraId="23D6601F">
      <w:pPr>
        <w:ind w:firstLine="411" w:firstLineChars="196"/>
        <w:rPr>
          <w:rFonts w:ascii="宋体" w:hAnsi="宋体"/>
          <w:szCs w:val="21"/>
        </w:rPr>
      </w:pPr>
      <w:r>
        <w:rPr>
          <w:rFonts w:hint="eastAsia" w:ascii="宋体" w:hAnsi="宋体"/>
          <w:szCs w:val="21"/>
        </w:rPr>
        <w:t>说明：采购人及投标供应商应按照上述方法提前做好相关准备。</w:t>
      </w:r>
    </w:p>
    <w:p w14:paraId="0916F540">
      <w:pPr>
        <w:ind w:firstLine="411" w:firstLineChars="196"/>
        <w:rPr>
          <w:rFonts w:ascii="宋体" w:hAnsi="宋体"/>
          <w:szCs w:val="21"/>
        </w:rPr>
      </w:pPr>
      <w:r>
        <w:rPr>
          <w:rFonts w:hint="eastAsia" w:ascii="宋体" w:hAnsi="宋体"/>
          <w:szCs w:val="21"/>
        </w:rPr>
        <w:t>3</w:t>
      </w:r>
      <w:r>
        <w:rPr>
          <w:rFonts w:hint="eastAsia" w:ascii="宋体" w:hAnsi="宋体"/>
          <w:szCs w:val="21"/>
          <w:lang w:val="en-US" w:eastAsia="zh-CN"/>
        </w:rPr>
        <w:t>7</w:t>
      </w:r>
      <w:r>
        <w:rPr>
          <w:rFonts w:hint="eastAsia" w:ascii="宋体" w:hAnsi="宋体"/>
          <w:szCs w:val="21"/>
        </w:rPr>
        <w:t>.3专用条款另有规定的，按专用条款相关要求定标。</w:t>
      </w:r>
    </w:p>
    <w:p w14:paraId="673A240A">
      <w:pPr>
        <w:rPr>
          <w:rFonts w:ascii="黑体" w:hAnsi="宋体" w:eastAsia="黑体"/>
          <w:sz w:val="24"/>
        </w:rPr>
      </w:pPr>
      <w:r>
        <w:rPr>
          <w:rFonts w:hint="eastAsia" w:ascii="黑体" w:hAnsi="宋体" w:eastAsia="黑体"/>
          <w:sz w:val="24"/>
          <w:lang w:eastAsia="zh-CN"/>
        </w:rPr>
        <w:t>38.</w:t>
      </w:r>
      <w:r>
        <w:rPr>
          <w:rFonts w:hint="eastAsia" w:ascii="黑体" w:hAnsi="宋体" w:eastAsia="黑体"/>
          <w:sz w:val="24"/>
        </w:rPr>
        <w:t>编写评审报告</w:t>
      </w:r>
    </w:p>
    <w:p w14:paraId="32E42100">
      <w:pPr>
        <w:ind w:firstLine="411" w:firstLineChars="196"/>
        <w:rPr>
          <w:rFonts w:ascii="宋体" w:hAnsi="宋体"/>
          <w:szCs w:val="21"/>
        </w:rPr>
      </w:pPr>
      <w:r>
        <w:rPr>
          <w:rFonts w:hint="eastAsia" w:ascii="宋体" w:hAnsi="宋体"/>
          <w:szCs w:val="21"/>
        </w:rPr>
        <w:t>评审报告是评审委员会根据全体评标成员签字的原始评审记录和评审结果编写的报告，评审报告由评审委员会全体成员签字。对评审结论持有异议的评审委员会成员可以书面方式阐述其不同意见和理由。评审委员会成员拒绝在评审报告上签字且不陈述其不同意见和理由的，视为同意评审结论。评审委员会应当对此作出书面说明并记录存档。</w:t>
      </w:r>
    </w:p>
    <w:p w14:paraId="028ED6A0">
      <w:pPr>
        <w:rPr>
          <w:rFonts w:ascii="黑体" w:hAnsi="宋体" w:eastAsia="黑体"/>
          <w:sz w:val="24"/>
        </w:rPr>
      </w:pPr>
      <w:r>
        <w:rPr>
          <w:rFonts w:hint="eastAsia" w:ascii="黑体" w:hAnsi="宋体" w:eastAsia="黑体"/>
          <w:sz w:val="24"/>
          <w:lang w:val="en-US" w:eastAsia="zh-CN"/>
        </w:rPr>
        <w:t>39.</w:t>
      </w:r>
      <w:r>
        <w:rPr>
          <w:rFonts w:hint="eastAsia" w:ascii="黑体" w:hAnsi="宋体" w:eastAsia="黑体"/>
          <w:sz w:val="24"/>
        </w:rPr>
        <w:t>中标公告</w:t>
      </w:r>
    </w:p>
    <w:p w14:paraId="10322F36">
      <w:pPr>
        <w:ind w:firstLine="411" w:firstLineChars="196"/>
        <w:rPr>
          <w:rFonts w:ascii="宋体" w:hAnsi="宋体"/>
          <w:szCs w:val="21"/>
        </w:rPr>
      </w:pPr>
      <w:r>
        <w:rPr>
          <w:rFonts w:hint="eastAsia" w:ascii="宋体" w:hAnsi="宋体"/>
          <w:szCs w:val="21"/>
          <w:lang w:val="en-US" w:eastAsia="zh-CN"/>
        </w:rPr>
        <w:t>39</w:t>
      </w:r>
      <w:r>
        <w:rPr>
          <w:rFonts w:hint="eastAsia" w:ascii="宋体" w:hAnsi="宋体"/>
          <w:szCs w:val="21"/>
        </w:rPr>
        <w:t>.1</w:t>
      </w:r>
      <w:bookmarkStart w:id="69" w:name="_Hlk72438709"/>
      <w:r>
        <w:rPr>
          <w:rFonts w:hint="eastAsia" w:ascii="宋体" w:hAnsi="宋体"/>
          <w:szCs w:val="21"/>
        </w:rPr>
        <w:t>为体现“公开、公平、公正”的原则，评审结束后经采购人确认（确定）评审结果，政府集中采购机构将在</w:t>
      </w:r>
      <w:r>
        <w:rPr>
          <w:rFonts w:hint="eastAsia" w:ascii="宋体" w:hAnsi="宋体"/>
          <w:b/>
          <w:bCs/>
          <w:szCs w:val="21"/>
        </w:rPr>
        <w:t>“深圳公共资源交易网（https://szggzy.com/）”</w:t>
      </w:r>
      <w:r>
        <w:rPr>
          <w:rFonts w:hint="eastAsia" w:ascii="宋体" w:hAnsi="宋体"/>
          <w:szCs w:val="21"/>
        </w:rPr>
        <w:t>上发布中标结果公告。</w:t>
      </w:r>
      <w:bookmarkEnd w:id="69"/>
      <w:bookmarkStart w:id="70" w:name="_Hlk72438751"/>
      <w:r>
        <w:rPr>
          <w:rFonts w:hint="eastAsia" w:ascii="宋体" w:hAnsi="宋体"/>
          <w:szCs w:val="21"/>
        </w:rPr>
        <w:t>供应商如对评审结果有异议，</w:t>
      </w:r>
      <w:r>
        <w:rPr>
          <w:rFonts w:ascii="宋体" w:hAnsi="宋体"/>
          <w:szCs w:val="21"/>
        </w:rPr>
        <w:t>可在发布公示日期起</w:t>
      </w:r>
      <w:r>
        <w:rPr>
          <w:rFonts w:hint="eastAsia" w:ascii="宋体" w:hAnsi="宋体"/>
          <w:szCs w:val="21"/>
        </w:rPr>
        <w:t>七</w:t>
      </w:r>
      <w:r>
        <w:rPr>
          <w:rFonts w:ascii="宋体" w:hAnsi="宋体"/>
          <w:szCs w:val="21"/>
        </w:rPr>
        <w:t>个工作日内向</w:t>
      </w:r>
      <w:r>
        <w:rPr>
          <w:rFonts w:hint="eastAsia" w:ascii="宋体" w:hAnsi="宋体"/>
          <w:szCs w:val="21"/>
        </w:rPr>
        <w:t>政府集中采购机构</w:t>
      </w:r>
      <w:r>
        <w:rPr>
          <w:rFonts w:ascii="宋体" w:hAnsi="宋体"/>
          <w:szCs w:val="21"/>
        </w:rPr>
        <w:t>提出。监督电话：0755-</w:t>
      </w:r>
      <w:r>
        <w:rPr>
          <w:rFonts w:hint="eastAsia" w:ascii="宋体" w:hAnsi="宋体"/>
          <w:szCs w:val="21"/>
          <w:lang w:val="en-US" w:eastAsia="zh-CN"/>
        </w:rPr>
        <w:t>27758331</w:t>
      </w:r>
      <w:r>
        <w:rPr>
          <w:rFonts w:ascii="宋体" w:hAnsi="宋体"/>
          <w:szCs w:val="21"/>
        </w:rPr>
        <w:t>。</w:t>
      </w:r>
      <w:r>
        <w:rPr>
          <w:rFonts w:hint="eastAsia" w:ascii="宋体" w:hAnsi="宋体"/>
          <w:szCs w:val="21"/>
        </w:rPr>
        <w:t>若在</w:t>
      </w:r>
      <w:r>
        <w:rPr>
          <w:rFonts w:hint="eastAsia" w:ascii="宋体" w:hAnsi="宋体"/>
          <w:szCs w:val="21"/>
          <w:lang w:val="en-US" w:eastAsia="zh-CN"/>
        </w:rPr>
        <w:t>法定质疑</w:t>
      </w:r>
      <w:r>
        <w:rPr>
          <w:rFonts w:hint="eastAsia" w:ascii="宋体" w:hAnsi="宋体"/>
          <w:szCs w:val="21"/>
        </w:rPr>
        <w:t>期内未提出质疑，则视为认同该评审结果。</w:t>
      </w:r>
      <w:bookmarkEnd w:id="70"/>
    </w:p>
    <w:p w14:paraId="5F38E65F">
      <w:pPr>
        <w:ind w:firstLine="411" w:firstLineChars="196"/>
        <w:rPr>
          <w:rFonts w:hint="eastAsia" w:ascii="宋体" w:hAnsi="宋体"/>
          <w:szCs w:val="21"/>
        </w:rPr>
      </w:pPr>
      <w:r>
        <w:rPr>
          <w:rFonts w:hint="eastAsia" w:ascii="宋体" w:hAnsi="宋体"/>
          <w:szCs w:val="21"/>
          <w:lang w:val="en-US" w:eastAsia="zh-CN"/>
        </w:rPr>
        <w:t>39</w:t>
      </w:r>
      <w:r>
        <w:rPr>
          <w:rFonts w:hint="eastAsia" w:ascii="宋体" w:hAnsi="宋体"/>
          <w:szCs w:val="21"/>
        </w:rPr>
        <w:t>.2质疑、投诉供应商应保证质疑、投诉内容的真实性和可靠性，并承担相应的法律责任。</w:t>
      </w:r>
    </w:p>
    <w:p w14:paraId="16C97134">
      <w:pPr>
        <w:pStyle w:val="19"/>
        <w:spacing w:line="240" w:lineRule="auto"/>
      </w:pPr>
      <w:r>
        <w:rPr>
          <w:rFonts w:hint="eastAsia" w:ascii="宋体" w:hAnsi="宋体" w:eastAsia="宋体" w:cs="Times New Roman"/>
          <w:b w:val="0"/>
          <w:bCs w:val="0"/>
          <w:kern w:val="2"/>
          <w:sz w:val="21"/>
          <w:szCs w:val="21"/>
          <w:lang w:val="en-US" w:eastAsia="zh-CN" w:bidi="ar-SA"/>
        </w:rPr>
        <w:t xml:space="preserve">    39.3 采用综合评分法评审的，未中标（成交）供应商可联系政府集中采购机构了解自身的评审得分与排序，政府集中采购机构将告知未中标（成交）供应商其自身的评审总得分及总排序。</w:t>
      </w:r>
    </w:p>
    <w:p w14:paraId="0955F40D">
      <w:pPr>
        <w:rPr>
          <w:rFonts w:ascii="黑体" w:hAnsi="宋体" w:eastAsia="黑体"/>
          <w:sz w:val="24"/>
        </w:rPr>
      </w:pPr>
      <w:r>
        <w:rPr>
          <w:rFonts w:hint="eastAsia" w:ascii="黑体" w:hAnsi="宋体" w:eastAsia="黑体"/>
          <w:sz w:val="24"/>
          <w:lang w:eastAsia="zh-CN"/>
        </w:rPr>
        <w:t>40.</w:t>
      </w:r>
      <w:r>
        <w:rPr>
          <w:rFonts w:hint="eastAsia" w:ascii="黑体" w:hAnsi="宋体" w:eastAsia="黑体"/>
          <w:sz w:val="24"/>
        </w:rPr>
        <w:t>中标通知书</w:t>
      </w:r>
    </w:p>
    <w:p w14:paraId="61A24138">
      <w:pPr>
        <w:ind w:firstLine="411" w:firstLineChars="196"/>
        <w:rPr>
          <w:rFonts w:ascii="宋体" w:hAnsi="宋体"/>
          <w:szCs w:val="21"/>
        </w:rPr>
      </w:pPr>
      <w:r>
        <w:rPr>
          <w:rFonts w:hint="eastAsia" w:ascii="宋体" w:hAnsi="宋体"/>
          <w:szCs w:val="21"/>
        </w:rPr>
        <w:t>4</w:t>
      </w:r>
      <w:r>
        <w:rPr>
          <w:rFonts w:hint="eastAsia" w:ascii="宋体" w:hAnsi="宋体"/>
          <w:szCs w:val="21"/>
          <w:lang w:val="en-US" w:eastAsia="zh-CN"/>
        </w:rPr>
        <w:t>0</w:t>
      </w:r>
      <w:r>
        <w:rPr>
          <w:rFonts w:ascii="宋体" w:hAnsi="宋体"/>
          <w:szCs w:val="21"/>
        </w:rPr>
        <w:t>.</w:t>
      </w:r>
      <w:r>
        <w:rPr>
          <w:rFonts w:hint="eastAsia" w:ascii="宋体" w:hAnsi="宋体"/>
          <w:szCs w:val="21"/>
        </w:rPr>
        <w:t>1</w:t>
      </w:r>
      <w:bookmarkStart w:id="71" w:name="_Hlk72438863"/>
      <w:r>
        <w:rPr>
          <w:rFonts w:hint="eastAsia" w:ascii="宋体" w:hAnsi="宋体"/>
          <w:szCs w:val="21"/>
        </w:rPr>
        <w:t>中标</w:t>
      </w:r>
      <w:r>
        <w:rPr>
          <w:rFonts w:hint="eastAsia" w:ascii="宋体" w:hAnsi="宋体"/>
          <w:szCs w:val="21"/>
          <w:lang w:val="en-US" w:eastAsia="zh-CN"/>
        </w:rPr>
        <w:t>结果公示期满无异议或者异议不成立</w:t>
      </w:r>
      <w:r>
        <w:rPr>
          <w:rFonts w:hint="eastAsia" w:ascii="宋体" w:hAnsi="宋体"/>
          <w:szCs w:val="21"/>
        </w:rPr>
        <w:t>的情况下</w:t>
      </w:r>
      <w:r>
        <w:rPr>
          <w:rFonts w:hint="eastAsia" w:ascii="宋体" w:hAnsi="宋体"/>
          <w:szCs w:val="21"/>
          <w:lang w:eastAsia="zh-CN"/>
        </w:rPr>
        <w:t>，</w:t>
      </w:r>
      <w:r>
        <w:rPr>
          <w:rFonts w:hint="eastAsia" w:ascii="宋体" w:hAnsi="宋体"/>
          <w:szCs w:val="21"/>
        </w:rPr>
        <w:t>中标供应商和采购人可自行在</w:t>
      </w:r>
      <w:r>
        <w:rPr>
          <w:rFonts w:hint="eastAsia" w:ascii="宋体" w:hAnsi="宋体"/>
          <w:b/>
          <w:bCs/>
          <w:szCs w:val="21"/>
        </w:rPr>
        <w:t>“深圳政府采购智慧平台（http://zfcg.szggzy.com:8081/）”</w:t>
      </w:r>
      <w:r>
        <w:rPr>
          <w:rFonts w:hint="eastAsia" w:ascii="宋体" w:hAnsi="宋体"/>
          <w:szCs w:val="21"/>
        </w:rPr>
        <w:t>上打印</w:t>
      </w:r>
      <w:r>
        <w:rPr>
          <w:rFonts w:hint="eastAsia" w:ascii="宋体" w:hAnsi="宋体"/>
          <w:b/>
          <w:szCs w:val="21"/>
        </w:rPr>
        <w:t>《中标通知书》</w:t>
      </w:r>
      <w:r>
        <w:rPr>
          <w:rFonts w:hint="eastAsia" w:ascii="宋体" w:hAnsi="宋体"/>
          <w:szCs w:val="21"/>
        </w:rPr>
        <w:t>。</w:t>
      </w:r>
      <w:bookmarkEnd w:id="71"/>
    </w:p>
    <w:p w14:paraId="7CAE0524">
      <w:pPr>
        <w:ind w:firstLine="411" w:firstLineChars="196"/>
        <w:rPr>
          <w:rFonts w:ascii="宋体" w:hAnsi="宋体"/>
          <w:szCs w:val="21"/>
        </w:rPr>
      </w:pPr>
      <w:r>
        <w:rPr>
          <w:rFonts w:hint="eastAsia" w:ascii="宋体" w:hAnsi="宋体"/>
          <w:szCs w:val="21"/>
        </w:rPr>
        <w:t>4</w:t>
      </w:r>
      <w:r>
        <w:rPr>
          <w:rFonts w:hint="eastAsia" w:ascii="宋体" w:hAnsi="宋体"/>
          <w:szCs w:val="21"/>
          <w:lang w:val="en-US" w:eastAsia="zh-CN"/>
        </w:rPr>
        <w:t>0</w:t>
      </w:r>
      <w:r>
        <w:rPr>
          <w:rFonts w:ascii="宋体" w:hAnsi="宋体"/>
          <w:szCs w:val="21"/>
        </w:rPr>
        <w:t>.2</w:t>
      </w:r>
      <w:r>
        <w:rPr>
          <w:rFonts w:hint="eastAsia" w:ascii="宋体" w:hAnsi="宋体"/>
          <w:szCs w:val="21"/>
        </w:rPr>
        <w:t>中标通知书是合同的重要组成部分。</w:t>
      </w:r>
    </w:p>
    <w:p w14:paraId="18F36D76">
      <w:pPr>
        <w:ind w:firstLine="411" w:firstLineChars="196"/>
        <w:rPr>
          <w:rFonts w:ascii="宋体" w:hAnsi="宋体"/>
          <w:szCs w:val="21"/>
        </w:rPr>
      </w:pPr>
      <w:bookmarkStart w:id="72" w:name="_Hlk71407340"/>
      <w:r>
        <w:rPr>
          <w:rFonts w:hint="eastAsia" w:ascii="宋体" w:hAnsi="宋体"/>
          <w:szCs w:val="21"/>
        </w:rPr>
        <w:t>4</w:t>
      </w:r>
      <w:r>
        <w:rPr>
          <w:rFonts w:hint="eastAsia" w:ascii="宋体" w:hAnsi="宋体"/>
          <w:szCs w:val="21"/>
          <w:lang w:val="en-US" w:eastAsia="zh-CN"/>
        </w:rPr>
        <w:t>0</w:t>
      </w:r>
      <w:r>
        <w:rPr>
          <w:rFonts w:hint="eastAsia" w:ascii="宋体" w:hAnsi="宋体"/>
          <w:szCs w:val="21"/>
        </w:rPr>
        <w:t>.3因质疑投诉或其它原因导致项目结果变更或采购终止的，政府集中采购机构有权</w:t>
      </w:r>
      <w:r>
        <w:rPr>
          <w:rFonts w:hint="eastAsia" w:ascii="宋体" w:hAnsi="宋体"/>
          <w:szCs w:val="21"/>
          <w:lang w:val="en-US" w:eastAsia="zh-CN"/>
        </w:rPr>
        <w:t>撤销</w:t>
      </w:r>
      <w:r>
        <w:rPr>
          <w:rFonts w:hint="eastAsia" w:ascii="宋体" w:hAnsi="宋体"/>
          <w:szCs w:val="21"/>
        </w:rPr>
        <w:t>中标通知书。</w:t>
      </w:r>
      <w:bookmarkEnd w:id="72"/>
    </w:p>
    <w:p w14:paraId="0803225D">
      <w:pPr>
        <w:ind w:firstLine="411" w:firstLineChars="196"/>
        <w:rPr>
          <w:rFonts w:ascii="宋体" w:hAnsi="宋体"/>
          <w:szCs w:val="21"/>
        </w:rPr>
      </w:pPr>
    </w:p>
    <w:p w14:paraId="1E5E22D9">
      <w:pPr>
        <w:pStyle w:val="5"/>
        <w:numPr>
          <w:ilvl w:val="0"/>
          <w:numId w:val="10"/>
        </w:numPr>
        <w:spacing w:before="120" w:beforeLines="50" w:after="120" w:afterLines="50"/>
        <w:ind w:left="562" w:hanging="562"/>
        <w:rPr>
          <w:sz w:val="28"/>
          <w:szCs w:val="28"/>
        </w:rPr>
      </w:pPr>
      <w:r>
        <w:rPr>
          <w:rFonts w:hint="eastAsia"/>
          <w:sz w:val="28"/>
          <w:szCs w:val="28"/>
        </w:rPr>
        <w:t>公开招标失败的后续处理</w:t>
      </w:r>
    </w:p>
    <w:p w14:paraId="75312EDC">
      <w:pPr>
        <w:rPr>
          <w:rFonts w:ascii="黑体" w:hAnsi="宋体" w:eastAsia="黑体"/>
          <w:sz w:val="24"/>
        </w:rPr>
      </w:pPr>
      <w:r>
        <w:rPr>
          <w:rFonts w:hint="eastAsia" w:ascii="黑体" w:hAnsi="宋体" w:eastAsia="黑体"/>
          <w:sz w:val="24"/>
          <w:lang w:eastAsia="zh-CN"/>
        </w:rPr>
        <w:t>41.</w:t>
      </w:r>
      <w:r>
        <w:rPr>
          <w:rFonts w:hint="eastAsia" w:ascii="黑体" w:hAnsi="宋体" w:eastAsia="黑体"/>
          <w:sz w:val="24"/>
        </w:rPr>
        <w:t>公开招标失败的处理</w:t>
      </w:r>
    </w:p>
    <w:p w14:paraId="0AFB1195">
      <w:pPr>
        <w:ind w:firstLine="411" w:firstLineChars="196"/>
        <w:rPr>
          <w:rFonts w:ascii="宋体" w:hAnsi="宋体"/>
        </w:rPr>
      </w:pPr>
      <w:r>
        <w:rPr>
          <w:rFonts w:hint="eastAsia" w:ascii="宋体" w:hAnsi="宋体"/>
          <w:szCs w:val="21"/>
        </w:rPr>
        <w:t>4</w:t>
      </w:r>
      <w:r>
        <w:rPr>
          <w:rFonts w:hint="eastAsia" w:ascii="宋体" w:hAnsi="宋体"/>
          <w:szCs w:val="21"/>
          <w:lang w:val="en-US" w:eastAsia="zh-CN"/>
        </w:rPr>
        <w:t>1</w:t>
      </w:r>
      <w:r>
        <w:rPr>
          <w:rFonts w:hint="eastAsia" w:ascii="宋体" w:hAnsi="宋体"/>
          <w:szCs w:val="21"/>
        </w:rPr>
        <w:t>.1本项目公开招标过程中若由于投标截止后</w:t>
      </w:r>
      <w:r>
        <w:rPr>
          <w:rFonts w:hint="eastAsia" w:ascii="宋体" w:hAnsi="宋体"/>
        </w:rPr>
        <w:t>实际递交</w:t>
      </w:r>
      <w:r>
        <w:rPr>
          <w:rFonts w:ascii="宋体" w:hAnsi="宋体"/>
        </w:rPr>
        <w:t>投标</w:t>
      </w:r>
      <w:r>
        <w:rPr>
          <w:rFonts w:hint="eastAsia" w:ascii="宋体" w:hAnsi="宋体"/>
        </w:rPr>
        <w:t>文件的供应商数量不足、经</w:t>
      </w:r>
      <w:r>
        <w:rPr>
          <w:rFonts w:hint="eastAsia" w:ascii="宋体" w:hAnsi="宋体"/>
          <w:szCs w:val="21"/>
        </w:rPr>
        <w:t>评审委员会</w:t>
      </w:r>
      <w:r>
        <w:rPr>
          <w:rFonts w:hint="eastAsia" w:ascii="宋体" w:hAnsi="宋体"/>
        </w:rPr>
        <w:t>评审对招标文件作实质响应的供应商不足等原因造成公开招标失败，可由</w:t>
      </w:r>
      <w:r>
        <w:rPr>
          <w:rFonts w:hint="eastAsia" w:ascii="宋体" w:hAnsi="宋体" w:cs="宋体"/>
        </w:rPr>
        <w:t>政府集中采购机构</w:t>
      </w:r>
      <w:r>
        <w:rPr>
          <w:rFonts w:hint="eastAsia" w:ascii="宋体" w:hAnsi="宋体"/>
        </w:rPr>
        <w:t>重新组织采购。</w:t>
      </w:r>
    </w:p>
    <w:p w14:paraId="6F067B72">
      <w:pPr>
        <w:ind w:firstLine="411" w:firstLineChars="196"/>
        <w:rPr>
          <w:rFonts w:ascii="宋体" w:hAnsi="宋体"/>
          <w:szCs w:val="21"/>
        </w:rPr>
      </w:pPr>
      <w:r>
        <w:rPr>
          <w:rFonts w:hint="eastAsia" w:ascii="宋体" w:hAnsi="宋体"/>
          <w:szCs w:val="21"/>
        </w:rPr>
        <w:t>4</w:t>
      </w:r>
      <w:r>
        <w:rPr>
          <w:rFonts w:hint="eastAsia" w:ascii="宋体" w:hAnsi="宋体"/>
          <w:szCs w:val="21"/>
          <w:lang w:val="en-US" w:eastAsia="zh-CN"/>
        </w:rPr>
        <w:t>1</w:t>
      </w:r>
      <w:r>
        <w:rPr>
          <w:rFonts w:hint="eastAsia" w:ascii="宋体" w:hAnsi="宋体"/>
          <w:szCs w:val="21"/>
        </w:rPr>
        <w:t>.2对公开招标失败的项目，评审委员会在出具该项目招标失败结论的同时，可以提出重新采购组织形式的建议，以及进一步完善招标文件的资格、技术、商务要求的修改建议。</w:t>
      </w:r>
    </w:p>
    <w:p w14:paraId="3071347A">
      <w:pPr>
        <w:ind w:firstLine="411" w:firstLineChars="196"/>
        <w:rPr>
          <w:rFonts w:ascii="宋体" w:hAnsi="宋体"/>
          <w:szCs w:val="21"/>
        </w:rPr>
      </w:pPr>
      <w:r>
        <w:rPr>
          <w:rFonts w:hint="eastAsia" w:ascii="宋体" w:hAnsi="宋体"/>
          <w:szCs w:val="21"/>
        </w:rPr>
        <w:t>4</w:t>
      </w:r>
      <w:r>
        <w:rPr>
          <w:rFonts w:hint="eastAsia" w:ascii="宋体" w:hAnsi="宋体"/>
          <w:szCs w:val="21"/>
          <w:lang w:val="en-US" w:eastAsia="zh-CN"/>
        </w:rPr>
        <w:t>1</w:t>
      </w:r>
      <w:r>
        <w:rPr>
          <w:rFonts w:hint="eastAsia" w:ascii="宋体" w:hAnsi="宋体"/>
          <w:szCs w:val="21"/>
        </w:rPr>
        <w:t>.3重新组织采购有以下两种组织形式：</w:t>
      </w:r>
    </w:p>
    <w:p w14:paraId="5E6890B7">
      <w:pPr>
        <w:ind w:firstLine="411" w:firstLineChars="196"/>
        <w:rPr>
          <w:rFonts w:ascii="宋体" w:hAnsi="宋体"/>
        </w:rPr>
      </w:pPr>
      <w:r>
        <w:rPr>
          <w:rFonts w:hint="eastAsia" w:ascii="宋体" w:hAnsi="宋体"/>
        </w:rPr>
        <w:t>（1）由政府集中采购机构重新组织公开招标；</w:t>
      </w:r>
    </w:p>
    <w:p w14:paraId="70247C9F">
      <w:pPr>
        <w:ind w:firstLine="411" w:firstLineChars="196"/>
        <w:rPr>
          <w:rFonts w:ascii="宋体" w:hAnsi="宋体"/>
        </w:rPr>
      </w:pPr>
      <w:r>
        <w:rPr>
          <w:rFonts w:hint="eastAsia" w:ascii="宋体" w:hAnsi="宋体"/>
        </w:rPr>
        <w:t>（2）根据实际情况需要向同级财政部门提出非公开招标方式申请，经同级财政部门批准，公开招标失败采购项目可转为竞争性谈判或单一来源谈判方式采购。</w:t>
      </w:r>
    </w:p>
    <w:p w14:paraId="7D01EF67">
      <w:pPr>
        <w:ind w:firstLine="411" w:firstLineChars="196"/>
        <w:rPr>
          <w:rFonts w:ascii="宋体" w:hAnsi="宋体"/>
        </w:rPr>
      </w:pPr>
      <w:r>
        <w:rPr>
          <w:rFonts w:hint="eastAsia" w:ascii="宋体" w:hAnsi="宋体"/>
        </w:rPr>
        <w:t>4</w:t>
      </w:r>
      <w:r>
        <w:rPr>
          <w:rFonts w:hint="eastAsia" w:ascii="宋体" w:hAnsi="宋体"/>
          <w:lang w:val="en-US" w:eastAsia="zh-CN"/>
        </w:rPr>
        <w:t>1</w:t>
      </w:r>
      <w:r>
        <w:rPr>
          <w:rFonts w:hint="eastAsia" w:ascii="宋体" w:hAnsi="宋体"/>
        </w:rPr>
        <w:t>.4公开招标失败的采购项目重新组织公开招标，由政府集中采购机构重新按公开招标流程组织采购活动。</w:t>
      </w:r>
    </w:p>
    <w:p w14:paraId="2B9BD7DE">
      <w:pPr>
        <w:rPr>
          <w:rFonts w:ascii="宋体" w:hAnsi="宋体"/>
        </w:rPr>
      </w:pPr>
      <w:r>
        <w:rPr>
          <w:rFonts w:hint="eastAsia" w:ascii="黑体" w:hAnsi="宋体" w:eastAsia="黑体"/>
          <w:sz w:val="24"/>
        </w:rPr>
        <w:t xml:space="preserve">    </w:t>
      </w:r>
      <w:r>
        <w:rPr>
          <w:rFonts w:hint="eastAsia" w:ascii="宋体" w:hAnsi="宋体"/>
        </w:rPr>
        <w:t>4</w:t>
      </w:r>
      <w:r>
        <w:rPr>
          <w:rFonts w:hint="eastAsia" w:ascii="宋体" w:hAnsi="宋体"/>
          <w:lang w:val="en-US" w:eastAsia="zh-CN"/>
        </w:rPr>
        <w:t>1</w:t>
      </w:r>
      <w:r>
        <w:rPr>
          <w:rFonts w:hint="eastAsia" w:ascii="宋体" w:hAnsi="宋体"/>
        </w:rPr>
        <w:t>.5公开招标失败的采购项目经同级财政部门批准转为竞争性谈判或单一来源谈判方式采购的，按规定要求组织政府采购工作。</w:t>
      </w:r>
    </w:p>
    <w:p w14:paraId="0A9CFAED">
      <w:pPr>
        <w:rPr>
          <w:rFonts w:ascii="黑体" w:hAnsi="宋体" w:eastAsia="黑体"/>
          <w:sz w:val="24"/>
        </w:rPr>
      </w:pPr>
    </w:p>
    <w:p w14:paraId="372A0A86">
      <w:pPr>
        <w:pStyle w:val="5"/>
        <w:numPr>
          <w:ilvl w:val="0"/>
          <w:numId w:val="10"/>
        </w:numPr>
        <w:spacing w:before="120" w:beforeLines="50" w:after="120" w:afterLines="50"/>
        <w:ind w:left="562" w:hanging="562"/>
        <w:rPr>
          <w:sz w:val="28"/>
          <w:szCs w:val="28"/>
        </w:rPr>
      </w:pPr>
      <w:bookmarkStart w:id="73" w:name="_Hlk72439043"/>
      <w:r>
        <w:rPr>
          <w:rFonts w:hint="eastAsia"/>
          <w:sz w:val="28"/>
          <w:szCs w:val="28"/>
        </w:rPr>
        <w:t>合同的授予与备案</w:t>
      </w:r>
      <w:bookmarkEnd w:id="73"/>
    </w:p>
    <w:p w14:paraId="2A0783B6">
      <w:pPr>
        <w:rPr>
          <w:rFonts w:ascii="黑体" w:hAnsi="宋体" w:eastAsia="黑体"/>
          <w:sz w:val="24"/>
        </w:rPr>
      </w:pPr>
      <w:bookmarkStart w:id="74" w:name="_Toc73517679"/>
      <w:bookmarkStart w:id="75" w:name="_Toc73521674"/>
      <w:bookmarkStart w:id="76" w:name="_Toc73521586"/>
      <w:bookmarkStart w:id="77" w:name="_Toc100052408"/>
      <w:bookmarkStart w:id="78" w:name="_Toc73518157"/>
      <w:bookmarkStart w:id="79" w:name="_Hlk72439088"/>
      <w:r>
        <w:rPr>
          <w:rFonts w:hint="eastAsia" w:ascii="黑体" w:hAnsi="宋体" w:eastAsia="黑体"/>
          <w:sz w:val="24"/>
          <w:lang w:eastAsia="zh-CN"/>
        </w:rPr>
        <w:t>42.</w:t>
      </w:r>
      <w:r>
        <w:rPr>
          <w:rFonts w:hint="eastAsia" w:ascii="黑体" w:hAnsi="宋体" w:eastAsia="黑体"/>
          <w:sz w:val="24"/>
        </w:rPr>
        <w:t>合同授予标准</w:t>
      </w:r>
      <w:bookmarkEnd w:id="74"/>
      <w:bookmarkEnd w:id="75"/>
      <w:bookmarkEnd w:id="76"/>
      <w:bookmarkEnd w:id="77"/>
      <w:bookmarkEnd w:id="78"/>
    </w:p>
    <w:p w14:paraId="08C6302B">
      <w:pPr>
        <w:ind w:firstLine="411" w:firstLineChars="196"/>
        <w:rPr>
          <w:rFonts w:ascii="宋体" w:hAnsi="宋体"/>
          <w:szCs w:val="21"/>
        </w:rPr>
      </w:pPr>
      <w:r>
        <w:rPr>
          <w:rFonts w:hint="eastAsia" w:ascii="宋体" w:hAnsi="宋体"/>
          <w:szCs w:val="21"/>
        </w:rPr>
        <w:t>本项目的合同将授予经本招标文件规定评审确定的中标供应商。</w:t>
      </w:r>
    </w:p>
    <w:p w14:paraId="1DD75A76">
      <w:pPr>
        <w:rPr>
          <w:rFonts w:ascii="黑体" w:hAnsi="宋体" w:eastAsia="黑体"/>
          <w:sz w:val="24"/>
        </w:rPr>
      </w:pPr>
      <w:bookmarkStart w:id="80" w:name="_Toc73521675"/>
      <w:bookmarkStart w:id="81" w:name="_Toc100052409"/>
      <w:bookmarkStart w:id="82" w:name="_Toc73517680"/>
      <w:bookmarkStart w:id="83" w:name="_Toc73521587"/>
      <w:bookmarkStart w:id="84" w:name="_Toc73518158"/>
      <w:r>
        <w:rPr>
          <w:rFonts w:hint="eastAsia" w:ascii="黑体" w:hAnsi="宋体" w:eastAsia="黑体"/>
          <w:sz w:val="24"/>
          <w:lang w:eastAsia="zh-CN"/>
        </w:rPr>
        <w:t>43.</w:t>
      </w:r>
      <w:bookmarkEnd w:id="80"/>
      <w:bookmarkEnd w:id="81"/>
      <w:bookmarkEnd w:id="82"/>
      <w:bookmarkEnd w:id="83"/>
      <w:bookmarkEnd w:id="84"/>
      <w:r>
        <w:rPr>
          <w:rFonts w:hint="eastAsia" w:ascii="黑体" w:hAnsi="宋体" w:eastAsia="黑体"/>
          <w:sz w:val="24"/>
        </w:rPr>
        <w:t>接受和拒绝任何或所有投标的</w:t>
      </w:r>
      <w:r>
        <w:rPr>
          <w:rFonts w:hint="eastAsia" w:ascii="黑体" w:hAnsi="宋体" w:eastAsia="黑体"/>
          <w:sz w:val="24"/>
          <w:lang w:eastAsia="zh-CN"/>
        </w:rPr>
        <w:t>权利</w:t>
      </w:r>
    </w:p>
    <w:p w14:paraId="1E177068">
      <w:pPr>
        <w:ind w:firstLine="411" w:firstLineChars="196"/>
        <w:rPr>
          <w:rFonts w:ascii="宋体" w:hAnsi="宋体"/>
          <w:szCs w:val="21"/>
        </w:rPr>
      </w:pPr>
      <w:r>
        <w:rPr>
          <w:rFonts w:hint="eastAsia" w:ascii="宋体" w:hAnsi="宋体"/>
          <w:szCs w:val="21"/>
        </w:rPr>
        <w:t>政府集中采购机构和采购人保留在投标之前任何时候接受或拒绝任何投标或所有投标，以及宣布招标无效的权力，对受影响的投标人不承担任何责任，也无义务向受影响的投标人解释采取这一行动的理由。</w:t>
      </w:r>
    </w:p>
    <w:p w14:paraId="2F382F70">
      <w:pPr>
        <w:rPr>
          <w:rFonts w:ascii="黑体" w:hAnsi="宋体" w:eastAsia="黑体"/>
          <w:sz w:val="24"/>
        </w:rPr>
      </w:pPr>
      <w:bookmarkStart w:id="85" w:name="_Toc73518160"/>
      <w:bookmarkStart w:id="86" w:name="_Toc73517682"/>
      <w:bookmarkStart w:id="87" w:name="_Toc100052410"/>
      <w:bookmarkStart w:id="88" w:name="_Toc73521589"/>
      <w:bookmarkStart w:id="89" w:name="_Toc73521677"/>
      <w:r>
        <w:rPr>
          <w:rFonts w:hint="eastAsia" w:ascii="黑体" w:hAnsi="宋体" w:eastAsia="黑体"/>
          <w:sz w:val="24"/>
          <w:lang w:eastAsia="zh-CN"/>
        </w:rPr>
        <w:t>44.</w:t>
      </w:r>
      <w:r>
        <w:rPr>
          <w:rFonts w:hint="eastAsia" w:ascii="黑体" w:hAnsi="宋体" w:eastAsia="黑体"/>
          <w:sz w:val="24"/>
        </w:rPr>
        <w:t>合同的签订</w:t>
      </w:r>
      <w:bookmarkEnd w:id="85"/>
      <w:bookmarkEnd w:id="86"/>
      <w:bookmarkEnd w:id="87"/>
      <w:bookmarkEnd w:id="88"/>
      <w:bookmarkEnd w:id="89"/>
    </w:p>
    <w:p w14:paraId="01575782">
      <w:pPr>
        <w:ind w:firstLine="411" w:firstLineChars="196"/>
        <w:rPr>
          <w:rFonts w:ascii="宋体" w:hAnsi="宋体"/>
          <w:szCs w:val="21"/>
        </w:rPr>
      </w:pPr>
      <w:r>
        <w:rPr>
          <w:rFonts w:hint="eastAsia" w:ascii="宋体" w:hAnsi="宋体"/>
          <w:szCs w:val="21"/>
        </w:rPr>
        <w:t>4</w:t>
      </w:r>
      <w:r>
        <w:rPr>
          <w:rFonts w:hint="eastAsia" w:ascii="宋体" w:hAnsi="宋体"/>
          <w:szCs w:val="21"/>
          <w:lang w:val="en-US" w:eastAsia="zh-CN"/>
        </w:rPr>
        <w:t>4</w:t>
      </w:r>
      <w:r>
        <w:rPr>
          <w:rFonts w:hint="eastAsia" w:ascii="宋体" w:hAnsi="宋体"/>
          <w:szCs w:val="21"/>
        </w:rPr>
        <w:t>.1中标人将于中标通知书发出之日起十个工作日内，按照采购文件（招标文件和投标文件等）内容与采购人签订政府采购合同；合同的实质性内容应当符合招标文件的规定；</w:t>
      </w:r>
    </w:p>
    <w:p w14:paraId="1FD139E0">
      <w:pPr>
        <w:ind w:firstLine="411" w:firstLineChars="196"/>
        <w:rPr>
          <w:rFonts w:ascii="宋体" w:hAnsi="宋体"/>
          <w:szCs w:val="21"/>
        </w:rPr>
      </w:pPr>
      <w:r>
        <w:rPr>
          <w:rFonts w:hint="eastAsia" w:ascii="宋体" w:hAnsi="宋体"/>
          <w:szCs w:val="21"/>
        </w:rPr>
        <w:t>4</w:t>
      </w:r>
      <w:r>
        <w:rPr>
          <w:rFonts w:hint="eastAsia" w:ascii="宋体" w:hAnsi="宋体"/>
          <w:szCs w:val="21"/>
          <w:lang w:val="en-US" w:eastAsia="zh-CN"/>
        </w:rPr>
        <w:t>4</w:t>
      </w:r>
      <w:r>
        <w:rPr>
          <w:rFonts w:hint="eastAsia" w:ascii="宋体" w:hAnsi="宋体"/>
          <w:szCs w:val="21"/>
        </w:rPr>
        <w:t>.2中标人如不按本通用条款第45</w:t>
      </w:r>
      <w:r>
        <w:rPr>
          <w:rFonts w:ascii="宋体" w:hAnsi="宋体"/>
          <w:szCs w:val="21"/>
        </w:rPr>
        <w:t>.1</w:t>
      </w:r>
      <w:r>
        <w:rPr>
          <w:rFonts w:hint="eastAsia" w:ascii="宋体" w:hAnsi="宋体"/>
          <w:szCs w:val="21"/>
        </w:rPr>
        <w:t>款的规定与采购人签订合同，</w:t>
      </w:r>
      <w:r>
        <w:rPr>
          <w:rFonts w:ascii="宋体" w:hAnsi="宋体" w:cs="宋体"/>
          <w:kern w:val="0"/>
          <w:szCs w:val="21"/>
        </w:rPr>
        <w:t>情节严重的，由</w:t>
      </w:r>
      <w:r>
        <w:rPr>
          <w:rFonts w:hint="eastAsia" w:ascii="宋体" w:hAnsi="宋体" w:cs="宋体"/>
          <w:kern w:val="0"/>
          <w:szCs w:val="21"/>
        </w:rPr>
        <w:t>同级财政</w:t>
      </w:r>
      <w:r>
        <w:rPr>
          <w:rFonts w:ascii="宋体" w:hAnsi="宋体" w:cs="宋体"/>
          <w:kern w:val="0"/>
          <w:szCs w:val="21"/>
        </w:rPr>
        <w:t>部门记入供应商诚信档案，予以通报</w:t>
      </w:r>
      <w:r>
        <w:rPr>
          <w:rFonts w:hint="eastAsia" w:ascii="宋体" w:hAnsi="宋体"/>
          <w:szCs w:val="21"/>
        </w:rPr>
        <w:t>；</w:t>
      </w:r>
    </w:p>
    <w:p w14:paraId="581CACA7">
      <w:pPr>
        <w:ind w:firstLine="411" w:firstLineChars="196"/>
        <w:rPr>
          <w:rFonts w:ascii="宋体" w:hAnsi="宋体"/>
          <w:szCs w:val="21"/>
        </w:rPr>
      </w:pPr>
      <w:r>
        <w:rPr>
          <w:rFonts w:hint="eastAsia" w:ascii="宋体" w:hAnsi="宋体"/>
          <w:szCs w:val="21"/>
        </w:rPr>
        <w:t>4</w:t>
      </w:r>
      <w:r>
        <w:rPr>
          <w:rFonts w:hint="eastAsia" w:ascii="宋体" w:hAnsi="宋体"/>
          <w:szCs w:val="21"/>
          <w:lang w:val="en-US" w:eastAsia="zh-CN"/>
        </w:rPr>
        <w:t>4</w:t>
      </w:r>
      <w:r>
        <w:rPr>
          <w:rFonts w:hint="eastAsia" w:ascii="宋体" w:hAnsi="宋体"/>
          <w:szCs w:val="21"/>
        </w:rPr>
        <w:t>.3中标人应当按照合同约定履行义务，完成中标项目，不得将中标项目转让（转包）给他人。</w:t>
      </w:r>
    </w:p>
    <w:p w14:paraId="3A94BE08">
      <w:pPr>
        <w:rPr>
          <w:rFonts w:ascii="黑体" w:hAnsi="宋体" w:eastAsia="黑体"/>
          <w:sz w:val="24"/>
        </w:rPr>
      </w:pPr>
      <w:bookmarkStart w:id="90" w:name="_Toc73517683"/>
      <w:bookmarkStart w:id="91" w:name="_Toc73521590"/>
      <w:bookmarkStart w:id="92" w:name="_Toc73518161"/>
      <w:bookmarkStart w:id="93" w:name="_Toc100052411"/>
      <w:bookmarkStart w:id="94" w:name="_Toc73521678"/>
      <w:r>
        <w:rPr>
          <w:rFonts w:hint="eastAsia" w:ascii="黑体" w:hAnsi="宋体" w:eastAsia="黑体"/>
          <w:sz w:val="24"/>
          <w:lang w:eastAsia="zh-CN"/>
        </w:rPr>
        <w:t>45.</w:t>
      </w:r>
      <w:r>
        <w:rPr>
          <w:rFonts w:hint="eastAsia" w:ascii="黑体" w:hAnsi="宋体" w:eastAsia="黑体"/>
          <w:sz w:val="24"/>
        </w:rPr>
        <w:t>履约担保</w:t>
      </w:r>
      <w:bookmarkEnd w:id="90"/>
      <w:bookmarkEnd w:id="91"/>
      <w:bookmarkEnd w:id="92"/>
      <w:bookmarkEnd w:id="93"/>
      <w:bookmarkEnd w:id="94"/>
    </w:p>
    <w:p w14:paraId="355FD9B8">
      <w:pPr>
        <w:ind w:firstLine="411" w:firstLineChars="196"/>
        <w:rPr>
          <w:rFonts w:ascii="宋体" w:hAnsi="宋体"/>
          <w:szCs w:val="21"/>
        </w:rPr>
      </w:pPr>
      <w:r>
        <w:rPr>
          <w:rFonts w:hint="eastAsia" w:ascii="宋体" w:hAnsi="宋体"/>
          <w:szCs w:val="21"/>
        </w:rPr>
        <w:t>4</w:t>
      </w:r>
      <w:r>
        <w:rPr>
          <w:rFonts w:hint="eastAsia" w:ascii="宋体" w:hAnsi="宋体"/>
          <w:szCs w:val="21"/>
          <w:lang w:val="en-US" w:eastAsia="zh-CN"/>
        </w:rPr>
        <w:t>5</w:t>
      </w:r>
      <w:r>
        <w:rPr>
          <w:rFonts w:hint="eastAsia" w:ascii="宋体" w:hAnsi="宋体"/>
          <w:szCs w:val="21"/>
        </w:rPr>
        <w:t>.1在签订项目合同的同时，中标人应按“对通用条款的补充内容”中规定的金额向采购人提交履约担保；</w:t>
      </w:r>
    </w:p>
    <w:p w14:paraId="1B456662">
      <w:pPr>
        <w:ind w:firstLine="411" w:firstLineChars="196"/>
        <w:rPr>
          <w:rFonts w:ascii="宋体" w:hAnsi="宋体"/>
          <w:szCs w:val="21"/>
        </w:rPr>
      </w:pPr>
      <w:r>
        <w:rPr>
          <w:rFonts w:hint="eastAsia" w:ascii="宋体" w:hAnsi="宋体"/>
          <w:szCs w:val="21"/>
        </w:rPr>
        <w:t>4</w:t>
      </w:r>
      <w:r>
        <w:rPr>
          <w:rFonts w:hint="eastAsia" w:ascii="宋体" w:hAnsi="宋体"/>
          <w:szCs w:val="21"/>
          <w:lang w:val="en-US" w:eastAsia="zh-CN"/>
        </w:rPr>
        <w:t>5</w:t>
      </w:r>
      <w:r>
        <w:rPr>
          <w:rFonts w:hint="eastAsia" w:ascii="宋体" w:hAnsi="宋体"/>
          <w:szCs w:val="21"/>
        </w:rPr>
        <w:t>.2允许供应商自主选择以支票、汇票、本票、保函等非现金方式提交履约担保；</w:t>
      </w:r>
      <w:r>
        <w:t>中标</w:t>
      </w:r>
      <w:r>
        <w:rPr>
          <w:rFonts w:hint="eastAsia"/>
        </w:rPr>
        <w:t>人</w:t>
      </w:r>
      <w:r>
        <w:t>提交履约</w:t>
      </w:r>
      <w:r>
        <w:rPr>
          <w:rFonts w:hint="eastAsia"/>
        </w:rPr>
        <w:t>担保不是</w:t>
      </w:r>
      <w:r>
        <w:t>合同签订的</w:t>
      </w:r>
      <w:r>
        <w:rPr>
          <w:rFonts w:hint="eastAsia"/>
        </w:rPr>
        <w:t>前提</w:t>
      </w:r>
      <w:r>
        <w:t>条件，不要求中标</w:t>
      </w:r>
      <w:r>
        <w:rPr>
          <w:rFonts w:hint="eastAsia"/>
        </w:rPr>
        <w:t>人</w:t>
      </w:r>
      <w:r>
        <w:t>提供除法律、法规明确规定外的其他担保</w:t>
      </w:r>
      <w:r>
        <w:rPr>
          <w:rFonts w:hint="eastAsia"/>
        </w:rPr>
        <w:t>。</w:t>
      </w:r>
    </w:p>
    <w:p w14:paraId="55B657E0">
      <w:pPr>
        <w:rPr>
          <w:rFonts w:ascii="黑体" w:hAnsi="宋体" w:eastAsia="黑体"/>
          <w:sz w:val="24"/>
        </w:rPr>
      </w:pPr>
      <w:r>
        <w:rPr>
          <w:rFonts w:hint="eastAsia" w:ascii="黑体" w:hAnsi="宋体" w:eastAsia="黑体"/>
          <w:sz w:val="24"/>
        </w:rPr>
        <w:t>4</w:t>
      </w:r>
      <w:r>
        <w:rPr>
          <w:rFonts w:hint="eastAsia" w:ascii="黑体" w:hAnsi="宋体" w:eastAsia="黑体"/>
          <w:sz w:val="24"/>
          <w:lang w:val="en-US" w:eastAsia="zh-CN"/>
        </w:rPr>
        <w:t>6</w:t>
      </w:r>
      <w:r>
        <w:rPr>
          <w:rFonts w:hint="eastAsia" w:ascii="黑体" w:hAnsi="宋体" w:eastAsia="黑体"/>
          <w:sz w:val="24"/>
        </w:rPr>
        <w:t>. 合同备案</w:t>
      </w:r>
    </w:p>
    <w:p w14:paraId="5878F774">
      <w:pPr>
        <w:ind w:firstLine="411" w:firstLineChars="196"/>
        <w:rPr>
          <w:rFonts w:ascii="宋体" w:hAnsi="宋体"/>
          <w:szCs w:val="21"/>
        </w:rPr>
      </w:pPr>
      <w:r>
        <w:rPr>
          <w:rFonts w:hint="eastAsia" w:ascii="宋体" w:hAnsi="宋体" w:eastAsia="宋体" w:cs="Times New Roman"/>
          <w:kern w:val="2"/>
          <w:sz w:val="21"/>
          <w:szCs w:val="21"/>
        </w:rPr>
        <w:t>采购人与中标供应商自中标通知书发出之日起10个工作日内签订政府采购合同，</w:t>
      </w:r>
      <w:r>
        <w:rPr>
          <w:rFonts w:hint="eastAsia" w:ascii="宋体" w:hAnsi="宋体" w:eastAsia="宋体" w:cs="Times New Roman"/>
          <w:kern w:val="2"/>
          <w:sz w:val="21"/>
          <w:szCs w:val="21"/>
          <w:lang w:val="en-US" w:eastAsia="zh-CN"/>
        </w:rPr>
        <w:t>并按财政部门规定提交备案。</w:t>
      </w:r>
    </w:p>
    <w:p w14:paraId="50C827CF">
      <w:pPr>
        <w:rPr>
          <w:rFonts w:ascii="黑体" w:hAnsi="宋体" w:eastAsia="黑体"/>
          <w:sz w:val="24"/>
        </w:rPr>
      </w:pPr>
      <w:r>
        <w:rPr>
          <w:rFonts w:hint="eastAsia" w:ascii="黑体" w:hAnsi="宋体" w:eastAsia="黑体"/>
          <w:sz w:val="24"/>
        </w:rPr>
        <w:t>4</w:t>
      </w:r>
      <w:r>
        <w:rPr>
          <w:rFonts w:hint="eastAsia" w:ascii="黑体" w:hAnsi="宋体" w:eastAsia="黑体"/>
          <w:sz w:val="24"/>
          <w:lang w:val="en-US" w:eastAsia="zh-CN"/>
        </w:rPr>
        <w:t>7</w:t>
      </w:r>
      <w:r>
        <w:rPr>
          <w:rFonts w:hint="eastAsia" w:ascii="黑体" w:hAnsi="宋体" w:eastAsia="黑体"/>
          <w:sz w:val="24"/>
        </w:rPr>
        <w:t>. 合同变更</w:t>
      </w:r>
    </w:p>
    <w:p w14:paraId="66F8701D">
      <w:pPr>
        <w:ind w:firstLine="411" w:firstLineChars="196"/>
        <w:rPr>
          <w:rFonts w:ascii="宋体" w:hAnsi="宋体"/>
          <w:szCs w:val="21"/>
        </w:rPr>
      </w:pPr>
      <w:r>
        <w:rPr>
          <w:rFonts w:hint="eastAsia" w:ascii="宋体" w:hAnsi="宋体"/>
          <w:szCs w:val="21"/>
        </w:rPr>
        <w:t>合同变更事宜按《深圳市财政局关于优化政府采购合同备案的通知》（深财发保〔2022〕2号）相关规定执行。</w:t>
      </w:r>
    </w:p>
    <w:p w14:paraId="4757EE77">
      <w:pPr>
        <w:rPr>
          <w:rFonts w:ascii="黑体" w:hAnsi="宋体" w:eastAsia="黑体"/>
          <w:sz w:val="24"/>
        </w:rPr>
      </w:pPr>
      <w:r>
        <w:rPr>
          <w:rFonts w:hint="eastAsia" w:ascii="黑体" w:hAnsi="宋体" w:eastAsia="黑体"/>
          <w:sz w:val="24"/>
        </w:rPr>
        <w:t>4</w:t>
      </w:r>
      <w:r>
        <w:rPr>
          <w:rFonts w:hint="eastAsia" w:ascii="黑体" w:hAnsi="宋体" w:eastAsia="黑体"/>
          <w:sz w:val="24"/>
          <w:lang w:val="en-US" w:eastAsia="zh-CN"/>
        </w:rPr>
        <w:t>8</w:t>
      </w:r>
      <w:r>
        <w:rPr>
          <w:rFonts w:hint="eastAsia" w:ascii="黑体" w:hAnsi="宋体" w:eastAsia="黑体"/>
          <w:sz w:val="24"/>
        </w:rPr>
        <w:t>. 项目验收</w:t>
      </w:r>
    </w:p>
    <w:p w14:paraId="1D5976C6">
      <w:pPr>
        <w:widowControl/>
        <w:ind w:right="176" w:firstLine="420"/>
        <w:jc w:val="left"/>
        <w:rPr>
          <w:rFonts w:ascii="宋体" w:hAnsi="宋体"/>
        </w:rPr>
      </w:pPr>
      <w:r>
        <w:rPr>
          <w:rFonts w:hint="eastAsia" w:ascii="宋体" w:hAnsi="宋体"/>
        </w:rPr>
        <w:t>4</w:t>
      </w:r>
      <w:r>
        <w:rPr>
          <w:rFonts w:hint="eastAsia" w:ascii="宋体" w:hAnsi="宋体"/>
          <w:lang w:val="en-US" w:eastAsia="zh-CN"/>
        </w:rPr>
        <w:t>8</w:t>
      </w:r>
      <w:r>
        <w:rPr>
          <w:rFonts w:hint="eastAsia" w:ascii="宋体" w:hAnsi="宋体"/>
        </w:rPr>
        <w:t>.1采购人应当按照招标文件和合同规定的标准和方法，及时组织验收。</w:t>
      </w:r>
      <w:r>
        <w:rPr>
          <w:rFonts w:ascii="宋体" w:hAnsi="宋体"/>
        </w:rPr>
        <w:t xml:space="preserve"> </w:t>
      </w:r>
    </w:p>
    <w:p w14:paraId="5B8856CA">
      <w:pPr>
        <w:rPr>
          <w:rFonts w:ascii="黑体" w:hAnsi="宋体" w:eastAsia="黑体"/>
          <w:sz w:val="24"/>
        </w:rPr>
      </w:pPr>
      <w:r>
        <w:rPr>
          <w:rFonts w:hint="eastAsia" w:ascii="黑体" w:hAnsi="宋体" w:eastAsia="黑体"/>
          <w:sz w:val="24"/>
          <w:lang w:val="en-US" w:eastAsia="zh-CN"/>
        </w:rPr>
        <w:t>49</w:t>
      </w:r>
      <w:r>
        <w:rPr>
          <w:rFonts w:hint="eastAsia" w:ascii="黑体" w:hAnsi="宋体" w:eastAsia="黑体"/>
          <w:sz w:val="24"/>
        </w:rPr>
        <w:t>. 宣传</w:t>
      </w:r>
    </w:p>
    <w:p w14:paraId="48B45A0E">
      <w:pPr>
        <w:ind w:left="210" w:leftChars="100" w:firstLine="411" w:firstLineChars="196"/>
        <w:rPr>
          <w:rFonts w:ascii="宋体" w:hAnsi="宋体"/>
        </w:rPr>
      </w:pPr>
      <w:r>
        <w:rPr>
          <w:rFonts w:hint="eastAsia" w:ascii="宋体" w:hAnsi="宋体"/>
        </w:rPr>
        <w:t>凡与政府采购活动有关的宣传或广告，若当中提及政府采购，</w:t>
      </w:r>
      <w:r>
        <w:rPr>
          <w:rFonts w:ascii="宋体" w:hAnsi="宋体"/>
        </w:rPr>
        <w:t>必须事先将具体对外宣传方案报</w:t>
      </w:r>
      <w:r>
        <w:rPr>
          <w:rFonts w:hint="eastAsia" w:ascii="宋体" w:hAnsi="宋体"/>
        </w:rPr>
        <w:t>同级财政部门</w:t>
      </w:r>
      <w:r>
        <w:rPr>
          <w:rFonts w:ascii="宋体" w:hAnsi="宋体"/>
        </w:rPr>
        <w:t>和</w:t>
      </w:r>
      <w:r>
        <w:rPr>
          <w:rFonts w:hint="eastAsia" w:ascii="宋体" w:hAnsi="宋体"/>
        </w:rPr>
        <w:t>政府集中采购机构</w:t>
      </w:r>
      <w:r>
        <w:rPr>
          <w:rFonts w:ascii="宋体" w:hAnsi="宋体"/>
        </w:rPr>
        <w:t>，并征得其同意。对外市场宣传包括但不限于以下形式：</w:t>
      </w:r>
    </w:p>
    <w:p w14:paraId="0183C407">
      <w:pPr>
        <w:ind w:left="210" w:leftChars="100" w:firstLine="411" w:firstLineChars="196"/>
        <w:rPr>
          <w:rFonts w:ascii="宋体" w:hAnsi="宋体"/>
        </w:rPr>
      </w:pPr>
      <w:r>
        <w:rPr>
          <w:rFonts w:ascii="宋体" w:hAnsi="宋体"/>
        </w:rPr>
        <w:t>a.名片、宣传册、广告标语等；</w:t>
      </w:r>
    </w:p>
    <w:p w14:paraId="7D331EF5">
      <w:pPr>
        <w:ind w:left="210" w:leftChars="100" w:firstLine="411" w:firstLineChars="196"/>
        <w:rPr>
          <w:rFonts w:ascii="宋体" w:hAnsi="宋体"/>
        </w:rPr>
      </w:pPr>
      <w:r>
        <w:rPr>
          <w:rFonts w:ascii="宋体" w:hAnsi="宋体"/>
        </w:rPr>
        <w:t>b.案例介绍、推广等；</w:t>
      </w:r>
    </w:p>
    <w:p w14:paraId="484CAF6D">
      <w:pPr>
        <w:ind w:left="210" w:leftChars="100" w:firstLine="411" w:firstLineChars="196"/>
        <w:rPr>
          <w:rFonts w:ascii="宋体" w:hAnsi="宋体"/>
        </w:rPr>
      </w:pPr>
      <w:r>
        <w:rPr>
          <w:rFonts w:hint="eastAsia" w:ascii="宋体" w:hAnsi="宋体"/>
        </w:rPr>
        <w:t>c.工作</w:t>
      </w:r>
      <w:r>
        <w:rPr>
          <w:rFonts w:ascii="宋体" w:hAnsi="宋体"/>
        </w:rPr>
        <w:t>人员向其他消费群体宣传。</w:t>
      </w:r>
    </w:p>
    <w:p w14:paraId="2140FFCD">
      <w:pPr>
        <w:rPr>
          <w:rFonts w:ascii="黑体" w:hAnsi="宋体" w:eastAsia="黑体"/>
          <w:sz w:val="24"/>
        </w:rPr>
      </w:pPr>
      <w:r>
        <w:rPr>
          <w:rFonts w:hint="eastAsia" w:ascii="黑体" w:hAnsi="宋体" w:eastAsia="黑体"/>
          <w:sz w:val="24"/>
        </w:rPr>
        <w:t>5</w:t>
      </w:r>
      <w:r>
        <w:rPr>
          <w:rFonts w:hint="eastAsia" w:ascii="黑体" w:hAnsi="宋体" w:eastAsia="黑体"/>
          <w:sz w:val="24"/>
          <w:lang w:val="en-US" w:eastAsia="zh-CN"/>
        </w:rPr>
        <w:t>0</w:t>
      </w:r>
      <w:r>
        <w:rPr>
          <w:rFonts w:hint="eastAsia" w:ascii="黑体" w:hAnsi="宋体" w:eastAsia="黑体"/>
          <w:sz w:val="24"/>
        </w:rPr>
        <w:t>. 供应商违法责任</w:t>
      </w:r>
    </w:p>
    <w:p w14:paraId="649E9916">
      <w:pPr>
        <w:ind w:firstLine="411" w:firstLineChars="196"/>
        <w:rPr>
          <w:rFonts w:ascii="宋体" w:hAnsi="宋体"/>
          <w:szCs w:val="21"/>
        </w:rPr>
      </w:pPr>
      <w:r>
        <w:rPr>
          <w:rFonts w:hint="eastAsia" w:ascii="宋体" w:hAnsi="宋体"/>
          <w:szCs w:val="21"/>
        </w:rPr>
        <w:t>5</w:t>
      </w:r>
      <w:r>
        <w:rPr>
          <w:rFonts w:hint="eastAsia" w:ascii="宋体" w:hAnsi="宋体"/>
          <w:szCs w:val="21"/>
          <w:lang w:val="en-US" w:eastAsia="zh-CN"/>
        </w:rPr>
        <w:t>0</w:t>
      </w:r>
      <w:r>
        <w:rPr>
          <w:rFonts w:ascii="宋体" w:hAnsi="宋体"/>
          <w:szCs w:val="21"/>
        </w:rPr>
        <w:t>.1</w:t>
      </w:r>
      <w:r>
        <w:rPr>
          <w:rFonts w:hint="eastAsia" w:ascii="宋体" w:hAnsi="宋体"/>
          <w:szCs w:val="21"/>
        </w:rPr>
        <w:t>《深圳经济特区政府采购条例》第五十七条 供应商在政府采购中，有下列行为之一的，一至三年内禁止其参与本市政府采购，并由主管部门记入供应商诚信档案，处以采购金额千分之十以上千分之二十以下的罚款；情节严重的，取消其参与本市政府采购资格，处以采购金额千分之二十以上千分之三十以下的罚款，并由市场监管部门依法吊销其营业执照；给他人造成损失的，依法承担赔偿责任；构成犯罪的，依法追究刑事责任：</w:t>
      </w:r>
    </w:p>
    <w:p w14:paraId="2675629F">
      <w:pPr>
        <w:ind w:firstLine="411" w:firstLineChars="196"/>
        <w:rPr>
          <w:rFonts w:ascii="宋体" w:hAnsi="宋体"/>
          <w:szCs w:val="21"/>
        </w:rPr>
      </w:pPr>
      <w:r>
        <w:rPr>
          <w:rFonts w:hint="eastAsia" w:ascii="宋体" w:hAnsi="宋体"/>
          <w:szCs w:val="21"/>
        </w:rPr>
        <w:t>（1）在采购活动中应当回避而未回避的；</w:t>
      </w:r>
    </w:p>
    <w:p w14:paraId="2E80C542">
      <w:pPr>
        <w:ind w:firstLine="411" w:firstLineChars="196"/>
        <w:rPr>
          <w:rFonts w:ascii="宋体" w:hAnsi="宋体"/>
          <w:szCs w:val="21"/>
        </w:rPr>
      </w:pPr>
      <w:r>
        <w:rPr>
          <w:rFonts w:hint="eastAsia" w:ascii="宋体" w:hAnsi="宋体"/>
          <w:szCs w:val="21"/>
        </w:rPr>
        <w:t>（2）未按本条例规定签订、履行采购合同，造成严重后果的；</w:t>
      </w:r>
    </w:p>
    <w:p w14:paraId="0D56A6C5">
      <w:pPr>
        <w:ind w:firstLine="411" w:firstLineChars="196"/>
        <w:rPr>
          <w:rFonts w:ascii="宋体" w:hAnsi="宋体"/>
          <w:szCs w:val="21"/>
        </w:rPr>
      </w:pPr>
      <w:r>
        <w:rPr>
          <w:rFonts w:hint="eastAsia" w:ascii="宋体" w:hAnsi="宋体"/>
          <w:szCs w:val="21"/>
        </w:rPr>
        <w:t>（3）隐瞒真实情况，提供虚假资料的；</w:t>
      </w:r>
    </w:p>
    <w:p w14:paraId="69865CD9">
      <w:pPr>
        <w:ind w:firstLine="411" w:firstLineChars="196"/>
        <w:rPr>
          <w:rFonts w:ascii="宋体" w:hAnsi="宋体"/>
          <w:szCs w:val="21"/>
        </w:rPr>
      </w:pPr>
      <w:r>
        <w:rPr>
          <w:rFonts w:hint="eastAsia" w:ascii="宋体" w:hAnsi="宋体"/>
          <w:szCs w:val="21"/>
        </w:rPr>
        <w:t>（4）以非法手段排斥其他供应商参与竞争的；</w:t>
      </w:r>
    </w:p>
    <w:p w14:paraId="3ED85FB5">
      <w:pPr>
        <w:ind w:firstLine="411" w:firstLineChars="196"/>
        <w:rPr>
          <w:rFonts w:ascii="宋体" w:hAnsi="宋体"/>
          <w:szCs w:val="21"/>
        </w:rPr>
      </w:pPr>
      <w:r>
        <w:rPr>
          <w:rFonts w:hint="eastAsia" w:ascii="宋体" w:hAnsi="宋体"/>
          <w:szCs w:val="21"/>
        </w:rPr>
        <w:t>（5）与其他采购参加人串通投标的；</w:t>
      </w:r>
    </w:p>
    <w:p w14:paraId="5B414DC1">
      <w:pPr>
        <w:ind w:firstLine="411" w:firstLineChars="196"/>
        <w:rPr>
          <w:rFonts w:ascii="宋体" w:hAnsi="宋体"/>
          <w:szCs w:val="21"/>
        </w:rPr>
      </w:pPr>
      <w:r>
        <w:rPr>
          <w:rFonts w:hint="eastAsia" w:ascii="宋体" w:hAnsi="宋体"/>
          <w:szCs w:val="21"/>
        </w:rPr>
        <w:t>（6）恶意投诉的；</w:t>
      </w:r>
    </w:p>
    <w:p w14:paraId="22DE998C">
      <w:pPr>
        <w:ind w:firstLine="411" w:firstLineChars="196"/>
        <w:rPr>
          <w:rFonts w:ascii="宋体" w:hAnsi="宋体"/>
          <w:szCs w:val="21"/>
        </w:rPr>
      </w:pPr>
      <w:r>
        <w:rPr>
          <w:rFonts w:hint="eastAsia" w:ascii="宋体" w:hAnsi="宋体"/>
          <w:szCs w:val="21"/>
        </w:rPr>
        <w:t>（7）向采购项目相关人行贿或者提供其他不当利益的；</w:t>
      </w:r>
    </w:p>
    <w:p w14:paraId="06457590">
      <w:pPr>
        <w:ind w:firstLine="411" w:firstLineChars="196"/>
        <w:rPr>
          <w:rFonts w:ascii="宋体" w:hAnsi="宋体"/>
          <w:szCs w:val="21"/>
        </w:rPr>
      </w:pPr>
      <w:r>
        <w:rPr>
          <w:rFonts w:hint="eastAsia" w:ascii="宋体" w:hAnsi="宋体"/>
          <w:szCs w:val="21"/>
        </w:rPr>
        <w:t>（8）阻碍、抗拒主管部门监督检查的；</w:t>
      </w:r>
    </w:p>
    <w:p w14:paraId="3CF96B95">
      <w:pPr>
        <w:ind w:firstLine="411" w:firstLineChars="196"/>
        <w:rPr>
          <w:rFonts w:ascii="宋体" w:hAnsi="宋体"/>
          <w:szCs w:val="21"/>
        </w:rPr>
      </w:pPr>
      <w:r>
        <w:rPr>
          <w:rFonts w:hint="eastAsia" w:ascii="宋体" w:hAnsi="宋体"/>
          <w:szCs w:val="21"/>
        </w:rPr>
        <w:t>（9）其他违反本条例规定的行为。</w:t>
      </w:r>
    </w:p>
    <w:p w14:paraId="3A18FCE6">
      <w:pPr>
        <w:ind w:firstLine="411" w:firstLineChars="196"/>
        <w:rPr>
          <w:rFonts w:ascii="宋体" w:hAnsi="宋体"/>
          <w:szCs w:val="21"/>
        </w:rPr>
      </w:pPr>
      <w:r>
        <w:rPr>
          <w:rFonts w:hint="eastAsia" w:ascii="宋体" w:hAnsi="宋体"/>
          <w:szCs w:val="21"/>
        </w:rPr>
        <w:t>5</w:t>
      </w:r>
      <w:r>
        <w:rPr>
          <w:rFonts w:hint="eastAsia" w:ascii="宋体" w:hAnsi="宋体"/>
          <w:szCs w:val="21"/>
          <w:lang w:val="en-US" w:eastAsia="zh-CN"/>
        </w:rPr>
        <w:t>0</w:t>
      </w:r>
      <w:r>
        <w:rPr>
          <w:rFonts w:ascii="宋体" w:hAnsi="宋体"/>
          <w:szCs w:val="21"/>
        </w:rPr>
        <w:t xml:space="preserve">.2 </w:t>
      </w:r>
      <w:r>
        <w:rPr>
          <w:rFonts w:hint="eastAsia" w:ascii="宋体" w:hAnsi="宋体"/>
          <w:szCs w:val="21"/>
        </w:rPr>
        <w:t>根据《深圳市财政局关于调整政府采购投标（响应）保证金管理政策的通知 》（深财购〔2021〕51号）的要求，供应商在政府采购活动中出现《深圳经济特区政府采购条例实施细则》第八十条所列情形的，</w:t>
      </w:r>
      <w:bookmarkStart w:id="95" w:name="_Hlk72440769"/>
      <w:r>
        <w:rPr>
          <w:rFonts w:hint="eastAsia" w:ascii="宋体" w:hAnsi="宋体"/>
          <w:szCs w:val="21"/>
        </w:rPr>
        <w:t>政府集中采购机构或采购人不予退还其交纳的谈判保证金，情节严重的，并由主管部门</w:t>
      </w:r>
      <w:bookmarkEnd w:id="95"/>
      <w:r>
        <w:rPr>
          <w:rFonts w:hint="eastAsia" w:ascii="宋体" w:hAnsi="宋体"/>
          <w:szCs w:val="21"/>
        </w:rPr>
        <w:t>记入供应商诚信档案，予以通报：</w:t>
      </w:r>
    </w:p>
    <w:p w14:paraId="047B2E8A">
      <w:pPr>
        <w:ind w:firstLine="411" w:firstLineChars="196"/>
        <w:rPr>
          <w:rFonts w:ascii="宋体" w:hAnsi="宋体"/>
          <w:szCs w:val="21"/>
        </w:rPr>
      </w:pPr>
      <w:r>
        <w:rPr>
          <w:rFonts w:hint="eastAsia" w:ascii="宋体" w:hAnsi="宋体"/>
          <w:szCs w:val="21"/>
        </w:rPr>
        <w:t>（1</w:t>
      </w:r>
      <w:r>
        <w:rPr>
          <w:rFonts w:ascii="宋体" w:hAnsi="宋体"/>
          <w:szCs w:val="21"/>
        </w:rPr>
        <w:t>）投标截止后，撤销投标的；</w:t>
      </w:r>
    </w:p>
    <w:p w14:paraId="4BD99921">
      <w:pPr>
        <w:ind w:firstLine="411" w:firstLineChars="196"/>
        <w:rPr>
          <w:rFonts w:ascii="宋体" w:hAnsi="宋体"/>
          <w:szCs w:val="21"/>
        </w:rPr>
      </w:pPr>
      <w:r>
        <w:rPr>
          <w:rFonts w:ascii="宋体" w:hAnsi="宋体"/>
          <w:szCs w:val="21"/>
        </w:rPr>
        <w:t>（</w:t>
      </w:r>
      <w:r>
        <w:rPr>
          <w:rFonts w:hint="eastAsia" w:ascii="宋体" w:hAnsi="宋体"/>
          <w:szCs w:val="21"/>
        </w:rPr>
        <w:t>2</w:t>
      </w:r>
      <w:r>
        <w:rPr>
          <w:rFonts w:ascii="宋体" w:hAnsi="宋体"/>
          <w:szCs w:val="21"/>
        </w:rPr>
        <w:t>）中标后无正当理由未在规定期限内签订合同的；</w:t>
      </w:r>
    </w:p>
    <w:p w14:paraId="4A0BA1E3">
      <w:pPr>
        <w:ind w:firstLine="411" w:firstLineChars="196"/>
        <w:rPr>
          <w:rFonts w:ascii="宋体" w:hAnsi="宋体"/>
          <w:szCs w:val="21"/>
        </w:rPr>
      </w:pPr>
      <w:r>
        <w:rPr>
          <w:rFonts w:ascii="宋体" w:hAnsi="宋体"/>
          <w:szCs w:val="21"/>
        </w:rPr>
        <w:t>（</w:t>
      </w:r>
      <w:r>
        <w:rPr>
          <w:rFonts w:hint="eastAsia" w:ascii="宋体" w:hAnsi="宋体"/>
          <w:szCs w:val="21"/>
        </w:rPr>
        <w:t>3</w:t>
      </w:r>
      <w:r>
        <w:rPr>
          <w:rFonts w:ascii="宋体" w:hAnsi="宋体"/>
          <w:szCs w:val="21"/>
        </w:rPr>
        <w:t>）将中标项目转让给他人、或者在投标文件中未说明且未经采购人、采购招标机构同意，将中标项目分包给他人的；</w:t>
      </w:r>
    </w:p>
    <w:p w14:paraId="648F889C">
      <w:pPr>
        <w:ind w:firstLine="411" w:firstLineChars="196"/>
        <w:rPr>
          <w:rFonts w:ascii="宋体" w:hAnsi="宋体"/>
          <w:szCs w:val="21"/>
        </w:rPr>
      </w:pPr>
      <w:r>
        <w:rPr>
          <w:rFonts w:ascii="宋体" w:hAnsi="宋体"/>
          <w:szCs w:val="21"/>
        </w:rPr>
        <w:t>（</w:t>
      </w:r>
      <w:r>
        <w:rPr>
          <w:rFonts w:hint="eastAsia" w:ascii="宋体" w:hAnsi="宋体"/>
          <w:szCs w:val="21"/>
        </w:rPr>
        <w:t>4</w:t>
      </w:r>
      <w:r>
        <w:rPr>
          <w:rFonts w:ascii="宋体" w:hAnsi="宋体"/>
          <w:szCs w:val="21"/>
        </w:rPr>
        <w:t>）拒绝履行合同义务的</w:t>
      </w:r>
      <w:r>
        <w:rPr>
          <w:rFonts w:hint="eastAsia" w:ascii="宋体" w:hAnsi="宋体"/>
          <w:szCs w:val="21"/>
        </w:rPr>
        <w:t>。</w:t>
      </w:r>
      <w:bookmarkEnd w:id="79"/>
    </w:p>
    <w:p w14:paraId="03284B6B">
      <w:pPr>
        <w:pStyle w:val="5"/>
        <w:numPr>
          <w:ilvl w:val="0"/>
          <w:numId w:val="10"/>
        </w:numPr>
        <w:spacing w:before="120" w:beforeLines="50" w:after="120" w:afterLines="50"/>
        <w:ind w:left="562" w:hanging="562"/>
        <w:rPr>
          <w:sz w:val="28"/>
          <w:szCs w:val="28"/>
        </w:rPr>
      </w:pPr>
      <w:r>
        <w:rPr>
          <w:rFonts w:hint="eastAsia"/>
          <w:sz w:val="28"/>
          <w:szCs w:val="28"/>
        </w:rPr>
        <w:t>质疑处理</w:t>
      </w:r>
    </w:p>
    <w:p w14:paraId="6B787D6F">
      <w:pPr>
        <w:rPr>
          <w:rFonts w:ascii="黑体" w:hAnsi="宋体" w:eastAsia="黑体"/>
          <w:sz w:val="24"/>
        </w:rPr>
      </w:pPr>
      <w:bookmarkStart w:id="96" w:name="_Hlk72439706"/>
      <w:r>
        <w:rPr>
          <w:rFonts w:hint="eastAsia" w:ascii="黑体" w:hAnsi="宋体" w:eastAsia="黑体"/>
          <w:sz w:val="24"/>
        </w:rPr>
        <w:t>5</w:t>
      </w:r>
      <w:r>
        <w:rPr>
          <w:rFonts w:hint="eastAsia" w:ascii="黑体" w:hAnsi="宋体" w:eastAsia="黑体"/>
          <w:sz w:val="24"/>
          <w:lang w:val="en-US" w:eastAsia="zh-CN"/>
        </w:rPr>
        <w:t>1</w:t>
      </w:r>
      <w:r>
        <w:rPr>
          <w:rFonts w:hint="eastAsia" w:ascii="黑体" w:hAnsi="宋体" w:eastAsia="黑体"/>
          <w:sz w:val="24"/>
        </w:rPr>
        <w:t>.质疑提出与答复</w:t>
      </w:r>
    </w:p>
    <w:p w14:paraId="3DCBC417">
      <w:pPr>
        <w:rPr>
          <w:rFonts w:ascii="宋体" w:hAnsi="宋体"/>
          <w:szCs w:val="21"/>
        </w:rPr>
      </w:pPr>
      <w:r>
        <w:rPr>
          <w:rFonts w:hint="eastAsia" w:ascii="宋体" w:hAnsi="宋体"/>
          <w:szCs w:val="21"/>
        </w:rPr>
        <w:t xml:space="preserve">    5</w:t>
      </w:r>
      <w:r>
        <w:rPr>
          <w:rFonts w:hint="eastAsia" w:ascii="宋体" w:hAnsi="宋体"/>
          <w:szCs w:val="21"/>
          <w:lang w:val="en-US" w:eastAsia="zh-CN"/>
        </w:rPr>
        <w:t>1</w:t>
      </w:r>
      <w:r>
        <w:rPr>
          <w:rFonts w:hint="eastAsia" w:ascii="宋体" w:hAnsi="宋体"/>
          <w:szCs w:val="21"/>
        </w:rPr>
        <w:t>.1提出质疑</w:t>
      </w:r>
    </w:p>
    <w:p w14:paraId="73EC2248">
      <w:pPr>
        <w:rPr>
          <w:rFonts w:ascii="宋体" w:hAnsi="宋体"/>
          <w:szCs w:val="21"/>
        </w:rPr>
      </w:pPr>
      <w:r>
        <w:rPr>
          <w:rFonts w:hint="eastAsia" w:ascii="宋体" w:hAnsi="宋体"/>
          <w:szCs w:val="21"/>
        </w:rPr>
        <w:t xml:space="preserve">    参与政府采购活动的供应商认为自己的权益在采购活动中受到损害的，应当自知道或者应当知道其权益受到损害之日起七个工作日内向采购人、政府集中采购机构以书面形式提出质疑。</w:t>
      </w:r>
    </w:p>
    <w:p w14:paraId="172C382B">
      <w:pPr>
        <w:rPr>
          <w:rFonts w:ascii="宋体" w:hAnsi="宋体"/>
          <w:szCs w:val="21"/>
        </w:rPr>
      </w:pPr>
      <w:r>
        <w:rPr>
          <w:rFonts w:hint="eastAsia" w:ascii="宋体" w:hAnsi="宋体"/>
          <w:szCs w:val="21"/>
        </w:rPr>
        <w:t xml:space="preserve">    5</w:t>
      </w:r>
      <w:r>
        <w:rPr>
          <w:rFonts w:hint="eastAsia" w:ascii="宋体" w:hAnsi="宋体"/>
          <w:szCs w:val="21"/>
          <w:lang w:val="en-US" w:eastAsia="zh-CN"/>
        </w:rPr>
        <w:t>1</w:t>
      </w:r>
      <w:r>
        <w:rPr>
          <w:rFonts w:hint="eastAsia" w:ascii="宋体" w:hAnsi="宋体"/>
          <w:szCs w:val="21"/>
        </w:rPr>
        <w:t>.2</w:t>
      </w:r>
      <w:r>
        <w:rPr>
          <w:rFonts w:ascii="宋体" w:hAnsi="宋体"/>
          <w:szCs w:val="21"/>
        </w:rPr>
        <w:t>法律依据</w:t>
      </w:r>
    </w:p>
    <w:p w14:paraId="496E9FC5">
      <w:pPr>
        <w:rPr>
          <w:rFonts w:ascii="宋体" w:hAnsi="宋体"/>
          <w:szCs w:val="21"/>
        </w:rPr>
      </w:pPr>
      <w:r>
        <w:rPr>
          <w:rFonts w:hint="eastAsia" w:ascii="宋体" w:hAnsi="宋体"/>
          <w:szCs w:val="21"/>
        </w:rPr>
        <w:t xml:space="preserve">    《中华人民共和国政府采购法》《中华人民共和国政府采购法实施条例》</w:t>
      </w:r>
      <w:r>
        <w:rPr>
          <w:rFonts w:ascii="宋体" w:hAnsi="宋体"/>
          <w:szCs w:val="21"/>
        </w:rPr>
        <w:t>《</w:t>
      </w:r>
      <w:r>
        <w:rPr>
          <w:rFonts w:hint="eastAsia" w:ascii="宋体" w:hAnsi="宋体"/>
          <w:szCs w:val="21"/>
        </w:rPr>
        <w:t>深圳经济特区政府采购</w:t>
      </w:r>
      <w:r>
        <w:rPr>
          <w:rFonts w:ascii="宋体" w:hAnsi="宋体"/>
          <w:szCs w:val="21"/>
        </w:rPr>
        <w:t>条例</w:t>
      </w:r>
      <w:r>
        <w:rPr>
          <w:rFonts w:hint="eastAsia" w:ascii="宋体" w:hAnsi="宋体"/>
          <w:szCs w:val="21"/>
        </w:rPr>
        <w:t>》《深圳经济特区政府采购条例实施细则》《政府采购质疑和投诉办法》（财政部令第94号）和其他有关法律法规规定。</w:t>
      </w:r>
    </w:p>
    <w:p w14:paraId="2B5F874C">
      <w:pPr>
        <w:rPr>
          <w:rFonts w:ascii="宋体" w:hAnsi="宋体"/>
          <w:szCs w:val="21"/>
        </w:rPr>
      </w:pPr>
      <w:r>
        <w:rPr>
          <w:rFonts w:hint="eastAsia" w:ascii="宋体" w:hAnsi="宋体"/>
          <w:szCs w:val="21"/>
        </w:rPr>
        <w:t xml:space="preserve">  </w:t>
      </w:r>
      <w:r>
        <w:rPr>
          <w:rFonts w:hint="eastAsia" w:ascii="宋体" w:hAnsi="宋体"/>
          <w:color w:val="FF0000"/>
          <w:szCs w:val="21"/>
        </w:rPr>
        <w:t xml:space="preserve">  </w:t>
      </w:r>
      <w:r>
        <w:rPr>
          <w:rFonts w:hint="eastAsia" w:ascii="宋体" w:hAnsi="宋体"/>
          <w:szCs w:val="21"/>
        </w:rPr>
        <w:t>5</w:t>
      </w:r>
      <w:r>
        <w:rPr>
          <w:rFonts w:hint="eastAsia" w:ascii="宋体" w:hAnsi="宋体"/>
          <w:szCs w:val="21"/>
          <w:lang w:val="en-US" w:eastAsia="zh-CN"/>
        </w:rPr>
        <w:t>1</w:t>
      </w:r>
      <w:r>
        <w:rPr>
          <w:rFonts w:hint="eastAsia" w:ascii="宋体" w:hAnsi="宋体"/>
          <w:szCs w:val="21"/>
        </w:rPr>
        <w:t>.3质疑条件</w:t>
      </w:r>
    </w:p>
    <w:p w14:paraId="615E0531">
      <w:pPr>
        <w:rPr>
          <w:rFonts w:ascii="宋体" w:hAnsi="宋体"/>
          <w:szCs w:val="21"/>
        </w:rPr>
      </w:pPr>
      <w:r>
        <w:rPr>
          <w:rFonts w:hint="eastAsia" w:ascii="宋体" w:hAnsi="宋体"/>
          <w:szCs w:val="21"/>
        </w:rPr>
        <w:t xml:space="preserve">    5</w:t>
      </w:r>
      <w:r>
        <w:rPr>
          <w:rFonts w:hint="eastAsia" w:ascii="宋体" w:hAnsi="宋体"/>
          <w:szCs w:val="21"/>
          <w:lang w:val="en-US" w:eastAsia="zh-CN"/>
        </w:rPr>
        <w:t>1</w:t>
      </w:r>
      <w:r>
        <w:rPr>
          <w:rFonts w:hint="eastAsia" w:ascii="宋体" w:hAnsi="宋体"/>
          <w:szCs w:val="21"/>
        </w:rPr>
        <w:t>.3.1提出质疑的供应商应当是参与所质疑项目采购活动的供应商；以联合体形式参与的，质疑应当由组成联合体的所有成员共同提出；</w:t>
      </w:r>
    </w:p>
    <w:p w14:paraId="40AFFC2D">
      <w:pPr>
        <w:rPr>
          <w:rFonts w:ascii="宋体" w:hAnsi="宋体"/>
          <w:szCs w:val="21"/>
          <w:highlight w:val="none"/>
        </w:rPr>
      </w:pPr>
      <w:r>
        <w:rPr>
          <w:rFonts w:hint="eastAsia" w:ascii="宋体" w:hAnsi="宋体"/>
          <w:szCs w:val="21"/>
        </w:rPr>
        <w:t xml:space="preserve">    5</w:t>
      </w:r>
      <w:r>
        <w:rPr>
          <w:rFonts w:hint="eastAsia" w:ascii="宋体" w:hAnsi="宋体"/>
          <w:szCs w:val="21"/>
          <w:lang w:val="en-US" w:eastAsia="zh-CN"/>
        </w:rPr>
        <w:t>1</w:t>
      </w:r>
      <w:r>
        <w:rPr>
          <w:rFonts w:hint="eastAsia" w:ascii="宋体" w:hAnsi="宋体"/>
          <w:szCs w:val="21"/>
        </w:rPr>
        <w:t>.3.2应当在法定质疑期内一次性提出针对同</w:t>
      </w:r>
      <w:r>
        <w:rPr>
          <w:rFonts w:hint="eastAsia" w:ascii="宋体" w:hAnsi="宋体"/>
          <w:szCs w:val="21"/>
          <w:highlight w:val="none"/>
        </w:rPr>
        <w:t>一采购程序环节的质疑，法定质疑期为自知道或应当知道权益受到损害之日起7个工作日内。应当知道其权益受到损害之日是指：对</w:t>
      </w:r>
      <w:r>
        <w:rPr>
          <w:rFonts w:hint="eastAsia" w:ascii="宋体" w:hAnsi="宋体"/>
          <w:szCs w:val="21"/>
          <w:highlight w:val="none"/>
          <w:lang w:val="en-US" w:eastAsia="zh-CN"/>
        </w:rPr>
        <w:t>采购</w:t>
      </w:r>
      <w:r>
        <w:rPr>
          <w:rFonts w:hint="eastAsia" w:ascii="宋体" w:hAnsi="宋体"/>
          <w:szCs w:val="21"/>
          <w:highlight w:val="none"/>
        </w:rPr>
        <w:t>文件的质疑，为</w:t>
      </w:r>
      <w:r>
        <w:rPr>
          <w:rFonts w:hint="eastAsia" w:ascii="宋体" w:hAnsi="宋体"/>
          <w:szCs w:val="21"/>
          <w:highlight w:val="none"/>
          <w:lang w:val="en-US" w:eastAsia="zh-CN"/>
        </w:rPr>
        <w:t>采购</w:t>
      </w:r>
      <w:r>
        <w:rPr>
          <w:rFonts w:hint="eastAsia" w:ascii="宋体" w:hAnsi="宋体"/>
          <w:szCs w:val="21"/>
          <w:highlight w:val="none"/>
        </w:rPr>
        <w:t>文件公布之日；对采购过程的质疑，为各采购程序环节结束之日；对中标</w:t>
      </w:r>
      <w:r>
        <w:rPr>
          <w:rFonts w:hint="eastAsia" w:ascii="宋体" w:hAnsi="宋体"/>
          <w:szCs w:val="21"/>
          <w:highlight w:val="none"/>
          <w:lang w:eastAsia="zh-CN"/>
        </w:rPr>
        <w:t>（</w:t>
      </w:r>
      <w:r>
        <w:rPr>
          <w:rFonts w:hint="eastAsia" w:ascii="宋体" w:hAnsi="宋体"/>
          <w:szCs w:val="21"/>
          <w:highlight w:val="none"/>
          <w:lang w:val="en-US" w:eastAsia="zh-CN"/>
        </w:rPr>
        <w:t>成交</w:t>
      </w:r>
      <w:r>
        <w:rPr>
          <w:rFonts w:hint="eastAsia" w:ascii="宋体" w:hAnsi="宋体"/>
          <w:szCs w:val="21"/>
          <w:highlight w:val="none"/>
          <w:lang w:eastAsia="zh-CN"/>
        </w:rPr>
        <w:t>）</w:t>
      </w:r>
      <w:r>
        <w:rPr>
          <w:rFonts w:hint="eastAsia" w:ascii="宋体" w:hAnsi="宋体"/>
          <w:szCs w:val="21"/>
          <w:highlight w:val="none"/>
        </w:rPr>
        <w:t>结果以及评审委员会组成人员的质疑，为中标</w:t>
      </w:r>
      <w:r>
        <w:rPr>
          <w:rFonts w:hint="eastAsia" w:ascii="宋体" w:hAnsi="宋体"/>
          <w:szCs w:val="21"/>
          <w:highlight w:val="none"/>
          <w:lang w:eastAsia="zh-CN"/>
        </w:rPr>
        <w:t>（</w:t>
      </w:r>
      <w:r>
        <w:rPr>
          <w:rFonts w:hint="eastAsia" w:ascii="宋体" w:hAnsi="宋体"/>
          <w:szCs w:val="21"/>
          <w:highlight w:val="none"/>
          <w:lang w:val="en-US" w:eastAsia="zh-CN"/>
        </w:rPr>
        <w:t>成交</w:t>
      </w:r>
      <w:r>
        <w:rPr>
          <w:rFonts w:hint="eastAsia" w:ascii="宋体" w:hAnsi="宋体"/>
          <w:szCs w:val="21"/>
          <w:highlight w:val="none"/>
          <w:lang w:eastAsia="zh-CN"/>
        </w:rPr>
        <w:t>）</w:t>
      </w:r>
      <w:r>
        <w:rPr>
          <w:rFonts w:hint="eastAsia" w:ascii="宋体" w:hAnsi="宋体"/>
          <w:szCs w:val="21"/>
          <w:highlight w:val="none"/>
        </w:rPr>
        <w:t>结果公示之日；供应商应认真、全面核查公告及附件内容，审慎研判相关事项，依法规范行使质疑权利。若项目发布更正公告的，对更正公告及附件中更正、修改的内容提出质疑，以更正公告时间计算质疑期限；</w:t>
      </w:r>
      <w:r>
        <w:rPr>
          <w:rFonts w:hint="eastAsia" w:ascii="宋体" w:hAnsi="宋体"/>
          <w:b/>
          <w:bCs/>
          <w:szCs w:val="21"/>
          <w:highlight w:val="none"/>
        </w:rPr>
        <w:t>对未作修改的原公告及附件内容提出质疑的，仍以原公告时间计算质疑期限</w:t>
      </w:r>
      <w:r>
        <w:rPr>
          <w:rFonts w:hint="eastAsia" w:ascii="宋体" w:hAnsi="宋体"/>
          <w:b/>
          <w:bCs/>
          <w:szCs w:val="21"/>
          <w:highlight w:val="none"/>
          <w:lang w:eastAsia="zh-CN"/>
        </w:rPr>
        <w:t>。</w:t>
      </w:r>
    </w:p>
    <w:p w14:paraId="734B3A03">
      <w:pPr>
        <w:ind w:firstLine="420"/>
        <w:rPr>
          <w:rFonts w:ascii="宋体" w:hAnsi="宋体"/>
          <w:szCs w:val="21"/>
          <w:highlight w:val="none"/>
        </w:rPr>
      </w:pPr>
      <w:r>
        <w:rPr>
          <w:rFonts w:hint="eastAsia" w:ascii="宋体" w:hAnsi="宋体"/>
          <w:szCs w:val="21"/>
          <w:highlight w:val="none"/>
        </w:rPr>
        <w:t>5</w:t>
      </w:r>
      <w:r>
        <w:rPr>
          <w:rFonts w:hint="eastAsia" w:ascii="宋体" w:hAnsi="宋体"/>
          <w:szCs w:val="21"/>
          <w:highlight w:val="none"/>
          <w:lang w:val="en-US" w:eastAsia="zh-CN"/>
        </w:rPr>
        <w:t>1</w:t>
      </w:r>
      <w:r>
        <w:rPr>
          <w:rFonts w:hint="eastAsia" w:ascii="宋体" w:hAnsi="宋体"/>
          <w:szCs w:val="21"/>
          <w:highlight w:val="none"/>
        </w:rPr>
        <w:t>.3.3应提交书面质疑函，质疑函应当包括以下内容：</w:t>
      </w:r>
      <w:r>
        <w:rPr>
          <w:rFonts w:ascii="宋体" w:hAnsi="宋体"/>
          <w:szCs w:val="21"/>
          <w:highlight w:val="none"/>
        </w:rPr>
        <w:t xml:space="preserve"> </w:t>
      </w:r>
    </w:p>
    <w:p w14:paraId="4A4D4C47">
      <w:pPr>
        <w:ind w:firstLine="420"/>
        <w:rPr>
          <w:rFonts w:ascii="宋体" w:hAnsi="宋体"/>
          <w:szCs w:val="21"/>
          <w:highlight w:val="none"/>
        </w:rPr>
      </w:pPr>
      <w:r>
        <w:rPr>
          <w:rFonts w:hint="eastAsia" w:ascii="宋体" w:hAnsi="宋体"/>
          <w:szCs w:val="21"/>
          <w:highlight w:val="none"/>
        </w:rPr>
        <w:t>（1）供应商的名称（或者姓名）、地址、邮编、邮箱、联系人及联系电话；</w:t>
      </w:r>
    </w:p>
    <w:p w14:paraId="4A60CF03">
      <w:pPr>
        <w:ind w:firstLine="420" w:firstLineChars="200"/>
        <w:rPr>
          <w:rFonts w:ascii="宋体" w:hAnsi="宋体"/>
          <w:szCs w:val="21"/>
          <w:highlight w:val="none"/>
        </w:rPr>
      </w:pPr>
      <w:r>
        <w:rPr>
          <w:rFonts w:hint="eastAsia" w:ascii="宋体" w:hAnsi="宋体"/>
          <w:szCs w:val="21"/>
          <w:highlight w:val="none"/>
        </w:rPr>
        <w:t>（2）质疑项目的名称、编号；</w:t>
      </w:r>
    </w:p>
    <w:p w14:paraId="65F64F4A">
      <w:pPr>
        <w:ind w:firstLine="420" w:firstLineChars="200"/>
        <w:rPr>
          <w:rFonts w:ascii="宋体" w:hAnsi="宋体"/>
          <w:szCs w:val="21"/>
          <w:highlight w:val="none"/>
        </w:rPr>
      </w:pPr>
      <w:r>
        <w:rPr>
          <w:rFonts w:hint="eastAsia" w:ascii="宋体" w:hAnsi="宋体"/>
          <w:szCs w:val="21"/>
          <w:highlight w:val="none"/>
        </w:rPr>
        <w:t>（3）具体、明确的质疑对象、质疑事项和质疑请求；</w:t>
      </w:r>
    </w:p>
    <w:p w14:paraId="4553C401">
      <w:pPr>
        <w:ind w:firstLine="420" w:firstLineChars="200"/>
        <w:rPr>
          <w:rFonts w:ascii="宋体" w:hAnsi="宋体"/>
          <w:szCs w:val="21"/>
          <w:highlight w:val="none"/>
        </w:rPr>
      </w:pPr>
      <w:r>
        <w:rPr>
          <w:rFonts w:hint="eastAsia" w:ascii="宋体" w:hAnsi="宋体"/>
          <w:szCs w:val="21"/>
          <w:highlight w:val="none"/>
        </w:rPr>
        <w:t>（4）因质疑事项而受损害的权益；</w:t>
      </w:r>
    </w:p>
    <w:p w14:paraId="1AEFDEA2">
      <w:pPr>
        <w:ind w:firstLine="420" w:firstLineChars="200"/>
        <w:rPr>
          <w:rFonts w:ascii="宋体" w:hAnsi="宋体"/>
          <w:szCs w:val="21"/>
          <w:highlight w:val="none"/>
        </w:rPr>
      </w:pPr>
      <w:r>
        <w:rPr>
          <w:rFonts w:hint="eastAsia" w:ascii="宋体" w:hAnsi="宋体"/>
          <w:szCs w:val="21"/>
          <w:highlight w:val="none"/>
        </w:rPr>
        <w:t>（5）事实依据；</w:t>
      </w:r>
    </w:p>
    <w:p w14:paraId="7BAF9FB7">
      <w:pPr>
        <w:ind w:firstLine="420" w:firstLineChars="200"/>
        <w:rPr>
          <w:rFonts w:ascii="宋体" w:hAnsi="宋体"/>
          <w:szCs w:val="21"/>
          <w:highlight w:val="none"/>
        </w:rPr>
      </w:pPr>
      <w:r>
        <w:rPr>
          <w:rFonts w:hint="eastAsia" w:ascii="宋体" w:hAnsi="宋体"/>
          <w:szCs w:val="21"/>
          <w:highlight w:val="none"/>
        </w:rPr>
        <w:t>（6）必要的法律依据；</w:t>
      </w:r>
    </w:p>
    <w:p w14:paraId="16D281C1">
      <w:pPr>
        <w:ind w:firstLine="420" w:firstLineChars="200"/>
        <w:rPr>
          <w:rFonts w:ascii="宋体" w:hAnsi="宋体"/>
          <w:szCs w:val="21"/>
          <w:highlight w:val="none"/>
        </w:rPr>
      </w:pPr>
      <w:r>
        <w:rPr>
          <w:rFonts w:hint="eastAsia" w:ascii="宋体" w:hAnsi="宋体"/>
          <w:szCs w:val="21"/>
          <w:highlight w:val="none"/>
        </w:rPr>
        <w:t>（7）提出质疑的日期。</w:t>
      </w:r>
    </w:p>
    <w:p w14:paraId="106EDD34">
      <w:pPr>
        <w:ind w:firstLine="420" w:firstLineChars="200"/>
        <w:rPr>
          <w:rFonts w:ascii="宋体" w:hAnsi="宋体"/>
          <w:szCs w:val="21"/>
          <w:highlight w:val="none"/>
        </w:rPr>
      </w:pPr>
      <w:r>
        <w:rPr>
          <w:rFonts w:hint="eastAsia" w:ascii="宋体" w:hAnsi="宋体"/>
          <w:szCs w:val="21"/>
          <w:highlight w:val="none"/>
        </w:rPr>
        <w:t>供应商为自然人的，应当由本人签字；供应商为法人或者其他组织的，应当由法定代表人（负责人），或者其授权代理人签字或者盖章，并加盖公章。</w:t>
      </w:r>
    </w:p>
    <w:p w14:paraId="107671E0">
      <w:pPr>
        <w:ind w:firstLine="420" w:firstLineChars="200"/>
        <w:rPr>
          <w:rFonts w:ascii="宋体" w:hAnsi="宋体"/>
          <w:szCs w:val="21"/>
          <w:highlight w:val="none"/>
        </w:rPr>
      </w:pPr>
      <w:r>
        <w:rPr>
          <w:rFonts w:hint="eastAsia" w:ascii="宋体" w:hAnsi="宋体"/>
          <w:szCs w:val="21"/>
          <w:highlight w:val="none"/>
        </w:rPr>
        <w:t>5</w:t>
      </w:r>
      <w:r>
        <w:rPr>
          <w:rFonts w:hint="eastAsia" w:ascii="宋体" w:hAnsi="宋体"/>
          <w:szCs w:val="21"/>
          <w:highlight w:val="none"/>
          <w:lang w:val="en-US" w:eastAsia="zh-CN"/>
        </w:rPr>
        <w:t>1</w:t>
      </w:r>
      <w:r>
        <w:rPr>
          <w:rFonts w:hint="eastAsia" w:ascii="宋体" w:hAnsi="宋体"/>
          <w:szCs w:val="21"/>
          <w:highlight w:val="none"/>
        </w:rPr>
        <w:t>.4提交</w:t>
      </w:r>
      <w:r>
        <w:rPr>
          <w:rFonts w:ascii="宋体" w:hAnsi="宋体"/>
          <w:szCs w:val="21"/>
          <w:highlight w:val="none"/>
        </w:rPr>
        <w:t>材料</w:t>
      </w:r>
    </w:p>
    <w:p w14:paraId="4E8B1FE4">
      <w:pPr>
        <w:ind w:firstLine="420" w:firstLineChars="200"/>
        <w:rPr>
          <w:rFonts w:ascii="宋体" w:hAnsi="宋体"/>
          <w:szCs w:val="21"/>
        </w:rPr>
      </w:pPr>
      <w:r>
        <w:rPr>
          <w:rFonts w:hint="eastAsia" w:ascii="宋体" w:hAnsi="宋体"/>
          <w:szCs w:val="21"/>
        </w:rPr>
        <w:t>供应商质疑实行实名制。供应商为自然人的，应当提交本人身份证复印件；供应商为法人或者其他组织的，应当根据自身性质提交营业执照复印件或者其他证明文件（如事业单位法人证书等）复印件。</w:t>
      </w:r>
    </w:p>
    <w:p w14:paraId="02C6BC22">
      <w:pPr>
        <w:ind w:firstLine="420" w:firstLineChars="200"/>
        <w:rPr>
          <w:rFonts w:ascii="宋体" w:hAnsi="宋体"/>
          <w:szCs w:val="21"/>
        </w:rPr>
      </w:pPr>
      <w:r>
        <w:rPr>
          <w:rFonts w:hint="eastAsia" w:ascii="宋体" w:hAnsi="宋体"/>
          <w:szCs w:val="21"/>
        </w:rPr>
        <w:t>供应商可以委托代理人进行质疑。</w:t>
      </w:r>
      <w:r>
        <w:rPr>
          <w:rFonts w:ascii="宋体" w:hAnsi="宋体"/>
          <w:szCs w:val="21"/>
        </w:rPr>
        <w:t>其授权委托书应当载明代理人的姓名或者名称、代理事项、具体权限、期限和相关事项。供应商为自然人的，应当由本人签字；供应商为法人或者其他组织的，应当由法定代表人、主要负责人签字或者盖章，并加盖公章。</w:t>
      </w:r>
    </w:p>
    <w:p w14:paraId="4FA41735">
      <w:pPr>
        <w:ind w:firstLine="420" w:firstLineChars="200"/>
        <w:rPr>
          <w:rFonts w:ascii="宋体" w:hAnsi="宋体"/>
          <w:szCs w:val="21"/>
        </w:rPr>
      </w:pPr>
      <w:r>
        <w:rPr>
          <w:rFonts w:hint="eastAsia" w:ascii="宋体" w:hAnsi="宋体"/>
          <w:szCs w:val="21"/>
        </w:rPr>
        <w:t>5</w:t>
      </w:r>
      <w:r>
        <w:rPr>
          <w:rFonts w:hint="eastAsia" w:ascii="宋体" w:hAnsi="宋体"/>
          <w:szCs w:val="21"/>
          <w:lang w:val="en-US" w:eastAsia="zh-CN"/>
        </w:rPr>
        <w:t>1</w:t>
      </w:r>
      <w:r>
        <w:rPr>
          <w:rFonts w:hint="eastAsia" w:ascii="宋体" w:hAnsi="宋体"/>
          <w:szCs w:val="21"/>
        </w:rPr>
        <w:t>.5收文地点</w:t>
      </w:r>
    </w:p>
    <w:p w14:paraId="0480689B">
      <w:pPr>
        <w:ind w:firstLine="422" w:firstLineChars="200"/>
        <w:rPr>
          <w:rFonts w:ascii="宋体" w:hAnsi="宋体"/>
          <w:b/>
          <w:bCs/>
          <w:szCs w:val="21"/>
        </w:rPr>
      </w:pPr>
      <w:r>
        <w:rPr>
          <w:rFonts w:hint="eastAsia" w:ascii="宋体" w:hAnsi="宋体"/>
          <w:b/>
          <w:bCs/>
          <w:szCs w:val="21"/>
        </w:rPr>
        <w:t>地址：深圳公共资源交易中心（深圳交易集团有限公司</w:t>
      </w:r>
      <w:r>
        <w:rPr>
          <w:rFonts w:hint="eastAsia" w:ascii="宋体" w:hAnsi="宋体"/>
          <w:b/>
          <w:bCs/>
          <w:szCs w:val="21"/>
          <w:lang w:val="en-US" w:eastAsia="zh-CN"/>
        </w:rPr>
        <w:t>宝安</w:t>
      </w:r>
      <w:r>
        <w:rPr>
          <w:rFonts w:hint="eastAsia" w:ascii="宋体" w:hAnsi="宋体"/>
          <w:b/>
          <w:bCs/>
          <w:szCs w:val="21"/>
        </w:rPr>
        <w:t>分公司）</w:t>
      </w:r>
      <w:r>
        <w:rPr>
          <w:rFonts w:hint="eastAsia" w:ascii="宋体" w:hAnsi="宋体"/>
          <w:b/>
          <w:bCs/>
          <w:szCs w:val="21"/>
          <w:lang w:val="en-US" w:eastAsia="zh-CN"/>
        </w:rPr>
        <w:t>一</w:t>
      </w:r>
      <w:r>
        <w:rPr>
          <w:rFonts w:hint="eastAsia" w:ascii="宋体" w:hAnsi="宋体"/>
          <w:b/>
          <w:bCs/>
          <w:szCs w:val="21"/>
        </w:rPr>
        <w:t>楼</w:t>
      </w:r>
      <w:r>
        <w:rPr>
          <w:rFonts w:hint="eastAsia" w:ascii="宋体" w:hAnsi="宋体"/>
          <w:b/>
          <w:bCs/>
          <w:szCs w:val="21"/>
          <w:lang w:val="en-US" w:eastAsia="zh-CN"/>
        </w:rPr>
        <w:t>服务大厅</w:t>
      </w:r>
      <w:r>
        <w:rPr>
          <w:rFonts w:hint="eastAsia" w:ascii="宋体" w:hAnsi="宋体"/>
          <w:b/>
          <w:bCs/>
          <w:szCs w:val="21"/>
        </w:rPr>
        <w:t>，质疑咨询电话：0755-</w:t>
      </w:r>
      <w:r>
        <w:rPr>
          <w:rFonts w:hint="eastAsia" w:ascii="宋体" w:hAnsi="宋体"/>
          <w:b/>
          <w:bCs/>
          <w:szCs w:val="21"/>
          <w:lang w:val="en-US" w:eastAsia="zh-CN"/>
        </w:rPr>
        <w:t>27758331</w:t>
      </w:r>
      <w:r>
        <w:rPr>
          <w:rFonts w:hint="eastAsia" w:ascii="宋体" w:hAnsi="宋体"/>
          <w:b/>
          <w:bCs/>
          <w:szCs w:val="21"/>
        </w:rPr>
        <w:t>。</w:t>
      </w:r>
    </w:p>
    <w:p w14:paraId="5267D122">
      <w:pPr>
        <w:ind w:firstLine="420" w:firstLineChars="200"/>
        <w:rPr>
          <w:rFonts w:ascii="宋体" w:hAnsi="宋体"/>
          <w:szCs w:val="21"/>
        </w:rPr>
      </w:pPr>
      <w:r>
        <w:rPr>
          <w:rFonts w:hint="eastAsia" w:ascii="宋体" w:hAnsi="宋体"/>
          <w:szCs w:val="21"/>
        </w:rPr>
        <w:t>5</w:t>
      </w:r>
      <w:r>
        <w:rPr>
          <w:rFonts w:hint="eastAsia" w:ascii="宋体" w:hAnsi="宋体"/>
          <w:szCs w:val="21"/>
          <w:lang w:val="en-US" w:eastAsia="zh-CN"/>
        </w:rPr>
        <w:t>1</w:t>
      </w:r>
      <w:r>
        <w:rPr>
          <w:rFonts w:hint="eastAsia" w:ascii="宋体" w:hAnsi="宋体"/>
          <w:szCs w:val="21"/>
        </w:rPr>
        <w:t>.6收文办理</w:t>
      </w:r>
      <w:r>
        <w:rPr>
          <w:rFonts w:ascii="宋体" w:hAnsi="宋体"/>
          <w:szCs w:val="21"/>
        </w:rPr>
        <w:t>程序</w:t>
      </w:r>
    </w:p>
    <w:p w14:paraId="555A588B">
      <w:pPr>
        <w:ind w:firstLine="420" w:firstLineChars="200"/>
        <w:rPr>
          <w:rFonts w:ascii="宋体" w:hAnsi="宋体"/>
          <w:szCs w:val="21"/>
        </w:rPr>
      </w:pPr>
      <w:r>
        <w:rPr>
          <w:rFonts w:hint="eastAsia" w:ascii="宋体" w:hAnsi="宋体"/>
          <w:szCs w:val="21"/>
        </w:rPr>
        <w:t>5</w:t>
      </w:r>
      <w:r>
        <w:rPr>
          <w:rFonts w:hint="eastAsia" w:ascii="宋体" w:hAnsi="宋体"/>
          <w:szCs w:val="21"/>
          <w:lang w:val="en-US" w:eastAsia="zh-CN"/>
        </w:rPr>
        <w:t>1</w:t>
      </w:r>
      <w:r>
        <w:rPr>
          <w:rFonts w:hint="eastAsia" w:ascii="宋体" w:hAnsi="宋体"/>
          <w:szCs w:val="21"/>
        </w:rPr>
        <w:t>.6.1供应商提交的质疑符合受理条件的，政府集中采购机构自收到质疑材料之日起即为受理，应当向供应商出具质疑函收文回执并可以要求其递交质疑的法定代表人（负责人）或者授权代理人签署质疑文书送达地址确认书。</w:t>
      </w:r>
    </w:p>
    <w:p w14:paraId="4A6D0DCE">
      <w:pPr>
        <w:ind w:firstLine="420" w:firstLineChars="200"/>
        <w:rPr>
          <w:rFonts w:ascii="仿宋" w:hAnsi="仿宋" w:eastAsia="仿宋"/>
          <w:sz w:val="28"/>
          <w:szCs w:val="28"/>
        </w:rPr>
      </w:pPr>
      <w:r>
        <w:rPr>
          <w:rFonts w:hint="eastAsia" w:ascii="宋体" w:hAnsi="宋体"/>
          <w:szCs w:val="21"/>
        </w:rPr>
        <w:t>5</w:t>
      </w:r>
      <w:r>
        <w:rPr>
          <w:rFonts w:hint="eastAsia" w:ascii="宋体" w:hAnsi="宋体"/>
          <w:szCs w:val="21"/>
          <w:lang w:val="en-US" w:eastAsia="zh-CN"/>
        </w:rPr>
        <w:t>1</w:t>
      </w:r>
      <w:r>
        <w:rPr>
          <w:rFonts w:hint="eastAsia" w:ascii="宋体" w:hAnsi="宋体"/>
          <w:szCs w:val="21"/>
        </w:rPr>
        <w:t>.6.2供应商提交的质疑材料不符合质疑条件的，视情况处理：</w:t>
      </w:r>
    </w:p>
    <w:p w14:paraId="283F0119">
      <w:pPr>
        <w:ind w:firstLine="420" w:firstLineChars="200"/>
        <w:rPr>
          <w:rFonts w:ascii="宋体" w:hAnsi="宋体"/>
          <w:szCs w:val="21"/>
        </w:rPr>
      </w:pPr>
      <w:r>
        <w:rPr>
          <w:rFonts w:hint="eastAsia" w:ascii="宋体" w:hAnsi="宋体"/>
          <w:szCs w:val="21"/>
        </w:rPr>
        <w:t>供应商提交的质疑材料不全或者未按要求签字或者盖章的，政府集中采购机构应当一次性告知供应商需补正的内容和补正期限。</w:t>
      </w:r>
    </w:p>
    <w:p w14:paraId="497C8052">
      <w:pPr>
        <w:ind w:firstLine="420" w:firstLineChars="200"/>
        <w:rPr>
          <w:rFonts w:ascii="宋体" w:hAnsi="宋体"/>
          <w:szCs w:val="21"/>
        </w:rPr>
      </w:pPr>
      <w:r>
        <w:rPr>
          <w:rFonts w:hint="eastAsia" w:ascii="宋体" w:hAnsi="宋体"/>
          <w:szCs w:val="21"/>
        </w:rPr>
        <w:t>供应商提交的质疑存在下列情形之一的，不予受理：</w:t>
      </w:r>
    </w:p>
    <w:p w14:paraId="2AF98FFF">
      <w:pPr>
        <w:ind w:firstLine="420" w:firstLineChars="200"/>
        <w:rPr>
          <w:rFonts w:ascii="宋体" w:hAnsi="宋体"/>
          <w:szCs w:val="21"/>
        </w:rPr>
      </w:pPr>
      <w:r>
        <w:rPr>
          <w:rFonts w:hint="eastAsia" w:ascii="宋体" w:hAnsi="宋体"/>
          <w:szCs w:val="21"/>
        </w:rPr>
        <w:t>（1）质疑主体不满足要求的；</w:t>
      </w:r>
    </w:p>
    <w:p w14:paraId="1836D1F8">
      <w:pPr>
        <w:ind w:firstLine="420" w:firstLineChars="200"/>
        <w:rPr>
          <w:rFonts w:ascii="宋体" w:hAnsi="宋体"/>
          <w:szCs w:val="21"/>
        </w:rPr>
      </w:pPr>
      <w:r>
        <w:rPr>
          <w:rFonts w:hint="eastAsia" w:ascii="宋体" w:hAnsi="宋体"/>
          <w:szCs w:val="21"/>
        </w:rPr>
        <w:t>（2）供应商自身权益未受到损害的；</w:t>
      </w:r>
    </w:p>
    <w:p w14:paraId="54CBC06F">
      <w:pPr>
        <w:ind w:firstLine="420" w:firstLineChars="200"/>
        <w:rPr>
          <w:rFonts w:ascii="宋体" w:hAnsi="宋体"/>
          <w:szCs w:val="21"/>
        </w:rPr>
      </w:pPr>
      <w:r>
        <w:rPr>
          <w:rFonts w:hint="eastAsia" w:ascii="宋体" w:hAnsi="宋体"/>
          <w:szCs w:val="21"/>
        </w:rPr>
        <w:t>（3）供应商未在法定质疑期限内提出质疑的；</w:t>
      </w:r>
    </w:p>
    <w:p w14:paraId="06C1DF70">
      <w:pPr>
        <w:ind w:firstLine="420" w:firstLineChars="200"/>
        <w:rPr>
          <w:rFonts w:ascii="宋体" w:hAnsi="宋体"/>
          <w:szCs w:val="21"/>
        </w:rPr>
      </w:pPr>
      <w:r>
        <w:rPr>
          <w:rFonts w:hint="eastAsia" w:ascii="宋体" w:hAnsi="宋体"/>
          <w:szCs w:val="21"/>
        </w:rPr>
        <w:t>（4）质疑材料不全或者未按要求签字或者盖章的情况下，要求补正后，逾期未补正或者补正后仍不符合规定的；</w:t>
      </w:r>
    </w:p>
    <w:p w14:paraId="2C917DA2">
      <w:pPr>
        <w:ind w:firstLine="420" w:firstLineChars="200"/>
        <w:rPr>
          <w:rFonts w:ascii="宋体" w:hAnsi="宋体"/>
          <w:szCs w:val="21"/>
        </w:rPr>
      </w:pPr>
      <w:r>
        <w:rPr>
          <w:rFonts w:hint="eastAsia" w:ascii="宋体" w:hAnsi="宋体"/>
          <w:szCs w:val="21"/>
        </w:rPr>
        <w:t>（5）其他不符合受理条件情形的。</w:t>
      </w:r>
    </w:p>
    <w:p w14:paraId="71712284">
      <w:pPr>
        <w:ind w:firstLine="420" w:firstLineChars="200"/>
        <w:rPr>
          <w:rFonts w:ascii="宋体" w:hAnsi="宋体"/>
          <w:szCs w:val="21"/>
        </w:rPr>
      </w:pPr>
      <w:r>
        <w:rPr>
          <w:rFonts w:hint="eastAsia" w:ascii="宋体" w:hAnsi="宋体"/>
          <w:szCs w:val="21"/>
        </w:rPr>
        <w:t>质疑事项不予受理的，政府集中采购机构应当向供应商出具不符合质疑条件告知书。</w:t>
      </w:r>
    </w:p>
    <w:p w14:paraId="74BEDCF5">
      <w:pPr>
        <w:rPr>
          <w:rFonts w:ascii="宋体" w:hAnsi="宋体"/>
          <w:szCs w:val="21"/>
        </w:rPr>
      </w:pPr>
      <w:r>
        <w:rPr>
          <w:rFonts w:hint="eastAsia" w:ascii="宋体" w:hAnsi="宋体"/>
          <w:color w:val="FF0000"/>
          <w:szCs w:val="21"/>
        </w:rPr>
        <w:t xml:space="preserve">  </w:t>
      </w:r>
      <w:r>
        <w:rPr>
          <w:rFonts w:hint="eastAsia" w:ascii="宋体" w:hAnsi="宋体"/>
          <w:szCs w:val="21"/>
        </w:rPr>
        <w:t xml:space="preserve">  5</w:t>
      </w:r>
      <w:r>
        <w:rPr>
          <w:rFonts w:hint="eastAsia" w:ascii="宋体" w:hAnsi="宋体"/>
          <w:szCs w:val="21"/>
          <w:lang w:val="en-US" w:eastAsia="zh-CN"/>
        </w:rPr>
        <w:t>1</w:t>
      </w:r>
      <w:r>
        <w:rPr>
          <w:rFonts w:hint="eastAsia" w:ascii="宋体" w:hAnsi="宋体"/>
          <w:szCs w:val="21"/>
        </w:rPr>
        <w:t>.7质疑答复时限</w:t>
      </w:r>
    </w:p>
    <w:p w14:paraId="5AA26539">
      <w:pPr>
        <w:rPr>
          <w:rFonts w:ascii="宋体" w:hAnsi="宋体"/>
          <w:szCs w:val="21"/>
        </w:rPr>
      </w:pPr>
      <w:r>
        <w:rPr>
          <w:rFonts w:hint="eastAsia" w:ascii="宋体" w:hAnsi="宋体"/>
          <w:szCs w:val="21"/>
        </w:rPr>
        <w:t xml:space="preserve">    自收文之日起七个工作日内。</w:t>
      </w:r>
    </w:p>
    <w:p w14:paraId="6FDA611E">
      <w:pPr>
        <w:rPr>
          <w:rFonts w:ascii="宋体" w:hAnsi="宋体"/>
          <w:szCs w:val="21"/>
        </w:rPr>
      </w:pPr>
      <w:r>
        <w:rPr>
          <w:rFonts w:hint="eastAsia" w:ascii="宋体" w:hAnsi="宋体"/>
          <w:szCs w:val="21"/>
        </w:rPr>
        <w:t xml:space="preserve">    5</w:t>
      </w:r>
      <w:r>
        <w:rPr>
          <w:rFonts w:hint="eastAsia" w:ascii="宋体" w:hAnsi="宋体"/>
          <w:szCs w:val="21"/>
          <w:lang w:val="en-US" w:eastAsia="zh-CN"/>
        </w:rPr>
        <w:t>1</w:t>
      </w:r>
      <w:r>
        <w:rPr>
          <w:rFonts w:hint="eastAsia" w:ascii="宋体" w:hAnsi="宋体"/>
          <w:szCs w:val="21"/>
        </w:rPr>
        <w:t>.8投诉</w:t>
      </w:r>
    </w:p>
    <w:p w14:paraId="52D25055">
      <w:pPr>
        <w:rPr>
          <w:rFonts w:ascii="宋体" w:hAnsi="宋体"/>
          <w:szCs w:val="21"/>
        </w:rPr>
      </w:pPr>
      <w:r>
        <w:rPr>
          <w:rFonts w:hint="eastAsia" w:ascii="宋体" w:hAnsi="宋体"/>
          <w:szCs w:val="21"/>
        </w:rPr>
        <w:t xml:space="preserve">    对质疑答复不满意或者未在规定时间内答复的，提出质疑的供应商可以在答复期满后15个工作日内向同级财政部门投诉。</w:t>
      </w:r>
    </w:p>
    <w:p w14:paraId="0D61C340">
      <w:pPr>
        <w:rPr>
          <w:rFonts w:ascii="黑体" w:hAnsi="宋体" w:eastAsia="黑体"/>
          <w:sz w:val="24"/>
        </w:rPr>
      </w:pPr>
      <w:r>
        <w:rPr>
          <w:rFonts w:hint="eastAsia" w:ascii="黑体" w:hAnsi="宋体" w:eastAsia="黑体"/>
          <w:sz w:val="24"/>
        </w:rPr>
        <w:t>5</w:t>
      </w:r>
      <w:r>
        <w:rPr>
          <w:rFonts w:hint="eastAsia" w:ascii="黑体" w:hAnsi="宋体" w:eastAsia="黑体"/>
          <w:sz w:val="24"/>
          <w:lang w:val="en-US" w:eastAsia="zh-CN"/>
        </w:rPr>
        <w:t>2</w:t>
      </w:r>
      <w:r>
        <w:rPr>
          <w:rFonts w:hint="eastAsia" w:ascii="黑体" w:hAnsi="宋体" w:eastAsia="黑体"/>
          <w:sz w:val="24"/>
        </w:rPr>
        <w:t>. 质疑后续处理</w:t>
      </w:r>
    </w:p>
    <w:p w14:paraId="5AF87B0E">
      <w:pPr>
        <w:rPr>
          <w:rFonts w:ascii="宋体" w:hAnsi="宋体"/>
          <w:szCs w:val="21"/>
        </w:rPr>
      </w:pPr>
      <w:r>
        <w:rPr>
          <w:rFonts w:hint="eastAsia" w:ascii="宋体" w:hAnsi="宋体"/>
          <w:szCs w:val="21"/>
        </w:rPr>
        <w:t xml:space="preserve">    5</w:t>
      </w:r>
      <w:r>
        <w:rPr>
          <w:rFonts w:hint="eastAsia" w:ascii="宋体" w:hAnsi="宋体"/>
          <w:szCs w:val="21"/>
          <w:lang w:val="en-US" w:eastAsia="zh-CN"/>
        </w:rPr>
        <w:t>2</w:t>
      </w:r>
      <w:r>
        <w:rPr>
          <w:rFonts w:hint="eastAsia" w:ascii="宋体" w:hAnsi="宋体"/>
          <w:szCs w:val="21"/>
        </w:rPr>
        <w:t>.1供应商质疑不成立，或者成立但未对中标、成交结果构成影响的，继续开展采购活动。</w:t>
      </w:r>
    </w:p>
    <w:p w14:paraId="68B6BF6E">
      <w:pPr>
        <w:ind w:firstLine="420"/>
        <w:rPr>
          <w:rFonts w:hint="eastAsia" w:ascii="宋体" w:hAnsi="宋体"/>
          <w:szCs w:val="21"/>
        </w:rPr>
      </w:pPr>
      <w:r>
        <w:rPr>
          <w:rFonts w:hint="eastAsia" w:ascii="宋体" w:hAnsi="宋体"/>
          <w:szCs w:val="21"/>
        </w:rPr>
        <w:t>5</w:t>
      </w:r>
      <w:r>
        <w:rPr>
          <w:rFonts w:hint="eastAsia" w:ascii="宋体" w:hAnsi="宋体"/>
          <w:szCs w:val="21"/>
          <w:lang w:val="en-US" w:eastAsia="zh-CN"/>
        </w:rPr>
        <w:t>2</w:t>
      </w:r>
      <w:r>
        <w:rPr>
          <w:rFonts w:hint="eastAsia" w:ascii="宋体" w:hAnsi="宋体"/>
          <w:szCs w:val="21"/>
        </w:rPr>
        <w:t>.2供应商质疑成立且影响或者可能影响中标、成交结果的，按照下列情况处理：</w:t>
      </w:r>
    </w:p>
    <w:p w14:paraId="3DC2048C">
      <w:pPr>
        <w:numPr>
          <w:ilvl w:val="0"/>
          <w:numId w:val="11"/>
        </w:numPr>
        <w:ind w:firstLine="420"/>
        <w:rPr>
          <w:rFonts w:hint="eastAsia" w:ascii="宋体" w:hAnsi="宋体"/>
          <w:szCs w:val="21"/>
        </w:rPr>
      </w:pPr>
      <w:r>
        <w:rPr>
          <w:rFonts w:hint="eastAsia" w:ascii="宋体" w:hAnsi="宋体"/>
          <w:szCs w:val="21"/>
        </w:rPr>
        <w:t>对采购文件提出的质疑，依法通过澄清或者修改可以继续开展采购活动的，澄清或者修改采购文件后继续开展采购活动；否则应当修改采购文件后重新开展采购活动。</w:t>
      </w:r>
    </w:p>
    <w:p w14:paraId="257F2ACD">
      <w:pPr>
        <w:numPr>
          <w:ilvl w:val="0"/>
          <w:numId w:val="11"/>
        </w:numPr>
        <w:ind w:firstLine="420"/>
        <w:rPr>
          <w:rFonts w:ascii="宋体" w:hAnsi="宋体"/>
          <w:szCs w:val="21"/>
        </w:rPr>
      </w:pPr>
      <w:r>
        <w:rPr>
          <w:rFonts w:hint="eastAsia" w:ascii="宋体" w:hAnsi="宋体"/>
          <w:szCs w:val="21"/>
        </w:rPr>
        <w:t>对采购过程、中标或者成交结果提出的质疑，合格供应商符合法定数量时，可以从合格的中标或者成交候选人中另行确定中标、成交供应商的，应当依法另行确定中标、成交供应商；否则应当重新开展采购活动。</w:t>
      </w:r>
    </w:p>
    <w:p w14:paraId="5CD7FF7A">
      <w:pPr>
        <w:jc w:val="center"/>
      </w:pPr>
      <w:r>
        <w:t>---- END ----</w:t>
      </w:r>
      <w:bookmarkEnd w:id="96"/>
    </w:p>
    <w:p w14:paraId="2CFD1AEF"/>
    <w:p w14:paraId="24B4EF33">
      <w:pPr>
        <w:ind w:firstLine="420" w:firstLineChars="200"/>
        <w:rPr>
          <w:rFonts w:ascii="宋体" w:hAnsi="宋体"/>
          <w:szCs w:val="21"/>
        </w:rPr>
      </w:pPr>
    </w:p>
    <w:sectPr>
      <w:pgSz w:w="11907" w:h="16840"/>
      <w:pgMar w:top="1440" w:right="1797" w:bottom="1440" w:left="1797" w:header="851" w:footer="992" w:gutter="0"/>
      <w:cols w:space="425" w:num="1"/>
      <w:titlePg/>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隶书">
    <w:panose1 w:val="02010509060101010101"/>
    <w:charset w:val="86"/>
    <w:family w:val="auto"/>
    <w:pitch w:val="default"/>
    <w:sig w:usb0="00000001" w:usb1="080E0000" w:usb2="00000000" w:usb3="00000000" w:csb0="00040000" w:csb1="00000000"/>
  </w:font>
  <w:font w:name="Arial Unicode MS">
    <w:altName w:val="宋体"/>
    <w:panose1 w:val="020B0604020202020204"/>
    <w:charset w:val="86"/>
    <w:family w:val="auto"/>
    <w:pitch w:val="default"/>
    <w:sig w:usb0="00000000" w:usb1="00000000" w:usb2="0000003F" w:usb3="00000000" w:csb0="603F01FF" w:csb1="FFFF0000"/>
  </w:font>
  <w:font w:name="monospace">
    <w:altName w:val="ksdb"/>
    <w:panose1 w:val="00000000000000000000"/>
    <w:charset w:val="00"/>
    <w:family w:val="auto"/>
    <w:pitch w:val="default"/>
    <w:sig w:usb0="00000000" w:usb1="00000000" w:usb2="00000000" w:usb3="00000000" w:csb0="00000000" w:csb1="00000000"/>
  </w:font>
  <w:font w:name="ksdb">
    <w:panose1 w:val="02000500000000000000"/>
    <w:charset w:val="00"/>
    <w:family w:val="auto"/>
    <w:pitch w:val="default"/>
    <w:sig w:usb0="00000001" w:usb1="00000000" w:usb2="00000000" w:usb3="00000000" w:csb0="00000001" w:csb1="00000000"/>
  </w:font>
  <w:font w:name="Verdana">
    <w:panose1 w:val="020B0604030504040204"/>
    <w:charset w:val="00"/>
    <w:family w:val="auto"/>
    <w:pitch w:val="default"/>
    <w:sig w:usb0="A00006FF" w:usb1="4000205B" w:usb2="00000010" w:usb3="00000000" w:csb0="2000019F" w:csb1="00000000"/>
  </w:font>
  <w:font w:name="仿宋_GB2312">
    <w:panose1 w:val="02010609030101010101"/>
    <w:charset w:val="86"/>
    <w:family w:val="auto"/>
    <w:pitch w:val="default"/>
    <w:sig w:usb0="00000001" w:usb1="080E0000" w:usb2="00000000" w:usb3="00000000" w:csb0="00040000" w:csb1="00000000"/>
  </w:font>
  <w:font w:name="长城仿宋">
    <w:altName w:val="仿宋"/>
    <w:panose1 w:val="00000000000000000000"/>
    <w:charset w:val="86"/>
    <w:family w:val="auto"/>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Helvetica">
    <w:altName w:val="Arial"/>
    <w:panose1 w:val="020B0504020202030204"/>
    <w:charset w:val="00"/>
    <w:family w:val="auto"/>
    <w:pitch w:val="default"/>
    <w:sig w:usb0="00000000" w:usb1="00000000" w:usb2="00000000" w:usb3="00000000" w:csb0="00000093" w:csb1="00000000"/>
  </w:font>
  <w:font w:name="Tahoma">
    <w:panose1 w:val="020B0604030504040204"/>
    <w:charset w:val="00"/>
    <w:family w:val="auto"/>
    <w:pitch w:val="default"/>
    <w:sig w:usb0="E1002EFF" w:usb1="C000605B" w:usb2="00000029" w:usb3="00000000" w:csb0="200101FF" w:csb1="20280000"/>
  </w:font>
  <w:font w:name="文鼎粗黑">
    <w:altName w:val="黑体"/>
    <w:panose1 w:val="00000000000000000000"/>
    <w:charset w:val="86"/>
    <w:family w:val="auto"/>
    <w:pitch w:val="default"/>
    <w:sig w:usb0="00000000" w:usb1="00000000" w:usb2="00000010" w:usb3="00000000" w:csb0="00040000" w:csb1="00000000"/>
  </w:font>
  <w:font w:name="Arial (W1)">
    <w:altName w:val="Arial"/>
    <w:panose1 w:val="00000000000000000000"/>
    <w:charset w:val="00"/>
    <w:family w:val="auto"/>
    <w:pitch w:val="default"/>
    <w:sig w:usb0="00000000" w:usb1="00000000" w:usb2="00000009" w:usb3="00000000" w:csb0="000001FF" w:csb1="00000000"/>
  </w:font>
  <w:font w:name="Cambria">
    <w:panose1 w:val="02040503050406030204"/>
    <w:charset w:val="00"/>
    <w:family w:val="auto"/>
    <w:pitch w:val="default"/>
    <w:sig w:usb0="E00006FF" w:usb1="420024FF" w:usb2="02000000" w:usb3="00000000" w:csb0="2000019F" w:csb1="00000000"/>
  </w:font>
  <w:font w:name="ˎ̥">
    <w:altName w:val="Times New Roman"/>
    <w:panose1 w:val="00000000000000000000"/>
    <w:charset w:val="00"/>
    <w:family w:val="auto"/>
    <w:pitch w:val="default"/>
    <w:sig w:usb0="00000000" w:usb1="00000000" w:usb2="00000000" w:usb3="00000000" w:csb0="00040001" w:csb1="00000000"/>
  </w:font>
  <w:font w:name="??">
    <w:altName w:val="Times New Roman"/>
    <w:panose1 w:val="00000000000000000000"/>
    <w:charset w:val="01"/>
    <w:family w:val="auto"/>
    <w:pitch w:val="default"/>
    <w:sig w:usb0="00000000" w:usb1="00000000" w:usb2="00000000" w:usb3="00000000" w:csb0="00040001" w:csb1="00000000"/>
  </w:font>
  <w:font w:name="汉仪细等线简">
    <w:altName w:val="宋体"/>
    <w:panose1 w:val="00000000000000000000"/>
    <w:charset w:val="86"/>
    <w:family w:val="auto"/>
    <w:pitch w:val="default"/>
    <w:sig w:usb0="00000000" w:usb1="00000000" w:usb2="00000012" w:usb3="00000000" w:csb0="00040000" w:csb1="00000000"/>
  </w:font>
  <w:font w:name="H Yb 2gj">
    <w:altName w:val="黑体"/>
    <w:panose1 w:val="00000000000000000000"/>
    <w:charset w:val="86"/>
    <w:family w:val="auto"/>
    <w:pitch w:val="default"/>
    <w:sig w:usb0="00000000" w:usb1="00000000" w:usb2="00000010" w:usb3="00000000" w:csb0="00040000" w:csb1="00000000"/>
  </w:font>
  <w:font w:name="幼圆">
    <w:panose1 w:val="02010509060101010101"/>
    <w:charset w:val="86"/>
    <w:family w:val="auto"/>
    <w:pitch w:val="default"/>
    <w:sig w:usb0="00000001" w:usb1="080E0000" w:usb2="00000000" w:usb3="00000000" w:csb0="00040000" w:csb1="00000000"/>
  </w:font>
  <w:font w:name="MS Gothic">
    <w:panose1 w:val="020B0609070205080204"/>
    <w:charset w:val="80"/>
    <w:family w:val="auto"/>
    <w:pitch w:val="default"/>
    <w:sig w:usb0="E00002FF" w:usb1="6AC7FDFB" w:usb2="08000012" w:usb3="00000000" w:csb0="4002009F" w:csb1="DFD70000"/>
  </w:font>
  <w:font w:name="微软雅黑">
    <w:panose1 w:val="020B0503020204020204"/>
    <w:charset w:val="86"/>
    <w:family w:val="auto"/>
    <w:pitch w:val="default"/>
    <w:sig w:usb0="80000287" w:usb1="2ACF3C50" w:usb2="00000016" w:usb3="00000000" w:csb0="0004001F"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9381C7">
    <w:pPr>
      <w:pStyle w:val="28"/>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_x0000_s1026"/>
              <wp:cNvGraphicFramePr/>
              <a:graphic xmlns:a="http://schemas.openxmlformats.org/drawingml/2006/main">
                <a:graphicData uri="http://schemas.microsoft.com/office/word/2010/wordprocessingShape">
                  <wps:wsp>
                    <wps:cNvSpPr/>
                    <wps:spPr>
                      <a:xfrm>
                        <a:off x="0" y="0"/>
                        <a:ext cx="1828800" cy="1828800"/>
                      </a:xfrm>
                      <a:prstGeom prst="rect">
                        <a:avLst/>
                      </a:prstGeom>
                      <a:noFill/>
                      <a:ln>
                        <a:noFill/>
                      </a:ln>
                    </wps:spPr>
                    <wps:style>
                      <a:lnRef idx="0">
                        <a:srgbClr val="FFFFFF"/>
                      </a:lnRef>
                      <a:fillRef idx="0">
                        <a:srgbClr val="FFFFFF"/>
                      </a:fillRef>
                      <a:effectRef idx="0">
                        <a:schemeClr val="accent1"/>
                      </a:effectRef>
                      <a:fontRef idx="minor">
                        <a:schemeClr val="dk1"/>
                      </a:fontRef>
                    </wps:style>
                    <wps:txbx>
                      <w:txbxContent>
                        <w:p w14:paraId="11E18262">
                          <w:pPr>
                            <w:pStyle w:val="28"/>
                            <w:rPr>
                              <w:rStyle w:val="46"/>
                            </w:rPr>
                          </w:pPr>
                          <w:r>
                            <w:t xml:space="preserve">- </w:t>
                          </w:r>
                          <w:r>
                            <w:fldChar w:fldCharType="begin"/>
                          </w:r>
                          <w:r>
                            <w:instrText xml:space="preserve"> PAGE </w:instrText>
                          </w:r>
                          <w:r>
                            <w:fldChar w:fldCharType="separate"/>
                          </w:r>
                          <w:r>
                            <w:t>29</w:t>
                          </w:r>
                          <w:r>
                            <w:fldChar w:fldCharType="end"/>
                          </w:r>
                          <w:r>
                            <w:t xml:space="preserve"> -</w:t>
                          </w:r>
                        </w:p>
                      </w:txbxContent>
                    </wps:txbx>
                    <wps:bodyPr rot="0" spcFirstLastPara="0" vertOverflow="overflow" horzOverflow="overflow" vert="horz" wrap="none" lIns="0" tIns="0" rIns="0" bIns="0" anchor="t" upright="0">
                      <a:spAutoFit/>
                    </wps:bodyPr>
                  </wps:wsp>
                </a:graphicData>
              </a:graphic>
            </wp:anchor>
          </w:drawing>
        </mc:Choice>
        <mc:Fallback>
          <w:pict>
            <v:rect id="_x0000_s1026"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">
              <v:fill on="f" focussize="0,0"/>
              <v:stroke on="f"/>
              <v:imagedata o:title=""/>
              <o:lock v:ext="edit" aspectratio="f"/>
              <v:textbox inset="0mm,0mm,0mm,0mm" style="mso-fit-shape-to-text:t;">
                <w:txbxContent>
                  <w:p w14:paraId="11E18262">
                    <w:pPr>
                      <w:pStyle w:val="28"/>
                      <w:rPr>
                        <w:rStyle w:val="46"/>
                      </w:rPr>
                    </w:pPr>
                    <w:r>
                      <w:t xml:space="preserve">- </w:t>
                    </w:r>
                    <w:r>
                      <w:fldChar w:fldCharType="begin"/>
                    </w:r>
                    <w:r>
                      <w:instrText xml:space="preserve"> PAGE </w:instrText>
                    </w:r>
                    <w:r>
                      <w:fldChar w:fldCharType="separate"/>
                    </w:r>
                    <w:r>
                      <w:t>29</w:t>
                    </w:r>
                    <w:r>
                      <w:fldChar w:fldCharType="end"/>
                    </w:r>
                    <w:r>
                      <w:t xml:space="preserve"> -</w:t>
                    </w:r>
                  </w:p>
                </w:txbxContent>
              </v:textbox>
            </v:rect>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C713CF">
    <w:pPr>
      <w:pStyle w:val="28"/>
      <w:framePr w:wrap="around" w:vAnchor="text" w:hAnchor="margin" w:xAlign="center" w:y="1"/>
      <w:rPr>
        <w:rStyle w:val="46"/>
      </w:rPr>
    </w:pPr>
    <w:r>
      <w:pgNum/>
    </w:r>
  </w:p>
  <w:p w14:paraId="758CE938">
    <w:pPr>
      <w:pStyle w:val="2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77D237">
    <w:pPr>
      <w:pStyle w:val="28"/>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_x0000_s1025"/>
              <wp:cNvGraphicFramePr/>
              <a:graphic xmlns:a="http://schemas.openxmlformats.org/drawingml/2006/main">
                <a:graphicData uri="http://schemas.microsoft.com/office/word/2010/wordprocessingShape">
                  <wps:wsp>
                    <wps:cNvSpPr/>
                    <wps:spPr>
                      <a:xfrm>
                        <a:off x="0" y="0"/>
                        <a:ext cx="1828800" cy="1828800"/>
                      </a:xfrm>
                      <a:prstGeom prst="rect">
                        <a:avLst/>
                      </a:prstGeom>
                      <a:noFill/>
                      <a:ln>
                        <a:noFill/>
                      </a:ln>
                    </wps:spPr>
                    <wps:style>
                      <a:lnRef idx="0">
                        <a:srgbClr val="FFFFFF"/>
                      </a:lnRef>
                      <a:fillRef idx="0">
                        <a:srgbClr val="FFFFFF"/>
                      </a:fillRef>
                      <a:effectRef idx="0">
                        <a:schemeClr val="accent1"/>
                      </a:effectRef>
                      <a:fontRef idx="minor">
                        <a:schemeClr val="dk1"/>
                      </a:fontRef>
                    </wps:style>
                    <wps:txbx>
                      <w:txbxContent>
                        <w:p w14:paraId="509DB206">
                          <w:pPr>
                            <w:pStyle w:val="2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anchor="t" upright="0">
                      <a:spAutoFit/>
                    </wps:bodyPr>
                  </wps:wsp>
                </a:graphicData>
              </a:graphic>
            </wp:anchor>
          </w:drawing>
        </mc:Choice>
        <mc:Fallback>
          <w:pict>
            <v:rect id="_x0000_s1025" o:spid="_x0000_s1026" o:spt="1"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">
              <v:fill on="f" focussize="0,0"/>
              <v:stroke on="f"/>
              <v:imagedata o:title=""/>
              <o:lock v:ext="edit" aspectratio="f"/>
              <v:textbox inset="0mm,0mm,0mm,0mm" style="mso-fit-shape-to-text:t;">
                <w:txbxContent>
                  <w:p w14:paraId="509DB206">
                    <w:pPr>
                      <w:pStyle w:val="28"/>
                    </w:pPr>
                    <w:r>
                      <w:fldChar w:fldCharType="begin"/>
                    </w:r>
                    <w:r>
                      <w:instrText xml:space="preserve"> PAGE  \* MERGEFORMAT </w:instrText>
                    </w:r>
                    <w:r>
                      <w:fldChar w:fldCharType="separate"/>
                    </w:r>
                    <w:r>
                      <w:t>1</w:t>
                    </w:r>
                    <w:r>
                      <w:fldChar w:fldCharType="end"/>
                    </w:r>
                  </w:p>
                </w:txbxContent>
              </v:textbox>
            </v:rect>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A66131">
    <w:pPr>
      <w:pStyle w:val="29"/>
      <w:pBdr>
        <w:top w:val="none" w:color="auto" w:sz="0" w:space="0"/>
        <w:left w:val="none" w:color="auto" w:sz="0" w:space="0"/>
        <w:bottom w:val="none" w:color="auto" w:sz="0" w:space="1"/>
        <w:right w:val="none" w:color="auto" w:sz="0" w:space="0"/>
        <w:between w:val="none" w:color="auto" w:sz="0" w:space="0"/>
      </w:pBdr>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singleLevel"/>
    <w:tmpl w:val="9239341B"/>
    <w:lvl w:ilvl="0" w:tentative="0">
      <w:start w:val="2"/>
      <w:numFmt w:val="decimal"/>
      <w:suff w:val="nothing"/>
      <w:lvlText w:val="%1、"/>
      <w:lvlJc w:val="left"/>
    </w:lvl>
  </w:abstractNum>
  <w:abstractNum w:abstractNumId="1">
    <w:nsid w:val="B154706B"/>
    <w:multiLevelType w:val="singleLevel"/>
    <w:tmpl w:val="B154706B"/>
    <w:lvl w:ilvl="0" w:tentative="0">
      <w:start w:val="4"/>
      <w:numFmt w:val="decimal"/>
      <w:suff w:val="nothing"/>
      <w:lvlText w:val="%1、"/>
      <w:lvlJc w:val="left"/>
    </w:lvl>
  </w:abstractNum>
  <w:abstractNum w:abstractNumId="2">
    <w:nsid w:val="B5E306ED"/>
    <w:multiLevelType w:val="multilevel"/>
    <w:tmpl w:val="B5E306ED"/>
    <w:lvl w:ilvl="0" w:tentative="0">
      <w:start w:val="1"/>
      <w:numFmt w:val="chineseCountingThousand"/>
      <w:pStyle w:val="126"/>
      <w:lvlText w:val="%1"/>
      <w:lvlJc w:val="left"/>
      <w:pPr>
        <w:tabs>
          <w:tab w:val="left" w:pos="1290"/>
        </w:tabs>
        <w:ind w:left="630" w:hanging="420"/>
      </w:pPr>
      <w:rPr>
        <w:rFonts w:hint="eastAsia"/>
        <w:sz w:val="32"/>
        <w:szCs w:val="32"/>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3">
    <w:nsid w:val="BF205925"/>
    <w:multiLevelType w:val="multilevel"/>
    <w:tmpl w:val="BF205925"/>
    <w:lvl w:ilvl="0" w:tentative="0">
      <w:start w:val="1"/>
      <w:numFmt w:val="bullet"/>
      <w:pStyle w:val="113"/>
      <w:lvlText w:val=""/>
      <w:lvlJc w:val="left"/>
      <w:pPr>
        <w:tabs>
          <w:tab w:val="left" w:pos="420"/>
        </w:tabs>
        <w:ind w:left="420" w:hanging="420"/>
      </w:pPr>
      <w:rPr>
        <w:rFonts w:hint="default" w:ascii="Wingdings" w:hAnsi="Wingdings"/>
      </w:rPr>
    </w:lvl>
    <w:lvl w:ilvl="1" w:tentative="0">
      <w:start w:val="1"/>
      <w:numFmt w:val="bullet"/>
      <w:pStyle w:val="112"/>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4">
    <w:nsid w:val="CF092B84"/>
    <w:multiLevelType w:val="singleLevel"/>
    <w:tmpl w:val="CF092B84"/>
    <w:lvl w:ilvl="0" w:tentative="0">
      <w:start w:val="1"/>
      <w:numFmt w:val="decimal"/>
      <w:pStyle w:val="65"/>
      <w:lvlText w:val="%1."/>
      <w:lvlJc w:val="left"/>
      <w:pPr>
        <w:tabs>
          <w:tab w:val="left" w:pos="2040"/>
        </w:tabs>
        <w:ind w:left="2040" w:leftChars="800" w:hanging="360" w:hangingChars="200"/>
      </w:pPr>
    </w:lvl>
  </w:abstractNum>
  <w:abstractNum w:abstractNumId="5">
    <w:nsid w:val="0053208E"/>
    <w:multiLevelType w:val="singleLevel"/>
    <w:tmpl w:val="0053208E"/>
    <w:lvl w:ilvl="0" w:tentative="0">
      <w:start w:val="1"/>
      <w:numFmt w:val="bullet"/>
      <w:pStyle w:val="15"/>
      <w:lvlText w:val=""/>
      <w:lvlJc w:val="left"/>
      <w:pPr>
        <w:tabs>
          <w:tab w:val="left" w:pos="360"/>
        </w:tabs>
        <w:ind w:left="360" w:hanging="360" w:hangingChars="200"/>
      </w:pPr>
      <w:rPr>
        <w:rFonts w:hint="default" w:ascii="Wingdings" w:hAnsi="Wingdings"/>
      </w:rPr>
    </w:lvl>
  </w:abstractNum>
  <w:abstractNum w:abstractNumId="6">
    <w:nsid w:val="0248C179"/>
    <w:multiLevelType w:val="singleLevel"/>
    <w:tmpl w:val="0248C179"/>
    <w:lvl w:ilvl="0" w:tentative="0">
      <w:start w:val="1"/>
      <w:numFmt w:val="decimal"/>
      <w:suff w:val="nothing"/>
      <w:lvlText w:val="%1、"/>
      <w:lvlJc w:val="left"/>
    </w:lvl>
  </w:abstractNum>
  <w:abstractNum w:abstractNumId="7">
    <w:nsid w:val="03D62ECE"/>
    <w:multiLevelType w:val="multilevel"/>
    <w:tmpl w:val="03D62ECE"/>
    <w:lvl w:ilvl="0" w:tentative="0">
      <w:start w:val="1"/>
      <w:numFmt w:val="bullet"/>
      <w:pStyle w:val="173"/>
      <w:lvlText w:val=""/>
      <w:lvlJc w:val="left"/>
      <w:pPr>
        <w:tabs>
          <w:tab w:val="left" w:pos="360"/>
        </w:tabs>
        <w:ind w:left="360" w:hanging="360"/>
      </w:pPr>
      <w:rPr>
        <w:rFonts w:hint="default" w:ascii="Symbol" w:hAnsi="Symbol"/>
      </w:rPr>
    </w:lvl>
    <w:lvl w:ilvl="1" w:tentative="0">
      <w:start w:val="1"/>
      <w:numFmt w:val="bullet"/>
      <w:lvlText w:val=""/>
      <w:lvlJc w:val="left"/>
      <w:pPr>
        <w:tabs>
          <w:tab w:val="left" w:pos="1140"/>
        </w:tabs>
        <w:ind w:left="1140" w:hanging="420"/>
      </w:pPr>
      <w:rPr>
        <w:rFonts w:hint="default" w:ascii="Wingdings" w:hAnsi="Wingdings"/>
      </w:rPr>
    </w:lvl>
    <w:lvl w:ilvl="2" w:tentative="0">
      <w:start w:val="1"/>
      <w:numFmt w:val="bullet"/>
      <w:lvlText w:val=""/>
      <w:lvlJc w:val="left"/>
      <w:pPr>
        <w:tabs>
          <w:tab w:val="left" w:pos="1800"/>
        </w:tabs>
        <w:ind w:left="1800" w:hanging="360"/>
      </w:pPr>
      <w:rPr>
        <w:rFonts w:hint="default" w:ascii="Wingdings" w:hAnsi="Wingdings"/>
      </w:rPr>
    </w:lvl>
    <w:lvl w:ilvl="3" w:tentative="0">
      <w:start w:val="1"/>
      <w:numFmt w:val="bullet"/>
      <w:lvlText w:val=""/>
      <w:lvlJc w:val="left"/>
      <w:pPr>
        <w:tabs>
          <w:tab w:val="left" w:pos="2520"/>
        </w:tabs>
        <w:ind w:left="2520" w:hanging="360"/>
      </w:pPr>
      <w:rPr>
        <w:rFonts w:hint="default" w:ascii="Symbol" w:hAnsi="Symbol"/>
      </w:rPr>
    </w:lvl>
    <w:lvl w:ilvl="4" w:tentative="0">
      <w:start w:val="1"/>
      <w:numFmt w:val="bullet"/>
      <w:lvlText w:val="o"/>
      <w:lvlJc w:val="left"/>
      <w:pPr>
        <w:tabs>
          <w:tab w:val="left" w:pos="3240"/>
        </w:tabs>
        <w:ind w:left="3240" w:hanging="360"/>
      </w:pPr>
      <w:rPr>
        <w:rFonts w:hint="default" w:ascii="Courier New" w:hAnsi="Courier New" w:cs="Courier New"/>
      </w:rPr>
    </w:lvl>
    <w:lvl w:ilvl="5" w:tentative="0">
      <w:start w:val="1"/>
      <w:numFmt w:val="bullet"/>
      <w:lvlText w:val=""/>
      <w:lvlJc w:val="left"/>
      <w:pPr>
        <w:tabs>
          <w:tab w:val="left" w:pos="3960"/>
        </w:tabs>
        <w:ind w:left="3960" w:hanging="360"/>
      </w:pPr>
      <w:rPr>
        <w:rFonts w:hint="default" w:ascii="Wingdings" w:hAnsi="Wingdings"/>
      </w:rPr>
    </w:lvl>
    <w:lvl w:ilvl="6" w:tentative="0">
      <w:start w:val="1"/>
      <w:numFmt w:val="bullet"/>
      <w:lvlText w:val=""/>
      <w:lvlJc w:val="left"/>
      <w:pPr>
        <w:tabs>
          <w:tab w:val="left" w:pos="4680"/>
        </w:tabs>
        <w:ind w:left="4680" w:hanging="360"/>
      </w:pPr>
      <w:rPr>
        <w:rFonts w:hint="default" w:ascii="Symbol" w:hAnsi="Symbol"/>
      </w:rPr>
    </w:lvl>
    <w:lvl w:ilvl="7" w:tentative="0">
      <w:start w:val="1"/>
      <w:numFmt w:val="bullet"/>
      <w:lvlText w:val="o"/>
      <w:lvlJc w:val="left"/>
      <w:pPr>
        <w:tabs>
          <w:tab w:val="left" w:pos="5400"/>
        </w:tabs>
        <w:ind w:left="5400" w:hanging="360"/>
      </w:pPr>
      <w:rPr>
        <w:rFonts w:hint="default" w:ascii="Courier New" w:hAnsi="Courier New" w:cs="Courier New"/>
      </w:rPr>
    </w:lvl>
    <w:lvl w:ilvl="8" w:tentative="0">
      <w:start w:val="1"/>
      <w:numFmt w:val="bullet"/>
      <w:lvlText w:val=""/>
      <w:lvlJc w:val="left"/>
      <w:pPr>
        <w:tabs>
          <w:tab w:val="left" w:pos="6120"/>
        </w:tabs>
        <w:ind w:left="6120" w:hanging="360"/>
      </w:pPr>
      <w:rPr>
        <w:rFonts w:hint="default" w:ascii="Wingdings" w:hAnsi="Wingdings"/>
      </w:rPr>
    </w:lvl>
  </w:abstractNum>
  <w:abstractNum w:abstractNumId="8">
    <w:nsid w:val="2A8F537B"/>
    <w:multiLevelType w:val="multilevel"/>
    <w:tmpl w:val="2A8F537B"/>
    <w:lvl w:ilvl="0" w:tentative="0">
      <w:start w:val="1"/>
      <w:numFmt w:val="japaneseCounting"/>
      <w:lvlText w:val="第%1章"/>
      <w:lvlJc w:val="left"/>
      <w:pPr>
        <w:tabs>
          <w:tab w:val="left" w:pos="720"/>
        </w:tabs>
        <w:ind w:left="720" w:hanging="720"/>
      </w:pPr>
      <w:rPr>
        <w:rFonts w:hint="default"/>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9">
    <w:nsid w:val="59ADCABA"/>
    <w:multiLevelType w:val="multilevel"/>
    <w:tmpl w:val="59ADCABA"/>
    <w:lvl w:ilvl="0" w:tentative="0">
      <w:start w:val="1"/>
      <w:numFmt w:val="bullet"/>
      <w:pStyle w:val="81"/>
      <w:lvlText w:val=""/>
      <w:lvlJc w:val="left"/>
      <w:pPr>
        <w:tabs>
          <w:tab w:val="left" w:pos="840"/>
        </w:tabs>
        <w:ind w:left="840" w:hanging="420"/>
      </w:pPr>
      <w:rPr>
        <w:rFonts w:hint="default" w:ascii="Wingdings" w:hAnsi="Wingdings"/>
      </w:rPr>
    </w:lvl>
    <w:lvl w:ilvl="1" w:tentative="0">
      <w:start w:val="1"/>
      <w:numFmt w:val="bullet"/>
      <w:pStyle w:val="82"/>
      <w:lvlText w:val=""/>
      <w:lvlJc w:val="left"/>
      <w:pPr>
        <w:tabs>
          <w:tab w:val="left" w:pos="1260"/>
        </w:tabs>
        <w:ind w:left="1260" w:hanging="420"/>
      </w:pPr>
      <w:rPr>
        <w:rFonts w:hint="default" w:ascii="Wingdings" w:hAnsi="Wingdings"/>
      </w:rPr>
    </w:lvl>
    <w:lvl w:ilvl="2" w:tentative="0">
      <w:start w:val="1"/>
      <w:numFmt w:val="bullet"/>
      <w:lvlText w:val=""/>
      <w:lvlJc w:val="left"/>
      <w:pPr>
        <w:tabs>
          <w:tab w:val="left" w:pos="1680"/>
        </w:tabs>
        <w:ind w:left="1680" w:hanging="420"/>
      </w:pPr>
      <w:rPr>
        <w:rFonts w:hint="default" w:ascii="Wingdings" w:hAnsi="Wingdings"/>
      </w:rPr>
    </w:lvl>
    <w:lvl w:ilvl="3" w:tentative="0">
      <w:start w:val="1"/>
      <w:numFmt w:val="bullet"/>
      <w:lvlText w:val=""/>
      <w:lvlJc w:val="left"/>
      <w:pPr>
        <w:tabs>
          <w:tab w:val="left" w:pos="2100"/>
        </w:tabs>
        <w:ind w:left="2100" w:hanging="420"/>
      </w:pPr>
      <w:rPr>
        <w:rFonts w:hint="default" w:ascii="Wingdings" w:hAnsi="Wingdings"/>
      </w:rPr>
    </w:lvl>
    <w:lvl w:ilvl="4" w:tentative="0">
      <w:start w:val="1"/>
      <w:numFmt w:val="bullet"/>
      <w:lvlText w:val=""/>
      <w:lvlJc w:val="left"/>
      <w:pPr>
        <w:tabs>
          <w:tab w:val="left" w:pos="2520"/>
        </w:tabs>
        <w:ind w:left="2520" w:hanging="420"/>
      </w:pPr>
      <w:rPr>
        <w:rFonts w:hint="default" w:ascii="Wingdings" w:hAnsi="Wingdings"/>
      </w:rPr>
    </w:lvl>
    <w:lvl w:ilvl="5" w:tentative="0">
      <w:start w:val="1"/>
      <w:numFmt w:val="bullet"/>
      <w:lvlText w:val=""/>
      <w:lvlJc w:val="left"/>
      <w:pPr>
        <w:tabs>
          <w:tab w:val="left" w:pos="2940"/>
        </w:tabs>
        <w:ind w:left="2940" w:hanging="420"/>
      </w:pPr>
      <w:rPr>
        <w:rFonts w:hint="default" w:ascii="Wingdings" w:hAnsi="Wingdings"/>
      </w:rPr>
    </w:lvl>
    <w:lvl w:ilvl="6" w:tentative="0">
      <w:start w:val="1"/>
      <w:numFmt w:val="bullet"/>
      <w:lvlText w:val=""/>
      <w:lvlJc w:val="left"/>
      <w:pPr>
        <w:tabs>
          <w:tab w:val="left" w:pos="3360"/>
        </w:tabs>
        <w:ind w:left="3360" w:hanging="420"/>
      </w:pPr>
      <w:rPr>
        <w:rFonts w:hint="default" w:ascii="Wingdings" w:hAnsi="Wingdings"/>
      </w:rPr>
    </w:lvl>
    <w:lvl w:ilvl="7" w:tentative="0">
      <w:start w:val="1"/>
      <w:numFmt w:val="bullet"/>
      <w:lvlText w:val=""/>
      <w:lvlJc w:val="left"/>
      <w:pPr>
        <w:tabs>
          <w:tab w:val="left" w:pos="3780"/>
        </w:tabs>
        <w:ind w:left="3780" w:hanging="420"/>
      </w:pPr>
      <w:rPr>
        <w:rFonts w:hint="default" w:ascii="Wingdings" w:hAnsi="Wingdings"/>
      </w:rPr>
    </w:lvl>
    <w:lvl w:ilvl="8" w:tentative="0">
      <w:start w:val="1"/>
      <w:numFmt w:val="bullet"/>
      <w:lvlText w:val=""/>
      <w:lvlJc w:val="left"/>
      <w:pPr>
        <w:tabs>
          <w:tab w:val="left" w:pos="4200"/>
        </w:tabs>
        <w:ind w:left="4200" w:hanging="420"/>
      </w:pPr>
      <w:rPr>
        <w:rFonts w:hint="default" w:ascii="Wingdings" w:hAnsi="Wingdings"/>
      </w:rPr>
    </w:lvl>
  </w:abstractNum>
  <w:abstractNum w:abstractNumId="10">
    <w:nsid w:val="5A241D34"/>
    <w:multiLevelType w:val="singleLevel"/>
    <w:tmpl w:val="5A241D34"/>
    <w:lvl w:ilvl="0" w:tentative="0">
      <w:start w:val="1"/>
      <w:numFmt w:val="decimal"/>
      <w:suff w:val="nothing"/>
      <w:lvlText w:val="（%1）"/>
      <w:lvlJc w:val="left"/>
    </w:lvl>
  </w:abstractNum>
  <w:num w:numId="1">
    <w:abstractNumId w:val="5"/>
  </w:num>
  <w:num w:numId="2">
    <w:abstractNumId w:val="4"/>
  </w:num>
  <w:num w:numId="3">
    <w:abstractNumId w:val="9"/>
  </w:num>
  <w:num w:numId="4">
    <w:abstractNumId w:val="3"/>
  </w:num>
  <w:num w:numId="5">
    <w:abstractNumId w:val="2"/>
  </w:num>
  <w:num w:numId="6">
    <w:abstractNumId w:val="7"/>
  </w:num>
  <w:num w:numId="7">
    <w:abstractNumId w:val="1"/>
  </w:num>
  <w:num w:numId="8">
    <w:abstractNumId w:val="6"/>
  </w:num>
  <w:num w:numId="9">
    <w:abstractNumId w:val="0"/>
  </w:num>
  <w:num w:numId="10">
    <w:abstractNumId w:val="8"/>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bordersDoNotSurroundHeader w:val="0"/>
  <w:bordersDoNotSurroundFooter w:val="0"/>
  <w:doNotTrackMoves/>
  <w:documentProtection w:edit="trackedChanges"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VkYjIyMjcxNTBjMWYzYTc1ZjMzMTRjZmMyNTg0MTIifQ=="/>
  </w:docVars>
  <w:rsids>
    <w:rsidRoot w:val="00000000"/>
    <w:rsid w:val="010F1DA1"/>
    <w:rsid w:val="01117330"/>
    <w:rsid w:val="01A736CE"/>
    <w:rsid w:val="02685C0C"/>
    <w:rsid w:val="02942B85"/>
    <w:rsid w:val="02B7449E"/>
    <w:rsid w:val="050240E8"/>
    <w:rsid w:val="0AA6765B"/>
    <w:rsid w:val="0AC94A31"/>
    <w:rsid w:val="0C6A2581"/>
    <w:rsid w:val="0E372DD1"/>
    <w:rsid w:val="0E98231D"/>
    <w:rsid w:val="0EEE0C9C"/>
    <w:rsid w:val="10B75766"/>
    <w:rsid w:val="12A20FFF"/>
    <w:rsid w:val="156F0B2D"/>
    <w:rsid w:val="176B0A43"/>
    <w:rsid w:val="19B968F6"/>
    <w:rsid w:val="19DE1F55"/>
    <w:rsid w:val="1A166C6F"/>
    <w:rsid w:val="1AEB304F"/>
    <w:rsid w:val="1B3F1135"/>
    <w:rsid w:val="1D633073"/>
    <w:rsid w:val="1D81675B"/>
    <w:rsid w:val="1E5878A1"/>
    <w:rsid w:val="22E456C8"/>
    <w:rsid w:val="265C41DF"/>
    <w:rsid w:val="2D597D7C"/>
    <w:rsid w:val="2E4C2048"/>
    <w:rsid w:val="2E57641F"/>
    <w:rsid w:val="2F2B74F6"/>
    <w:rsid w:val="2F3C5BA7"/>
    <w:rsid w:val="2F4B75B1"/>
    <w:rsid w:val="322E3B2A"/>
    <w:rsid w:val="33A855B9"/>
    <w:rsid w:val="35D20016"/>
    <w:rsid w:val="35FC6BDB"/>
    <w:rsid w:val="388B1145"/>
    <w:rsid w:val="38914EC4"/>
    <w:rsid w:val="3B893F22"/>
    <w:rsid w:val="3D231DE6"/>
    <w:rsid w:val="3D6C098B"/>
    <w:rsid w:val="3DA72863"/>
    <w:rsid w:val="409018AF"/>
    <w:rsid w:val="414C7A83"/>
    <w:rsid w:val="4251506E"/>
    <w:rsid w:val="43BC29BB"/>
    <w:rsid w:val="44E2459E"/>
    <w:rsid w:val="45284B01"/>
    <w:rsid w:val="455F19D3"/>
    <w:rsid w:val="46E009ED"/>
    <w:rsid w:val="48AF3319"/>
    <w:rsid w:val="4A1559E8"/>
    <w:rsid w:val="4D1E4D3B"/>
    <w:rsid w:val="4FCC3F86"/>
    <w:rsid w:val="500278C3"/>
    <w:rsid w:val="50E33C7D"/>
    <w:rsid w:val="52650BCA"/>
    <w:rsid w:val="548C2E67"/>
    <w:rsid w:val="56006FA6"/>
    <w:rsid w:val="565730C7"/>
    <w:rsid w:val="57DA7034"/>
    <w:rsid w:val="58936DCC"/>
    <w:rsid w:val="5A1B1D57"/>
    <w:rsid w:val="5DF47840"/>
    <w:rsid w:val="5FD87942"/>
    <w:rsid w:val="627961EF"/>
    <w:rsid w:val="64873F89"/>
    <w:rsid w:val="675B44A0"/>
    <w:rsid w:val="676141CE"/>
    <w:rsid w:val="681937F3"/>
    <w:rsid w:val="688E4077"/>
    <w:rsid w:val="6CF50EC1"/>
    <w:rsid w:val="6D033285"/>
    <w:rsid w:val="6E0C2DDD"/>
    <w:rsid w:val="70101441"/>
    <w:rsid w:val="74B45753"/>
    <w:rsid w:val="751B2383"/>
    <w:rsid w:val="752F3D3D"/>
    <w:rsid w:val="7625426C"/>
    <w:rsid w:val="793C2872"/>
    <w:rsid w:val="7ECA3C03"/>
    <w:rsid w:val="7FEC690D"/>
  </w:rsids>
  <m:mathPr>
    <m:mathFont m:val="Cambria Math"/>
    <m:brkBin m:val="before"/>
    <m:brkBinSub m:val="--"/>
    <m:smallFrac m:val="1"/>
    <m:dispDef/>
    <m:lMargin m:val="0"/>
    <m:rMargin m:val="0"/>
    <m:defJc m:val="centerGroup"/>
    <m:preSp m:val="0"/>
    <m:postSp m:val="0"/>
    <m:interSp m:val="0"/>
    <m:intraSp m:val="0"/>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9" w:semiHidden="0" w:name="heading 3"/>
    <w:lsdException w:qFormat="1" w:unhideWhenUsed="0" w:uiPriority="9"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0" w:name="toc 1"/>
    <w:lsdException w:qFormat="1" w:unhideWhenUsed="0" w:uiPriority="0" w:name="toc 2"/>
    <w:lsdException w:qFormat="1" w:unhideWhenUsed="0" w:uiPriority="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qFormat="1" w:unhideWhenUsed="0" w:uiPriority="0" w:semiHidden="0" w:name="Normal Indent"/>
    <w:lsdException w:uiPriority="0" w:name="footnote text"/>
    <w:lsdException w:qFormat="1" w:unhideWhenUsed="0" w:uiPriority="99" w:semiHidden="0" w:name="annotation text"/>
    <w:lsdException w:qFormat="1" w:unhideWhenUsed="0" w:uiPriority="99" w:semiHidden="0" w:name="header"/>
    <w:lsdException w:qFormat="1" w:unhideWhenUsed="0" w:uiPriority="0" w:semiHidden="0" w:name="footer"/>
    <w:lsdException w:uiPriority="0" w:name="index heading"/>
    <w:lsdException w:qFormat="1" w:unhideWhenUsed="0" w:uiPriority="0" w:semiHidden="0" w:name="caption"/>
    <w:lsdException w:uiPriority="0" w:name="table of figures"/>
    <w:lsdException w:uiPriority="0" w:name="envelope address"/>
    <w:lsdException w:uiPriority="0" w:name="envelope return"/>
    <w:lsdException w:uiPriority="0" w:name="footnote reference"/>
    <w:lsdException w:qFormat="1" w:unhideWhenUsed="0" w:uiPriority="99" w:semiHidden="0" w:name="annotation reference"/>
    <w:lsdException w:uiPriority="0" w:name="line number"/>
    <w:lsdException w:qFormat="1" w:unhideWhenUsed="0" w:uiPriority="0" w:semiHidden="0" w:name="page number"/>
    <w:lsdException w:uiPriority="0" w:name="endnote reference"/>
    <w:lsdException w:uiPriority="0" w:name="endnote text"/>
    <w:lsdException w:unhideWhenUsed="0" w:uiPriority="0" w:semiHidden="0" w:name="table of authorities"/>
    <w:lsdException w:uiPriority="0" w:name="macro"/>
    <w:lsdException w:uiPriority="0" w:name="toa heading"/>
    <w:lsdException w:unhideWhenUsed="0" w:uiPriority="0" w:semiHidden="0" w:name="List"/>
    <w:lsdException w:qFormat="1" w:unhideWhenUsed="0" w:uiPriority="0" w:semiHidden="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qFormat="1" w:unhideWhenUsed="0" w:uiPriority="0" w:semiHidden="0" w:name="Body Text Indent"/>
    <w:lsdException w:uiPriority="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0" w:semiHidden="0" w:name="Subtitle"/>
    <w:lsdException w:uiPriority="0" w:name="Salutation"/>
    <w:lsdException w:qFormat="1" w:unhideWhenUsed="0" w:uiPriority="0" w:semiHidden="0" w:name="Date"/>
    <w:lsdException w:qFormat="1" w:unhideWhenUsed="0" w:uiPriority="0" w:semiHidden="0" w:name="Body Text First Indent"/>
    <w:lsdException w:uiPriority="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0" w:semiHidden="0" w:name="Plain Text"/>
    <w:lsdException w:uiPriority="0" w:name="E-mail Signature"/>
    <w:lsdException w:qFormat="1" w:unhideWhenUsed="0" w:uiPriority="99" w:semiHidden="0" w:name="Normal (Web)"/>
    <w:lsdException w:qFormat="1" w:uiPriority="0" w:name="HTML Acronym"/>
    <w:lsdException w:uiPriority="0" w:name="HTML Address"/>
    <w:lsdException w:qFormat="1" w:uiPriority="0" w:name="HTML Cite"/>
    <w:lsdException w:qFormat="1" w:uiPriority="0" w:name="HTML Code"/>
    <w:lsdException w:qFormat="1" w:uiPriority="0" w:name="HTML Definition"/>
    <w:lsdException w:qFormat="1" w:uiPriority="0" w:name="HTML Keyboard"/>
    <w:lsdException w:qFormat="1" w:unhideWhenUsed="0" w:uiPriority="0" w:semiHidden="0" w:name="HTML Preformatted"/>
    <w:lsdException w:qFormat="1" w:uiPriority="0" w:name="HTML Sample"/>
    <w:lsdException w:qFormat="1" w:uiPriority="99" w:name="HTML Typewriter"/>
    <w:lsdException w:qFormat="1" w:uiPriority="0" w:name="HTML Variable"/>
    <w:lsdException w:qFormat="1" w:uiPriority="99" w:name="Normal Table"/>
    <w:lsdException w:qFormat="1" w:unhideWhenUsed="0" w:uiPriority="99"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99" w:name="Balloon Text"/>
    <w:lsdException w:qFormat="1" w:unhideWhenUsed="0" w:uiPriority="39" w:semiHidden="0" w:name="Table Grid"/>
    <w:lsdException w:uiPriority="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4"/>
    <w:next w:val="1"/>
    <w:link w:val="62"/>
    <w:qFormat/>
    <w:uiPriority w:val="0"/>
    <w:pPr>
      <w:spacing w:before="340" w:after="330" w:line="360" w:lineRule="auto"/>
      <w:jc w:val="center"/>
      <w:outlineLvl w:val="0"/>
    </w:pPr>
    <w:rPr>
      <w:rFonts w:eastAsia="黑体"/>
      <w:kern w:val="44"/>
      <w:szCs w:val="44"/>
    </w:rPr>
  </w:style>
  <w:style w:type="paragraph" w:styleId="5">
    <w:name w:val="heading 2"/>
    <w:next w:val="6"/>
    <w:link w:val="77"/>
    <w:qFormat/>
    <w:uiPriority w:val="0"/>
    <w:pPr>
      <w:adjustRightInd w:val="0"/>
      <w:jc w:val="center"/>
      <w:textAlignment w:val="baseline"/>
      <w:outlineLvl w:val="1"/>
    </w:pPr>
    <w:rPr>
      <w:rFonts w:ascii="Times New Roman" w:hAnsi="Times New Roman" w:eastAsia="宋体" w:cs="Times New Roman"/>
      <w:kern w:val="0"/>
      <w:sz w:val="24"/>
      <w:szCs w:val="20"/>
    </w:rPr>
  </w:style>
  <w:style w:type="paragraph" w:styleId="4">
    <w:name w:val="heading 3"/>
    <w:next w:val="1"/>
    <w:link w:val="61"/>
    <w:qFormat/>
    <w:uiPriority w:val="9"/>
    <w:pPr>
      <w:spacing w:before="260" w:after="260" w:line="240" w:lineRule="auto"/>
      <w:outlineLvl w:val="2"/>
    </w:pPr>
    <w:rPr>
      <w:rFonts w:ascii="宋体" w:hAnsi="宋体" w:eastAsia="宋体" w:cs="Times New Roman"/>
      <w:szCs w:val="32"/>
    </w:rPr>
  </w:style>
  <w:style w:type="paragraph" w:styleId="6">
    <w:name w:val="heading 4"/>
    <w:basedOn w:val="1"/>
    <w:next w:val="1"/>
    <w:link w:val="59"/>
    <w:qFormat/>
    <w:uiPriority w:val="9"/>
    <w:pPr>
      <w:keepNext/>
      <w:keepLines/>
      <w:spacing w:before="280" w:after="290" w:line="376" w:lineRule="auto"/>
      <w:outlineLvl w:val="3"/>
    </w:pPr>
    <w:rPr>
      <w:rFonts w:ascii="Arial" w:hAnsi="Arial" w:eastAsia="黑体"/>
      <w:b/>
      <w:bCs/>
      <w:sz w:val="28"/>
      <w:szCs w:val="28"/>
    </w:rPr>
  </w:style>
  <w:style w:type="paragraph" w:styleId="7">
    <w:name w:val="heading 5"/>
    <w:basedOn w:val="1"/>
    <w:next w:val="8"/>
    <w:link w:val="86"/>
    <w:qFormat/>
    <w:uiPriority w:val="0"/>
    <w:pPr>
      <w:keepNext/>
      <w:keepLines/>
      <w:spacing w:before="280" w:after="290" w:line="376" w:lineRule="auto"/>
      <w:outlineLvl w:val="4"/>
    </w:pPr>
    <w:rPr>
      <w:b/>
      <w:sz w:val="28"/>
      <w:szCs w:val="20"/>
    </w:rPr>
  </w:style>
  <w:style w:type="paragraph" w:styleId="9">
    <w:name w:val="heading 6"/>
    <w:basedOn w:val="1"/>
    <w:next w:val="8"/>
    <w:link w:val="89"/>
    <w:qFormat/>
    <w:uiPriority w:val="0"/>
    <w:pPr>
      <w:keepNext/>
      <w:keepLines/>
      <w:spacing w:before="240" w:after="64" w:line="320" w:lineRule="auto"/>
      <w:outlineLvl w:val="5"/>
    </w:pPr>
    <w:rPr>
      <w:rFonts w:ascii="Arial" w:hAnsi="Arial" w:eastAsia="黑体"/>
      <w:b/>
      <w:sz w:val="24"/>
      <w:szCs w:val="20"/>
    </w:rPr>
  </w:style>
  <w:style w:type="paragraph" w:styleId="10">
    <w:name w:val="heading 7"/>
    <w:basedOn w:val="1"/>
    <w:next w:val="8"/>
    <w:link w:val="90"/>
    <w:qFormat/>
    <w:uiPriority w:val="0"/>
    <w:pPr>
      <w:keepNext/>
      <w:keepLines/>
      <w:spacing w:before="240" w:after="64" w:line="320" w:lineRule="auto"/>
      <w:outlineLvl w:val="6"/>
    </w:pPr>
    <w:rPr>
      <w:b/>
      <w:sz w:val="24"/>
      <w:szCs w:val="20"/>
    </w:rPr>
  </w:style>
  <w:style w:type="paragraph" w:styleId="11">
    <w:name w:val="heading 8"/>
    <w:basedOn w:val="1"/>
    <w:next w:val="8"/>
    <w:link w:val="91"/>
    <w:qFormat/>
    <w:uiPriority w:val="0"/>
    <w:pPr>
      <w:keepNext/>
      <w:keepLines/>
      <w:spacing w:before="240" w:after="64" w:line="320" w:lineRule="auto"/>
      <w:outlineLvl w:val="7"/>
    </w:pPr>
    <w:rPr>
      <w:rFonts w:ascii="Arial" w:hAnsi="Arial" w:eastAsia="黑体"/>
      <w:sz w:val="24"/>
      <w:szCs w:val="20"/>
    </w:rPr>
  </w:style>
  <w:style w:type="paragraph" w:styleId="12">
    <w:name w:val="heading 9"/>
    <w:basedOn w:val="1"/>
    <w:next w:val="8"/>
    <w:link w:val="92"/>
    <w:qFormat/>
    <w:uiPriority w:val="0"/>
    <w:pPr>
      <w:keepNext/>
      <w:keepLines/>
      <w:spacing w:before="240" w:after="64" w:line="320" w:lineRule="auto"/>
      <w:outlineLvl w:val="8"/>
    </w:pPr>
    <w:rPr>
      <w:rFonts w:ascii="Arial" w:hAnsi="Arial" w:eastAsia="黑体"/>
      <w:szCs w:val="20"/>
    </w:rPr>
  </w:style>
  <w:style w:type="character" w:default="1" w:styleId="44">
    <w:name w:val="Default Paragraph Font"/>
    <w:semiHidden/>
    <w:unhideWhenUsed/>
    <w:qFormat/>
    <w:uiPriority w:val="1"/>
  </w:style>
  <w:style w:type="table" w:default="1" w:styleId="42">
    <w:name w:val="Normal Table"/>
    <w:semiHidden/>
    <w:unhideWhenUsed/>
    <w:qFormat/>
    <w:uiPriority w:val="99"/>
    <w:tblPr>
      <w:tblCellMar>
        <w:top w:w="0" w:type="dxa"/>
        <w:left w:w="108" w:type="dxa"/>
        <w:bottom w:w="0" w:type="dxa"/>
        <w:right w:w="108" w:type="dxa"/>
      </w:tblCellMar>
    </w:tblPr>
  </w:style>
  <w:style w:type="paragraph" w:styleId="2">
    <w:name w:val="Normal Indent"/>
    <w:basedOn w:val="1"/>
    <w:qFormat/>
    <w:uiPriority w:val="0"/>
    <w:pPr>
      <w:ind w:firstLine="420"/>
    </w:pPr>
    <w:rPr>
      <w:szCs w:val="20"/>
    </w:rPr>
  </w:style>
  <w:style w:type="paragraph" w:styleId="8">
    <w:name w:val="toc 8"/>
    <w:basedOn w:val="1"/>
    <w:next w:val="1"/>
    <w:link w:val="63"/>
    <w:semiHidden/>
    <w:qFormat/>
    <w:uiPriority w:val="0"/>
    <w:pPr>
      <w:ind w:left="1470"/>
      <w:jc w:val="left"/>
    </w:pPr>
    <w:rPr>
      <w:szCs w:val="21"/>
    </w:rPr>
  </w:style>
  <w:style w:type="paragraph" w:styleId="13">
    <w:name w:val="toc 7"/>
    <w:basedOn w:val="1"/>
    <w:next w:val="1"/>
    <w:semiHidden/>
    <w:qFormat/>
    <w:uiPriority w:val="0"/>
    <w:pPr>
      <w:ind w:left="1260"/>
      <w:jc w:val="left"/>
    </w:pPr>
    <w:rPr>
      <w:szCs w:val="21"/>
    </w:rPr>
  </w:style>
  <w:style w:type="paragraph" w:styleId="14">
    <w:name w:val="caption"/>
    <w:basedOn w:val="1"/>
    <w:next w:val="1"/>
    <w:qFormat/>
    <w:uiPriority w:val="0"/>
    <w:pPr>
      <w:widowControl/>
      <w:spacing w:line="360" w:lineRule="auto"/>
      <w:ind w:firstLine="1940" w:firstLineChars="920"/>
      <w:jc w:val="left"/>
    </w:pPr>
    <w:rPr>
      <w:rFonts w:ascii="宋体" w:hAnsi="宋体"/>
      <w:b/>
      <w:bCs/>
      <w:kern w:val="0"/>
      <w:sz w:val="20"/>
      <w:szCs w:val="20"/>
    </w:rPr>
  </w:style>
  <w:style w:type="paragraph" w:styleId="15">
    <w:name w:val="List Bullet"/>
    <w:basedOn w:val="1"/>
    <w:qFormat/>
    <w:uiPriority w:val="0"/>
    <w:pPr>
      <w:numPr>
        <w:ilvl w:val="0"/>
        <w:numId w:val="1"/>
      </w:numPr>
    </w:pPr>
    <w:rPr>
      <w:szCs w:val="20"/>
    </w:rPr>
  </w:style>
  <w:style w:type="paragraph" w:styleId="16">
    <w:name w:val="Document Map"/>
    <w:basedOn w:val="1"/>
    <w:semiHidden/>
    <w:qFormat/>
    <w:uiPriority w:val="0"/>
    <w:pPr>
      <w:shd w:val="clear" w:color="auto" w:fill="000080"/>
    </w:pPr>
  </w:style>
  <w:style w:type="paragraph" w:styleId="17">
    <w:name w:val="annotation text"/>
    <w:basedOn w:val="1"/>
    <w:qFormat/>
    <w:uiPriority w:val="99"/>
    <w:pPr>
      <w:autoSpaceDE w:val="0"/>
      <w:autoSpaceDN w:val="0"/>
      <w:adjustRightInd w:val="0"/>
      <w:jc w:val="left"/>
      <w:textAlignment w:val="baseline"/>
    </w:pPr>
    <w:rPr>
      <w:rFonts w:ascii="宋体"/>
      <w:kern w:val="0"/>
      <w:sz w:val="34"/>
      <w:szCs w:val="20"/>
    </w:rPr>
  </w:style>
  <w:style w:type="paragraph" w:styleId="18">
    <w:name w:val="Body Text 3"/>
    <w:basedOn w:val="1"/>
    <w:qFormat/>
    <w:uiPriority w:val="0"/>
    <w:pPr>
      <w:spacing w:after="120"/>
    </w:pPr>
    <w:rPr>
      <w:sz w:val="16"/>
      <w:szCs w:val="16"/>
    </w:rPr>
  </w:style>
  <w:style w:type="paragraph" w:styleId="19">
    <w:name w:val="Body Text"/>
    <w:basedOn w:val="1"/>
    <w:next w:val="20"/>
    <w:qFormat/>
    <w:uiPriority w:val="0"/>
    <w:pPr>
      <w:spacing w:line="360" w:lineRule="auto"/>
    </w:pPr>
    <w:rPr>
      <w:b/>
      <w:bCs/>
      <w:sz w:val="24"/>
    </w:rPr>
  </w:style>
  <w:style w:type="paragraph" w:styleId="20">
    <w:name w:val="Title"/>
    <w:basedOn w:val="1"/>
    <w:qFormat/>
    <w:uiPriority w:val="0"/>
    <w:pPr>
      <w:spacing w:before="240" w:after="60"/>
      <w:jc w:val="center"/>
      <w:outlineLvl w:val="0"/>
    </w:pPr>
    <w:rPr>
      <w:rFonts w:ascii="Arial" w:hAnsi="Arial" w:eastAsia="隶书" w:cs="Arial"/>
      <w:b/>
      <w:bCs/>
      <w:sz w:val="32"/>
      <w:szCs w:val="32"/>
    </w:rPr>
  </w:style>
  <w:style w:type="paragraph" w:styleId="21">
    <w:name w:val="Body Text Indent"/>
    <w:basedOn w:val="1"/>
    <w:qFormat/>
    <w:uiPriority w:val="0"/>
    <w:pPr>
      <w:spacing w:line="360" w:lineRule="auto"/>
      <w:ind w:firstLine="420" w:firstLineChars="200"/>
    </w:pPr>
  </w:style>
  <w:style w:type="paragraph" w:styleId="22">
    <w:name w:val="toc 5"/>
    <w:basedOn w:val="1"/>
    <w:next w:val="1"/>
    <w:semiHidden/>
    <w:qFormat/>
    <w:uiPriority w:val="0"/>
    <w:pPr>
      <w:ind w:left="840"/>
      <w:jc w:val="left"/>
    </w:pPr>
    <w:rPr>
      <w:szCs w:val="21"/>
    </w:rPr>
  </w:style>
  <w:style w:type="paragraph" w:styleId="23">
    <w:name w:val="toc 3"/>
    <w:basedOn w:val="1"/>
    <w:next w:val="1"/>
    <w:semiHidden/>
    <w:qFormat/>
    <w:uiPriority w:val="0"/>
    <w:pPr>
      <w:ind w:left="420"/>
      <w:jc w:val="left"/>
    </w:pPr>
    <w:rPr>
      <w:i/>
      <w:iCs/>
    </w:rPr>
  </w:style>
  <w:style w:type="paragraph" w:styleId="24">
    <w:name w:val="Plain Text"/>
    <w:basedOn w:val="1"/>
    <w:qFormat/>
    <w:uiPriority w:val="0"/>
    <w:rPr>
      <w:rFonts w:ascii="宋体" w:hAnsi="Courier New"/>
      <w:szCs w:val="20"/>
    </w:rPr>
  </w:style>
  <w:style w:type="paragraph" w:styleId="25">
    <w:name w:val="Date"/>
    <w:basedOn w:val="1"/>
    <w:next w:val="1"/>
    <w:qFormat/>
    <w:uiPriority w:val="0"/>
    <w:rPr>
      <w:rFonts w:ascii="宋体" w:hAnsi="Courier New"/>
      <w:sz w:val="32"/>
      <w:szCs w:val="20"/>
    </w:rPr>
  </w:style>
  <w:style w:type="paragraph" w:styleId="26">
    <w:name w:val="Body Text Indent 2"/>
    <w:basedOn w:val="1"/>
    <w:qFormat/>
    <w:uiPriority w:val="0"/>
    <w:pPr>
      <w:spacing w:beforeLines="50" w:afterLines="50" w:line="120" w:lineRule="auto"/>
      <w:ind w:firstLine="840" w:firstLineChars="400"/>
      <w:jc w:val="left"/>
    </w:pPr>
    <w:rPr>
      <w:rFonts w:ascii="宋体" w:hAnsi="宋体"/>
    </w:rPr>
  </w:style>
  <w:style w:type="paragraph" w:styleId="27">
    <w:name w:val="Balloon Text"/>
    <w:basedOn w:val="1"/>
    <w:link w:val="100"/>
    <w:semiHidden/>
    <w:qFormat/>
    <w:uiPriority w:val="99"/>
    <w:rPr>
      <w:sz w:val="18"/>
      <w:szCs w:val="18"/>
    </w:rPr>
  </w:style>
  <w:style w:type="paragraph" w:styleId="28">
    <w:name w:val="footer"/>
    <w:basedOn w:val="1"/>
    <w:link w:val="103"/>
    <w:qFormat/>
    <w:uiPriority w:val="0"/>
    <w:pPr>
      <w:tabs>
        <w:tab w:val="center" w:pos="4153"/>
        <w:tab w:val="right" w:pos="8306"/>
      </w:tabs>
      <w:snapToGrid w:val="0"/>
      <w:jc w:val="left"/>
    </w:pPr>
    <w:rPr>
      <w:sz w:val="18"/>
      <w:szCs w:val="18"/>
    </w:rPr>
  </w:style>
  <w:style w:type="paragraph" w:styleId="29">
    <w:name w:val="header"/>
    <w:basedOn w:val="1"/>
    <w:qFormat/>
    <w:uiPriority w:val="99"/>
    <w:pPr>
      <w:pBdr>
        <w:bottom w:val="single" w:color="auto" w:sz="6" w:space="1"/>
      </w:pBdr>
      <w:tabs>
        <w:tab w:val="center" w:pos="4153"/>
        <w:tab w:val="right" w:pos="8306"/>
      </w:tabs>
      <w:snapToGrid w:val="0"/>
      <w:jc w:val="center"/>
    </w:pPr>
    <w:rPr>
      <w:sz w:val="18"/>
      <w:szCs w:val="18"/>
    </w:rPr>
  </w:style>
  <w:style w:type="paragraph" w:styleId="30">
    <w:name w:val="toc 1"/>
    <w:basedOn w:val="1"/>
    <w:next w:val="1"/>
    <w:semiHidden/>
    <w:qFormat/>
    <w:uiPriority w:val="0"/>
    <w:pPr>
      <w:spacing w:before="120" w:after="120"/>
      <w:jc w:val="left"/>
    </w:pPr>
    <w:rPr>
      <w:b/>
      <w:bCs/>
      <w:caps/>
    </w:rPr>
  </w:style>
  <w:style w:type="paragraph" w:styleId="31">
    <w:name w:val="toc 4"/>
    <w:basedOn w:val="1"/>
    <w:next w:val="1"/>
    <w:semiHidden/>
    <w:qFormat/>
    <w:uiPriority w:val="0"/>
    <w:pPr>
      <w:ind w:left="630"/>
      <w:jc w:val="left"/>
    </w:pPr>
    <w:rPr>
      <w:szCs w:val="21"/>
    </w:rPr>
  </w:style>
  <w:style w:type="paragraph" w:styleId="32">
    <w:name w:val="toc 6"/>
    <w:basedOn w:val="1"/>
    <w:next w:val="1"/>
    <w:semiHidden/>
    <w:qFormat/>
    <w:uiPriority w:val="0"/>
    <w:pPr>
      <w:ind w:left="1050"/>
      <w:jc w:val="left"/>
    </w:pPr>
    <w:rPr>
      <w:szCs w:val="21"/>
    </w:rPr>
  </w:style>
  <w:style w:type="paragraph" w:styleId="33">
    <w:name w:val="Body Text Indent 3"/>
    <w:basedOn w:val="1"/>
    <w:qFormat/>
    <w:uiPriority w:val="0"/>
    <w:pPr>
      <w:spacing w:line="360" w:lineRule="auto"/>
      <w:ind w:firstLine="482" w:firstLineChars="200"/>
    </w:pPr>
    <w:rPr>
      <w:rFonts w:ascii="宋体"/>
      <w:b/>
      <w:bCs/>
      <w:sz w:val="24"/>
    </w:rPr>
  </w:style>
  <w:style w:type="paragraph" w:styleId="34">
    <w:name w:val="toc 2"/>
    <w:basedOn w:val="1"/>
    <w:next w:val="1"/>
    <w:semiHidden/>
    <w:qFormat/>
    <w:uiPriority w:val="0"/>
    <w:pPr>
      <w:tabs>
        <w:tab w:val="right" w:leader="dot" w:pos="8296"/>
      </w:tabs>
      <w:ind w:left="210"/>
      <w:jc w:val="left"/>
    </w:pPr>
    <w:rPr>
      <w:smallCaps/>
    </w:rPr>
  </w:style>
  <w:style w:type="paragraph" w:styleId="35">
    <w:name w:val="toc 9"/>
    <w:basedOn w:val="1"/>
    <w:next w:val="1"/>
    <w:semiHidden/>
    <w:qFormat/>
    <w:uiPriority w:val="0"/>
    <w:pPr>
      <w:ind w:left="1680"/>
      <w:jc w:val="left"/>
    </w:pPr>
    <w:rPr>
      <w:szCs w:val="21"/>
    </w:rPr>
  </w:style>
  <w:style w:type="paragraph" w:styleId="36">
    <w:name w:val="Body Text 2"/>
    <w:basedOn w:val="1"/>
    <w:qFormat/>
    <w:uiPriority w:val="0"/>
    <w:pPr>
      <w:spacing w:line="360" w:lineRule="auto"/>
    </w:pPr>
    <w:rPr>
      <w:sz w:val="24"/>
    </w:rPr>
  </w:style>
  <w:style w:type="paragraph" w:styleId="37">
    <w:name w:val="HTML Preformatted"/>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hAnsi="Arial Unicode MS" w:eastAsia="Arial Unicode MS"/>
      <w:color w:val="000000"/>
      <w:kern w:val="0"/>
      <w:sz w:val="20"/>
      <w:szCs w:val="20"/>
    </w:rPr>
  </w:style>
  <w:style w:type="paragraph" w:styleId="38">
    <w:name w:val="Normal (Web)"/>
    <w:basedOn w:val="1"/>
    <w:qFormat/>
    <w:uiPriority w:val="99"/>
    <w:rPr>
      <w:sz w:val="24"/>
    </w:rPr>
  </w:style>
  <w:style w:type="paragraph" w:styleId="39">
    <w:name w:val="index 1"/>
    <w:basedOn w:val="1"/>
    <w:next w:val="1"/>
    <w:semiHidden/>
    <w:qFormat/>
    <w:uiPriority w:val="0"/>
    <w:pPr>
      <w:tabs>
        <w:tab w:val="left" w:pos="3360"/>
      </w:tabs>
      <w:spacing w:line="520" w:lineRule="exact"/>
      <w:ind w:left="419" w:leftChars="50" w:hanging="314" w:hangingChars="131"/>
      <w:jc w:val="center"/>
      <w:outlineLvl w:val="3"/>
    </w:pPr>
    <w:rPr>
      <w:rFonts w:ascii="宋体" w:hAnsi="宋体"/>
      <w:sz w:val="24"/>
    </w:rPr>
  </w:style>
  <w:style w:type="paragraph" w:styleId="40">
    <w:name w:val="annotation subject"/>
    <w:basedOn w:val="17"/>
    <w:qFormat/>
    <w:uiPriority w:val="99"/>
    <w:pPr>
      <w:autoSpaceDE/>
      <w:autoSpaceDN/>
      <w:adjustRightInd/>
      <w:textAlignment w:val="auto"/>
    </w:pPr>
    <w:rPr>
      <w:rFonts w:ascii="Times New Roman"/>
      <w:b/>
      <w:bCs/>
      <w:kern w:val="2"/>
      <w:sz w:val="21"/>
      <w:szCs w:val="24"/>
    </w:rPr>
  </w:style>
  <w:style w:type="paragraph" w:styleId="41">
    <w:name w:val="Body Text First Indent"/>
    <w:basedOn w:val="19"/>
    <w:qFormat/>
    <w:uiPriority w:val="0"/>
    <w:pPr>
      <w:spacing w:after="120" w:line="240" w:lineRule="auto"/>
      <w:ind w:firstLine="420" w:firstLineChars="100"/>
    </w:pPr>
    <w:rPr>
      <w:sz w:val="21"/>
    </w:rPr>
  </w:style>
  <w:style w:type="table" w:styleId="43">
    <w:name w:val="Table Grid"/>
    <w:basedOn w:val="42"/>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45">
    <w:name w:val="Strong"/>
    <w:qFormat/>
    <w:uiPriority w:val="0"/>
    <w:rPr>
      <w:b/>
      <w:bCs/>
    </w:rPr>
  </w:style>
  <w:style w:type="character" w:styleId="46">
    <w:name w:val="page number"/>
    <w:basedOn w:val="44"/>
    <w:qFormat/>
    <w:uiPriority w:val="0"/>
  </w:style>
  <w:style w:type="character" w:styleId="47">
    <w:name w:val="FollowedHyperlink"/>
    <w:qFormat/>
    <w:uiPriority w:val="0"/>
    <w:rPr>
      <w:color w:val="800080"/>
      <w:u w:val="single"/>
    </w:rPr>
  </w:style>
  <w:style w:type="character" w:styleId="48">
    <w:name w:val="Emphasis"/>
    <w:basedOn w:val="44"/>
    <w:qFormat/>
    <w:uiPriority w:val="0"/>
    <w:rPr>
      <w:b/>
      <w:bCs/>
    </w:rPr>
  </w:style>
  <w:style w:type="character" w:styleId="49">
    <w:name w:val="HTML Definition"/>
    <w:basedOn w:val="44"/>
    <w:semiHidden/>
    <w:unhideWhenUsed/>
    <w:qFormat/>
    <w:uiPriority w:val="0"/>
  </w:style>
  <w:style w:type="character" w:styleId="50">
    <w:name w:val="HTML Typewriter"/>
    <w:basedOn w:val="44"/>
    <w:semiHidden/>
    <w:unhideWhenUsed/>
    <w:qFormat/>
    <w:uiPriority w:val="99"/>
    <w:rPr>
      <w:rFonts w:hint="default" w:ascii="monospace" w:hAnsi="monospace" w:eastAsia="monospace" w:cs="monospace"/>
      <w:sz w:val="20"/>
    </w:rPr>
  </w:style>
  <w:style w:type="character" w:styleId="51">
    <w:name w:val="HTML Acronym"/>
    <w:basedOn w:val="44"/>
    <w:semiHidden/>
    <w:unhideWhenUsed/>
    <w:qFormat/>
    <w:uiPriority w:val="0"/>
  </w:style>
  <w:style w:type="character" w:styleId="52">
    <w:name w:val="HTML Variable"/>
    <w:basedOn w:val="44"/>
    <w:semiHidden/>
    <w:unhideWhenUsed/>
    <w:qFormat/>
    <w:uiPriority w:val="0"/>
  </w:style>
  <w:style w:type="character" w:styleId="53">
    <w:name w:val="Hyperlink"/>
    <w:qFormat/>
    <w:uiPriority w:val="0"/>
    <w:rPr>
      <w:color w:val="0000FF"/>
      <w:u w:val="single"/>
    </w:rPr>
  </w:style>
  <w:style w:type="character" w:styleId="54">
    <w:name w:val="HTML Code"/>
    <w:basedOn w:val="44"/>
    <w:semiHidden/>
    <w:unhideWhenUsed/>
    <w:qFormat/>
    <w:uiPriority w:val="0"/>
    <w:rPr>
      <w:rFonts w:hint="default" w:ascii="monospace" w:hAnsi="monospace" w:eastAsia="monospace" w:cs="monospace"/>
      <w:sz w:val="20"/>
    </w:rPr>
  </w:style>
  <w:style w:type="character" w:styleId="55">
    <w:name w:val="annotation reference"/>
    <w:basedOn w:val="44"/>
    <w:qFormat/>
    <w:uiPriority w:val="99"/>
    <w:rPr>
      <w:sz w:val="21"/>
      <w:szCs w:val="21"/>
    </w:rPr>
  </w:style>
  <w:style w:type="character" w:styleId="56">
    <w:name w:val="HTML Cite"/>
    <w:basedOn w:val="44"/>
    <w:semiHidden/>
    <w:unhideWhenUsed/>
    <w:qFormat/>
    <w:uiPriority w:val="0"/>
  </w:style>
  <w:style w:type="character" w:styleId="57">
    <w:name w:val="HTML Keyboard"/>
    <w:basedOn w:val="44"/>
    <w:semiHidden/>
    <w:unhideWhenUsed/>
    <w:qFormat/>
    <w:uiPriority w:val="0"/>
    <w:rPr>
      <w:rFonts w:ascii="monospace" w:hAnsi="monospace" w:eastAsia="monospace" w:cs="monospace"/>
      <w:sz w:val="20"/>
    </w:rPr>
  </w:style>
  <w:style w:type="character" w:styleId="58">
    <w:name w:val="HTML Sample"/>
    <w:basedOn w:val="44"/>
    <w:semiHidden/>
    <w:unhideWhenUsed/>
    <w:qFormat/>
    <w:uiPriority w:val="0"/>
    <w:rPr>
      <w:rFonts w:hint="default" w:ascii="monospace" w:hAnsi="monospace" w:eastAsia="monospace" w:cs="monospace"/>
    </w:rPr>
  </w:style>
  <w:style w:type="character" w:customStyle="1" w:styleId="59">
    <w:name w:val="标题 4 Char"/>
    <w:link w:val="6"/>
    <w:qFormat/>
    <w:uiPriority w:val="9"/>
    <w:rPr>
      <w:rFonts w:ascii="Arial" w:hAnsi="Arial" w:eastAsia="黑体"/>
      <w:b/>
      <w:bCs/>
      <w:kern w:val="2"/>
      <w:sz w:val="28"/>
      <w:szCs w:val="28"/>
      <w:lang w:val="en-US" w:eastAsia="zh-CN" w:bidi="ar-SA"/>
    </w:rPr>
  </w:style>
  <w:style w:type="paragraph" w:customStyle="1" w:styleId="60">
    <w:name w:val="Char"/>
    <w:basedOn w:val="1"/>
    <w:qFormat/>
    <w:uiPriority w:val="0"/>
    <w:pPr>
      <w:widowControl/>
      <w:spacing w:after="160" w:line="240" w:lineRule="exact"/>
      <w:jc w:val="left"/>
    </w:pPr>
    <w:rPr>
      <w:rFonts w:ascii="Verdana" w:hAnsi="Verdana" w:eastAsia="仿宋_GB2312"/>
      <w:kern w:val="0"/>
      <w:sz w:val="24"/>
      <w:szCs w:val="20"/>
      <w:lang w:eastAsia="en-US"/>
    </w:rPr>
  </w:style>
  <w:style w:type="character" w:customStyle="1" w:styleId="61">
    <w:name w:val="标题 3 Char1"/>
    <w:link w:val="4"/>
    <w:qFormat/>
    <w:uiPriority w:val="9"/>
    <w:rPr>
      <w:rFonts w:ascii="宋体" w:hAnsi="宋体" w:eastAsia="宋体"/>
      <w:b/>
      <w:bCs/>
      <w:kern w:val="2"/>
      <w:sz w:val="28"/>
      <w:szCs w:val="32"/>
      <w:lang w:val="en-US" w:eastAsia="zh-CN" w:bidi="ar-SA"/>
    </w:rPr>
  </w:style>
  <w:style w:type="character" w:customStyle="1" w:styleId="62">
    <w:name w:val="标题 1 Char"/>
    <w:link w:val="3"/>
    <w:qFormat/>
    <w:uiPriority w:val="0"/>
    <w:rPr>
      <w:rFonts w:ascii="宋体" w:hAnsi="宋体" w:eastAsia="黑体"/>
      <w:b/>
      <w:bCs/>
      <w:kern w:val="44"/>
      <w:sz w:val="28"/>
      <w:szCs w:val="44"/>
      <w:lang w:val="en-US" w:eastAsia="zh-CN" w:bidi="ar-SA"/>
    </w:rPr>
  </w:style>
  <w:style w:type="character" w:customStyle="1" w:styleId="63">
    <w:name w:val="正文缩进 Char"/>
    <w:link w:val="8"/>
    <w:qFormat/>
    <w:uiPriority w:val="0"/>
    <w:rPr>
      <w:rFonts w:eastAsia="宋体"/>
      <w:kern w:val="2"/>
      <w:sz w:val="21"/>
      <w:lang w:val="en-US" w:eastAsia="zh-CN" w:bidi="ar-SA"/>
    </w:rPr>
  </w:style>
  <w:style w:type="character" w:customStyle="1" w:styleId="64">
    <w:name w:val="标题 3 Char"/>
    <w:qFormat/>
    <w:uiPriority w:val="0"/>
    <w:rPr>
      <w:rFonts w:ascii="黑体" w:eastAsia="黑体"/>
      <w:bCs/>
      <w:sz w:val="30"/>
    </w:rPr>
  </w:style>
  <w:style w:type="paragraph" w:customStyle="1" w:styleId="65">
    <w:name w:val="样式41"/>
    <w:basedOn w:val="1"/>
    <w:qFormat/>
    <w:uiPriority w:val="0"/>
    <w:pPr>
      <w:numPr>
        <w:ilvl w:val="0"/>
        <w:numId w:val="2"/>
      </w:numPr>
      <w:tabs>
        <w:tab w:val="left" w:pos="945"/>
      </w:tabs>
      <w:spacing w:line="360" w:lineRule="auto"/>
    </w:pPr>
    <w:rPr>
      <w:b/>
      <w:color w:val="000000"/>
      <w:sz w:val="24"/>
      <w:szCs w:val="20"/>
    </w:rPr>
  </w:style>
  <w:style w:type="paragraph" w:customStyle="1" w:styleId="66">
    <w:name w:val="图"/>
    <w:basedOn w:val="1"/>
    <w:qFormat/>
    <w:uiPriority w:val="0"/>
    <w:pPr>
      <w:keepNext/>
      <w:adjustRightInd w:val="0"/>
      <w:snapToGrid w:val="0"/>
      <w:spacing w:before="60" w:after="60" w:line="300" w:lineRule="auto"/>
      <w:jc w:val="center"/>
    </w:pPr>
    <w:rPr>
      <w:spacing w:val="20"/>
      <w:kern w:val="0"/>
      <w:sz w:val="24"/>
      <w:szCs w:val="20"/>
    </w:rPr>
  </w:style>
  <w:style w:type="paragraph" w:customStyle="1" w:styleId="67">
    <w:name w:val="文档正文"/>
    <w:basedOn w:val="1"/>
    <w:qFormat/>
    <w:uiPriority w:val="0"/>
    <w:pPr>
      <w:adjustRightInd w:val="0"/>
      <w:spacing w:line="480" w:lineRule="atLeast"/>
      <w:ind w:firstLine="567" w:firstLineChars="200"/>
      <w:textAlignment w:val="baseline"/>
    </w:pPr>
    <w:rPr>
      <w:rFonts w:ascii="长城仿宋"/>
      <w:kern w:val="0"/>
      <w:szCs w:val="20"/>
    </w:rPr>
  </w:style>
  <w:style w:type="paragraph" w:customStyle="1" w:styleId="68">
    <w:name w:val="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69">
    <w:name w:val="Char11"/>
    <w:basedOn w:val="1"/>
    <w:link w:val="93"/>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70">
    <w:name w:val="Char Char Char 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71">
    <w:name w:val="Table Contents"/>
    <w:basedOn w:val="1"/>
    <w:qFormat/>
    <w:uiPriority w:val="0"/>
    <w:pPr>
      <w:suppressAutoHyphens/>
      <w:autoSpaceDE w:val="0"/>
      <w:spacing w:after="120"/>
      <w:jc w:val="left"/>
    </w:pPr>
    <w:rPr>
      <w:rFonts w:ascii="Helvetica" w:hAnsi="Helvetica"/>
      <w:kern w:val="1"/>
      <w:sz w:val="20"/>
      <w:szCs w:val="20"/>
    </w:rPr>
  </w:style>
  <w:style w:type="paragraph" w:customStyle="1" w:styleId="72">
    <w:name w:val="自定义正文"/>
    <w:basedOn w:val="1"/>
    <w:qFormat/>
    <w:uiPriority w:val="0"/>
    <w:pPr>
      <w:spacing w:afterLines="50"/>
      <w:ind w:left="600" w:leftChars="600"/>
    </w:pPr>
  </w:style>
  <w:style w:type="paragraph" w:customStyle="1" w:styleId="73">
    <w:name w:val="Char Char Char Char Char"/>
    <w:basedOn w:val="1"/>
    <w:link w:val="98"/>
    <w:qFormat/>
    <w:uiPriority w:val="0"/>
    <w:rPr>
      <w:rFonts w:ascii="Tahoma" w:hAnsi="Tahoma"/>
      <w:sz w:val="24"/>
      <w:szCs w:val="20"/>
    </w:rPr>
  </w:style>
  <w:style w:type="paragraph" w:customStyle="1" w:styleId="74">
    <w:name w:val="小标题 1"/>
    <w:basedOn w:val="1"/>
    <w:link w:val="85"/>
    <w:qFormat/>
    <w:uiPriority w:val="0"/>
    <w:pPr>
      <w:autoSpaceDE w:val="0"/>
      <w:autoSpaceDN w:val="0"/>
      <w:adjustRightInd w:val="0"/>
      <w:spacing w:line="360" w:lineRule="atLeast"/>
    </w:pPr>
    <w:rPr>
      <w:rFonts w:ascii="文鼎粗黑" w:eastAsia="文鼎粗黑"/>
      <w:kern w:val="0"/>
      <w:sz w:val="22"/>
      <w:szCs w:val="20"/>
    </w:rPr>
  </w:style>
  <w:style w:type="paragraph" w:customStyle="1" w:styleId="75">
    <w:name w:val="Char Char"/>
    <w:basedOn w:val="1"/>
    <w:qFormat/>
    <w:uiPriority w:val="0"/>
    <w:rPr>
      <w:rFonts w:ascii="Tahoma" w:hAnsi="Tahoma"/>
      <w:sz w:val="24"/>
      <w:szCs w:val="20"/>
    </w:rPr>
  </w:style>
  <w:style w:type="paragraph" w:customStyle="1" w:styleId="76">
    <w:name w:val="È±Ê¡ÎÄ±¾"/>
    <w:basedOn w:val="1"/>
    <w:qFormat/>
    <w:uiPriority w:val="0"/>
    <w:pPr>
      <w:widowControl/>
      <w:overflowPunct w:val="0"/>
      <w:autoSpaceDE w:val="0"/>
      <w:autoSpaceDN w:val="0"/>
      <w:adjustRightInd w:val="0"/>
      <w:jc w:val="left"/>
      <w:textAlignment w:val="baseline"/>
    </w:pPr>
    <w:rPr>
      <w:kern w:val="0"/>
      <w:sz w:val="24"/>
      <w:szCs w:val="20"/>
    </w:rPr>
  </w:style>
  <w:style w:type="character" w:customStyle="1" w:styleId="77">
    <w:name w:val="标题 2 Char"/>
    <w:link w:val="5"/>
    <w:qFormat/>
    <w:uiPriority w:val="0"/>
    <w:rPr>
      <w:rFonts w:ascii="宋体" w:hAnsi="宋体" w:eastAsia="宋体"/>
      <w:b/>
      <w:bCs/>
      <w:sz w:val="24"/>
      <w:lang w:val="en-US" w:eastAsia="zh-CN" w:bidi="ar-SA"/>
    </w:rPr>
  </w:style>
  <w:style w:type="paragraph" w:customStyle="1" w:styleId="78">
    <w:name w:val="Char Char Char Char Char Char1 Char"/>
    <w:basedOn w:val="1"/>
    <w:qFormat/>
    <w:uiPriority w:val="0"/>
    <w:pPr>
      <w:widowControl/>
      <w:spacing w:after="160" w:line="240" w:lineRule="exact"/>
      <w:jc w:val="left"/>
    </w:pPr>
    <w:rPr>
      <w:rFonts w:ascii="Verdana" w:hAnsi="Verdana"/>
      <w:kern w:val="0"/>
      <w:szCs w:val="20"/>
      <w:lang w:eastAsia="en-US"/>
    </w:rPr>
  </w:style>
  <w:style w:type="paragraph" w:styleId="79">
    <w:name w:val="List Paragraph"/>
    <w:basedOn w:val="1"/>
    <w:qFormat/>
    <w:uiPriority w:val="34"/>
    <w:pPr>
      <w:ind w:firstLine="420" w:firstLineChars="200"/>
    </w:pPr>
    <w:rPr>
      <w:rFonts w:ascii="Calibri" w:hAnsi="Calibri"/>
      <w:szCs w:val="22"/>
    </w:rPr>
  </w:style>
  <w:style w:type="paragraph" w:customStyle="1" w:styleId="80">
    <w:name w:val="USE 1"/>
    <w:basedOn w:val="1"/>
    <w:qFormat/>
    <w:uiPriority w:val="0"/>
    <w:pPr>
      <w:spacing w:line="200" w:lineRule="atLeast"/>
      <w:jc w:val="left"/>
    </w:pPr>
    <w:rPr>
      <w:rFonts w:ascii="宋体" w:hAnsi="宋体"/>
      <w:b/>
      <w:sz w:val="24"/>
      <w:szCs w:val="28"/>
    </w:rPr>
  </w:style>
  <w:style w:type="paragraph" w:customStyle="1" w:styleId="81">
    <w:name w:val="RFI text from 3rd Level"/>
    <w:basedOn w:val="1"/>
    <w:qFormat/>
    <w:uiPriority w:val="0"/>
    <w:pPr>
      <w:widowControl/>
      <w:numPr>
        <w:ilvl w:val="0"/>
        <w:numId w:val="3"/>
      </w:numPr>
      <w:tabs>
        <w:tab w:val="left" w:pos="1080"/>
        <w:tab w:val="clear" w:pos="840"/>
      </w:tabs>
      <w:spacing w:beforeLines="50" w:line="360" w:lineRule="auto"/>
      <w:ind w:left="0" w:firstLine="0"/>
    </w:pPr>
    <w:rPr>
      <w:rFonts w:ascii="Arial (W1)" w:hAnsi="Arial (W1)"/>
      <w:bCs/>
      <w:kern w:val="0"/>
      <w:sz w:val="24"/>
      <w:lang w:val="en-GB"/>
    </w:rPr>
  </w:style>
  <w:style w:type="paragraph" w:customStyle="1" w:styleId="82">
    <w:name w:val="正文文字缩进项目"/>
    <w:basedOn w:val="21"/>
    <w:qFormat/>
    <w:uiPriority w:val="0"/>
    <w:pPr>
      <w:numPr>
        <w:ilvl w:val="1"/>
        <w:numId w:val="3"/>
      </w:numPr>
      <w:tabs>
        <w:tab w:val="left" w:pos="840"/>
        <w:tab w:val="clear" w:pos="1260"/>
      </w:tabs>
      <w:spacing w:after="120" w:line="240" w:lineRule="auto"/>
      <w:ind w:left="840" w:firstLine="0" w:firstLineChars="0"/>
    </w:pPr>
    <w:rPr>
      <w:rFonts w:ascii="Tahoma" w:hAnsi="Tahoma"/>
      <w:sz w:val="22"/>
      <w:szCs w:val="20"/>
    </w:rPr>
  </w:style>
  <w:style w:type="paragraph" w:customStyle="1" w:styleId="83">
    <w:name w:val="样式 标题 2 + 段前: 13 磅 段后: 13 磅 行距: 单倍行距"/>
    <w:basedOn w:val="5"/>
    <w:link w:val="94"/>
    <w:qFormat/>
    <w:uiPriority w:val="0"/>
    <w:pPr>
      <w:adjustRightInd/>
      <w:spacing w:before="0" w:after="0"/>
      <w:jc w:val="both"/>
      <w:textAlignment w:val="auto"/>
    </w:pPr>
    <w:rPr>
      <w:rFonts w:ascii="Cambria" w:hAnsi="Cambria" w:cs="宋体"/>
      <w:kern w:val="2"/>
      <w:sz w:val="32"/>
    </w:rPr>
  </w:style>
  <w:style w:type="character" w:customStyle="1" w:styleId="84">
    <w:name w:val="H4 Char2"/>
    <w:qFormat/>
    <w:uiPriority w:val="0"/>
    <w:rPr>
      <w:rFonts w:ascii="Arial" w:hAnsi="Arial" w:eastAsia="黑体"/>
      <w:b/>
      <w:bCs/>
      <w:kern w:val="2"/>
      <w:sz w:val="28"/>
      <w:szCs w:val="28"/>
      <w:lang w:val="en-US" w:eastAsia="zh-CN" w:bidi="ar-SA"/>
    </w:rPr>
  </w:style>
  <w:style w:type="character" w:customStyle="1" w:styleId="85">
    <w:name w:val="正文文本缩进 Char"/>
    <w:link w:val="74"/>
    <w:qFormat/>
    <w:uiPriority w:val="0"/>
    <w:rPr>
      <w:rFonts w:eastAsia="宋体"/>
      <w:kern w:val="2"/>
      <w:sz w:val="21"/>
      <w:szCs w:val="24"/>
      <w:lang w:val="en-US" w:eastAsia="zh-CN" w:bidi="ar-SA"/>
    </w:rPr>
  </w:style>
  <w:style w:type="character" w:customStyle="1" w:styleId="86">
    <w:name w:val="标题 5 Char"/>
    <w:link w:val="7"/>
    <w:qFormat/>
    <w:uiPriority w:val="0"/>
    <w:rPr>
      <w:rFonts w:eastAsia="宋体"/>
      <w:b/>
      <w:kern w:val="2"/>
      <w:sz w:val="28"/>
      <w:lang w:val="en-US" w:eastAsia="zh-CN" w:bidi="ar-SA"/>
    </w:rPr>
  </w:style>
  <w:style w:type="character" w:customStyle="1" w:styleId="87">
    <w:name w:val="第*章 Char"/>
    <w:qFormat/>
    <w:uiPriority w:val="0"/>
    <w:rPr>
      <w:rFonts w:ascii="Arial" w:hAnsi="Arial" w:eastAsia="黑体"/>
      <w:b/>
      <w:bCs/>
      <w:kern w:val="2"/>
      <w:sz w:val="32"/>
      <w:szCs w:val="32"/>
    </w:rPr>
  </w:style>
  <w:style w:type="character" w:customStyle="1" w:styleId="88">
    <w:name w:val="章标题1 Char"/>
    <w:qFormat/>
    <w:uiPriority w:val="0"/>
    <w:rPr>
      <w:rFonts w:eastAsia="宋体"/>
      <w:b/>
      <w:bCs/>
      <w:kern w:val="2"/>
      <w:sz w:val="32"/>
      <w:szCs w:val="32"/>
      <w:lang w:val="en-US" w:eastAsia="zh-CN" w:bidi="ar-SA"/>
    </w:rPr>
  </w:style>
  <w:style w:type="character" w:customStyle="1" w:styleId="89">
    <w:name w:val="标题 6 Char"/>
    <w:link w:val="9"/>
    <w:qFormat/>
    <w:uiPriority w:val="0"/>
    <w:rPr>
      <w:rFonts w:ascii="Arial" w:hAnsi="Arial" w:eastAsia="黑体"/>
      <w:b/>
      <w:kern w:val="2"/>
      <w:sz w:val="24"/>
      <w:lang w:val="en-US" w:eastAsia="zh-CN" w:bidi="ar-SA"/>
    </w:rPr>
  </w:style>
  <w:style w:type="character" w:customStyle="1" w:styleId="90">
    <w:name w:val="标题 7 Char"/>
    <w:link w:val="10"/>
    <w:qFormat/>
    <w:uiPriority w:val="0"/>
    <w:rPr>
      <w:rFonts w:eastAsia="宋体"/>
      <w:b/>
      <w:kern w:val="2"/>
      <w:sz w:val="24"/>
      <w:lang w:val="en-US" w:eastAsia="zh-CN" w:bidi="ar-SA"/>
    </w:rPr>
  </w:style>
  <w:style w:type="character" w:customStyle="1" w:styleId="91">
    <w:name w:val="标题 8 Char"/>
    <w:link w:val="11"/>
    <w:qFormat/>
    <w:uiPriority w:val="0"/>
    <w:rPr>
      <w:rFonts w:ascii="Arial" w:hAnsi="Arial" w:eastAsia="黑体"/>
      <w:kern w:val="2"/>
      <w:sz w:val="24"/>
      <w:lang w:val="en-US" w:eastAsia="zh-CN" w:bidi="ar-SA"/>
    </w:rPr>
  </w:style>
  <w:style w:type="character" w:customStyle="1" w:styleId="92">
    <w:name w:val="标题 9 Char"/>
    <w:link w:val="12"/>
    <w:qFormat/>
    <w:uiPriority w:val="0"/>
    <w:rPr>
      <w:rFonts w:ascii="Arial" w:hAnsi="Arial" w:eastAsia="黑体"/>
      <w:kern w:val="2"/>
      <w:sz w:val="21"/>
      <w:lang w:val="en-US" w:eastAsia="zh-CN" w:bidi="ar-SA"/>
    </w:rPr>
  </w:style>
  <w:style w:type="character" w:customStyle="1" w:styleId="93">
    <w:name w:val="标题 Char"/>
    <w:link w:val="69"/>
    <w:qFormat/>
    <w:uiPriority w:val="0"/>
    <w:rPr>
      <w:rFonts w:ascii="Arial" w:hAnsi="Arial" w:eastAsia="隶书" w:cs="Arial"/>
      <w:b/>
      <w:bCs/>
      <w:kern w:val="2"/>
      <w:sz w:val="32"/>
      <w:szCs w:val="32"/>
      <w:lang w:val="en-US" w:eastAsia="zh-CN" w:bidi="ar-SA"/>
    </w:rPr>
  </w:style>
  <w:style w:type="character" w:customStyle="1" w:styleId="94">
    <w:name w:val="日期 Char"/>
    <w:link w:val="83"/>
    <w:qFormat/>
    <w:uiPriority w:val="0"/>
    <w:rPr>
      <w:rFonts w:ascii="宋体" w:hAnsi="Courier New" w:eastAsia="宋体"/>
      <w:kern w:val="2"/>
      <w:sz w:val="32"/>
      <w:lang w:val="en-US" w:eastAsia="zh-CN" w:bidi="ar-SA"/>
    </w:rPr>
  </w:style>
  <w:style w:type="character" w:customStyle="1" w:styleId="95">
    <w:name w:val="HTML 预设格式 Char"/>
    <w:qFormat/>
    <w:uiPriority w:val="0"/>
    <w:rPr>
      <w:rFonts w:ascii="Arial Unicode MS" w:hAnsi="Arial Unicode MS" w:eastAsia="Arial Unicode MS"/>
      <w:color w:val="000000"/>
      <w:lang w:val="en-US" w:eastAsia="zh-CN" w:bidi="ar-SA"/>
    </w:rPr>
  </w:style>
  <w:style w:type="character" w:customStyle="1" w:styleId="96">
    <w:name w:val="纯文本 Char"/>
    <w:qFormat/>
    <w:uiPriority w:val="0"/>
    <w:rPr>
      <w:rFonts w:ascii="宋体" w:hAnsi="Courier New" w:eastAsia="宋体"/>
      <w:kern w:val="2"/>
      <w:sz w:val="21"/>
      <w:lang w:val="en-US" w:eastAsia="zh-CN" w:bidi="ar-SA"/>
    </w:rPr>
  </w:style>
  <w:style w:type="character" w:customStyle="1" w:styleId="97">
    <w:name w:val="正文文字首行缩进 Char"/>
    <w:qFormat/>
    <w:uiPriority w:val="0"/>
    <w:rPr>
      <w:kern w:val="2"/>
      <w:sz w:val="21"/>
      <w:szCs w:val="24"/>
    </w:rPr>
  </w:style>
  <w:style w:type="character" w:customStyle="1" w:styleId="98">
    <w:name w:val="正文文本 Char"/>
    <w:link w:val="73"/>
    <w:qFormat/>
    <w:uiPriority w:val="0"/>
    <w:rPr>
      <w:rFonts w:eastAsia="宋体"/>
      <w:b/>
      <w:bCs/>
      <w:kern w:val="2"/>
      <w:sz w:val="24"/>
      <w:szCs w:val="24"/>
      <w:lang w:val="en-US" w:eastAsia="zh-CN" w:bidi="ar-SA"/>
    </w:rPr>
  </w:style>
  <w:style w:type="character" w:customStyle="1" w:styleId="99">
    <w:name w:val="正文文本缩进 2 Char"/>
    <w:qFormat/>
    <w:uiPriority w:val="0"/>
    <w:rPr>
      <w:rFonts w:ascii="宋体" w:hAnsi="宋体" w:eastAsia="宋体"/>
      <w:kern w:val="2"/>
      <w:sz w:val="21"/>
      <w:szCs w:val="24"/>
      <w:lang w:val="en-US" w:eastAsia="zh-CN" w:bidi="ar-SA"/>
    </w:rPr>
  </w:style>
  <w:style w:type="character" w:customStyle="1" w:styleId="100">
    <w:name w:val="页眉 Char"/>
    <w:link w:val="27"/>
    <w:qFormat/>
    <w:uiPriority w:val="99"/>
    <w:rPr>
      <w:rFonts w:eastAsia="宋体"/>
      <w:kern w:val="2"/>
      <w:sz w:val="18"/>
      <w:szCs w:val="18"/>
      <w:lang w:val="en-US" w:eastAsia="zh-CN" w:bidi="ar-SA"/>
    </w:rPr>
  </w:style>
  <w:style w:type="character" w:customStyle="1" w:styleId="101">
    <w:name w:val="正文文本缩进 3 Char"/>
    <w:qFormat/>
    <w:uiPriority w:val="0"/>
    <w:rPr>
      <w:rFonts w:ascii="宋体" w:eastAsia="宋体"/>
      <w:b/>
      <w:bCs/>
      <w:kern w:val="2"/>
      <w:sz w:val="24"/>
      <w:szCs w:val="24"/>
      <w:lang w:val="en-US" w:eastAsia="zh-CN" w:bidi="ar-SA"/>
    </w:rPr>
  </w:style>
  <w:style w:type="character" w:customStyle="1" w:styleId="102">
    <w:name w:val="正文文本 2 Char"/>
    <w:qFormat/>
    <w:uiPriority w:val="0"/>
    <w:rPr>
      <w:rFonts w:eastAsia="宋体"/>
      <w:kern w:val="2"/>
      <w:sz w:val="24"/>
      <w:szCs w:val="24"/>
      <w:lang w:val="en-US" w:eastAsia="zh-CN" w:bidi="ar-SA"/>
    </w:rPr>
  </w:style>
  <w:style w:type="character" w:customStyle="1" w:styleId="103">
    <w:name w:val="页脚 Char"/>
    <w:link w:val="28"/>
    <w:qFormat/>
    <w:uiPriority w:val="0"/>
    <w:rPr>
      <w:rFonts w:eastAsia="宋体"/>
      <w:kern w:val="2"/>
      <w:sz w:val="18"/>
      <w:szCs w:val="18"/>
      <w:lang w:val="en-US" w:eastAsia="zh-CN" w:bidi="ar-SA"/>
    </w:rPr>
  </w:style>
  <w:style w:type="character" w:customStyle="1" w:styleId="104">
    <w:name w:val="正文文本 3 Char"/>
    <w:qFormat/>
    <w:uiPriority w:val="0"/>
    <w:rPr>
      <w:rFonts w:eastAsia="宋体"/>
      <w:kern w:val="2"/>
      <w:sz w:val="16"/>
      <w:szCs w:val="16"/>
      <w:lang w:val="en-US" w:eastAsia="zh-CN" w:bidi="ar-SA"/>
    </w:rPr>
  </w:style>
  <w:style w:type="character" w:customStyle="1" w:styleId="105">
    <w:name w:val="批注框文本 Char"/>
    <w:semiHidden/>
    <w:qFormat/>
    <w:uiPriority w:val="99"/>
    <w:rPr>
      <w:rFonts w:eastAsia="宋体"/>
      <w:kern w:val="2"/>
      <w:sz w:val="18"/>
      <w:szCs w:val="18"/>
      <w:lang w:val="en-US" w:eastAsia="zh-CN" w:bidi="ar-SA"/>
    </w:rPr>
  </w:style>
  <w:style w:type="paragraph" w:customStyle="1" w:styleId="106">
    <w:name w:val="样式1"/>
    <w:basedOn w:val="20"/>
    <w:qFormat/>
    <w:uiPriority w:val="0"/>
    <w:pPr>
      <w:spacing w:before="120" w:after="120"/>
    </w:pPr>
    <w:rPr>
      <w:rFonts w:eastAsia="黑体"/>
      <w:b w:val="0"/>
      <w:sz w:val="30"/>
      <w:szCs w:val="21"/>
    </w:rPr>
  </w:style>
  <w:style w:type="paragraph" w:customStyle="1" w:styleId="107">
    <w:name w:val="样式2"/>
    <w:basedOn w:val="20"/>
    <w:qFormat/>
    <w:uiPriority w:val="0"/>
    <w:pPr>
      <w:spacing w:before="120" w:after="120"/>
    </w:pPr>
    <w:rPr>
      <w:rFonts w:eastAsia="黑体"/>
      <w:b w:val="0"/>
      <w:sz w:val="30"/>
      <w:szCs w:val="30"/>
    </w:rPr>
  </w:style>
  <w:style w:type="character" w:customStyle="1" w:styleId="108">
    <w:name w:val="标题 3 Char Char"/>
    <w:qFormat/>
    <w:uiPriority w:val="0"/>
    <w:rPr>
      <w:rFonts w:eastAsia="宋体"/>
      <w:b/>
      <w:bCs/>
      <w:kern w:val="2"/>
      <w:sz w:val="32"/>
      <w:szCs w:val="32"/>
      <w:lang w:val="en-US" w:eastAsia="zh-CN" w:bidi="ar-SA"/>
    </w:rPr>
  </w:style>
  <w:style w:type="paragraph" w:customStyle="1" w:styleId="109">
    <w:name w:val="Char Char Char Char Char Char1 Char Char Char Char Char Char Char Char Char Char Char Char Char"/>
    <w:basedOn w:val="1"/>
    <w:qFormat/>
    <w:uiPriority w:val="0"/>
    <w:pPr>
      <w:widowControl/>
      <w:spacing w:after="160" w:line="240" w:lineRule="exact"/>
      <w:jc w:val="left"/>
    </w:pPr>
    <w:rPr>
      <w:rFonts w:ascii="Arial" w:hAnsi="Arial" w:eastAsia="Times New Roman" w:cs="Verdana"/>
      <w:b/>
      <w:kern w:val="0"/>
      <w:sz w:val="24"/>
      <w:lang w:eastAsia="en-US"/>
    </w:rPr>
  </w:style>
  <w:style w:type="paragraph" w:customStyle="1" w:styleId="110">
    <w:name w:val="cont"/>
    <w:basedOn w:val="1"/>
    <w:qFormat/>
    <w:uiPriority w:val="0"/>
    <w:pPr>
      <w:adjustRightInd w:val="0"/>
      <w:spacing w:before="100" w:after="100" w:line="360" w:lineRule="auto"/>
      <w:ind w:firstLine="200" w:firstLineChars="200"/>
      <w:jc w:val="left"/>
      <w:textAlignment w:val="baseline"/>
    </w:pPr>
    <w:rPr>
      <w:rFonts w:ascii="Arial" w:hAnsi="Arial"/>
      <w:kern w:val="0"/>
      <w:sz w:val="24"/>
      <w:szCs w:val="20"/>
    </w:rPr>
  </w:style>
  <w:style w:type="paragraph" w:customStyle="1" w:styleId="111">
    <w:name w:val="--规划正文"/>
    <w:basedOn w:val="1"/>
    <w:qFormat/>
    <w:uiPriority w:val="0"/>
    <w:pPr>
      <w:spacing w:line="360" w:lineRule="auto"/>
      <w:ind w:firstLine="200" w:firstLineChars="200"/>
    </w:pPr>
    <w:rPr>
      <w:szCs w:val="20"/>
    </w:rPr>
  </w:style>
  <w:style w:type="paragraph" w:customStyle="1" w:styleId="112">
    <w:name w:val="设计依据"/>
    <w:basedOn w:val="19"/>
    <w:qFormat/>
    <w:uiPriority w:val="0"/>
    <w:pPr>
      <w:numPr>
        <w:ilvl w:val="1"/>
        <w:numId w:val="4"/>
      </w:numPr>
      <w:tabs>
        <w:tab w:val="left" w:pos="1440"/>
        <w:tab w:val="clear" w:pos="840"/>
      </w:tabs>
      <w:adjustRightInd w:val="0"/>
      <w:ind w:left="1440"/>
      <w:textAlignment w:val="baseline"/>
    </w:pPr>
    <w:rPr>
      <w:rFonts w:ascii="宋体" w:hAnsi="宋体"/>
      <w:b w:val="0"/>
      <w:kern w:val="0"/>
      <w:sz w:val="28"/>
      <w:szCs w:val="18"/>
    </w:rPr>
  </w:style>
  <w:style w:type="paragraph" w:customStyle="1" w:styleId="113">
    <w:name w:val="方案要点"/>
    <w:basedOn w:val="1"/>
    <w:qFormat/>
    <w:uiPriority w:val="0"/>
    <w:pPr>
      <w:numPr>
        <w:ilvl w:val="0"/>
        <w:numId w:val="4"/>
      </w:numPr>
      <w:spacing w:line="360" w:lineRule="auto"/>
    </w:pPr>
    <w:rPr>
      <w:rFonts w:ascii="仿宋_GB2312" w:hAnsi="宋体" w:eastAsia="仿宋_GB2312"/>
      <w:color w:val="000000"/>
      <w:sz w:val="28"/>
      <w:szCs w:val="28"/>
    </w:rPr>
  </w:style>
  <w:style w:type="paragraph" w:customStyle="1" w:styleId="114">
    <w:name w:val="样式4"/>
    <w:basedOn w:val="1"/>
    <w:qFormat/>
    <w:uiPriority w:val="0"/>
    <w:pPr>
      <w:tabs>
        <w:tab w:val="left" w:pos="842"/>
      </w:tabs>
      <w:spacing w:line="360" w:lineRule="auto"/>
      <w:ind w:left="842" w:hanging="420"/>
    </w:pPr>
    <w:rPr>
      <w:sz w:val="24"/>
    </w:rPr>
  </w:style>
  <w:style w:type="paragraph" w:customStyle="1" w:styleId="115">
    <w:name w:val="文字"/>
    <w:basedOn w:val="1"/>
    <w:qFormat/>
    <w:uiPriority w:val="0"/>
    <w:pPr>
      <w:tabs>
        <w:tab w:val="left" w:pos="8520"/>
      </w:tabs>
      <w:spacing w:line="312" w:lineRule="auto"/>
      <w:ind w:right="-210" w:firstLine="556"/>
    </w:pPr>
    <w:rPr>
      <w:rFonts w:ascii="宋体"/>
      <w:sz w:val="28"/>
      <w:szCs w:val="20"/>
    </w:rPr>
  </w:style>
  <w:style w:type="paragraph" w:customStyle="1" w:styleId="116">
    <w:name w:val="--规划-表格-居左"/>
    <w:basedOn w:val="111"/>
    <w:qFormat/>
    <w:uiPriority w:val="0"/>
    <w:pPr>
      <w:spacing w:line="240" w:lineRule="auto"/>
      <w:ind w:firstLine="0" w:firstLineChars="0"/>
    </w:pPr>
    <w:rPr>
      <w:sz w:val="20"/>
    </w:rPr>
  </w:style>
  <w:style w:type="paragraph" w:customStyle="1" w:styleId="117">
    <w:name w:val="--规划-表格-居中"/>
    <w:basedOn w:val="111"/>
    <w:qFormat/>
    <w:uiPriority w:val="0"/>
    <w:pPr>
      <w:spacing w:line="240" w:lineRule="auto"/>
      <w:ind w:firstLine="0" w:firstLineChars="0"/>
      <w:jc w:val="center"/>
    </w:pPr>
    <w:rPr>
      <w:sz w:val="20"/>
    </w:rPr>
  </w:style>
  <w:style w:type="paragraph" w:customStyle="1" w:styleId="118">
    <w:name w:val="--编号内缩进"/>
    <w:basedOn w:val="1"/>
    <w:qFormat/>
    <w:uiPriority w:val="0"/>
    <w:pPr>
      <w:spacing w:line="360" w:lineRule="auto"/>
      <w:ind w:left="420" w:firstLine="200" w:firstLineChars="200"/>
    </w:pPr>
    <w:rPr>
      <w:szCs w:val="21"/>
    </w:rPr>
  </w:style>
  <w:style w:type="paragraph" w:customStyle="1" w:styleId="119">
    <w:name w:val="--规划-题注"/>
    <w:basedOn w:val="1"/>
    <w:qFormat/>
    <w:uiPriority w:val="0"/>
    <w:pPr>
      <w:spacing w:line="360" w:lineRule="auto"/>
      <w:jc w:val="center"/>
    </w:pPr>
    <w:rPr>
      <w:rFonts w:eastAsia="黑体"/>
    </w:rPr>
  </w:style>
  <w:style w:type="paragraph" w:customStyle="1" w:styleId="120">
    <w:name w:val="--规划-图和表"/>
    <w:qFormat/>
    <w:uiPriority w:val="0"/>
    <w:pPr>
      <w:jc w:val="center"/>
    </w:pPr>
    <w:rPr>
      <w:rFonts w:ascii="Times New Roman" w:hAnsi="Times New Roman" w:eastAsia="宋体" w:cs="Times New Roman"/>
      <w:kern w:val="2"/>
      <w:sz w:val="21"/>
      <w:lang w:val="en-US" w:eastAsia="zh-CN" w:bidi="ar-SA"/>
    </w:rPr>
  </w:style>
  <w:style w:type="paragraph" w:customStyle="1" w:styleId="121">
    <w:name w:val="--规划-小标题"/>
    <w:basedOn w:val="1"/>
    <w:qFormat/>
    <w:uiPriority w:val="0"/>
    <w:pPr>
      <w:keepNext/>
      <w:keepLines/>
      <w:spacing w:line="360" w:lineRule="auto"/>
      <w:outlineLvl w:val="4"/>
    </w:pPr>
    <w:rPr>
      <w:rFonts w:eastAsia="黑体"/>
    </w:rPr>
  </w:style>
  <w:style w:type="paragraph" w:customStyle="1" w:styleId="122">
    <w:name w:val="--规划正文 Char"/>
    <w:basedOn w:val="1"/>
    <w:qFormat/>
    <w:uiPriority w:val="0"/>
    <w:pPr>
      <w:spacing w:line="360" w:lineRule="auto"/>
      <w:ind w:firstLine="200" w:firstLineChars="200"/>
    </w:pPr>
    <w:rPr>
      <w:sz w:val="24"/>
    </w:rPr>
  </w:style>
  <w:style w:type="paragraph" w:customStyle="1" w:styleId="123">
    <w:name w:val="缺省文本"/>
    <w:basedOn w:val="1"/>
    <w:qFormat/>
    <w:uiPriority w:val="0"/>
    <w:pPr>
      <w:autoSpaceDE w:val="0"/>
      <w:autoSpaceDN w:val="0"/>
      <w:adjustRightInd w:val="0"/>
      <w:jc w:val="left"/>
    </w:pPr>
    <w:rPr>
      <w:kern w:val="0"/>
    </w:rPr>
  </w:style>
  <w:style w:type="paragraph" w:customStyle="1" w:styleId="124">
    <w:name w:val="封面文档标题"/>
    <w:basedOn w:val="1"/>
    <w:qFormat/>
    <w:uiPriority w:val="0"/>
    <w:pPr>
      <w:autoSpaceDE w:val="0"/>
      <w:autoSpaceDN w:val="0"/>
      <w:adjustRightInd w:val="0"/>
      <w:spacing w:line="360" w:lineRule="auto"/>
      <w:jc w:val="center"/>
    </w:pPr>
    <w:rPr>
      <w:rFonts w:ascii="Arial" w:hAnsi="Arial"/>
      <w:b/>
      <w:kern w:val="0"/>
      <w:sz w:val="56"/>
    </w:rPr>
  </w:style>
  <w:style w:type="character" w:customStyle="1" w:styleId="125">
    <w:name w:val="--规划正文 Char Char"/>
    <w:qFormat/>
    <w:uiPriority w:val="0"/>
    <w:rPr>
      <w:rFonts w:eastAsia="宋体"/>
      <w:kern w:val="2"/>
      <w:sz w:val="24"/>
      <w:szCs w:val="24"/>
      <w:lang w:val="en-US" w:eastAsia="zh-CN" w:bidi="ar-SA"/>
    </w:rPr>
  </w:style>
  <w:style w:type="paragraph" w:customStyle="1" w:styleId="126">
    <w:name w:val="样式3"/>
    <w:basedOn w:val="3"/>
    <w:qFormat/>
    <w:uiPriority w:val="0"/>
    <w:pPr>
      <w:numPr>
        <w:ilvl w:val="0"/>
        <w:numId w:val="5"/>
      </w:numPr>
      <w:spacing w:before="240" w:after="240" w:line="480" w:lineRule="auto"/>
      <w:ind w:right="210" w:rightChars="100"/>
      <w:jc w:val="left"/>
    </w:pPr>
    <w:rPr>
      <w:rFonts w:ascii="Times New Roman" w:hAnsi="Times New Roman"/>
      <w:sz w:val="32"/>
    </w:rPr>
  </w:style>
  <w:style w:type="character" w:customStyle="1" w:styleId="127">
    <w:name w:val="--规划正文 Char1"/>
    <w:qFormat/>
    <w:uiPriority w:val="0"/>
    <w:rPr>
      <w:rFonts w:eastAsia="宋体"/>
      <w:kern w:val="2"/>
      <w:sz w:val="21"/>
      <w:lang w:val="en-US" w:eastAsia="zh-CN" w:bidi="ar-SA"/>
    </w:rPr>
  </w:style>
  <w:style w:type="paragraph" w:customStyle="1" w:styleId="128">
    <w:name w:val="word"/>
    <w:basedOn w:val="1"/>
    <w:qFormat/>
    <w:uiPriority w:val="0"/>
    <w:pPr>
      <w:widowControl/>
      <w:spacing w:before="100" w:beforeAutospacing="1" w:after="100" w:afterAutospacing="1" w:line="301" w:lineRule="atLeast"/>
      <w:jc w:val="left"/>
    </w:pPr>
    <w:rPr>
      <w:rFonts w:ascii="ˎ̥" w:hAnsi="ˎ̥"/>
      <w:color w:val="000000"/>
      <w:kern w:val="0"/>
      <w:sz w:val="20"/>
      <w:szCs w:val="20"/>
    </w:rPr>
  </w:style>
  <w:style w:type="paragraph" w:customStyle="1" w:styleId="129">
    <w:name w:val="列表项目"/>
    <w:basedOn w:val="1"/>
    <w:qFormat/>
    <w:uiPriority w:val="0"/>
    <w:pPr>
      <w:tabs>
        <w:tab w:val="left" w:pos="420"/>
        <w:tab w:val="left" w:pos="1080"/>
      </w:tabs>
      <w:spacing w:line="288" w:lineRule="auto"/>
      <w:ind w:left="1080" w:hanging="360"/>
    </w:pPr>
    <w:rPr>
      <w:sz w:val="24"/>
      <w:szCs w:val="20"/>
    </w:rPr>
  </w:style>
  <w:style w:type="character" w:customStyle="1" w:styleId="130">
    <w:name w:val="content1"/>
    <w:qFormat/>
    <w:uiPriority w:val="0"/>
    <w:rPr>
      <w:rFonts w:hint="default" w:ascii="??" w:hAnsi="??"/>
      <w:sz w:val="16"/>
      <w:szCs w:val="16"/>
      <w:u w:val="none"/>
    </w:rPr>
  </w:style>
  <w:style w:type="character" w:customStyle="1" w:styleId="131">
    <w:name w:val="unnamed4"/>
    <w:basedOn w:val="44"/>
    <w:qFormat/>
    <w:uiPriority w:val="0"/>
  </w:style>
  <w:style w:type="character" w:customStyle="1" w:styleId="132">
    <w:name w:val="font2"/>
    <w:basedOn w:val="44"/>
    <w:qFormat/>
    <w:uiPriority w:val="0"/>
  </w:style>
  <w:style w:type="character" w:customStyle="1" w:styleId="133">
    <w:name w:val="font41"/>
    <w:qFormat/>
    <w:uiPriority w:val="0"/>
    <w:rPr>
      <w:color w:val="000000"/>
      <w:spacing w:val="260"/>
      <w:sz w:val="18"/>
      <w:szCs w:val="18"/>
      <w:u w:val="none"/>
    </w:rPr>
  </w:style>
  <w:style w:type="paragraph" w:customStyle="1" w:styleId="134">
    <w:name w:val="正文(首行缩进)"/>
    <w:qFormat/>
    <w:uiPriority w:val="0"/>
    <w:pPr>
      <w:spacing w:line="360" w:lineRule="auto"/>
      <w:ind w:firstLine="488" w:firstLineChars="200"/>
      <w:jc w:val="both"/>
    </w:pPr>
    <w:rPr>
      <w:rFonts w:ascii="Times New Roman" w:hAnsi="Times New Roman" w:eastAsia="仿宋_GB2312" w:cs="Times New Roman"/>
      <w:spacing w:val="2"/>
      <w:sz w:val="24"/>
      <w:szCs w:val="24"/>
      <w:lang w:val="en-US" w:eastAsia="zh-CN" w:bidi="ar-SA"/>
    </w:rPr>
  </w:style>
  <w:style w:type="paragraph" w:customStyle="1" w:styleId="135">
    <w:name w:val="xl72"/>
    <w:basedOn w:val="1"/>
    <w:qFormat/>
    <w:uiPriority w:val="0"/>
    <w:pPr>
      <w:widowControl/>
      <w:spacing w:before="100" w:beforeAutospacing="1" w:after="100" w:afterAutospacing="1"/>
      <w:jc w:val="left"/>
    </w:pPr>
    <w:rPr>
      <w:rFonts w:ascii="宋体" w:hAnsi="宋体"/>
      <w:b/>
      <w:bCs/>
      <w:kern w:val="0"/>
      <w:sz w:val="28"/>
      <w:szCs w:val="28"/>
    </w:rPr>
  </w:style>
  <w:style w:type="character" w:customStyle="1" w:styleId="136">
    <w:name w:val="正文首行缩进 Char"/>
    <w:qFormat/>
    <w:uiPriority w:val="0"/>
    <w:rPr>
      <w:rFonts w:eastAsia="宋体"/>
      <w:b/>
      <w:bCs/>
      <w:kern w:val="2"/>
      <w:sz w:val="21"/>
      <w:szCs w:val="24"/>
      <w:lang w:val="en-US" w:eastAsia="zh-CN" w:bidi="ar-SA"/>
    </w:rPr>
  </w:style>
  <w:style w:type="paragraph" w:customStyle="1" w:styleId="137">
    <w:name w:val="正文(首行缩进) Char"/>
    <w:qFormat/>
    <w:uiPriority w:val="0"/>
    <w:pPr>
      <w:spacing w:before="120" w:after="60" w:line="360" w:lineRule="auto"/>
      <w:ind w:firstLine="200" w:firstLineChars="200"/>
    </w:pPr>
    <w:rPr>
      <w:rFonts w:ascii="Times New Roman" w:hAnsi="Times New Roman" w:eastAsia="仿宋_GB2312" w:cs="Times New Roman"/>
      <w:spacing w:val="2"/>
      <w:kern w:val="24"/>
      <w:sz w:val="24"/>
      <w:szCs w:val="24"/>
      <w:lang w:val="en-US" w:eastAsia="zh-CN" w:bidi="ar-SA"/>
    </w:rPr>
  </w:style>
  <w:style w:type="paragraph" w:customStyle="1" w:styleId="138">
    <w:name w:val="汉议细等线简8"/>
    <w:qFormat/>
    <w:uiPriority w:val="0"/>
    <w:pPr>
      <w:widowControl w:val="0"/>
      <w:autoSpaceDE w:val="0"/>
      <w:autoSpaceDN w:val="0"/>
      <w:adjustRightInd w:val="0"/>
      <w:spacing w:line="260" w:lineRule="atLeast"/>
      <w:jc w:val="both"/>
    </w:pPr>
    <w:rPr>
      <w:rFonts w:ascii="汉仪细等线简" w:hAnsi="Times New Roman" w:eastAsia="汉仪细等线简" w:cs="Times New Roman"/>
      <w:color w:val="000000"/>
      <w:sz w:val="16"/>
      <w:szCs w:val="16"/>
      <w:lang w:val="en-US" w:eastAsia="zh-CN" w:bidi="ar-SA"/>
    </w:rPr>
  </w:style>
  <w:style w:type="paragraph" w:customStyle="1" w:styleId="139">
    <w:name w:val="汉仪细等线简9BOLD"/>
    <w:basedOn w:val="1"/>
    <w:qFormat/>
    <w:uiPriority w:val="0"/>
    <w:pPr>
      <w:autoSpaceDE w:val="0"/>
      <w:autoSpaceDN w:val="0"/>
      <w:adjustRightInd w:val="0"/>
      <w:spacing w:line="240" w:lineRule="atLeast"/>
    </w:pPr>
    <w:rPr>
      <w:rFonts w:ascii="汉仪细等线简" w:eastAsia="汉仪细等线简"/>
      <w:b/>
      <w:bCs/>
      <w:kern w:val="0"/>
      <w:sz w:val="18"/>
      <w:szCs w:val="18"/>
    </w:rPr>
  </w:style>
  <w:style w:type="character" w:customStyle="1" w:styleId="140">
    <w:name w:val="mode"/>
    <w:basedOn w:val="44"/>
    <w:qFormat/>
    <w:uiPriority w:val="0"/>
  </w:style>
  <w:style w:type="paragraph" w:customStyle="1" w:styleId="141">
    <w:name w:val="9"/>
    <w:basedOn w:val="1"/>
    <w:next w:val="8"/>
    <w:qFormat/>
    <w:uiPriority w:val="0"/>
    <w:pPr>
      <w:autoSpaceDE w:val="0"/>
      <w:autoSpaceDN w:val="0"/>
      <w:adjustRightInd w:val="0"/>
      <w:ind w:firstLine="420"/>
      <w:jc w:val="left"/>
      <w:textAlignment w:val="baseline"/>
    </w:pPr>
    <w:rPr>
      <w:rFonts w:ascii="宋体"/>
      <w:kern w:val="0"/>
      <w:sz w:val="34"/>
      <w:szCs w:val="20"/>
    </w:rPr>
  </w:style>
  <w:style w:type="character" w:customStyle="1" w:styleId="142">
    <w:name w:val="unnamed3"/>
    <w:basedOn w:val="44"/>
    <w:qFormat/>
    <w:uiPriority w:val="0"/>
  </w:style>
  <w:style w:type="paragraph" w:customStyle="1" w:styleId="143">
    <w:name w:val="8"/>
    <w:basedOn w:val="1"/>
    <w:next w:val="74"/>
    <w:qFormat/>
    <w:uiPriority w:val="0"/>
    <w:pPr>
      <w:spacing w:after="120"/>
      <w:ind w:left="420" w:leftChars="200"/>
    </w:pPr>
  </w:style>
  <w:style w:type="paragraph" w:customStyle="1" w:styleId="144">
    <w:name w:val="7"/>
    <w:basedOn w:val="4"/>
    <w:qFormat/>
    <w:uiPriority w:val="0"/>
    <w:pPr>
      <w:autoSpaceDE w:val="0"/>
      <w:autoSpaceDN w:val="0"/>
      <w:adjustRightInd w:val="0"/>
      <w:spacing w:line="270" w:lineRule="atLeast"/>
      <w:jc w:val="left"/>
    </w:pPr>
    <w:rPr>
      <w:rFonts w:ascii="宋体"/>
      <w:kern w:val="0"/>
      <w:sz w:val="18"/>
      <w:szCs w:val="18"/>
    </w:rPr>
  </w:style>
  <w:style w:type="paragraph" w:customStyle="1" w:styleId="145">
    <w:name w:val="00"/>
    <w:basedOn w:val="1"/>
    <w:qFormat/>
    <w:uiPriority w:val="0"/>
    <w:pPr>
      <w:autoSpaceDE w:val="0"/>
      <w:autoSpaceDN w:val="0"/>
      <w:adjustRightInd w:val="0"/>
      <w:jc w:val="left"/>
    </w:pPr>
    <w:rPr>
      <w:rFonts w:ascii="黑体" w:eastAsia="黑体"/>
      <w:b/>
      <w:bCs/>
      <w:kern w:val="0"/>
      <w:sz w:val="20"/>
      <w:szCs w:val="20"/>
    </w:rPr>
  </w:style>
  <w:style w:type="paragraph" w:customStyle="1" w:styleId="146">
    <w:name w:val="5"/>
    <w:basedOn w:val="6"/>
    <w:qFormat/>
    <w:uiPriority w:val="0"/>
    <w:pPr>
      <w:autoSpaceDE w:val="0"/>
      <w:autoSpaceDN w:val="0"/>
      <w:adjustRightInd w:val="0"/>
      <w:jc w:val="left"/>
    </w:pPr>
    <w:rPr>
      <w:rFonts w:ascii="宋体"/>
      <w:kern w:val="0"/>
      <w:sz w:val="18"/>
      <w:szCs w:val="18"/>
    </w:rPr>
  </w:style>
  <w:style w:type="paragraph" w:customStyle="1" w:styleId="147">
    <w:name w:val="6"/>
    <w:basedOn w:val="4"/>
    <w:qFormat/>
    <w:uiPriority w:val="0"/>
    <w:pPr>
      <w:spacing w:line="270" w:lineRule="atLeast"/>
      <w:jc w:val="both"/>
    </w:pPr>
  </w:style>
  <w:style w:type="paragraph" w:customStyle="1" w:styleId="148">
    <w:name w:val="产品描述"/>
    <w:qFormat/>
    <w:uiPriority w:val="0"/>
    <w:pPr>
      <w:widowControl w:val="0"/>
      <w:autoSpaceDE w:val="0"/>
      <w:autoSpaceDN w:val="0"/>
      <w:adjustRightInd w:val="0"/>
      <w:spacing w:line="270" w:lineRule="atLeast"/>
      <w:ind w:firstLine="397"/>
      <w:jc w:val="both"/>
    </w:pPr>
    <w:rPr>
      <w:rFonts w:ascii="宋体" w:hAnsi="Times New Roman" w:eastAsia="宋体" w:cs="Times New Roman"/>
      <w:sz w:val="18"/>
      <w:szCs w:val="18"/>
      <w:lang w:val="en-US" w:eastAsia="zh-CN" w:bidi="ar-SA"/>
    </w:rPr>
  </w:style>
  <w:style w:type="paragraph" w:customStyle="1" w:styleId="149">
    <w:name w:val="姜文清定义的正文"/>
    <w:basedOn w:val="1"/>
    <w:qFormat/>
    <w:uiPriority w:val="0"/>
    <w:pPr>
      <w:spacing w:line="240" w:lineRule="atLeast"/>
      <w:ind w:firstLine="567"/>
    </w:pPr>
    <w:rPr>
      <w:szCs w:val="20"/>
    </w:rPr>
  </w:style>
  <w:style w:type="paragraph" w:customStyle="1" w:styleId="150">
    <w:name w:val="Default"/>
    <w:qFormat/>
    <w:uiPriority w:val="0"/>
    <w:pPr>
      <w:widowControl w:val="0"/>
      <w:autoSpaceDE w:val="0"/>
      <w:autoSpaceDN w:val="0"/>
      <w:adjustRightInd w:val="0"/>
    </w:pPr>
    <w:rPr>
      <w:rFonts w:ascii="H Yb 2gj" w:hAnsi="Times New Roman" w:eastAsia="H Yb 2gj" w:cs="H Yb 2gj"/>
      <w:color w:val="000000"/>
      <w:sz w:val="24"/>
      <w:szCs w:val="24"/>
      <w:lang w:val="en-US" w:eastAsia="zh-CN" w:bidi="ar-SA"/>
    </w:rPr>
  </w:style>
  <w:style w:type="paragraph" w:customStyle="1" w:styleId="151">
    <w:name w:val="CM2"/>
    <w:basedOn w:val="150"/>
    <w:qFormat/>
    <w:uiPriority w:val="0"/>
    <w:pPr>
      <w:spacing w:line="200" w:lineRule="atLeast"/>
    </w:pPr>
    <w:rPr>
      <w:rFonts w:ascii="Arial" w:hAnsi="Arial" w:eastAsia="宋体" w:cs="Times New Roman"/>
      <w:color w:val="auto"/>
    </w:rPr>
  </w:style>
  <w:style w:type="paragraph" w:customStyle="1" w:styleId="152">
    <w:name w:val="Normal Paragraph"/>
    <w:basedOn w:val="1"/>
    <w:qFormat/>
    <w:uiPriority w:val="0"/>
    <w:pPr>
      <w:widowControl/>
      <w:spacing w:before="120" w:line="360" w:lineRule="auto"/>
      <w:ind w:firstLine="425"/>
    </w:pPr>
    <w:rPr>
      <w:kern w:val="0"/>
      <w:sz w:val="24"/>
    </w:rPr>
  </w:style>
  <w:style w:type="character" w:customStyle="1" w:styleId="153">
    <w:name w:val="blue"/>
    <w:basedOn w:val="44"/>
    <w:qFormat/>
    <w:uiPriority w:val="0"/>
  </w:style>
  <w:style w:type="paragraph" w:customStyle="1" w:styleId="154">
    <w:name w:val="blue1"/>
    <w:basedOn w:val="1"/>
    <w:qFormat/>
    <w:uiPriority w:val="0"/>
    <w:pPr>
      <w:widowControl/>
      <w:spacing w:before="100" w:beforeAutospacing="1" w:after="100" w:afterAutospacing="1"/>
      <w:jc w:val="left"/>
    </w:pPr>
    <w:rPr>
      <w:rFonts w:ascii="宋体" w:hAnsi="宋体" w:cs="宋体"/>
      <w:kern w:val="0"/>
      <w:sz w:val="24"/>
    </w:rPr>
  </w:style>
  <w:style w:type="character" w:customStyle="1" w:styleId="155">
    <w:name w:val="font"/>
    <w:basedOn w:val="44"/>
    <w:qFormat/>
    <w:uiPriority w:val="0"/>
  </w:style>
  <w:style w:type="character" w:customStyle="1" w:styleId="156">
    <w:name w:val="font11"/>
    <w:qFormat/>
    <w:uiPriority w:val="0"/>
    <w:rPr>
      <w:rFonts w:hint="default" w:ascii="ˎ̥" w:hAnsi="ˎ̥"/>
    </w:rPr>
  </w:style>
  <w:style w:type="paragraph" w:customStyle="1" w:styleId="157">
    <w:name w:val="a14"/>
    <w:basedOn w:val="1"/>
    <w:qFormat/>
    <w:uiPriority w:val="0"/>
    <w:pPr>
      <w:widowControl/>
      <w:spacing w:before="100" w:beforeAutospacing="1" w:after="100" w:afterAutospacing="1" w:line="300" w:lineRule="atLeast"/>
      <w:ind w:firstLine="375"/>
      <w:jc w:val="left"/>
    </w:pPr>
    <w:rPr>
      <w:rFonts w:ascii="宋体" w:hAnsi="宋体" w:cs="宋体"/>
      <w:kern w:val="0"/>
      <w:szCs w:val="21"/>
    </w:rPr>
  </w:style>
  <w:style w:type="character" w:customStyle="1" w:styleId="158">
    <w:name w:val="proddescription"/>
    <w:basedOn w:val="44"/>
    <w:qFormat/>
    <w:uiPriority w:val="0"/>
  </w:style>
  <w:style w:type="character" w:customStyle="1" w:styleId="159">
    <w:name w:val="prodheadlines"/>
    <w:basedOn w:val="44"/>
    <w:qFormat/>
    <w:uiPriority w:val="0"/>
  </w:style>
  <w:style w:type="character" w:customStyle="1" w:styleId="160">
    <w:name w:val="text"/>
    <w:basedOn w:val="44"/>
    <w:qFormat/>
    <w:uiPriority w:val="0"/>
  </w:style>
  <w:style w:type="paragraph" w:customStyle="1" w:styleId="161">
    <w:name w:val="text1"/>
    <w:basedOn w:val="1"/>
    <w:qFormat/>
    <w:uiPriority w:val="0"/>
    <w:pPr>
      <w:widowControl/>
      <w:spacing w:before="100" w:beforeAutospacing="1" w:after="100" w:afterAutospacing="1"/>
      <w:jc w:val="left"/>
    </w:pPr>
    <w:rPr>
      <w:rFonts w:ascii="宋体" w:hAnsi="宋体" w:cs="宋体"/>
      <w:kern w:val="0"/>
      <w:sz w:val="24"/>
    </w:rPr>
  </w:style>
  <w:style w:type="paragraph" w:customStyle="1" w:styleId="162">
    <w:name w:val="z-窗体顶端1"/>
    <w:basedOn w:val="1"/>
    <w:next w:val="1"/>
    <w:hidden/>
    <w:qFormat/>
    <w:uiPriority w:val="0"/>
    <w:pPr>
      <w:widowControl/>
      <w:pBdr>
        <w:bottom w:val="single" w:color="auto" w:sz="6" w:space="1"/>
      </w:pBdr>
      <w:jc w:val="center"/>
    </w:pPr>
    <w:rPr>
      <w:rFonts w:ascii="Arial" w:hAnsi="Arial" w:cs="Arial"/>
      <w:vanish/>
      <w:kern w:val="0"/>
      <w:sz w:val="16"/>
      <w:szCs w:val="16"/>
    </w:rPr>
  </w:style>
  <w:style w:type="paragraph" w:customStyle="1" w:styleId="163">
    <w:name w:val="z-窗体底端1"/>
    <w:basedOn w:val="1"/>
    <w:next w:val="1"/>
    <w:hidden/>
    <w:qFormat/>
    <w:uiPriority w:val="0"/>
    <w:pPr>
      <w:widowControl/>
      <w:pBdr>
        <w:top w:val="single" w:color="auto" w:sz="6" w:space="1"/>
      </w:pBdr>
      <w:jc w:val="center"/>
    </w:pPr>
    <w:rPr>
      <w:rFonts w:ascii="Arial" w:hAnsi="Arial" w:cs="Arial"/>
      <w:vanish/>
      <w:kern w:val="0"/>
      <w:sz w:val="16"/>
      <w:szCs w:val="16"/>
    </w:rPr>
  </w:style>
  <w:style w:type="paragraph" w:customStyle="1" w:styleId="164">
    <w:name w:val="正文样式"/>
    <w:basedOn w:val="1"/>
    <w:qFormat/>
    <w:uiPriority w:val="0"/>
    <w:pPr>
      <w:adjustRightInd w:val="0"/>
      <w:spacing w:line="400" w:lineRule="atLeast"/>
      <w:ind w:firstLine="570" w:firstLineChars="203"/>
      <w:textAlignment w:val="baseline"/>
    </w:pPr>
    <w:rPr>
      <w:rFonts w:eastAsia="仿宋_GB2312"/>
      <w:kern w:val="0"/>
      <w:sz w:val="28"/>
      <w:szCs w:val="20"/>
    </w:rPr>
  </w:style>
  <w:style w:type="paragraph" w:customStyle="1" w:styleId="165">
    <w:name w:val="xl34"/>
    <w:basedOn w:val="1"/>
    <w:qFormat/>
    <w:uiPriority w:val="0"/>
    <w:pPr>
      <w:widowControl/>
      <w:pBdr>
        <w:left w:val="single" w:color="auto" w:sz="4" w:space="0"/>
      </w:pBdr>
      <w:spacing w:before="100" w:beforeAutospacing="1" w:after="100" w:afterAutospacing="1"/>
      <w:jc w:val="center"/>
      <w:textAlignment w:val="center"/>
    </w:pPr>
    <w:rPr>
      <w:rFonts w:ascii="宋体" w:hAnsi="宋体"/>
      <w:kern w:val="0"/>
      <w:sz w:val="24"/>
    </w:rPr>
  </w:style>
  <w:style w:type="paragraph" w:customStyle="1" w:styleId="166">
    <w:name w:val="段落正文"/>
    <w:basedOn w:val="24"/>
    <w:qFormat/>
    <w:uiPriority w:val="0"/>
    <w:pPr>
      <w:ind w:firstLine="560" w:firstLineChars="200"/>
    </w:pPr>
    <w:rPr>
      <w:sz w:val="28"/>
    </w:rPr>
  </w:style>
  <w:style w:type="character" w:customStyle="1" w:styleId="167">
    <w:name w:val="gray6"/>
    <w:basedOn w:val="44"/>
    <w:qFormat/>
    <w:uiPriority w:val="0"/>
  </w:style>
  <w:style w:type="character" w:customStyle="1" w:styleId="168">
    <w:name w:val="style9"/>
    <w:basedOn w:val="44"/>
    <w:qFormat/>
    <w:uiPriority w:val="0"/>
  </w:style>
  <w:style w:type="paragraph" w:customStyle="1" w:styleId="169">
    <w:name w:val="2册标题4"/>
    <w:basedOn w:val="1"/>
    <w:next w:val="1"/>
    <w:qFormat/>
    <w:uiPriority w:val="0"/>
    <w:pPr>
      <w:spacing w:beforeLines="50" w:afterLines="50" w:line="300" w:lineRule="auto"/>
      <w:ind w:left="420" w:leftChars="200"/>
      <w:outlineLvl w:val="3"/>
    </w:pPr>
    <w:rPr>
      <w:rFonts w:ascii="Arial" w:hAnsi="Arial" w:eastAsia="幼圆" w:cs="Arial"/>
      <w:b/>
      <w:sz w:val="24"/>
    </w:rPr>
  </w:style>
  <w:style w:type="character" w:customStyle="1" w:styleId="170">
    <w:name w:val="grame"/>
    <w:basedOn w:val="44"/>
    <w:qFormat/>
    <w:uiPriority w:val="0"/>
  </w:style>
  <w:style w:type="paragraph" w:customStyle="1" w:styleId="171">
    <w:name w:val="style2"/>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72">
    <w:name w:val="Char1"/>
    <w:basedOn w:val="1"/>
    <w:qFormat/>
    <w:uiPriority w:val="0"/>
    <w:pPr>
      <w:jc w:val="left"/>
    </w:pPr>
    <w:rPr>
      <w:rFonts w:ascii="Tahoma" w:hAnsi="Tahoma"/>
      <w:sz w:val="24"/>
      <w:szCs w:val="20"/>
    </w:rPr>
  </w:style>
  <w:style w:type="paragraph" w:customStyle="1" w:styleId="173">
    <w:name w:val="编号1"/>
    <w:basedOn w:val="1"/>
    <w:qFormat/>
    <w:uiPriority w:val="0"/>
    <w:pPr>
      <w:numPr>
        <w:ilvl w:val="0"/>
        <w:numId w:val="6"/>
      </w:numPr>
      <w:adjustRightInd w:val="0"/>
      <w:spacing w:line="300" w:lineRule="auto"/>
      <w:ind w:right="210"/>
      <w:textAlignment w:val="center"/>
    </w:pPr>
    <w:rPr>
      <w:rFonts w:ascii="宋体" w:hAnsi="宋体"/>
      <w:snapToGrid w:val="0"/>
      <w:spacing w:val="10"/>
      <w:kern w:val="24"/>
    </w:rPr>
  </w:style>
  <w:style w:type="paragraph" w:customStyle="1" w:styleId="174">
    <w:name w:val="Char Char Char Char Char Char Char Char Char Char Char Char Char Char Char Char Char Char Char Char Char Char"/>
    <w:basedOn w:val="1"/>
    <w:qFormat/>
    <w:uiPriority w:val="0"/>
    <w:pPr>
      <w:widowControl/>
      <w:spacing w:line="400" w:lineRule="exact"/>
      <w:jc w:val="center"/>
    </w:pPr>
    <w:rPr>
      <w:rFonts w:ascii="Verdana" w:hAnsi="Verdana"/>
      <w:kern w:val="0"/>
      <w:szCs w:val="20"/>
      <w:lang w:eastAsia="en-US"/>
    </w:rPr>
  </w:style>
  <w:style w:type="paragraph" w:customStyle="1" w:styleId="175">
    <w:name w:val="font0"/>
    <w:basedOn w:val="1"/>
    <w:qFormat/>
    <w:uiPriority w:val="0"/>
    <w:pPr>
      <w:widowControl/>
      <w:spacing w:before="100" w:beforeAutospacing="1" w:after="100" w:afterAutospacing="1"/>
      <w:jc w:val="left"/>
    </w:pPr>
    <w:rPr>
      <w:rFonts w:hint="eastAsia" w:ascii="宋体" w:hAnsi="宋体"/>
      <w:kern w:val="0"/>
      <w:sz w:val="24"/>
    </w:rPr>
  </w:style>
  <w:style w:type="paragraph" w:customStyle="1" w:styleId="176">
    <w:name w:val="font5"/>
    <w:basedOn w:val="1"/>
    <w:qFormat/>
    <w:uiPriority w:val="0"/>
    <w:pPr>
      <w:widowControl/>
      <w:spacing w:before="100" w:beforeAutospacing="1" w:after="100" w:afterAutospacing="1"/>
      <w:jc w:val="left"/>
    </w:pPr>
    <w:rPr>
      <w:rFonts w:hint="eastAsia" w:ascii="宋体" w:hAnsi="宋体"/>
      <w:kern w:val="0"/>
      <w:sz w:val="18"/>
      <w:szCs w:val="18"/>
    </w:rPr>
  </w:style>
  <w:style w:type="paragraph" w:customStyle="1" w:styleId="177">
    <w:name w:val="font6"/>
    <w:basedOn w:val="1"/>
    <w:qFormat/>
    <w:uiPriority w:val="0"/>
    <w:pPr>
      <w:widowControl/>
      <w:spacing w:before="100" w:beforeAutospacing="1" w:after="100" w:afterAutospacing="1"/>
      <w:jc w:val="left"/>
    </w:pPr>
    <w:rPr>
      <w:kern w:val="0"/>
      <w:sz w:val="24"/>
    </w:rPr>
  </w:style>
  <w:style w:type="paragraph" w:customStyle="1" w:styleId="178">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kern w:val="0"/>
      <w:sz w:val="24"/>
    </w:rPr>
  </w:style>
  <w:style w:type="paragraph" w:customStyle="1" w:styleId="179">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kern w:val="0"/>
      <w:sz w:val="24"/>
    </w:rPr>
  </w:style>
  <w:style w:type="paragraph" w:customStyle="1" w:styleId="180">
    <w:name w:val="表格字"/>
    <w:basedOn w:val="1"/>
    <w:qFormat/>
    <w:uiPriority w:val="0"/>
    <w:pPr>
      <w:adjustRightInd w:val="0"/>
      <w:jc w:val="center"/>
    </w:pPr>
    <w:rPr>
      <w:rFonts w:ascii="宋体"/>
      <w:sz w:val="24"/>
      <w:szCs w:val="20"/>
    </w:rPr>
  </w:style>
  <w:style w:type="character" w:customStyle="1" w:styleId="181">
    <w:name w:val="样式 小三 加粗"/>
    <w:qFormat/>
    <w:uiPriority w:val="0"/>
    <w:rPr>
      <w:rFonts w:eastAsia="宋体"/>
      <w:b/>
      <w:bCs/>
      <w:sz w:val="32"/>
    </w:rPr>
  </w:style>
  <w:style w:type="paragraph" w:customStyle="1" w:styleId="182">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183">
    <w:name w:val="qw"/>
    <w:qFormat/>
    <w:uiPriority w:val="0"/>
    <w:pPr>
      <w:widowControl w:val="0"/>
      <w:adjustRightInd w:val="0"/>
      <w:spacing w:line="312" w:lineRule="atLeast"/>
      <w:jc w:val="both"/>
      <w:textAlignment w:val="baseline"/>
    </w:pPr>
    <w:rPr>
      <w:rFonts w:ascii="宋体" w:hAnsi="Times New Roman" w:eastAsia="宋体" w:cs="Times New Roman"/>
      <w:sz w:val="24"/>
      <w:lang w:val="en-US" w:eastAsia="zh-CN" w:bidi="ar-SA"/>
    </w:rPr>
  </w:style>
  <w:style w:type="paragraph" w:customStyle="1" w:styleId="184">
    <w:name w:val="Char Char Char"/>
    <w:basedOn w:val="1"/>
    <w:qFormat/>
    <w:uiPriority w:val="0"/>
    <w:rPr>
      <w:rFonts w:ascii="Tahoma" w:hAnsi="Tahoma"/>
      <w:sz w:val="24"/>
      <w:szCs w:val="20"/>
    </w:rPr>
  </w:style>
  <w:style w:type="paragraph" w:customStyle="1" w:styleId="185">
    <w:name w:val="Char2"/>
    <w:basedOn w:val="1"/>
    <w:qFormat/>
    <w:uiPriority w:val="0"/>
    <w:pPr>
      <w:widowControl/>
      <w:spacing w:after="160" w:line="240" w:lineRule="exact"/>
      <w:jc w:val="left"/>
    </w:pPr>
    <w:rPr>
      <w:rFonts w:ascii="Verdana" w:hAnsi="Verdana" w:eastAsia="仿宋_GB2312"/>
      <w:kern w:val="0"/>
      <w:sz w:val="24"/>
      <w:szCs w:val="20"/>
      <w:lang w:eastAsia="en-US"/>
    </w:rPr>
  </w:style>
  <w:style w:type="character" w:customStyle="1" w:styleId="186">
    <w:name w:val="info4"/>
    <w:basedOn w:val="44"/>
    <w:qFormat/>
    <w:uiPriority w:val="0"/>
  </w:style>
  <w:style w:type="paragraph" w:customStyle="1" w:styleId="187">
    <w:name w:val="缩进正文"/>
    <w:basedOn w:val="1"/>
    <w:qFormat/>
    <w:uiPriority w:val="0"/>
    <w:pPr>
      <w:ind w:firstLine="560" w:firstLineChars="200"/>
    </w:pPr>
    <w:rPr>
      <w:rFonts w:eastAsia="仿宋_GB2312" w:cs="宋体"/>
      <w:sz w:val="28"/>
      <w:szCs w:val="20"/>
    </w:rPr>
  </w:style>
  <w:style w:type="character" w:customStyle="1" w:styleId="188">
    <w:name w:val="缩进正文 Char"/>
    <w:qFormat/>
    <w:uiPriority w:val="0"/>
    <w:rPr>
      <w:rFonts w:eastAsia="仿宋_GB2312" w:cs="宋体"/>
      <w:kern w:val="2"/>
      <w:sz w:val="28"/>
      <w:lang w:val="en-US" w:eastAsia="zh-CN" w:bidi="ar-SA"/>
    </w:rPr>
  </w:style>
  <w:style w:type="paragraph" w:customStyle="1" w:styleId="189">
    <w:name w:val="列出段落1"/>
    <w:basedOn w:val="1"/>
    <w:qFormat/>
    <w:uiPriority w:val="0"/>
    <w:pPr>
      <w:ind w:firstLine="420" w:firstLineChars="200"/>
    </w:pPr>
    <w:rPr>
      <w:rFonts w:ascii="Calibri" w:hAnsi="Calibri" w:cs="Calibri"/>
      <w:szCs w:val="21"/>
    </w:rPr>
  </w:style>
  <w:style w:type="character" w:customStyle="1" w:styleId="190">
    <w:name w:val="批注文字 Char"/>
    <w:basedOn w:val="44"/>
    <w:qFormat/>
    <w:uiPriority w:val="99"/>
    <w:rPr>
      <w:rFonts w:ascii="宋体"/>
      <w:sz w:val="34"/>
    </w:rPr>
  </w:style>
  <w:style w:type="character" w:customStyle="1" w:styleId="191">
    <w:name w:val="批注主题 Char"/>
    <w:basedOn w:val="190"/>
    <w:qFormat/>
    <w:uiPriority w:val="99"/>
    <w:rPr>
      <w:rFonts w:ascii="宋体"/>
      <w:sz w:val="34"/>
    </w:rPr>
  </w:style>
  <w:style w:type="paragraph" w:customStyle="1" w:styleId="192">
    <w:name w:val="评价"/>
    <w:basedOn w:val="1"/>
    <w:qFormat/>
    <w:uiPriority w:val="0"/>
    <w:pPr>
      <w:spacing w:afterLines="20"/>
      <w:ind w:firstLine="1446" w:firstLineChars="200"/>
    </w:pPr>
    <w:rPr>
      <w:rFonts w:ascii="Calibri" w:hAnsi="Calibri"/>
      <w:sz w:val="24"/>
    </w:rPr>
  </w:style>
  <w:style w:type="paragraph" w:customStyle="1" w:styleId="193">
    <w:name w:val="修订1"/>
    <w:hidden/>
    <w:semiHidden/>
    <w:qFormat/>
    <w:uiPriority w:val="99"/>
    <w:rPr>
      <w:rFonts w:ascii="Times New Roman" w:hAnsi="Times New Roman" w:eastAsia="宋体" w:cs="Times New Roman"/>
      <w:kern w:val="2"/>
      <w:sz w:val="21"/>
      <w:szCs w:val="24"/>
      <w:lang w:val="en-US" w:eastAsia="zh-CN" w:bidi="ar-SA"/>
    </w:rPr>
  </w:style>
  <w:style w:type="character" w:customStyle="1" w:styleId="194">
    <w:name w:val="alt-edited1"/>
    <w:qFormat/>
    <w:uiPriority w:val="0"/>
    <w:rPr>
      <w:color w:val="4D90F0"/>
    </w:rPr>
  </w:style>
  <w:style w:type="character" w:customStyle="1" w:styleId="195">
    <w:name w:val="body text Char1"/>
    <w:qFormat/>
    <w:uiPriority w:val="0"/>
    <w:rPr>
      <w:rFonts w:eastAsia="宋体"/>
      <w:kern w:val="2"/>
      <w:sz w:val="21"/>
      <w:lang w:val="en-US" w:eastAsia="zh-CN" w:bidi="ar-SA"/>
    </w:rPr>
  </w:style>
  <w:style w:type="character" w:customStyle="1" w:styleId="196">
    <w:name w:val="普通(网站) Char"/>
    <w:qFormat/>
    <w:uiPriority w:val="0"/>
    <w:rPr>
      <w:kern w:val="2"/>
      <w:sz w:val="24"/>
      <w:szCs w:val="24"/>
    </w:rPr>
  </w:style>
  <w:style w:type="character" w:customStyle="1" w:styleId="197">
    <w:name w:val="批注文字 Char1"/>
    <w:qFormat/>
    <w:uiPriority w:val="99"/>
    <w:rPr>
      <w:rFonts w:ascii="宋体"/>
      <w:sz w:val="34"/>
    </w:rPr>
  </w:style>
  <w:style w:type="character" w:customStyle="1" w:styleId="198">
    <w:name w:val="正文缩进 Char1"/>
    <w:qFormat/>
    <w:uiPriority w:val="0"/>
    <w:rPr>
      <w:rFonts w:eastAsia="宋体"/>
      <w:kern w:val="2"/>
      <w:sz w:val="21"/>
      <w:lang w:val="en-US" w:eastAsia="zh-CN" w:bidi="ar-SA"/>
    </w:rPr>
  </w:style>
  <w:style w:type="table" w:customStyle="1" w:styleId="199">
    <w:name w:val="网格型1"/>
    <w:basedOn w:val="42"/>
    <w:qFormat/>
    <w:uiPriority w:val="0"/>
    <w:pPr>
      <w:widowControl w:val="0"/>
      <w:jc w:val="both"/>
    </w:pPr>
    <w:rPr>
      <w:rFonts w:eastAsiaTheme="minorEastAsia"/>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200">
    <w:name w:val="Revision"/>
    <w:hidden/>
    <w:unhideWhenUsed/>
    <w:qFormat/>
    <w:uiPriority w:val="99"/>
    <w:rPr>
      <w:rFonts w:ascii="Times New Roman" w:hAnsi="Times New Roman" w:eastAsia="宋体" w:cs="Times New Roman"/>
      <w:kern w:val="2"/>
      <w:sz w:val="21"/>
      <w:szCs w:val="24"/>
      <w:lang w:val="en-US" w:eastAsia="zh-CN" w:bidi="ar-SA"/>
    </w:rPr>
  </w:style>
  <w:style w:type="paragraph" w:styleId="201">
    <w:name w:val="No Spacing"/>
    <w:qFormat/>
    <w:uiPriority w:val="1"/>
    <w:pPr>
      <w:widowControl w:val="0"/>
      <w:jc w:val="both"/>
    </w:pPr>
    <w:rPr>
      <w:rFonts w:ascii="Calibri" w:hAnsi="Calibri" w:eastAsia="宋体" w:cs="Times New Roman"/>
      <w:kern w:val="2"/>
      <w:sz w:val="21"/>
      <w:szCs w:val="22"/>
      <w:lang w:val="en-US" w:eastAsia="zh-CN" w:bidi="ar-SA"/>
    </w:rPr>
  </w:style>
  <w:style w:type="paragraph" w:customStyle="1" w:styleId="202">
    <w:name w:val="表格文字"/>
    <w:basedOn w:val="1"/>
    <w:qFormat/>
    <w:uiPriority w:val="0"/>
    <w:pPr>
      <w:spacing w:before="25" w:after="25"/>
      <w:jc w:val="left"/>
    </w:pPr>
    <w:rPr>
      <w:bCs/>
      <w:spacing w:val="10"/>
      <w:kern w:val="0"/>
      <w:sz w:val="24"/>
      <w:szCs w:val="20"/>
    </w:rPr>
  </w:style>
  <w:style w:type="table" w:customStyle="1" w:styleId="203">
    <w:name w:val="网格型3"/>
    <w:basedOn w:val="42"/>
    <w:qFormat/>
    <w:uiPriority w:val="0"/>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204">
    <w:name w:val="hover"/>
    <w:basedOn w:val="44"/>
    <w:uiPriority w:val="0"/>
    <w:rPr>
      <w:color w:val="2590EB"/>
    </w:rPr>
  </w:style>
  <w:style w:type="character" w:customStyle="1" w:styleId="205">
    <w:name w:val="hover1"/>
    <w:basedOn w:val="44"/>
    <w:uiPriority w:val="0"/>
  </w:style>
  <w:style w:type="character" w:customStyle="1" w:styleId="206">
    <w:name w:val="hover2"/>
    <w:basedOn w:val="44"/>
    <w:uiPriority w:val="0"/>
    <w:rPr>
      <w:color w:val="2590EB"/>
      <w:shd w:val="clear" w:fill="E9F4FD"/>
    </w:rPr>
  </w:style>
  <w:style w:type="character" w:customStyle="1" w:styleId="207">
    <w:name w:val="hover3"/>
    <w:basedOn w:val="44"/>
    <w:qFormat/>
    <w:uiPriority w:val="0"/>
    <w:rPr>
      <w:color w:val="2590EB"/>
    </w:rPr>
  </w:style>
  <w:style w:type="character" w:customStyle="1" w:styleId="208">
    <w:name w:val="hover4"/>
    <w:basedOn w:val="44"/>
    <w:uiPriority w:val="0"/>
  </w:style>
</w:styles>
</file>

<file path=word/_rels/document.xml.rels><?xml version="1.0" encoding="UTF-8" standalone="yes"?>
<Relationships xmlns="http://schemas.openxmlformats.org/package/2006/relationships"><Relationship Id="rId9" Type="http://schemas.openxmlformats.org/officeDocument/2006/relationships/image" Target="media/image2.png"/><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customXml" Target="../customXml/item5.xml"/><Relationship Id="rId15" Type="http://schemas.openxmlformats.org/officeDocument/2006/relationships/customXml" Target="../customXml/item4.xml"/><Relationship Id="rId14" Type="http://schemas.openxmlformats.org/officeDocument/2006/relationships/customXml" Target="../customXml/item3.xml"/><Relationship Id="rId13" Type="http://schemas.openxmlformats.org/officeDocument/2006/relationships/customXml" Target="../customXml/item2.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image" Target="media/image3.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2.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2021-04-19T08:29:00Z</dcterms:created>
  <dc:creator>thsware</dc:creator>
  <cp:lastModifiedBy>提示</cp:lastModifiedBy>
  <cp:lastPrinted>2021-05-09T08:02:00Z</cp:lastPrinted>
  <dcterms:modified xsi:type="dcterms:W3CDTF">2026-07-30T04:27:25Z</dcterms:modified>
  <dc:title>招  标　文　件</dc:title>
  <cp:revision>83</cp:revision>
</cp:coreProperties>
</file>

<file path=customXml/item3.xml><?xml version="1.0" encoding="utf-8"?>
<Properties xmlns="http://schemas.openxmlformats.org/officeDocument/2006/extended-properties" xmlns:vt="http://schemas.openxmlformats.org/officeDocument/2006/docPropsVTypes">
  <Template>Normal</Template>
  <Company>Microsoft</Company>
  <Pages>51</Pages>
  <Words>13391</Words>
  <Characters>14020</Characters>
  <Lines>332</Lines>
  <Paragraphs>93</Paragraphs>
  <TotalTime>0</TotalTime>
  <ScaleCrop>false</ScaleCrop>
  <LinksUpToDate>false</LinksUpToDate>
  <CharactersWithSpaces>14144</CharactersWithSpaces>
  <Application>WPS Office_12.1.0.26895_F1E327BC-269C-435d-A152-05C5408002CA</Application>
  <DocSecurity>0</DocSecurity>
</Properties>
</file>

<file path=customXml/item4.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03216CCACB7D4428815509C05F743F5A_13</vt:lpwstr>
  </property>
  <property fmtid="{D5CDD505-2E9C-101B-9397-08002B2CF9AE}" pid="4" name="KSOTemplateDocerSaveRecord">
    <vt:lpwstr>eyJoZGlkIjoiNGE3ZjU2M2NjZmFlYmQwYTc0ZDZkMjFmM2ExNmI5ZTQiLCJ1c2VySWQiOiIyMjQxNTg5MDcifQ==</vt:lpwstr>
  </property>
</Properties>
</file>

<file path=customXml/item5.xml><?xml version="1.0" encoding="utf-8"?>
<contractReview xmlns="http://schemas.wps.cn/vas-ai-hub/contract-review">
  <reviewItems>
    <reviewItem>
      <errorID>2c02d6f6-9ff9-4e79-800c-2145d6bfe7a7</errorID>
      <errorWord>法律、法规</errorWord>
      <group>L1_Word</group>
      <groupName>字词问题</groupName>
      <ability>L2_Typo</ability>
      <abilityName>字词错误</abilityName>
      <candidateList>
        <item>法律法规</item>
      </candidateList>
      <explain/>
      <paraID>606CC9B1</paraID>
      <start>311</start>
      <end>316</end>
      <status>ignored</status>
      <modifiedWord/>
      <trackRevisions>false</trackRevisions>
    </reviewItem>
    <reviewItem>
      <errorID>de8c058f-4e7d-49c6-9524-d129e14744ab</errorID>
      <errorWord>（</errorWord>
      <group>L1_Punc</group>
      <groupName>标点问题</groupName>
      <ability>L2_Punc_CN</ability>
      <abilityName/>
      <candidateList/>
      <explain>同一形式括号套用。</explain>
      <paraID>7F684D2A</paraID>
      <start>39</start>
      <end>40</end>
      <status>ignored</status>
      <modifiedWord/>
      <trackRevisions>false</trackRevisions>
    </reviewItem>
    <reviewItem>
      <errorID>6fd9079b-242c-418f-aad0-f6677f5ee54f</errorID>
      <errorWord>）</errorWord>
      <group>L1_Punc</group>
      <groupName>标点问题</groupName>
      <ability>L2_Punc_CN</ability>
      <abilityName/>
      <candidateList/>
      <explain>同一形式括号套用。</explain>
      <paraID>7F684D2A</paraID>
      <start>47</start>
      <end>48</end>
      <status>ignored</status>
      <modifiedWord/>
      <trackRevisions>false</trackRevisions>
    </reviewItem>
    <reviewItem>
      <errorID>5262a739-24fe-4cfd-bcb0-75d63dfc2733</errorID>
      <errorWord>（</errorWord>
      <group>L1_Punc</group>
      <groupName>标点问题</groupName>
      <ability>L2_Punc_CN</ability>
      <abilityName/>
      <candidateList/>
      <explain>同一形式括号套用。</explain>
      <paraID>7F684D2A</paraID>
      <start>69</start>
      <end>70</end>
      <status>ignored</status>
      <modifiedWord/>
      <trackRevisions>false</trackRevisions>
    </reviewItem>
    <reviewItem>
      <errorID>dcbbe804-4616-4872-b075-e3a1953a90f1</errorID>
      <errorWord>）</errorWord>
      <group>L1_Punc</group>
      <groupName>标点问题</groupName>
      <ability>L2_Punc_CN</ability>
      <abilityName/>
      <candidateList/>
      <explain>同一形式括号套用。</explain>
      <paraID>7F684D2A</paraID>
      <start>74</start>
      <end>75</end>
      <status>ignored</status>
      <modifiedWord/>
      <trackRevisions>false</trackRevisions>
    </reviewItem>
    <reviewItem>
      <errorID>f1a6e77a-cda7-40cb-a0f1-0a2c8b95a2d6</errorID>
      <errorWord>法律、法规</errorWord>
      <group>L1_Word</group>
      <groupName>字词问题</groupName>
      <ability>L2_Typo</ability>
      <abilityName>字词错误</abilityName>
      <candidateList>
        <item>法律法规</item>
      </candidateList>
      <explain/>
      <paraID>71CFE11B</paraID>
      <start>0</start>
      <end>5</end>
      <status>ignored</status>
      <modifiedWord/>
      <trackRevisions>false</trackRevisions>
    </reviewItem>
    <reviewItem>
      <errorID>c4ae7340-6846-408c-a4a0-f6b38ae1ddbd</errorID>
      <errorWord>&lt;</errorWord>
      <group>L1_Format</group>
      <groupName>格式问题</groupName>
      <ability>L2_HalfPunc_CN</ability>
      <abilityName/>
      <candidateList>
        <item>〈</item>
      </candidateList>
      <explain>文本全半角错误。</explain>
      <paraID>3DD10D4C</paraID>
      <start>50</start>
      <end>51</end>
      <status>ignored</status>
      <modifiedWord/>
      <trackRevisions>false</trackRevisions>
    </reviewItem>
    <reviewItem>
      <errorID>b7707c69-2161-4dfd-bc67-d609187ef059</errorID>
      <errorWord>&lt;</errorWord>
      <group>L1_Format</group>
      <groupName>格式问题</groupName>
      <ability>L2_HalfPunc_CN</ability>
      <abilityName/>
      <candidateList>
        <item>〈</item>
      </candidateList>
      <explain>文本全半角错误。</explain>
      <paraID>52E1CC93</paraID>
      <start>50</start>
      <end>51</end>
      <status>ignored</status>
      <modifiedWord/>
      <trackRevisions>false</trackRevisions>
    </reviewItem>
    <reviewItem>
      <errorID>e1b47c12-0d39-49e2-aab1-e611733571bd</errorID>
      <errorWord>&lt;</errorWord>
      <group>L1_Format</group>
      <groupName>格式问题</groupName>
      <ability>L2_HalfPunc_CN</ability>
      <abilityName/>
      <candidateList>
        <item>〈</item>
      </candidateList>
      <explain>文本全半角错误。</explain>
      <paraID>3A0EA8A5</paraID>
      <start>35</start>
      <end>36</end>
      <status>ignored</status>
      <modifiedWord/>
      <trackRevisions>false</trackRevisions>
    </reviewItem>
    <reviewItem>
      <errorID>f3a26d57-001d-41a3-b5e9-3c624b13d281</errorID>
      <errorWord>，</errorWord>
      <group>L1_Word</group>
      <groupName>字词问题</groupName>
      <ability>L2_Typo</ability>
      <abilityName>字词错误</abilityName>
      <candidateList>
        <item>，并</item>
      </candidateList>
      <explain/>
      <paraID>30436F07</paraID>
      <start>69</start>
      <end>70</end>
      <status>ignored</status>
      <modifiedWord/>
      <trackRevisions>false</trackRevisions>
    </reviewItem>
    <reviewItem>
      <errorID>adc4eb90-df6c-461e-9741-c6fd3f6ced40</errorID>
      <errorWord>(</errorWord>
      <group>L1_Format</group>
      <groupName>格式问题</groupName>
      <ability>L2_HalfPunc_CN</ability>
      <abilityName/>
      <candidateList>
        <item>（</item>
      </candidateList>
      <explain>文本全半角错误。</explain>
      <paraID>2DB7DCB5</paraID>
      <start>75</start>
      <end>76</end>
      <status>ignored</status>
      <modifiedWord/>
      <trackRevisions>false</trackRevisions>
    </reviewItem>
    <reviewItem>
      <errorID>7e03051d-934f-465e-8fcf-84fd2947c55b</errorID>
      <errorWord>)</errorWord>
      <group>L1_Format</group>
      <groupName>格式问题</groupName>
      <ability>L2_HalfPunc_CN</ability>
      <abilityName/>
      <candidateList>
        <item>）</item>
      </candidateList>
      <explain>文本全半角错误。</explain>
      <paraID>2DB7DCB5</paraID>
      <start>86</start>
      <end>87</end>
      <status>ignored</status>
      <modifiedWord/>
      <trackRevisions>false</trackRevisions>
    </reviewItem>
    <reviewItem>
      <errorID>62d1b021-f3c0-4910-ba5b-c47436803408</errorID>
      <errorWord>(</errorWord>
      <group>L1_Format</group>
      <groupName>格式问题</groupName>
      <ability>L2_HalfPunc_CN</ability>
      <abilityName/>
      <candidateList>
        <item>（</item>
      </candidateList>
      <explain>文本全半角错误。</explain>
      <paraID>2DB7DCB5</paraID>
      <start>170</start>
      <end>171</end>
      <status>ignored</status>
      <modifiedWord/>
      <trackRevisions>false</trackRevisions>
    </reviewItem>
    <reviewItem>
      <errorID>bc377526-86f9-4e6b-8eff-31b5bfe3b5b5</errorID>
      <errorWord>)</errorWord>
      <group>L1_Format</group>
      <groupName>格式问题</groupName>
      <ability>L2_HalfPunc_CN</ability>
      <abilityName/>
      <candidateList>
        <item>）</item>
      </candidateList>
      <explain>文本全半角错误。</explain>
      <paraID>2DB7DCB5</paraID>
      <start>184</start>
      <end>185</end>
      <status>ignored</status>
      <modifiedWord/>
      <trackRevisions>false</trackRevisions>
    </reviewItem>
    <reviewItem>
      <errorID>1c4162d6-1e86-4f27-b519-7cecd197d19c</errorID>
      <errorWord>(</errorWord>
      <group>L1_Format</group>
      <groupName>格式问题</groupName>
      <ability>L2_HalfPunc_CN</ability>
      <abilityName/>
      <candidateList>
        <item>（</item>
      </candidateList>
      <explain>文本全半角错误。</explain>
      <paraID>54FF06CF</paraID>
      <start>2</start>
      <end>3</end>
      <status>ignored</status>
      <modifiedWord/>
      <trackRevisions>false</trackRevisions>
    </reviewItem>
    <reviewItem>
      <errorID>096cd61c-ca56-4eff-9be9-fb72b4ce55dc</errorID>
      <errorWord>)</errorWord>
      <group>L1_Format</group>
      <groupName>格式问题</groupName>
      <ability>L2_HalfPunc_CN</ability>
      <abilityName/>
      <candidateList>
        <item>）</item>
      </candidateList>
      <explain>文本全半角错误。</explain>
      <paraID>54FF06CF</paraID>
      <start>4</start>
      <end>5</end>
      <status>ignored</status>
      <modifiedWord/>
      <trackRevisions>false</trackRevisions>
    </reviewItem>
    <reviewItem>
      <errorID>16d418be-1da1-4646-926a-eaa24bec7b42</errorID>
      <errorWord>(</errorWord>
      <group>L1_Format</group>
      <groupName>格式问题</groupName>
      <ability>L2_HalfPunc_CN</ability>
      <abilityName/>
      <candidateList>
        <item>（</item>
      </candidateList>
      <explain>文本全半角错误。</explain>
      <paraID> 15F6023</paraID>
      <start>2</start>
      <end>3</end>
      <status>ignored</status>
      <modifiedWord/>
      <trackRevisions>false</trackRevisions>
    </reviewItem>
    <reviewItem>
      <errorID>bcdb7bea-aeed-4c05-9a6f-0ad4065b33db</errorID>
      <errorWord>)</errorWord>
      <group>L1_Format</group>
      <groupName>格式问题</groupName>
      <ability>L2_HalfPunc_CN</ability>
      <abilityName/>
      <candidateList>
        <item>）</item>
      </candidateList>
      <explain>文本全半角错误。</explain>
      <paraID> 15F6023</paraID>
      <start>4</start>
      <end>5</end>
      <status>ignored</status>
      <modifiedWord/>
      <trackRevisions>false</trackRevisions>
    </reviewItem>
    <reviewItem>
      <errorID>2949f04a-f219-493f-b812-8e369654a056</errorID>
      <errorWord>(</errorWord>
      <group>L1_Format</group>
      <groupName>格式问题</groupName>
      <ability>L2_HalfPunc_CN</ability>
      <abilityName/>
      <candidateList>
        <item>（</item>
      </candidateList>
      <explain>文本全半角错误。</explain>
      <paraID>2ED99857</paraID>
      <start>2</start>
      <end>3</end>
      <status>ignored</status>
      <modifiedWord/>
      <trackRevisions>false</trackRevisions>
    </reviewItem>
    <reviewItem>
      <errorID>e03afdcc-076e-45df-90f1-9f2797814ca7</errorID>
      <errorWord>)</errorWord>
      <group>L1_Format</group>
      <groupName>格式问题</groupName>
      <ability>L2_HalfPunc_CN</ability>
      <abilityName/>
      <candidateList>
        <item>）</item>
      </candidateList>
      <explain>文本全半角错误。</explain>
      <paraID>2ED99857</paraID>
      <start>4</start>
      <end>5</end>
      <status>ignored</status>
      <modifiedWord/>
      <trackRevisions>false</trackRevisions>
    </reviewItem>
    <reviewItem>
      <errorID>ba147a90-c9c1-42e6-bf17-a8d1e20e550e</errorID>
      <errorWord>(</errorWord>
      <group>L1_Format</group>
      <groupName>格式问题</groupName>
      <ability>L2_HalfPunc_CN</ability>
      <abilityName/>
      <candidateList>
        <item>（</item>
      </candidateList>
      <explain>文本全半角错误。</explain>
      <paraID>5B787F2B</paraID>
      <start>2</start>
      <end>3</end>
      <status>ignored</status>
      <modifiedWord/>
      <trackRevisions>false</trackRevisions>
    </reviewItem>
    <reviewItem>
      <errorID>4f531740-4040-4c60-a195-349037476a70</errorID>
      <errorWord>)</errorWord>
      <group>L1_Format</group>
      <groupName>格式问题</groupName>
      <ability>L2_HalfPunc_CN</ability>
      <abilityName/>
      <candidateList>
        <item>）</item>
      </candidateList>
      <explain>文本全半角错误。</explain>
      <paraID>5B787F2B</paraID>
      <start>4</start>
      <end>5</end>
      <status>ignored</status>
      <modifiedWord/>
      <trackRevisions>false</trackRevisions>
    </reviewItem>
    <reviewItem>
      <errorID>dae69250-96fa-4a57-8fb3-45da3d8cb6d0</errorID>
      <errorWord>、、</errorWord>
      <group>L1_Punc</group>
      <groupName>标点问题</groupName>
      <ability>L2_Punc_CN</ability>
      <abilityName/>
      <candidateList>
        <item>、</item>
      </candidateList>
      <explain/>
      <paraID> 17B2F47</paraID>
      <start>73</start>
      <end>74</end>
      <status>modified</status>
      <modifiedWord>、</modifiedWord>
      <trackRevisions>false</trackRevisions>
    </reviewItem>
    <reviewItem>
      <errorID>a37f4d07-4a52-4e9d-8983-8dcfa463cf3e</errorID>
      <errorWord>（</errorWord>
      <group>L1_Format</group>
      <groupName>格式问题</groupName>
      <ability>L2_HalfPunc_CN</ability>
      <abilityName/>
      <candidateList>
        <item>(</item>
      </candidateList>
      <explain>文本全半角错误。</explain>
      <paraID>5A6A80CD</paraID>
      <start>0</start>
      <end>1</end>
      <status>ignored</status>
      <modifiedWord/>
      <trackRevisions>false</trackRevisions>
    </reviewItem>
    <reviewItem>
      <errorID>c04f4726-f3c3-43be-9426-1bd9564f0359</errorID>
      <errorWord>）</errorWord>
      <group>L1_Format</group>
      <groupName>格式问题</groupName>
      <ability>L2_HalfPunc_CN</ability>
      <abilityName/>
      <candidateList>
        <item>)</item>
      </candidateList>
      <explain>文本全半角错误。</explain>
      <paraID>5A6A80CD</paraID>
      <start>6</start>
      <end>7</end>
      <status>ignored</status>
      <modifiedWord/>
      <trackRevisions>false</trackRevisions>
    </reviewItem>
    <reviewItem>
      <errorID>3e77225f-3e35-4ac3-97ba-1b0efbdf111b</errorID>
      <errorWord>；;</errorWord>
      <group>L1_Punc</group>
      <groupName>标点问题</groupName>
      <ability>L2_Punc_CN</ability>
      <abilityName/>
      <candidateList>
        <item>；</item>
      </candidateList>
      <explain/>
      <paraID>495A8AB6</paraID>
      <start>78</start>
      <end>79</end>
      <status>modified</status>
      <modifiedWord>；</modifiedWord>
      <trackRevisions>false</trackRevisions>
    </reviewItem>
    <reviewItem>
      <errorID>b44463cb-e53d-4fef-a85c-deffee044e05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8736334</paraID>
      <start>0</start>
      <end>2</end>
      <status>modified</status>
      <modifiedWord>1.</modifiedWord>
      <trackRevisions>false</trackRevisions>
    </reviewItem>
    <reviewItem>
      <errorID>9eb4f0b5-8202-466f-afe3-a04e594be57e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F47DFEC</paraID>
      <start>0</start>
      <end>2</end>
      <status>modified</status>
      <modifiedWord>1.</modifiedWord>
      <trackRevisions>false</trackRevisions>
    </reviewItem>
    <reviewItem>
      <errorID>80fe6b0f-377c-456f-b2cd-f97c1cc5fd03</errorID>
      <errorWord>(</errorWord>
      <group>L1_Format</group>
      <groupName>格式问题</groupName>
      <ability>L2_HalfPunc_CN</ability>
      <abilityName/>
      <candidateList>
        <item>（</item>
      </candidateList>
      <explain>文本全半角错误。</explain>
      <paraID>7FF8F19B</paraID>
      <start>3</start>
      <end>4</end>
      <status>ignored</status>
      <modifiedWord/>
      <trackRevisions>false</trackRevisions>
    </reviewItem>
    <reviewItem>
      <errorID>47b37d64-943c-46e5-a330-72821240bdf3</errorID>
      <errorWord>)</errorWord>
      <group>L1_Format</group>
      <groupName>格式问题</groupName>
      <ability>L2_HalfPunc_CN</ability>
      <abilityName/>
      <candidateList>
        <item>）</item>
      </candidateList>
      <explain>文本全半角错误。</explain>
      <paraID>7FF8F19B</paraID>
      <start>5</start>
      <end>6</end>
      <status>ignored</status>
      <modifiedWord/>
      <trackRevisions>false</trackRevisions>
    </reviewItem>
    <reviewItem>
      <errorID>6d11bc9f-6046-4a7c-a191-980577f983c9</errorID>
      <errorWord>(</errorWord>
      <group>L1_Format</group>
      <groupName>格式问题</groupName>
      <ability>L2_HalfPunc_CN</ability>
      <abilityName/>
      <candidateList>
        <item>（</item>
      </candidateList>
      <explain>文本全半角错误。</explain>
      <paraID>7FF8F19B</paraID>
      <start>128</start>
      <end>129</end>
      <status>ignored</status>
      <modifiedWord/>
      <trackRevisions>false</trackRevisions>
    </reviewItem>
    <reviewItem>
      <errorID>bb8e44f0-10da-4d50-907e-ae22ad2f8eb6</errorID>
      <errorWord>10%~20%</errorWord>
      <group>L1_Knowledge</group>
      <groupName>知识性问题</groupName>
      <ability>L2_Knowledge</ability>
      <abilityName>其他知识</abilityName>
      <candidateList>
        <item>10%～20%</item>
      </candidateList>
      <explain>1. “10%~20%”中的单位“%”仅出现在后一个数字上，容易引起歧义；根据《现代汉语标点符号数字用法规范手册》，数字表示范围两边需要使用统一的格式。2. 根据标点国标 4.13 中的规则，数字、时间或地域连接符应使用（视觉上更长的）“—”或“～”。</explain>
      <paraID>23B14D6B</paraID>
      <start>70</start>
      <end>77</end>
      <status>ignored</status>
      <modifiedWord/>
      <trackRevisions>false</trackRevisions>
    </reviewItem>
    <reviewItem>
      <errorID>f888642a-05c1-4a99-a90c-c16cdb0b7c28</errorID>
      <errorWord>4%~6%</errorWord>
      <group>L1_Knowledge</group>
      <groupName>知识性问题</groupName>
      <ability>L2_Knowledge</ability>
      <abilityName>其他知识</abilityName>
      <candidateList>
        <item>4%～6%</item>
      </candidateList>
      <explain>1. “4%~6%”中的单位“%”仅出现在后一个数字上，容易引起歧义；根据《现代汉语标点符号数字用法规范手册》，数字表示范围两边需要使用统一的格式。2. 根据标点国标 4.13 中的规则，数字、时间或地域连接符应使用（视觉上更长的）“—”或“～”。</explain>
      <paraID>23B14D6B</paraID>
      <start>209</start>
      <end>214</end>
      <status>ignored</status>
      <modifiedWord/>
      <trackRevisions>false</trackRevisions>
    </reviewItem>
    <reviewItem>
      <errorID>04ac564f-a7de-471b-8452-02dd0d97135f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209C157</paraID>
      <start>0</start>
      <end>2</end>
      <status>modified</status>
      <modifiedWord>2.</modifiedWord>
      <trackRevisions>false</trackRevisions>
    </reviewItem>
    <reviewItem>
      <errorID>8d033b7b-f623-4880-a38b-454f60e7469f</errorID>
      <errorWord>）</errorWord>
      <group>L1_Punc</group>
      <groupName>标点问题</groupName>
      <ability>L2_Punc_CN</ability>
      <abilityName/>
      <candidateList/>
      <explain>此处标点可能未正确匹配，请检查句子中是否存在标点冗余、缺失或使用错误的情况。</explain>
      <paraID>196B32C5</paraID>
      <start>115</start>
      <end>116</end>
      <status>ignored</status>
      <modifiedWord/>
      <trackRevisions>false</trackRevisions>
    </reviewItem>
    <reviewItem>
      <errorID>8c7e4f5d-72c6-421a-9c91-276a95df4ff8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5D54231A</paraID>
      <start>0</start>
      <end>2</end>
      <status>modified</status>
      <modifiedWord>3.</modifiedWord>
      <trackRevisions>false</trackRevisions>
    </reviewItem>
    <reviewItem>
      <errorID>3c30be9d-66af-4821-ad7f-355939481eb3</errorID>
      <errorWord>:</errorWord>
      <group>L1_Format</group>
      <groupName>格式问题</groupName>
      <ability>L2_HalfPunc_CN</ability>
      <abilityName/>
      <candidateList>
        <item>：</item>
      </candidateList>
      <explain>文本全半角错误。</explain>
      <paraID>6CB4AADE</paraID>
      <start>161</start>
      <end>162</end>
      <status>modified</status>
      <modifiedWord>：</modifiedWord>
      <trackRevisions>false</trackRevisions>
    </reviewItem>
    <reviewItem>
      <errorID>1cbfacf2-2bf4-435d-8785-c0b825a9bba4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439630B7</paraID>
      <start>0</start>
      <end>2</end>
      <status>modified</status>
      <modifiedWord>4.</modifiedWord>
      <trackRevisions>false</trackRevisions>
    </reviewItem>
    <reviewItem>
      <errorID>3f33b7e5-2bd6-4d27-98ce-704757546b46</errorID>
      <errorWord>)</errorWord>
      <group>L1_Format</group>
      <groupName>格式问题</groupName>
      <ability>L2_HalfPunc_CN</ability>
      <abilityName/>
      <candidateList>
        <item>）</item>
      </candidateList>
      <explain>文本全半角错误。</explain>
      <paraID>72871102</paraID>
      <start>16</start>
      <end>17</end>
      <status>ignored</status>
      <modifiedWord/>
      <trackRevisions>false</trackRevisions>
    </reviewItem>
    <reviewItem>
      <errorID>01587268-5055-4620-bf15-33edf5f554cc</errorID>
      <errorWord>100万以下</errorWord>
      <group>L1_Word</group>
      <groupName>字词问题</groupName>
      <ability>L2_Typo</ability>
      <abilityName>字词错误</abilityName>
      <candidateList>
        <item>100万元以下</item>
      </candidateList>
      <explain/>
      <paraID>646D6CE2</paraID>
      <start>9</start>
      <end>16</end>
      <status>modified</status>
      <modifiedWord>100万元以下</modifiedWord>
      <trackRevisions>false</trackRevisions>
    </reviewItem>
    <reviewItem>
      <errorID>2677f384-1699-4c0c-b9b9-b9dc3beeb129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6BA06389</paraID>
      <start>0</start>
      <end>2</end>
      <status>modified</status>
      <modifiedWord>1.</modifiedWord>
      <trackRevisions>false</trackRevisions>
    </reviewItem>
    <reviewItem>
      <errorID>2cbd8c36-2724-485d-b95e-6605f6009344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34B47DED</paraID>
      <start>0</start>
      <end>2</end>
      <status>modified</status>
      <modifiedWord>2.</modifiedWord>
      <trackRevisions>false</trackRevisions>
    </reviewItem>
    <reviewItem>
      <errorID>ed0624eb-d7e0-479e-a041-111ff8c77706</errorID>
      <errorWord>其它</errorWord>
      <group>L1_Word</group>
      <groupName>字词问题</groupName>
      <ability>L2_Alias</ability>
      <abilityName>也作/曾用词</abilityName>
      <candidateList>
        <item>其他</item>
      </candidateList>
      <explain>词汇[其它]为不规范表述或旧称，其规范书面表述为[其他]。</explain>
      <paraID>34B47DED</paraID>
      <start>24</start>
      <end>26</end>
      <status>ignored</status>
      <modifiedWord/>
      <trackRevisions>false</trackRevisions>
    </reviewItem>
    <reviewItem>
      <errorID>00b35df7-0bd4-41aa-b085-a806d4a97926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E0DBE69</paraID>
      <start>0</start>
      <end>2</end>
      <status>modified</status>
      <modifiedWord>3.</modifiedWord>
      <trackRevisions>false</trackRevisions>
    </reviewItem>
    <reviewItem>
      <errorID>32fed4f4-540c-4780-ade9-6b679b48c3cf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5148AAC7</paraID>
      <start>0</start>
      <end>2</end>
      <status>modified</status>
      <modifiedWord>4.</modifiedWord>
      <trackRevisions>false</trackRevisions>
    </reviewItem>
    <reviewItem>
      <errorID>3f2a367c-e9c6-4ea3-98e4-ce9b2b13eac4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15DFEF7B</paraID>
      <start>0</start>
      <end>2</end>
      <status>modified</status>
      <modifiedWord>5.</modifiedWord>
      <trackRevisions>false</trackRevisions>
    </reviewItem>
    <reviewItem>
      <errorID>4921dded-e19d-4f77-805d-f7ec63f7c277</errorID>
      <errorWord>…………</errorWord>
      <group>L1_Punc</group>
      <groupName>标点问题</groupName>
      <ability>L2_Punc_CN</ability>
      <abilityName/>
      <candidateList>
        <item>……</item>
      </candidateList>
      <explain/>
      <paraID>6F57F559</paraID>
      <start>0</start>
      <end>2</end>
      <status>modified</status>
      <modifiedWord>……</modifiedWord>
      <trackRevisions>false</trackRevisions>
    </reviewItem>
    <reviewItem>
      <errorID>37733db9-b7aa-490f-b39f-12f5ee95f54a</errorID>
      <errorWord>…………</errorWord>
      <group>L1_Punc</group>
      <groupName>标点问题</groupName>
      <ability>L2_Punc_CN</ability>
      <abilityName/>
      <candidateList>
        <item>……</item>
      </candidateList>
      <explain/>
      <paraID>448B9934</paraID>
      <start>0</start>
      <end>2</end>
      <status>modified</status>
      <modifiedWord>……</modifiedWord>
      <trackRevisions>false</trackRevisions>
    </reviewItem>
    <reviewItem>
      <errorID>b1fae07d-3b0d-4a78-aadf-fe9bafd7b792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160C7E7F</paraID>
      <start>0</start>
      <end>2</end>
      <status>modified</status>
      <modifiedWord>1.</modifiedWord>
      <trackRevisions>false</trackRevisions>
    </reviewItem>
    <reviewItem>
      <errorID>8e05b01e-41a6-4382-af9d-308abc8d1346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4D4D176E</paraID>
      <start>0</start>
      <end>2</end>
      <status>modified</status>
      <modifiedWord>2.</modifiedWord>
      <trackRevisions>false</trackRevisions>
    </reviewItem>
    <reviewItem>
      <errorID>75849740-3be4-4bdc-a018-e3e18cc10adf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97B3524</paraID>
      <start>0</start>
      <end>2</end>
      <status>modified</status>
      <modifiedWord>3.</modifiedWord>
      <trackRevisions>false</trackRevisions>
    </reviewItem>
    <reviewItem>
      <errorID>0a8db25f-7bf7-4d4d-ad38-56910bd2bf79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75691166</paraID>
      <start>0</start>
      <end>2</end>
      <status>modified</status>
      <modifiedWord>4.</modifiedWord>
      <trackRevisions>false</trackRevisions>
    </reviewItem>
    <reviewItem>
      <errorID>7bbd3bc1-a16f-4da2-913d-8dff75252075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61D7FC35</paraID>
      <start>0</start>
      <end>2</end>
      <status>modified</status>
      <modifiedWord>5.</modifiedWord>
      <trackRevisions>false</trackRevisions>
    </reviewItem>
    <reviewItem>
      <errorID>c57bb7fd-68d8-4903-bdb4-c99a49682f51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1662F64A</paraID>
      <start>0</start>
      <end>2</end>
      <status>modified</status>
      <modifiedWord>6.</modifiedWord>
      <trackRevisions>false</trackRevisions>
    </reviewItem>
    <reviewItem>
      <errorID>1dc5a6c3-2179-4662-812a-de00d7fd0d8e</errorID>
      <errorWord>其它</errorWord>
      <group>L1_Word</group>
      <groupName>字词问题</groupName>
      <ability>L2_Alias</ability>
      <abilityName>也作/曾用词</abilityName>
      <candidateList>
        <item>其他</item>
      </candidateList>
      <explain>词汇[其它]为不规范表述或旧称，其规范书面表述为[其他]。</explain>
      <paraID>1662F64A</paraID>
      <start>26</start>
      <end>28</end>
      <status>ignored</status>
      <modifiedWord/>
      <trackRevisions>false</trackRevisions>
    </reviewItem>
    <reviewItem>
      <errorID>4794c154-e126-4108-a43f-169210516ea9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F75767B</paraID>
      <start>0</start>
      <end>2</end>
      <status>modified</status>
      <modifiedWord>7.</modifiedWord>
      <trackRevisions>false</trackRevisions>
    </reviewItem>
    <reviewItem>
      <errorID>7d76e331-3b51-4fb7-8caa-37cb5ce9bc02</errorID>
      <errorWord>&lt;</errorWord>
      <group>L1_Format</group>
      <groupName>格式问题</groupName>
      <ability>L2_HalfPunc_CN</ability>
      <abilityName/>
      <candidateList>
        <item>〈</item>
      </candidateList>
      <explain>文本全半角错误。</explain>
      <paraID>516F8D13</paraID>
      <start>122</start>
      <end>123</end>
      <status>ignored</status>
      <modifiedWord/>
      <trackRevisions>false</trackRevisions>
    </reviewItem>
    <reviewItem>
      <errorID>3b654c9a-3c7d-40be-908e-17cc6a58c2e4</errorID>
      <errorWord>&gt;的通知》</errorWord>
      <group>L1_Punc</group>
      <groupName>标点问题</groupName>
      <ability>L2_Punc_CN</ability>
      <abilityName/>
      <candidateList>
        <item>〉的通知》</item>
      </candidateList>
      <explain/>
      <paraID>516F8D13</paraID>
      <start>141</start>
      <end>146</end>
      <status>ignored</status>
      <modifiedWord/>
      <trackRevisions>false</trackRevisions>
    </reviewItem>
    <reviewItem>
      <errorID>64e1a13d-21eb-4730-8e92-2b38c2b0f415</errorID>
      <errorWord>&lt;</errorWord>
      <group>L1_Format</group>
      <groupName>格式问题</groupName>
      <ability>L2_HalfPunc_CN</ability>
      <abilityName/>
      <candidateList>
        <item>〈</item>
      </candidateList>
      <explain>文本全半角错误。</explain>
      <paraID>597C9D36</paraID>
      <start>40</start>
      <end>41</end>
      <status>ignored</status>
      <modifiedWord/>
      <trackRevisions>false</trackRevisions>
    </reviewItem>
    <reviewItem>
      <errorID>a69e22dd-aac9-425d-8161-a37d256586d3</errorID>
      <errorWord>&gt;的通知》</errorWord>
      <group>L1_Punc</group>
      <groupName>标点问题</groupName>
      <ability>L2_Punc_CN</ability>
      <abilityName/>
      <candidateList>
        <item>〉的通知》</item>
      </candidateList>
      <explain/>
      <paraID>597C9D36</paraID>
      <start>62</start>
      <end>67</end>
      <status>ignored</status>
      <modifiedWord/>
      <trackRevisions>false</trackRevisions>
    </reviewItem>
    <reviewItem>
      <errorID>368722e6-c614-49b5-86c4-831c766a1c13</errorID>
      <errorWord>（</errorWord>
      <group>L1_Punc</group>
      <groupName>标点问题</groupName>
      <ability>L2_Punc_CN</ability>
      <abilityName/>
      <candidateList/>
      <explain>同一形式括号套用。</explain>
      <paraID> B6048A4</paraID>
      <start>36</start>
      <end>37</end>
      <status>ignored</status>
      <modifiedWord/>
      <trackRevisions>false</trackRevisions>
    </reviewItem>
    <reviewItem>
      <errorID>1e20ed1e-1abc-4da8-853d-5520617b79c3</errorID>
      <errorWord>）</errorWord>
      <group>L1_Punc</group>
      <groupName>标点问题</groupName>
      <ability>L2_Punc_CN</ability>
      <abilityName/>
      <candidateList/>
      <explain>同一形式括号套用。</explain>
      <paraID> B6048A4</paraID>
      <start>45</start>
      <end>46</end>
      <status>ignored</status>
      <modifiedWord/>
      <trackRevisions>false</trackRevisions>
    </reviewItem>
    <reviewItem>
      <errorID>98a0b17f-6e49-4418-8eea-49e944cc7999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15D76601</paraID>
      <start>0</start>
      <end>2</end>
      <status>modified</status>
      <modifiedWord>1.</modifiedWord>
      <trackRevisions>false</trackRevisions>
    </reviewItem>
    <reviewItem>
      <errorID>e37d5efc-f11d-46da-84c3-be0c19f03a73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2E7D9390</paraID>
      <start>0</start>
      <end>2</end>
      <status>modified</status>
      <modifiedWord>2.</modifiedWord>
      <trackRevisions>false</trackRevisions>
    </reviewItem>
    <reviewItem>
      <errorID>32119414-e9c8-4823-a245-f2141ade6740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7854E03D</paraID>
      <start>0</start>
      <end>3</end>
      <status>ignored</status>
      <modifiedWord/>
      <trackRevisions>false</trackRevisions>
    </reviewItem>
    <reviewItem>
      <errorID>31bdc392-4675-4397-9cdc-89e0a753d227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45948407</paraID>
      <start>0</start>
      <end>3</end>
      <status>ignored</status>
      <modifiedWord/>
      <trackRevisions>false</trackRevisions>
    </reviewItem>
    <reviewItem>
      <errorID>a2ab3c14-3cfb-4e48-babb-be290bb84307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217AD712</paraID>
      <start>0</start>
      <end>3</end>
      <status>ignored</status>
      <modifiedWord/>
      <trackRevisions>false</trackRevisions>
    </reviewItem>
    <reviewItem>
      <errorID>8619a0ab-dc44-43e0-8fa5-8b47530e83a1</errorID>
      <errorWord>(</errorWord>
      <group>L1_Format</group>
      <groupName>格式问题</groupName>
      <ability>L2_HalfPunc_CN</ability>
      <abilityName/>
      <candidateList>
        <item>（</item>
      </candidateList>
      <explain>文本全半角错误。</explain>
      <paraID>217AD712</paraID>
      <start>18</start>
      <end>19</end>
      <status>ignored</status>
      <modifiedWord/>
      <trackRevisions>false</trackRevisions>
    </reviewItem>
    <reviewItem>
      <errorID>65b13845-c896-4486-8972-57ac9f64a6a7</errorID>
      <errorWord>)</errorWord>
      <group>L1_Format</group>
      <groupName>格式问题</groupName>
      <ability>L2_HalfPunc_CN</ability>
      <abilityName/>
      <candidateList>
        <item>）</item>
      </candidateList>
      <explain>文本全半角错误。</explain>
      <paraID>217AD712</paraID>
      <start>23</start>
      <end>24</end>
      <status>ignored</status>
      <modifiedWord/>
      <trackRevisions>false</trackRevisions>
    </reviewItem>
    <reviewItem>
      <errorID>34e61386-ca35-47d6-b85a-f68e489ef229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C47C672</paraID>
      <start>0</start>
      <end>3</end>
      <status>ignored</status>
      <modifiedWord/>
      <trackRevisions>false</trackRevisions>
    </reviewItem>
    <reviewItem>
      <errorID>65c0bf5e-280f-4a8a-928e-307cdbe3387d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280314A6</paraID>
      <start>0</start>
      <end>3</end>
      <status>ignored</status>
      <modifiedWord/>
      <trackRevisions>false</trackRevisions>
    </reviewItem>
    <reviewItem>
      <errorID>4bc87537-eb89-4d48-b194-6674f9d03deb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48201973</paraID>
      <start>0</start>
      <end>2</end>
      <status>modified</status>
      <modifiedWord>3.</modifiedWord>
      <trackRevisions>false</trackRevisions>
    </reviewItem>
    <reviewItem>
      <errorID>11acdd4d-6141-452b-8703-9770d29d592a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19382286</paraID>
      <start>0</start>
      <end>2</end>
      <status>modified</status>
      <modifiedWord>4.</modifiedWord>
      <trackRevisions>false</trackRevisions>
    </reviewItem>
    <reviewItem>
      <errorID>06323376-597c-488d-a5c1-4aa615d76bfb</errorID>
      <errorWord>于</errorWord>
      <group>L1_Word</group>
      <groupName>字词问题</groupName>
      <ability>L2_Typo</ability>
      <abilityName>字词错误</abilityName>
      <candidateList>
        <item>于以</item>
      </candidateList>
      <explain/>
      <paraID>6D51034E</paraID>
      <start>33</start>
      <end>34</end>
      <status>ignored</status>
      <modifiedWord/>
      <trackRevisions>false</trackRevisions>
    </reviewItem>
    <reviewItem>
      <errorID>1cbf3740-2b9c-420f-b869-0c3d033938de</errorID>
      <errorWord>（</errorWord>
      <group>L1_Punc</group>
      <groupName>标点问题</groupName>
      <ability>L2_Punc_CN</ability>
      <abilityName/>
      <candidateList/>
      <explain>同一形式括号套用。</explain>
      <paraID>7F1AF0AD</paraID>
      <start>59</start>
      <end>60</end>
      <status>ignored</status>
      <modifiedWord/>
      <trackRevisions>false</trackRevisions>
    </reviewItem>
    <reviewItem>
      <errorID>68d30c5b-01a0-4a91-ad46-2a30b5915f48</errorID>
      <errorWord>）</errorWord>
      <group>L1_Punc</group>
      <groupName>标点问题</groupName>
      <ability>L2_Punc_CN</ability>
      <abilityName/>
      <candidateList/>
      <explain>同一形式括号套用。</explain>
      <paraID>7F1AF0AD</paraID>
      <start>64</start>
      <end>65</end>
      <status>ignored</status>
      <modifiedWord/>
      <trackRevisions>false</trackRevisions>
    </reviewItem>
    <reviewItem>
      <errorID>f74fa7e1-f9dd-461e-ba30-0c2d24130fbb</errorID>
      <errorWord>，</errorWord>
      <group>L1_Word</group>
      <groupName>字词问题</groupName>
      <ability>L2_Typo</ability>
      <abilityName>字词错误</abilityName>
      <candidateList>
        <item>，在</item>
      </candidateList>
      <explain/>
      <paraID>7F1AF0AD</paraID>
      <start>92</start>
      <end>93</end>
      <status>ignored</status>
      <modifiedWord/>
      <trackRevisions>false</trackRevisions>
    </reviewItem>
    <reviewItem>
      <errorID>bc1f9e0e-33b9-4432-8f3b-83ebb5bcc4dd</errorID>
      <errorWord>于</errorWord>
      <group>L1_Word</group>
      <groupName>字词问题</groupName>
      <ability>L2_Typo</ability>
      <abilityName>字词错误</abilityName>
      <candidateList>
        <item>于以</item>
      </candidateList>
      <explain/>
      <paraID>7F1AF0AD</paraID>
      <start>115</start>
      <end>116</end>
      <status>ignored</status>
      <modifiedWord/>
      <trackRevisions>false</trackRevisions>
    </reviewItem>
    <reviewItem>
      <errorID>a7e868d2-7ea5-492c-b13a-2df4fac860c3</errorID>
      <errorWord>于</errorWord>
      <group>L1_Word</group>
      <groupName>字词问题</groupName>
      <ability>L2_Typo</ability>
      <abilityName>字词错误</abilityName>
      <candidateList>
        <item>于以</item>
      </candidateList>
      <explain/>
      <paraID>6E322EBD</paraID>
      <start>118</start>
      <end>119</end>
      <status>ignored</status>
      <modifiedWord/>
      <trackRevisions>false</trackRevisions>
    </reviewItem>
    <reviewItem>
      <errorID>1b3fd8c4-9bc7-408a-8db6-38c107ed1b90</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4ABBF75B</paraID>
      <start>14</start>
      <end>16</end>
      <status>modified</status>
      <modifiedWord>”“</modifiedWord>
      <trackRevisions>false</trackRevisions>
    </reviewItem>
    <reviewItem>
      <errorID>50ddad44-ba90-4a02-b2ef-edac6217195e</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4ABBF75B</paraID>
      <start>20</start>
      <end>22</end>
      <status>modified</status>
      <modifiedWord>”“</modifiedWord>
      <trackRevisions>false</trackRevisions>
    </reviewItem>
    <reviewItem>
      <errorID>797e3198-187d-4135-8106-1da7216abf44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6D7C28A</paraID>
      <start>0</start>
      <end>2</end>
      <status>modified</status>
      <modifiedWord>5.</modifiedWord>
      <trackRevisions>false</trackRevisions>
    </reviewItem>
    <reviewItem>
      <errorID>fcbe4c48-e0c0-49e9-b3a8-89fb390f5c98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2D131300</paraID>
      <start>0</start>
      <end>2</end>
      <status>modified</status>
      <modifiedWord>6.</modifiedWord>
      <trackRevisions>false</trackRevisions>
    </reviewItem>
    <reviewItem>
      <errorID>7b69d174-5b09-4172-822c-70c279ad39ec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5383A563</paraID>
      <start>0</start>
      <end>2</end>
      <status>modified</status>
      <modifiedWord>7.</modifiedWord>
      <trackRevisions>false</trackRevisions>
    </reviewItem>
    <reviewItem>
      <errorID>c4a09d60-67f0-409b-9291-cc40034a096f</errorID>
      <errorWord>《政府采购法》</errorWord>
      <group>L1_Word</group>
      <groupName>字词问题</groupName>
      <ability>L2_Typo</ability>
      <abilityName>字词错误</abilityName>
      <candidateList>
        <item>《中华人民共和国政府采购法》</item>
      </candidateList>
      <explain/>
      <paraID>560E4AD3</paraID>
      <start>194</start>
      <end>201</end>
      <status>ignored</status>
      <modifiedWord/>
      <trackRevisions>false</trackRevisions>
    </reviewItem>
    <reviewItem>
      <errorID>5b2c0594-1f4b-4443-9ff7-3e46b53f8771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61417FCA</paraID>
      <start>0</start>
      <end>2</end>
      <status>modified</status>
      <modifiedWord>2.</modifiedWord>
      <trackRevisions>false</trackRevisions>
    </reviewItem>
    <reviewItem>
      <errorID>63f284c5-5c8f-4270-8c7e-a000e2c107ee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11B6B8EF</paraID>
      <start>0</start>
      <end>2</end>
      <status>modified</status>
      <modifiedWord>3.</modifiedWord>
      <trackRevisions>false</trackRevisions>
    </reviewItem>
    <reviewItem>
      <errorID>e5d3ccd4-5845-4f1a-82f1-b499634be1c7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57DFCCDB</paraID>
      <start>0</start>
      <end>2</end>
      <status>modified</status>
      <modifiedWord>1.</modifiedWord>
      <trackRevisions>false</trackRevisions>
    </reviewItem>
    <reviewItem>
      <errorID>2426dbd5-56cb-4f67-b490-d1bb57c86a27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3CA15A0B</paraID>
      <start>0</start>
      <end>2</end>
      <status>modified</status>
      <modifiedWord>2.</modifiedWord>
      <trackRevisions>false</trackRevisions>
    </reviewItem>
    <reviewItem>
      <errorID>4b83738a-ba06-4f63-b969-2346f4974e2e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23143333</paraID>
      <start>0</start>
      <end>3</end>
      <status>ignored</status>
      <modifiedWord/>
      <trackRevisions>false</trackRevisions>
    </reviewItem>
    <reviewItem>
      <errorID>8bee1829-75e4-4e9f-889a-d5ad93e336ad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5B2FDC6</paraID>
      <start>0</start>
      <end>3</end>
      <status>ignored</status>
      <modifiedWord/>
      <trackRevisions>false</trackRevisions>
    </reviewItem>
    <reviewItem>
      <errorID>3445c445-4a74-4737-af00-df92edde1ecb</errorID>
      <errorWord>&lt;</errorWord>
      <group>L1_Format</group>
      <groupName>格式问题</groupName>
      <ability>L2_HalfPunc_CN</ability>
      <abilityName/>
      <candidateList>
        <item>〈</item>
      </candidateList>
      <explain>文本全半角错误。</explain>
      <paraID> 5B2FDC6</paraID>
      <start>10</start>
      <end>11</end>
      <status>ignored</status>
      <modifiedWord/>
      <trackRevisions>false</trackRevisions>
    </reviewItem>
    <reviewItem>
      <errorID>e70eebcd-122d-4ca0-897e-3bae283553df</errorID>
      <errorWord>&gt;</errorWord>
      <group>L1_Format</group>
      <groupName>格式问题</groupName>
      <ability>L2_HalfPunc_CN</ability>
      <abilityName/>
      <candidateList>
        <item>〉</item>
      </candidateList>
      <explain>文本全半角错误。</explain>
      <paraID> 5B2FDC6</paraID>
      <start>41</start>
      <end>42</end>
      <status>ignored</status>
      <modifiedWord/>
      <trackRevisions>false</trackRevisions>
    </reviewItem>
    <reviewItem>
      <errorID>885ebbd9-0483-4eaa-ac8a-76cbd57c9a0b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19EF8008</paraID>
      <start>0</start>
      <end>2</end>
      <status>modified</status>
      <modifiedWord>3.</modifiedWord>
      <trackRevisions>false</trackRevisions>
    </reviewItem>
    <reviewItem>
      <errorID>470f9f4a-73d0-4287-b015-90ba9fe8a5ea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6E25966D</paraID>
      <start>0</start>
      <end>2</end>
      <status>modified</status>
      <modifiedWord>4.</modifiedWord>
      <trackRevisions>false</trackRevisions>
    </reviewItem>
    <reviewItem>
      <errorID>6d838fc9-7787-4d08-9ab3-dabbe1fa9dfa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4629D7D6</paraID>
      <start>0</start>
      <end>2</end>
      <status>modified</status>
      <modifiedWord>5.</modifiedWord>
      <trackRevisions>false</trackRevisions>
    </reviewItem>
    <reviewItem>
      <errorID>c884dd20-4ac6-48c3-80c3-ce047c28382a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4FC5C10E</paraID>
      <start>0</start>
      <end>2</end>
      <status>modified</status>
      <modifiedWord>6.</modifiedWord>
      <trackRevisions>false</trackRevisions>
    </reviewItem>
    <reviewItem>
      <errorID>d5852f8e-8d63-428a-9520-fe2128b25fbd</errorID>
      <errorWord>股东大会</errorWord>
      <group>L1_Word</group>
      <groupName>字词问题</groupName>
      <ability>L2_Typo</ability>
      <abilityName>字词错误</abilityName>
      <candidateList>
        <item>股东会</item>
      </candidateList>
      <explain/>
      <paraID> D29C673</paraID>
      <start>102</start>
      <end>106</end>
      <status>ignored</status>
      <modifiedWord/>
      <trackRevisions>false</trackRevisions>
    </reviewItem>
    <reviewItem>
      <errorID>f1dcc3e4-654b-4099-a757-4dc967286a6b</errorID>
      <errorWord>*</errorWord>
      <group>L1_Punc</group>
      <groupName>标点问题</groupName>
      <ability>L2_Punc_CN</ability>
      <abilityName/>
      <candidateList/>
      <explain/>
      <paraID>674045B6</paraID>
      <start>0</start>
      <end>1</end>
      <status>ignored</status>
      <modifiedWord/>
      <trackRevisions>false</trackRevisions>
    </reviewItem>
    <reviewItem>
      <errorID>e6c39b07-37d4-4f5a-901f-cd52d4fdad81</errorID>
      <errorWord>*</errorWord>
      <group>L1_Punc</group>
      <groupName>标点问题</groupName>
      <ability>L2_Punc_CN</ability>
      <abilityName/>
      <candidateList/>
      <explain/>
      <paraID>45D07F8D</paraID>
      <start>0</start>
      <end>1</end>
      <status>ignored</status>
      <modifiedWord/>
      <trackRevisions>false</trackRevisions>
    </reviewItem>
    <reviewItem>
      <errorID>162247cf-5621-41c1-bde7-d1d4682ecb73</errorID>
      <errorWord>*</errorWord>
      <group>L1_Punc</group>
      <groupName>标点问题</groupName>
      <ability>L2_Punc_CN</ability>
      <abilityName/>
      <candidateList/>
      <explain/>
      <paraID>250DD45B</paraID>
      <start>0</start>
      <end>1</end>
      <status>ignored</status>
      <modifiedWord/>
      <trackRevisions>false</trackRevisions>
    </reviewItem>
    <reviewItem>
      <errorID>7bcf2aae-0e78-451d-967c-169e50c39d65</errorID>
      <errorWord>(</errorWord>
      <group>L1_Format</group>
      <groupName>格式问题</groupName>
      <ability>L2_HalfPunc_CN</ability>
      <abilityName/>
      <candidateList>
        <item>（</item>
      </candidateList>
      <explain>文本全半角错误。</explain>
      <paraID>1900A4C6</paraID>
      <start>2</start>
      <end>3</end>
      <status>ignored</status>
      <modifiedWord/>
      <trackRevisions>false</trackRevisions>
    </reviewItem>
    <reviewItem>
      <errorID>7e1c7bed-f47b-4c12-bfc6-55ce7196fe7b</errorID>
      <errorWord>)</errorWord>
      <group>L1_Format</group>
      <groupName>格式问题</groupName>
      <ability>L2_HalfPunc_CN</ability>
      <abilityName/>
      <candidateList>
        <item>）</item>
      </candidateList>
      <explain>文本全半角错误。</explain>
      <paraID>1900A4C6</paraID>
      <start>4</start>
      <end>5</end>
      <status>ignored</status>
      <modifiedWord/>
      <trackRevisions>false</trackRevisions>
    </reviewItem>
    <reviewItem>
      <errorID>7a4417e8-6415-425f-b5c9-95a4b05214c0</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6EB2BF60</paraID>
      <start>17</start>
      <end>19</end>
      <status>modified</status>
      <modifiedWord>”“</modifiedWord>
      <trackRevisions>false</trackRevisions>
    </reviewItem>
    <reviewItem>
      <errorID>2fd17580-fea6-49f2-8917-d804f336cf77</errorID>
      <errorWord>,</errorWord>
      <group>L1_Format</group>
      <groupName>格式问题</groupName>
      <ability>L2_HalfPunc_CN</ability>
      <abilityName/>
      <candidateList>
        <item>，</item>
      </candidateList>
      <explain>文本全半角错误。</explain>
      <paraID>10BE42A1</paraID>
      <start>28</start>
      <end>29</end>
      <status>modified</status>
      <modifiedWord>，</modifiedWord>
      <trackRevisions>false</trackRevisions>
    </reviewItem>
    <reviewItem>
      <errorID>39157405-9d8e-4130-ac48-7b5ae0466533</errorID>
      <errorWord>法律、法规</errorWord>
      <group>L1_Word</group>
      <groupName>字词问题</groupName>
      <ability>L2_Typo</ability>
      <abilityName>字词错误</abilityName>
      <candidateList>
        <item>法律法规</item>
      </candidateList>
      <explain/>
      <paraID>74D359A7</paraID>
      <start>9</start>
      <end>14</end>
      <status>ignored</status>
      <modifiedWord/>
      <trackRevisions>false</trackRevisions>
    </reviewItem>
    <reviewItem>
      <errorID>3d649575-b830-4cb1-a49d-39a55bc2efe8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5E19A3C2</paraID>
      <start>0</start>
      <end>2</end>
      <status>modified</status>
      <modifiedWord>1.</modifiedWord>
      <trackRevisions>false</trackRevisions>
    </reviewItem>
    <reviewItem>
      <errorID>a66b55fb-4ba9-4525-bfdc-a3c3902a9621</errorID>
      <errorWord>(</errorWord>
      <group>L1_Format</group>
      <groupName>格式问题</groupName>
      <ability>L2_HalfPunc_CN</ability>
      <abilityName/>
      <candidateList>
        <item>（</item>
      </candidateList>
      <explain>文本全半角错误。</explain>
      <paraID>4E4C4561</paraID>
      <start>217</start>
      <end>218</end>
      <status>ignored</status>
      <modifiedWord/>
      <trackRevisions>false</trackRevisions>
    </reviewItem>
    <reviewItem>
      <errorID>af89a5a1-6063-4938-9465-1a45bee9c072</errorID>
      <errorWord>/)</errorWord>
      <group>L1_Punc</group>
      <groupName>标点问题</groupName>
      <ability>L2_Punc_CN</ability>
      <abilityName/>
      <candidateList>
        <item>)</item>
      </candidateList>
      <explain/>
      <paraID>4E4C4561</paraID>
      <start>265</start>
      <end>267</end>
      <status>ignored</status>
      <modifiedWord/>
      <trackRevisions>false</trackRevisions>
    </reviewItem>
    <reviewItem>
      <errorID>31701403-ecae-429f-be6d-a61a7308176c</errorID>
      <errorWord>/）</errorWord>
      <group>L1_Punc</group>
      <groupName>标点问题</groupName>
      <ability>L2_Punc_CN</ability>
      <abilityName/>
      <candidateList>
        <item>）</item>
      </candidateList>
      <explain/>
      <paraID>4E4C4561</paraID>
      <start>308</start>
      <end>310</end>
      <status>ignored</status>
      <modifiedWord/>
      <trackRevisions>false</trackRevisions>
    </reviewItem>
    <reviewItem>
      <errorID>d57025d8-8eb1-4c2c-b4e2-e85535bd4d06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15B94A4D</paraID>
      <start>0</start>
      <end>2</end>
      <status>modified</status>
      <modifiedWord>2.</modifiedWord>
      <trackRevisions>false</trackRevisions>
    </reviewItem>
    <reviewItem>
      <errorID>72f8db5f-d7a4-44f5-a0a9-ec3a6c168596</errorID>
      <errorWord>》</errorWord>
      <group>L1_Punc</group>
      <groupName>标点问题</groupName>
      <ability>L2_Punc_CN</ability>
      <abilityName/>
      <candidateList/>
      <explain>此处标点可能未正确匹配，请检查句子中是否存在标点冗余、缺失或使用错误的情况。</explain>
      <paraID>7FBF444D</paraID>
      <start>71</start>
      <end>72</end>
      <status>ignored</status>
      <modifiedWord/>
      <trackRevisions>false</trackRevisions>
    </reviewItem>
    <reviewItem>
      <errorID>6aff82f5-2138-4f25-900d-7f2f17282b8a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78FA9B8</paraID>
      <start>0</start>
      <end>2</end>
      <status>modified</status>
      <modifiedWord>1.</modifiedWord>
      <trackRevisions>false</trackRevisions>
    </reviewItem>
    <reviewItem>
      <errorID>b6441406-81c7-4bbb-8151-d7f6f2b0c855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59E30437</paraID>
      <start>0</start>
      <end>2</end>
      <status>modified</status>
      <modifiedWord>2.</modifiedWord>
      <trackRevisions>false</trackRevisions>
    </reviewItem>
    <reviewItem>
      <errorID>11c36114-6c2a-4d25-b225-14f69111e468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7E9451EC</paraID>
      <start>0</start>
      <end>2</end>
      <status>modified</status>
      <modifiedWord>3.</modifiedWord>
      <trackRevisions>false</trackRevisions>
    </reviewItem>
    <reviewItem>
      <errorID>0a7518f9-c9a4-469a-b504-56172dcb24d6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5B804046</paraID>
      <start>0</start>
      <end>2</end>
      <status>modified</status>
      <modifiedWord>1.</modifiedWord>
      <trackRevisions>false</trackRevisions>
    </reviewItem>
    <reviewItem>
      <errorID>e0dde634-84b4-4e29-93e0-ce571abf86ee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29CE687E</paraID>
      <start>0</start>
      <end>2</end>
      <status>modified</status>
      <modifiedWord>2.</modifiedWord>
      <trackRevisions>false</trackRevisions>
    </reviewItem>
    <reviewItem>
      <errorID>431c2a9f-6b50-4d59-8f23-d60e298ac9f6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66DF6A64</paraID>
      <start>0</start>
      <end>2</end>
      <status>modified</status>
      <modifiedWord>3.</modifiedWord>
      <trackRevisions>false</trackRevisions>
    </reviewItem>
    <reviewItem>
      <errorID>032c5cef-f455-454b-aa8d-291ce4f9d248</errorID>
      <errorWord>１</errorWord>
      <group>L1_Format</group>
      <groupName>格式问题</groupName>
      <ability>L2_HalfPunc_CN</ability>
      <abilityName/>
      <candidateList>
        <item>1</item>
      </candidateList>
      <explain>文本全半角错误。</explain>
      <paraID>1FF23F81</paraID>
      <start>0</start>
      <end>1</end>
      <status>modified</status>
      <modifiedWord>1</modifiedWord>
      <trackRevisions>false</trackRevisions>
    </reviewItem>
    <reviewItem>
      <errorID>d9868d04-813c-4418-bc8d-e24c7f9dce5b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3148688</paraID>
      <start>0</start>
      <end>2</end>
      <status>modified</status>
      <modifiedWord>3.</modifiedWord>
      <trackRevisions>false</trackRevisions>
    </reviewItem>
    <reviewItem>
      <errorID>5c241f45-1172-4c38-8182-7a8fae7abfe1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1A0554C7</paraID>
      <start>0</start>
      <end>2</end>
      <status>modified</status>
      <modifiedWord>4.</modifiedWord>
      <trackRevisions>false</trackRevisions>
    </reviewItem>
    <reviewItem>
      <errorID>c154d18f-3e3a-4bfa-adca-7d2bae246155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63D3EDD4</paraID>
      <start>0</start>
      <end>2</end>
      <status>modified</status>
      <modifiedWord>1.</modifiedWord>
      <trackRevisions>false</trackRevisions>
    </reviewItem>
    <reviewItem>
      <errorID>72891022-e4b7-4d48-8ae7-842d1300b0b0</errorID>
      <errorWord>相关的</errorWord>
      <group>L1_Word</group>
      <groupName>字词问题</groupName>
      <ability>L2_Typo</ability>
      <abilityName>字词错误</abilityName>
      <candidateList>
        <item>相关</item>
      </candidateList>
      <explain>〈动〉彼此关连：休戚～｜体育事业和人民健康密切～。</explain>
      <paraID>63D3EDD4</paraID>
      <start>16</start>
      <end>18</end>
      <status>modified</status>
      <modifiedWord>相关</modifiedWord>
      <trackRevisions>false</trackRevisions>
    </reviewItem>
    <reviewItem>
      <errorID>6ceb0d23-d66d-47a0-8dc0-1fa9ae823d73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3FDC35B1</paraID>
      <start>0</start>
      <end>2</end>
      <status>modified</status>
      <modifiedWord>2.</modifiedWord>
      <trackRevisions>false</trackRevisions>
    </reviewItem>
    <reviewItem>
      <errorID>5a4414fa-3404-4cb4-93e7-e11922eeb2a4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6F821DA2</paraID>
      <start>0</start>
      <end>2</end>
      <status>modified</status>
      <modifiedWord>3.</modifiedWord>
      <trackRevisions>false</trackRevisions>
    </reviewItem>
    <reviewItem>
      <errorID>2e162025-c507-4907-855c-3ff5ae243e9c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2BD0F2C4</paraID>
      <start>0</start>
      <end>2</end>
      <status>modified</status>
      <modifiedWord>1.</modifiedWord>
      <trackRevisions>false</trackRevisions>
    </reviewItem>
    <reviewItem>
      <errorID>c92d9248-03cc-43bb-ba4b-787df1a3b262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433096A8</paraID>
      <start>0</start>
      <end>2</end>
      <status>modified</status>
      <modifiedWord>2.</modifiedWord>
      <trackRevisions>false</trackRevisions>
    </reviewItem>
    <reviewItem>
      <errorID>98c2e0d8-62af-46b0-813b-4834444aa377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1A6C26FC</paraID>
      <start>0</start>
      <end>2</end>
      <status>modified</status>
      <modifiedWord>3.</modifiedWord>
      <trackRevisions>false</trackRevisions>
    </reviewItem>
    <reviewItem>
      <errorID>a46b6109-7a38-47ae-a860-6ebc49252024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41763B9D</paraID>
      <start>0</start>
      <end>2</end>
      <status>modified</status>
      <modifiedWord>1.</modifiedWord>
      <trackRevisions>false</trackRevisions>
    </reviewItem>
    <reviewItem>
      <errorID>f98d58d6-8cb3-4ce8-a253-40fa694dd527</errorID>
      <errorWord>违约责任，赔偿</errorWord>
      <group>L1_Word</group>
      <groupName>字词问题</groupName>
      <ability>L2_Typo</ability>
      <abilityName>字词错误</abilityName>
      <candidateList>
        <item>违约责任，并赔偿</item>
      </candidateList>
      <explain/>
      <paraID>41763B9D</paraID>
      <start>24</start>
      <end>31</end>
      <status>ignored</status>
      <modifiedWord/>
      <trackRevisions>false</trackRevisions>
    </reviewItem>
    <reviewItem>
      <errorID>d096a439-6c74-4430-bdd9-00bb64b9dfab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4C6522C1</paraID>
      <start>0</start>
      <end>2</end>
      <status>modified</status>
      <modifiedWord>2.</modifiedWord>
      <trackRevisions>false</trackRevisions>
    </reviewItem>
    <reviewItem>
      <errorID>31e79c87-5290-40a9-97d8-49e28fc5357f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B018790</paraID>
      <start>0</start>
      <end>2</end>
      <status>modified</status>
      <modifiedWord>1.</modifiedWord>
      <trackRevisions>false</trackRevisions>
    </reviewItem>
    <reviewItem>
      <errorID>ea3153b2-bb0e-42e7-b3cd-9f44108c35f7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7F4981A3</paraID>
      <start>0</start>
      <end>2</end>
      <status>modified</status>
      <modifiedWord>2.</modifiedWord>
      <trackRevisions>false</trackRevisions>
    </reviewItem>
    <reviewItem>
      <errorID>ce83c950-a885-4adb-b4ac-e4356e760bf1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2F1D1A96</paraID>
      <start>0</start>
      <end>2</end>
      <status>modified</status>
      <modifiedWord>3.</modifiedWord>
      <trackRevisions>false</trackRevisions>
    </reviewItem>
    <reviewItem>
      <errorID>1831d085-f317-40fa-b35d-08c57c5b97ca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100149CD</paraID>
      <start>0</start>
      <end>2</end>
      <status>modified</status>
      <modifiedWord>4.</modifiedWord>
      <trackRevisions>false</trackRevisions>
    </reviewItem>
    <reviewItem>
      <errorID>7a9eb300-988c-47f1-9f08-8a4576a80ed9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2557E209</paraID>
      <start>0</start>
      <end>2</end>
      <status>modified</status>
      <modifiedWord>1.</modifiedWord>
      <trackRevisions>false</trackRevisions>
    </reviewItem>
    <reviewItem>
      <errorID>020e1cab-f90f-44f0-8e4d-48b1c769b845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1508600B</paraID>
      <start>0</start>
      <end>2</end>
      <status>modified</status>
      <modifiedWord>2.</modifiedWord>
      <trackRevisions>false</trackRevisions>
    </reviewItem>
    <reviewItem>
      <errorID>e49aec79-97be-4109-85d6-5bda885e4207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1B6679DD</paraID>
      <start>0</start>
      <end>2</end>
      <status>modified</status>
      <modifiedWord>3.</modifiedWord>
      <trackRevisions>false</trackRevisions>
    </reviewItem>
    <reviewItem>
      <errorID>c51e71e4-1a72-4d47-aa50-92cb991e0736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58BFB2C1</paraID>
      <start>0</start>
      <end>2</end>
      <status>modified</status>
      <modifiedWord>1.</modifiedWord>
      <trackRevisions>false</trackRevisions>
    </reviewItem>
    <reviewItem>
      <errorID>b4ba0a71-5719-457d-b743-ec7cad1ca3cd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3B3BEC8F</paraID>
      <start>0</start>
      <end>2</end>
      <status>modified</status>
      <modifiedWord>2.</modifiedWord>
      <trackRevisions>false</trackRevisions>
    </reviewItem>
    <reviewItem>
      <errorID>d12fa129-0854-41a7-bc71-ac2c946d12e8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1770A47B</paraID>
      <start>0</start>
      <end>2</end>
      <status>modified</status>
      <modifiedWord>1.</modifiedWord>
      <trackRevisions>false</trackRevisions>
    </reviewItem>
    <reviewItem>
      <errorID>68806b9e-23e0-445b-973f-35f8cfb00b82</errorID>
      <errorWord>不得泄漏给除甲方或其</errorWord>
      <group>L1_Word</group>
      <groupName>字词问题</groupName>
      <ability>L2_Alias</ability>
      <abilityName>也作/曾用词</abilityName>
      <candidateList>
        <item>不得泄露给除甲方或其</item>
      </candidateList>
      <explain>词汇[不得泄漏给除甲方或其]为不规范表述或旧称，其规范书面表述为[不得泄露给除甲方或其]。</explain>
      <paraID>1770A47B</paraID>
      <start>59</start>
      <end>69</end>
      <status>modified</status>
      <modifiedWord>不得泄露给除甲方或其</modifiedWord>
      <trackRevisions>false</trackRevisions>
    </reviewItem>
    <reviewItem>
      <errorID>dfcebe19-097f-476e-9839-c73118fa813a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5FBADE2B</paraID>
      <start>0</start>
      <end>2</end>
      <status>modified</status>
      <modifiedWord>2.</modifiedWord>
      <trackRevisions>false</trackRevisions>
    </reviewItem>
    <reviewItem>
      <errorID>332019a5-ccf0-4a02-94c5-158b73cb6aa5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81B16D2</paraID>
      <start>0</start>
      <end>2</end>
      <status>modified</status>
      <modifiedWord>3.</modifiedWord>
      <trackRevisions>false</trackRevisions>
    </reviewItem>
    <reviewItem>
      <errorID>b0e38845-4afb-4f43-b2a8-c39ffc454f19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6C9C5CC</paraID>
      <start>0</start>
      <end>2</end>
      <status>modified</status>
      <modifiedWord>4.</modifiedWord>
      <trackRevisions>false</trackRevisions>
    </reviewItem>
    <reviewItem>
      <errorID>8df599fe-472b-4a72-981e-99f1f841ed6d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5420099E</paraID>
      <start>0</start>
      <end>2</end>
      <status>modified</status>
      <modifiedWord>1.</modifiedWord>
      <trackRevisions>false</trackRevisions>
    </reviewItem>
    <reviewItem>
      <errorID>1c65d498-64cd-4db5-a70a-0421927d4880</errorID>
      <errorWord>:</errorWord>
      <group>L1_Format</group>
      <groupName>格式问题</groupName>
      <ability>L2_HalfPunc_CN</ability>
      <abilityName/>
      <candidateList>
        <item>：</item>
      </candidateList>
      <explain>文本全半角错误。</explain>
      <paraID>5420099E</paraID>
      <start>25</start>
      <end>26</end>
      <status>modified</status>
      <modifiedWord>：</modifiedWord>
      <trackRevisions>false</trackRevisions>
    </reviewItem>
    <reviewItem>
      <errorID>270f413d-422e-451e-9900-2fc6ce17fec3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17E903BD</paraID>
      <start>0</start>
      <end>2</end>
      <status>modified</status>
      <modifiedWord>2.</modifiedWord>
      <trackRevisions>false</trackRevisions>
    </reviewItem>
    <reviewItem>
      <errorID>55d93fe5-32f9-46ff-871e-de84637a0453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7BF4B3C9</paraID>
      <start>0</start>
      <end>2</end>
      <status>modified</status>
      <modifiedWord>3.</modifiedWord>
      <trackRevisions>false</trackRevisions>
    </reviewItem>
    <reviewItem>
      <errorID>0c37ded1-962a-4e0b-ac61-4496f916438c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2B673CEA</paraID>
      <start>0</start>
      <end>2</end>
      <status>modified</status>
      <modifiedWord>1.</modifiedWord>
      <trackRevisions>false</trackRevisions>
    </reviewItem>
    <reviewItem>
      <errorID>65c39441-c46c-4771-90c4-b053c3574d77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222EB28F</paraID>
      <start>0</start>
      <end>2</end>
      <status>modified</status>
      <modifiedWord>2.</modifiedWord>
      <trackRevisions>false</trackRevisions>
    </reviewItem>
    <reviewItem>
      <errorID>2c586cf5-261d-4516-afc0-3c24d8a1700d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13E810BB</paraID>
      <start>0</start>
      <end>2</end>
      <status>modified</status>
      <modifiedWord>3.</modifiedWord>
      <trackRevisions>false</trackRevisions>
    </reviewItem>
    <reviewItem>
      <errorID>d9bf3962-46c2-41c9-af8e-d74c637c407e</errorID>
      <errorWord>人民法院诉讼解决</errorWord>
      <group>L1_Knowledge</group>
      <groupName>知识性问题</groupName>
      <ability>L2_Knowledge</ability>
      <abilityName>其他知识</abilityName>
      <candidateList>
        <item>人民法院提起诉讼</item>
      </candidateList>
      <explain/>
      <paraID>398222A8</paraID>
      <start>36</start>
      <end>44</end>
      <status>ignored</status>
      <modifiedWord/>
      <trackRevisions>false</trackRevisions>
    </reviewItem>
    <reviewItem>
      <errorID>1c252d1c-f9a5-499d-a6e7-ac1a13515e15</errorID>
      <errorWord>１</errorWord>
      <group>L1_Format</group>
      <groupName>格式问题</groupName>
      <ability>L2_HalfPunc_CN</ability>
      <abilityName/>
      <candidateList>
        <item>1</item>
      </candidateList>
      <explain>文本全半角错误。</explain>
      <paraID>4989E138</paraID>
      <start>0</start>
      <end>1</end>
      <status>modified</status>
      <modifiedWord>1</modifiedWord>
      <trackRevisions>false</trackRevisions>
    </reviewItem>
    <reviewItem>
      <errorID>f652383b-3911-4947-974b-67b44b9cca2a</errorID>
      <errorWord>完全地</errorWord>
      <group>L1_Word</group>
      <groupName>字词问题</groupName>
      <ability>L2_Typo</ability>
      <abilityName>字词错误</abilityName>
      <candidateList>
        <item>完全</item>
      </candidateList>
      <explain/>
      <paraID>4989E138</paraID>
      <start>5</start>
      <end>7</end>
      <status>modified</status>
      <modifiedWord>完全</modifiedWord>
      <trackRevisions>false</trackRevisions>
    </reviewItem>
    <reviewItem>
      <errorID>e6e0979e-4ccb-44b0-a7e6-97d54c11d0e6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14C8A2F6</paraID>
      <start>0</start>
      <end>2</end>
      <status>modified</status>
      <modifiedWord>2.</modifiedWord>
      <trackRevisions>false</trackRevisions>
    </reviewItem>
    <reviewItem>
      <errorID>b7a0ad8a-7237-4f87-b50c-3af7226c55f1</errorID>
      <errorWord>１</errorWord>
      <group>L1_Format</group>
      <groupName>格式问题</groupName>
      <ability>L2_HalfPunc_CN</ability>
      <abilityName/>
      <candidateList>
        <item>1</item>
      </candidateList>
      <explain>文本全半角错误。</explain>
      <paraID>4BB303C2</paraID>
      <start>0</start>
      <end>1</end>
      <status>modified</status>
      <modifiedWord>1</modifiedWord>
      <trackRevisions>false</trackRevisions>
    </reviewItem>
    <reviewItem>
      <errorID>d84477e3-71c9-4cd5-a0a4-3d6a51366210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79CEC643</paraID>
      <start>0</start>
      <end>2</end>
      <status>modified</status>
      <modifiedWord>2.</modifiedWord>
      <trackRevisions>false</trackRevisions>
    </reviewItem>
    <reviewItem>
      <errorID>9b952664-fe31-47b9-8956-9533c2001d45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2DD26D6E</paraID>
      <start>0</start>
      <end>2</end>
      <status>modified</status>
      <modifiedWord>3.</modifiedWord>
      <trackRevisions>false</trackRevisions>
    </reviewItem>
    <reviewItem>
      <errorID>f56c63e6-bcce-4247-baf0-540d9cd1df63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323F8D9B</paraID>
      <start>0</start>
      <end>2</end>
      <status>modified</status>
      <modifiedWord>4.</modifiedWord>
      <trackRevisions>false</trackRevisions>
    </reviewItem>
    <reviewItem>
      <errorID>f04ddf8e-10db-489a-90c2-523bdc800fc8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7866D77A</paraID>
      <start>0</start>
      <end>2</end>
      <status>modified</status>
      <modifiedWord>5.</modifiedWord>
      <trackRevisions>false</trackRevisions>
    </reviewItem>
    <reviewItem>
      <errorID>0cebcf22-3143-4513-88cb-75e3631839d5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17CE549B</paraID>
      <start>0</start>
      <end>2</end>
      <status>modified</status>
      <modifiedWord>6.</modifiedWord>
      <trackRevisions>false</trackRevisions>
    </reviewItem>
    <reviewItem>
      <errorID>cfb1e2e6-c6e1-4576-aa22-ac709c7f2a2a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68F000B</paraID>
      <start>0</start>
      <end>2</end>
      <status>modified</status>
      <modifiedWord>1.</modifiedWord>
      <trackRevisions>false</trackRevisions>
    </reviewItem>
    <reviewItem>
      <errorID>a2608682-7b18-42a7-b23c-53fd4200749c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31EB0C79</paraID>
      <start>0</start>
      <end>2</end>
      <status>modified</status>
      <modifiedWord>2.</modifiedWord>
      <trackRevisions>false</trackRevisions>
    </reviewItem>
    <reviewItem>
      <errorID>22bf5fe9-f614-40d4-ac41-c8ee12085658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5E0544E3</paraID>
      <start>0</start>
      <end>2</end>
      <status>modified</status>
      <modifiedWord>2.</modifiedWord>
      <trackRevisions>false</trackRevisions>
    </reviewItem>
    <reviewItem>
      <errorID>914cedc6-7a12-4043-a767-f59b968b209b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5781C1F9</paraID>
      <start>0</start>
      <end>2</end>
      <status>modified</status>
      <modifiedWord>3.</modifiedWord>
      <trackRevisions>false</trackRevisions>
    </reviewItem>
    <reviewItem>
      <errorID>2c6ac964-fede-4abc-a912-cf11d87fe389</errorID>
      <errorWord>》</errorWord>
      <group>L1_Word</group>
      <groupName>字词问题</groupName>
      <ability>L2_Typo</ability>
      <abilityName>字词错误</abilityName>
      <candidateList>
        <item>》和</item>
      </candidateList>
      <explain/>
      <paraID>62350B81</paraID>
      <start>26</start>
      <end>27</end>
      <status>ignored</status>
      <modifiedWord/>
      <trackRevisions>false</trackRevisions>
    </reviewItem>
    <reviewItem>
      <errorID>d31a5d79-69da-483e-ba91-1e5ecbbcfda6</errorID>
      <errorWord>,</errorWord>
      <group>L1_Format</group>
      <groupName>格式问题</groupName>
      <ability>L2_HalfPunc_CN</ability>
      <abilityName/>
      <candidateList>
        <item>，</item>
      </candidateList>
      <explain>文本全半角错误。</explain>
      <paraID>45732505</paraID>
      <start>90</start>
      <end>91</end>
      <status>ignored</status>
      <modifiedWord/>
      <trackRevisions>false</trackRevisions>
    </reviewItem>
    <reviewItem>
      <errorID>c88c1482-d6f7-4617-aeb8-96a51853e3b0</errorID>
      <errorWord>.</errorWord>
      <group>L1_Format</group>
      <groupName>格式问题</groupName>
      <ability>L2_HalfPunc_CN</ability>
      <abilityName/>
      <candidateList>
        <item>。</item>
      </candidateList>
      <explain>文本全半角错误。</explain>
      <paraID>45732505</paraID>
      <start>224</start>
      <end>225</end>
      <status>ignored</status>
      <modifiedWord/>
      <trackRevisions>false</trackRevisions>
    </reviewItem>
    <reviewItem>
      <errorID>4cd14d51-9b90-421f-abd6-4541f6d2ee00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3F849FBC</paraID>
      <start>0</start>
      <end>2</end>
      <status>modified</status>
      <modifiedWord>5.</modifiedWord>
      <trackRevisions>false</trackRevisions>
    </reviewItem>
    <reviewItem>
      <errorID>b868970d-793c-4aff-a713-757702c3cc16</errorID>
      <errorWord>-</errorWord>
      <group>L1_Format</group>
      <groupName>格式问题</groupName>
      <ability>L2_HalfPunc_CN</ability>
      <abilityName/>
      <candidateList>
        <item>－</item>
      </candidateList>
      <explain>文本全半角错误。</explain>
      <paraID>1C1FA5BC</paraID>
      <start>101</start>
      <end>102</end>
      <status>modified</status>
      <modifiedWord>－</modifiedWord>
      <trackRevisions>false</trackRevisions>
    </reviewItem>
    <reviewItem>
      <errorID>3d6cca0b-fe98-4668-9dcf-c55f3dfde9d8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2C7E1E2E</paraID>
      <start>0</start>
      <end>2</end>
      <status>modified</status>
      <modifiedWord>1.</modifiedWord>
      <trackRevisions>false</trackRevisions>
    </reviewItem>
    <reviewItem>
      <errorID>7d6f3b39-c1f2-432c-8c9d-68be29cfcadf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50CA9B34</paraID>
      <start>0</start>
      <end>2</end>
      <status>modified</status>
      <modifiedWord>2.</modifiedWord>
      <trackRevisions>false</trackRevisions>
    </reviewItem>
    <reviewItem>
      <errorID>e5379dda-0409-4c5a-8404-6bca5f6543c6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1F0C911A</paraID>
      <start>0</start>
      <end>2</end>
      <status>modified</status>
      <modifiedWord>3.</modifiedWord>
      <trackRevisions>false</trackRevisions>
    </reviewItem>
    <reviewItem>
      <errorID>36fcaf01-e5e2-4c54-92fe-6e2e0447323a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5A4A7A56</paraID>
      <start>0</start>
      <end>2</end>
      <status>modified</status>
      <modifiedWord>4.</modifiedWord>
      <trackRevisions>false</trackRevisions>
    </reviewItem>
    <reviewItem>
      <errorID>71f25672-e654-45ac-a9e0-e40d14875003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B82FDA4</paraID>
      <start>0</start>
      <end>2</end>
      <status>modified</status>
      <modifiedWord>5.</modifiedWord>
      <trackRevisions>false</trackRevisions>
    </reviewItem>
    <reviewItem>
      <errorID>cb836f57-8429-461f-b111-df81af760f13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12F171B1</paraID>
      <start>0</start>
      <end>2</end>
      <status>modified</status>
      <modifiedWord>6.</modifiedWord>
      <trackRevisions>false</trackRevisions>
    </reviewItem>
    <reviewItem>
      <errorID>07183778-db2f-49dd-91ae-c6e745e9d612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15008CBE</paraID>
      <start>0</start>
      <end>2</end>
      <status>modified</status>
      <modifiedWord>6.</modifiedWord>
      <trackRevisions>false</trackRevisions>
    </reviewItem>
    <reviewItem>
      <errorID>c3dc4301-0916-4489-bc74-05efddeee609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1D2BB0CF</paraID>
      <start>0</start>
      <end>2</end>
      <status>modified</status>
      <modifiedWord>8.</modifiedWord>
      <trackRevisions>false</trackRevisions>
    </reviewItem>
    <reviewItem>
      <errorID>4fed9728-a2b0-4812-9e71-3357cf196527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4D86CB46</paraID>
      <start>0</start>
      <end>2</end>
      <status>modified</status>
      <modifiedWord>9.</modifiedWord>
      <trackRevisions>false</trackRevisions>
    </reviewItem>
    <reviewItem>
      <errorID>92625298-c4ea-421e-985d-4ca8362f94bd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6A0E7267</paraID>
      <start>0</start>
      <end>3</end>
      <status>modified</status>
      <modifiedWord>10.</modifiedWord>
      <trackRevisions>false</trackRevisions>
    </reviewItem>
    <reviewItem>
      <errorID>6f615bce-0a64-4d53-9122-ca30bcfaddaa</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54283B9F</paraID>
      <start>0</start>
      <end>3</end>
      <status>modified</status>
      <modifiedWord>11.</modifiedWord>
      <trackRevisions>false</trackRevisions>
    </reviewItem>
    <reviewItem>
      <errorID>0e934c1d-0dcc-4523-bcb6-88765f40b923</errorID>
      <errorWord>/）</errorWord>
      <group>L1_Punc</group>
      <groupName>标点问题</groupName>
      <ability>L2_Punc_CN</ability>
      <abilityName/>
      <candidateList>
        <item>）</item>
      </candidateList>
      <explain/>
      <paraID>6280C2D0</paraID>
      <start>48</start>
      <end>50</end>
      <status>ignored</status>
      <modifiedWord/>
      <trackRevisions>false</trackRevisions>
    </reviewItem>
    <reviewItem>
      <errorID>869e92be-dabe-4946-8c52-408c3fd4344a</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69906675</paraID>
      <start>0</start>
      <end>3</end>
      <status>modified</status>
      <modifiedWord>12.</modifiedWord>
      <trackRevisions>false</trackRevisions>
    </reviewItem>
    <reviewItem>
      <errorID>9cdc6d52-d891-49d0-b6fb-c28ea2530dc0</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44BF172</paraID>
      <start>0</start>
      <end>3</end>
      <status>modified</status>
      <modifiedWord>13.</modifiedWord>
      <trackRevisions>false</trackRevisions>
    </reviewItem>
    <reviewItem>
      <errorID>cb9cd00f-2325-4c16-9683-ebf563cf6215</errorID>
      <errorWord>/）</errorWord>
      <group>L1_Punc</group>
      <groupName>标点问题</groupName>
      <ability>L2_Punc_CN</ability>
      <abilityName/>
      <candidateList>
        <item>）</item>
      </candidateList>
      <explain/>
      <paraID>630EF7E9</paraID>
      <start>116</start>
      <end>118</end>
      <status>ignored</status>
      <modifiedWord/>
      <trackRevisions>false</trackRevisions>
    </reviewItem>
    <reviewItem>
      <errorID>ba9130b0-8186-473c-9b8c-1f91e1038b51</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2DCABE64</paraID>
      <start>0</start>
      <end>3</end>
      <status>modified</status>
      <modifiedWord>14.</modifiedWord>
      <trackRevisions>false</trackRevisions>
    </reviewItem>
    <reviewItem>
      <errorID>bc8bee26-dec0-4087-977e-875fa03d96e8</errorID>
      <errorWord>其它语言</errorWord>
      <group>L1_Word</group>
      <groupName>字词问题</groupName>
      <ability>L2_Alias</ability>
      <abilityName>也作/曾用词</abilityName>
      <candidateList>
        <item>其他语言</item>
      </candidateList>
      <explain>词汇[其它语言]为不规范表述或旧称，其规范书面表述为[其他语言]。</explain>
      <paraID>60A08125</paraID>
      <start>67</start>
      <end>71</end>
      <status>ignored</status>
      <modifiedWord/>
      <trackRevisions>false</trackRevisions>
    </reviewItem>
    <reviewItem>
      <errorID>afb53710-a47e-4196-b204-02db8c43a39f</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1396F888</paraID>
      <start>0</start>
      <end>3</end>
      <status>modified</status>
      <modifiedWord>15.</modifiedWord>
      <trackRevisions>false</trackRevisions>
    </reviewItem>
    <reviewItem>
      <errorID>56aa853b-e3e7-4f63-b53a-832db552ad8f</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64CFB6CD</paraID>
      <start>0</start>
      <end>3</end>
      <status>modified</status>
      <modifiedWord>16.</modifiedWord>
      <trackRevisions>false</trackRevisions>
    </reviewItem>
    <reviewItem>
      <errorID>db701f25-a2d7-4ba3-971a-97576777328c</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7D44061D</paraID>
      <start>0</start>
      <end>3</end>
      <status>modified</status>
      <modifiedWord>17.</modifiedWord>
      <trackRevisions>false</trackRevisions>
    </reviewItem>
    <reviewItem>
      <errorID>61a55b37-5cd2-45b7-8a79-406d9b420c86</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685849B5</paraID>
      <start>0</start>
      <end>3</end>
      <status>modified</status>
      <modifiedWord>18.</modifiedWord>
      <trackRevisions>false</trackRevisions>
    </reviewItem>
    <reviewItem>
      <errorID>584edc2a-58f8-4a48-8558-de9b90a41215</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744D5338</paraID>
      <start>0</start>
      <end>3</end>
      <status>modified</status>
      <modifiedWord>19.</modifiedWord>
      <trackRevisions>false</trackRevisions>
    </reviewItem>
    <reviewItem>
      <errorID>1b15ab26-9228-4400-9a9e-afc913bff116</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2BE5EB9F</paraID>
      <start>0</start>
      <end>3</end>
      <status>modified</status>
      <modifiedWord>20.</modifiedWord>
      <trackRevisions>false</trackRevisions>
    </reviewItem>
    <reviewItem>
      <errorID>40f9f629-6a6a-4258-a867-6d3016791d1f</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37F742F9</paraID>
      <start>0</start>
      <end>3</end>
      <status>modified</status>
      <modifiedWord>21.</modifiedWord>
      <trackRevisions>false</trackRevisions>
    </reviewItem>
    <reviewItem>
      <errorID>b3241896-da68-459e-a605-970893b54c36</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3F50B745</paraID>
      <start>0</start>
      <end>3</end>
      <status>modified</status>
      <modifiedWord>22.</modifiedWord>
      <trackRevisions>false</trackRevisions>
    </reviewItem>
    <reviewItem>
      <errorID>1abac335-6f4f-4d09-9a02-c8c9770ba86b</errorID>
      <errorWord>其它</errorWord>
      <group>L1_Word</group>
      <groupName>字词问题</groupName>
      <ability>L2_Alias</ability>
      <abilityName>也作/曾用词</abilityName>
      <candidateList>
        <item>其他</item>
      </candidateList>
      <explain>词汇[其它]为不规范表述或旧称，其规范书面表述为[其他]。</explain>
      <paraID>5F910F36</paraID>
      <start>126</start>
      <end>128</end>
      <status>ignored</status>
      <modifiedWord/>
      <trackRevisions>false</trackRevisions>
    </reviewItem>
    <reviewItem>
      <errorID>9e669792-81d3-4ee9-811a-76da968c0f85</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7AF12CD1</paraID>
      <start>0</start>
      <end>3</end>
      <status>modified</status>
      <modifiedWord>23.</modifiedWord>
      <trackRevisions>false</trackRevisions>
    </reviewItem>
    <reviewItem>
      <errorID>7ab80a1c-aa93-4614-bf80-d17bdc282526</errorID>
      <errorWord>.</errorWord>
      <group>L1_Format</group>
      <groupName>格式问题</groupName>
      <ability>L2_HalfPunc_CN</ability>
      <abilityName/>
      <candidateList>
        <item>。</item>
      </candidateList>
      <explain>文本全半角错误。</explain>
      <paraID>47439795</paraID>
      <start>53</start>
      <end>54</end>
      <status>ignored</status>
      <modifiedWord/>
      <trackRevisions>false</trackRevisions>
    </reviewItem>
    <reviewItem>
      <errorID>bc92874d-4e12-41e1-b59f-e2a9b6497bc5</errorID>
      <errorWord>.</errorWord>
      <group>L1_Format</group>
      <groupName>格式问题</groupName>
      <ability>L2_HalfPunc_CN</ability>
      <abilityName/>
      <candidateList>
        <item>。</item>
      </candidateList>
      <explain>文本全半角错误。</explain>
      <paraID>47439795</paraID>
      <start>100</start>
      <end>101</end>
      <status>ignored</status>
      <modifiedWord/>
      <trackRevisions>false</trackRevisions>
    </reviewItem>
    <reviewItem>
      <errorID>8811f9be-2a7d-4938-a087-d1ed17f10eb0</errorID>
      <errorWord>.</errorWord>
      <group>L1_Format</group>
      <groupName>格式问题</groupName>
      <ability>L2_HalfPunc_CN</ability>
      <abilityName/>
      <candidateList>
        <item>。</item>
      </candidateList>
      <explain>文本全半角错误。</explain>
      <paraID>47439795</paraID>
      <start>182</start>
      <end>183</end>
      <status>ignored</status>
      <modifiedWord/>
      <trackRevisions>false</trackRevisions>
    </reviewItem>
    <reviewItem>
      <errorID>f64719bb-2fa6-4b4f-809d-9bfe0aef7956</errorID>
      <errorWord>其它公司的</errorWord>
      <group>L1_Word</group>
      <groupName>字词问题</groupName>
      <ability>L2_Alias</ability>
      <abilityName>也作/曾用词</abilityName>
      <candidateList>
        <item>其他公司的</item>
      </candidateList>
      <explain>词汇[其它公司的]为不规范表述或旧称，其规范书面表述为[其他公司的]。</explain>
      <paraID>2D4E8153</paraID>
      <start>32</start>
      <end>37</end>
      <status>ignored</status>
      <modifiedWord/>
      <trackRevisions>false</trackRevisions>
    </reviewItem>
    <reviewItem>
      <errorID>d94fb45d-ff76-4e6b-a9ed-2eb1688bb3d9</errorID>
      <errorWord>用其它方式</errorWord>
      <group>L1_Word</group>
      <groupName>字词问题</groupName>
      <ability>L2_Alias</ability>
      <abilityName>也作/曾用词</abilityName>
      <candidateList>
        <item>用其他方式</item>
      </candidateList>
      <explain>词汇[用其它方式]为不规范表述或旧称，其规范书面表述为[用其他方式]。</explain>
      <paraID>231F283A</paraID>
      <start>28</start>
      <end>33</end>
      <status>ignored</status>
      <modifiedWord/>
      <trackRevisions>false</trackRevisions>
    </reviewItem>
    <reviewItem>
      <errorID>43612ce2-15d7-4b18-805d-8effd10ba9a0</errorID>
      <errorWord>其它</errorWord>
      <group>L1_Word</group>
      <groupName>字词问题</groupName>
      <ability>L2_Alias</ability>
      <abilityName>也作/曾用词</abilityName>
      <candidateList>
        <item>其他</item>
      </candidateList>
      <explain>词汇[其它]为不规范表述或旧称，其规范书面表述为[其他]。</explain>
      <paraID>6F11C0D2</paraID>
      <start>31</start>
      <end>33</end>
      <status>ignored</status>
      <modifiedWord/>
      <trackRevisions>false</trackRevisions>
    </reviewItem>
    <reviewItem>
      <errorID>4057e753-85c9-4207-a86e-e969c2fb9a40</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6E6FFAB0</paraID>
      <start>0</start>
      <end>3</end>
      <status>modified</status>
      <modifiedWord>24.</modifiedWord>
      <trackRevisions>false</trackRevisions>
    </reviewItem>
    <reviewItem>
      <errorID>d4ee0fd1-2bac-48eb-a6f6-9f54a27a8327</errorID>
      <errorWord>.</errorWord>
      <group>L1_Format</group>
      <groupName>格式问题</groupName>
      <ability>L2_HalfPunc_CN</ability>
      <abilityName/>
      <candidateList>
        <item>。</item>
      </candidateList>
      <explain>文本全半角错误。</explain>
      <paraID>2E37A71E</paraID>
      <start>15</start>
      <end>16</end>
      <status>ignored</status>
      <modifiedWord/>
      <trackRevisions>false</trackRevisions>
    </reviewItem>
    <reviewItem>
      <errorID>748a4e8d-2bf1-4688-b612-b182d95e0ebf</errorID>
      <errorWord>.</errorWord>
      <group>L1_Format</group>
      <groupName>格式问题</groupName>
      <ability>L2_HalfPunc_CN</ability>
      <abilityName/>
      <candidateList>
        <item>。</item>
      </candidateList>
      <explain>文本全半角错误。</explain>
      <paraID>2E37A71E</paraID>
      <start>82</start>
      <end>83</end>
      <status>ignored</status>
      <modifiedWord/>
      <trackRevisions>false</trackRevisions>
    </reviewItem>
    <reviewItem>
      <errorID>90b8e432-d84c-47a9-aee5-24cd8a260c6f</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4F5EE57</paraID>
      <start>0</start>
      <end>3</end>
      <status>modified</status>
      <modifiedWord>25.</modifiedWord>
      <trackRevisions>false</trackRevisions>
    </reviewItem>
    <reviewItem>
      <errorID>98065190-46a1-4644-be35-480b1a4c980d</errorID>
      <errorWord>(</errorWord>
      <group>L1_Format</group>
      <groupName>格式问题</groupName>
      <ability>L2_HalfPunc_CN</ability>
      <abilityName/>
      <candidateList>
        <item>（</item>
      </candidateList>
      <explain>文本全半角错误。</explain>
      <paraID>7FDB7916</paraID>
      <start>131</start>
      <end>132</end>
      <status>ignored</status>
      <modifiedWord/>
      <trackRevisions>false</trackRevisions>
    </reviewItem>
    <reviewItem>
      <errorID>3a604258-fa59-4027-ab35-c761949de738</errorID>
      <errorWord>)</errorWord>
      <group>L1_Format</group>
      <groupName>格式问题</groupName>
      <ability>L2_HalfPunc_CN</ability>
      <abilityName/>
      <candidateList>
        <item>）</item>
      </candidateList>
      <explain>文本全半角错误。</explain>
      <paraID>7FDB7916</paraID>
      <start>134</start>
      <end>135</end>
      <status>ignored</status>
      <modifiedWord/>
      <trackRevisions>false</trackRevisions>
    </reviewItem>
    <reviewItem>
      <errorID>600bde7f-ca5d-421c-8ae8-2a6836010871</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18AFD212</paraID>
      <start>0</start>
      <end>3</end>
      <status>modified</status>
      <modifiedWord>27.</modifiedWord>
      <trackRevisions>false</trackRevisions>
    </reviewItem>
    <reviewItem>
      <errorID>05d68d1a-39a6-455a-a990-8e8c6d3e99dc</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6CBEC804</paraID>
      <start>0</start>
      <end>3</end>
      <status>modified</status>
      <modifiedWord>28.</modifiedWord>
      <trackRevisions>false</trackRevisions>
    </reviewItem>
    <reviewItem>
      <errorID>463b0e87-ad12-4aac-8c4b-e72c697c220e</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649C8D1E</paraID>
      <start>0</start>
      <end>3</end>
      <status>modified</status>
      <modifiedWord>29.</modifiedWord>
      <trackRevisions>false</trackRevisions>
    </reviewItem>
    <reviewItem>
      <errorID>6ddaf4d5-b251-4d8f-aa24-d518aa2b9630</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5A31D155</paraID>
      <start>0</start>
      <end>3</end>
      <status>modified</status>
      <modifiedWord>30.</modifiedWord>
      <trackRevisions>false</trackRevisions>
    </reviewItem>
    <reviewItem>
      <errorID>1a12b1d2-dfd2-4552-bf15-4d810a800fa9</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 7F97C90</paraID>
      <start>8</start>
      <end>11</end>
      <status>modified</status>
      <modifiedWord>必需的</modifiedWord>
      <trackRevisions>false</trackRevisions>
    </reviewItem>
    <reviewItem>
      <errorID>f6b002d3-0d14-4fdf-a42c-d5de7a49bc4d</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6CFCB7E</paraID>
      <start>0</start>
      <end>3</end>
      <status>modified</status>
      <modifiedWord>31.</modifiedWord>
      <trackRevisions>false</trackRevisions>
    </reviewItem>
    <reviewItem>
      <errorID>1202f64e-162f-4cb8-b0de-5544fac7211f</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48B419C</paraID>
      <start>0</start>
      <end>3</end>
      <status>modified</status>
      <modifiedWord>32.</modifiedWord>
      <trackRevisions>false</trackRevisions>
    </reviewItem>
    <reviewItem>
      <errorID>7555dcbc-7c2e-4dc5-ab6f-ad93c24f022d</errorID>
      <errorWord>:</errorWord>
      <group>L1_Format</group>
      <groupName>格式问题</groupName>
      <ability>L2_HalfPunc_CN</ability>
      <abilityName/>
      <candidateList>
        <item>：</item>
      </candidateList>
      <explain>文本全半角错误。</explain>
      <paraID>41F418F1</paraID>
      <start>22</start>
      <end>23</end>
      <status>modified</status>
      <modifiedWord>：</modifiedWord>
      <trackRevisions>false</trackRevisions>
    </reviewItem>
    <reviewItem>
      <errorID>41948d9b-1350-4cf8-89dd-9dc5f2c59139</errorID>
      <errorWord>法律、法规</errorWord>
      <group>L1_Word</group>
      <groupName>字词问题</groupName>
      <ability>L2_Typo</ability>
      <abilityName>字词错误</abilityName>
      <candidateList>
        <item>法律法规</item>
      </candidateList>
      <explain/>
      <paraID>51D1B89D</paraID>
      <start>13</start>
      <end>18</end>
      <status>ignored</status>
      <modifiedWord/>
      <trackRevisions>false</trackRevisions>
    </reviewItem>
    <reviewItem>
      <errorID>ca18c010-497e-499a-8fa5-e3df24863df1</errorID>
      <errorWord>审查对</errorWord>
      <group>L1_Word</group>
      <groupName>字词问题</groupName>
      <ability>L2_Typo</ability>
      <abilityName>字词错误</abilityName>
      <candidateList>
        <item>审查</item>
      </candidateList>
      <explain>〈动〉检查核对是否正确、妥当（多指计划、提案、著作、个人的资历等）：～提案｜～经费｜～属实。</explain>
      <paraID> 4D88A4B</paraID>
      <start>12</start>
      <end>14</end>
      <status>modified</status>
      <modifiedWord>审查</modifiedWord>
      <trackRevisions>false</trackRevisions>
    </reviewItem>
    <reviewItem>
      <errorID>0f5ca7e9-458a-4d8f-80ba-fe76b8cf8247</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41C1D0C5</paraID>
      <start>0</start>
      <end>3</end>
      <status>modified</status>
      <modifiedWord>33.</modifiedWord>
      <trackRevisions>false</trackRevisions>
    </reviewItem>
    <reviewItem>
      <errorID>8454b240-7da5-4900-81f6-eb52fd2f75cd</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307460C5</paraID>
      <start>0</start>
      <end>3</end>
      <status>modified</status>
      <modifiedWord>34.</modifiedWord>
      <trackRevisions>false</trackRevisions>
    </reviewItem>
    <reviewItem>
      <errorID>9076372e-ee58-4746-af9a-dd53a343b240</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78933358</paraID>
      <start>0</start>
      <end>3</end>
      <status>modified</status>
      <modifiedWord>35.</modifiedWord>
      <trackRevisions>false</trackRevisions>
    </reviewItem>
    <reviewItem>
      <errorID>b4bf858f-0aa6-4bfe-8a5c-e5979c8e284b</errorID>
      <errorWord>36．</errorWord>
      <group>L1_Format</group>
      <groupName>格式问题</groupName>
      <ability>L2_Ordinal</ability>
      <abilityName>序号格式</abilityName>
      <candidateList>
        <item>36.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5D6D037B</paraID>
      <start>0</start>
      <end>3</end>
      <status>modified</status>
      <modifiedWord>36.</modifiedWord>
      <trackRevisions>false</trackRevisions>
    </reviewItem>
    <reviewItem>
      <errorID>19b320f9-e7f4-4342-b2de-f5730ea0ccbf</errorID>
      <errorWord>37．</errorWord>
      <group>L1_Format</group>
      <groupName>格式问题</groupName>
      <ability>L2_Ordinal</ability>
      <abilityName>序号格式</abilityName>
      <candidateList>
        <item>37.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6CBF0A1D</paraID>
      <start>0</start>
      <end>3</end>
      <status>modified</status>
      <modifiedWord>37.</modifiedWord>
      <trackRevisions>false</trackRevisions>
    </reviewItem>
    <reviewItem>
      <errorID>a66ef453-9dd7-4d3f-82cc-91a1fd12b1c3</errorID>
      <errorWord>以</errorWord>
      <group>L1_Word</group>
      <groupName>字词问题</groupName>
      <ability>L2_Typo</ability>
      <abilityName>字词错误</abilityName>
      <candidateList>
        <item>已</item>
      </candidateList>
      <explain>存在发音相同字词的误用。</explain>
      <paraID>2133EE0E</paraID>
      <start>129</start>
      <end>130</end>
      <status>ignored</status>
      <modifiedWord/>
      <trackRevisions>false</trackRevisions>
    </reviewItem>
    <reviewItem>
      <errorID>e69dab0b-c7ae-4d12-a755-518d72627628</errorID>
      <errorWord>&lt;</errorWord>
      <group>L1_Format</group>
      <groupName>格式问题</groupName>
      <ability>L2_HalfPunc_CN</ability>
      <abilityName/>
      <candidateList>
        <item>〈</item>
      </candidateList>
      <explain>文本全半角错误。</explain>
      <paraID>2133EE0E</paraID>
      <start>141</start>
      <end>142</end>
      <status>ignored</status>
      <modifiedWord/>
      <trackRevisions>false</trackRevisions>
    </reviewItem>
    <reviewItem>
      <errorID>d70b8475-67f8-451a-bbd5-a97c62de968a</errorID>
      <errorWord>&gt;</errorWord>
      <group>L1_Format</group>
      <groupName>格式问题</groupName>
      <ability>L2_HalfPunc_CN</ability>
      <abilityName/>
      <candidateList>
        <item>〉</item>
      </candidateList>
      <explain>文本全半角错误。</explain>
      <paraID>2133EE0E</paraID>
      <start>159</start>
      <end>160</end>
      <status>ignored</status>
      <modifiedWord/>
      <trackRevisions>false</trackRevisions>
    </reviewItem>
    <reviewItem>
      <errorID>a9dfaace-87cb-407d-a5d9-65ad07b2993f</errorID>
      <errorWord>38．</errorWord>
      <group>L1_Format</group>
      <groupName>格式问题</groupName>
      <ability>L2_Ordinal</ability>
      <abilityName>序号格式</abilityName>
      <candidateList>
        <item>38.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31450DF6</paraID>
      <start>0</start>
      <end>3</end>
      <status>modified</status>
      <modifiedWord>38.</modifiedWord>
      <trackRevisions>false</trackRevisions>
    </reviewItem>
    <reviewItem>
      <errorID>51485d23-8229-4d90-99c7-8967ec4d37fa</errorID>
      <errorWord>39．</errorWord>
      <group>L1_Format</group>
      <groupName>格式问题</groupName>
      <ability>L2_Ordinal</ability>
      <abilityName>序号格式</abilityName>
      <candidateList>
        <item>39.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6DD27C4D</paraID>
      <start>0</start>
      <end>3</end>
      <status>modified</status>
      <modifiedWord>39.</modifiedWord>
      <trackRevisions>false</trackRevisions>
    </reviewItem>
    <reviewItem>
      <errorID>196af02f-8cdd-4262-a711-ec8152c2b141</errorID>
      <errorWord>/）</errorWord>
      <group>L1_Punc</group>
      <groupName>标点问题</groupName>
      <ability>L2_Punc_CN</ability>
      <abilityName/>
      <candidateList>
        <item>）</item>
      </candidateList>
      <explain/>
      <paraID> 375C59B</paraID>
      <start>80</start>
      <end>82</end>
      <status>ignored</status>
      <modifiedWord/>
      <trackRevisions>false</trackRevisions>
    </reviewItem>
    <reviewItem>
      <errorID>f096fbc4-e256-439c-a499-68387e0d850a</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 375C59B</paraID>
      <start>162</start>
      <end>166</end>
      <status>ignored</status>
      <modifiedWord/>
      <trackRevisions>false</trackRevisions>
    </reviewItem>
    <reviewItem>
      <errorID>25b2169d-95bd-4ad7-b86c-6df60daba8f1</errorID>
      <errorWord>40．</errorWord>
      <group>L1_Format</group>
      <groupName>格式问题</groupName>
      <ability>L2_Ordinal</ability>
      <abilityName>序号格式</abilityName>
      <candidateList>
        <item>40.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682BC205</paraID>
      <start>0</start>
      <end>3</end>
      <status>modified</status>
      <modifiedWord>40.</modifiedWord>
      <trackRevisions>false</trackRevisions>
    </reviewItem>
    <reviewItem>
      <errorID>3cb48dcd-c1a2-4245-8159-cbecb850277c</errorID>
      <errorWord>,</errorWord>
      <group>L1_Format</group>
      <groupName>格式问题</groupName>
      <ability>L2_HalfPunc_CN</ability>
      <abilityName/>
      <candidateList>
        <item>，</item>
      </candidateList>
      <explain>文本全半角错误。</explain>
      <paraID>1E5012DE</paraID>
      <start>35</start>
      <end>36</end>
      <status>modified</status>
      <modifiedWord>，</modifiedWord>
      <trackRevisions>false</trackRevisions>
    </reviewItem>
    <reviewItem>
      <errorID>1af2f66f-18c9-40da-99a6-86e8c671b1cd</errorID>
      <errorWord>/）</errorWord>
      <group>L1_Punc</group>
      <groupName>标点问题</groupName>
      <ability>L2_Punc_CN</ability>
      <abilityName/>
      <candidateList>
        <item>）</item>
      </candidateList>
      <explain/>
      <paraID>1E5012DE</paraID>
      <start>88</start>
      <end>90</end>
      <status>ignored</status>
      <modifiedWord/>
      <trackRevisions>false</trackRevisions>
    </reviewItem>
    <reviewItem>
      <errorID>d4a85b10-8a34-40a8-a587-bada16e85c27</errorID>
      <errorWord>其它</errorWord>
      <group>L1_Word</group>
      <groupName>字词问题</groupName>
      <ability>L2_Alias</ability>
      <abilityName>也作/曾用词</abilityName>
      <candidateList>
        <item>其他</item>
      </candidateList>
      <explain>词汇[其它]为不规范表述或旧称，其规范书面表述为[其他]。</explain>
      <paraID>3977357A</paraID>
      <start>10</start>
      <end>12</end>
      <status>ignored</status>
      <modifiedWord/>
      <trackRevisions>false</trackRevisions>
    </reviewItem>
    <reviewItem>
      <errorID>ea9895b4-04ea-437b-864a-9501fc1b0816</errorID>
      <errorWord>41．</errorWord>
      <group>L1_Format</group>
      <groupName>格式问题</groupName>
      <ability>L2_Ordinal</ability>
      <abilityName>序号格式</abilityName>
      <candidateList>
        <item>41.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2B58228E</paraID>
      <start>0</start>
      <end>3</end>
      <status>modified</status>
      <modifiedWord>41.</modifiedWord>
      <trackRevisions>false</trackRevisions>
    </reviewItem>
    <reviewItem>
      <errorID>8bc843aa-7f04-4e4f-b8eb-ff4386578856</errorID>
      <errorWord>42．</errorWord>
      <group>L1_Format</group>
      <groupName>格式问题</groupName>
      <ability>L2_Ordinal</ability>
      <abilityName>序号格式</abilityName>
      <candidateList>
        <item>42.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51C443D9</paraID>
      <start>0</start>
      <end>3</end>
      <status>modified</status>
      <modifiedWord>42.</modifiedWord>
      <trackRevisions>false</trackRevisions>
    </reviewItem>
    <reviewItem>
      <errorID>7a3df1a8-e52e-4758-9bf7-e2771514a22e</errorID>
      <errorWord>43．</errorWord>
      <group>L1_Format</group>
      <groupName>格式问题</groupName>
      <ability>L2_Ordinal</ability>
      <abilityName>序号格式</abilityName>
      <candidateList>
        <item>43.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51C4E6E6</paraID>
      <start>0</start>
      <end>3</end>
      <status>modified</status>
      <modifiedWord>43.</modifiedWord>
      <trackRevisions>false</trackRevisions>
    </reviewItem>
    <reviewItem>
      <errorID>7512fc2f-ee68-4832-b11b-c02c39c6365c</errorID>
      <errorWord>44．</errorWord>
      <group>L1_Format</group>
      <groupName>格式问题</groupName>
      <ability>L2_Ordinal</ability>
      <abilityName>序号格式</abilityName>
      <candidateList>
        <item>44.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1081D635</paraID>
      <start>0</start>
      <end>3</end>
      <status>modified</status>
      <modifiedWord>44.</modifiedWord>
      <trackRevisions>false</trackRevisions>
    </reviewItem>
    <reviewItem>
      <errorID>0792347e-a625-4664-8f49-a330e043de6a</errorID>
      <errorWord>45．</errorWord>
      <group>L1_Format</group>
      <groupName>格式问题</groupName>
      <ability>L2_Ordinal</ability>
      <abilityName>序号格式</abilityName>
      <candidateList>
        <item>45.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4459D126</paraID>
      <start>0</start>
      <end>3</end>
      <status>modified</status>
      <modifiedWord>45.</modifiedWord>
      <trackRevisions>false</trackRevisions>
    </reviewItem>
    <reviewItem>
      <errorID>438d583a-670b-401d-9201-066417e0966c</errorID>
      <errorWord>法律、法规</errorWord>
      <group>L1_Word</group>
      <groupName>字词问题</groupName>
      <ability>L2_Typo</ability>
      <abilityName>字词错误</abilityName>
      <candidateList>
        <item>法律法规</item>
      </candidateList>
      <explain/>
      <paraID>4DCF63FB</paraID>
      <start>69</start>
      <end>74</end>
      <status>ignored</status>
      <modifiedWord/>
      <trackRevisions>false</trackRevisions>
    </reviewItem>
    <reviewItem>
      <errorID>24a5d118-3701-4286-9191-b342477737b7</errorID>
      <errorWord>、或者</errorWord>
      <group>L1_Word</group>
      <groupName>字词问题</groupName>
      <ability>L2_Typo</ability>
      <abilityName>字词错误</abilityName>
      <candidateList>
        <item>，或者</item>
      </candidateList>
      <explain/>
      <paraID>7A8024D1</paraID>
      <start>13</start>
      <end>16</end>
      <status>ignored</status>
      <modifiedWord/>
      <trackRevisions>false</trackRevisions>
    </reviewItem>
    <reviewItem>
      <errorID>7f82eaf7-f51b-4da9-a44b-0604ed63b964</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 5618425</paraID>
      <start>8</start>
      <end>12</end>
      <status>ignored</status>
      <modifiedWord/>
      <trackRevisions>false</trackRevisions>
    </reviewItem>
    <reviewItem>
      <errorID>2747e4ab-5509-4653-a290-9fdc42f62743</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519D8C8E</paraID>
      <start>80</start>
      <end>84</end>
      <status>ignored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6682242-becd-408f-a009-858ca38ec6ac}">
  <ds:schemaRefs/>
</ds:datastoreItem>
</file>

<file path=customXml/itemProps3.xml><?xml version="1.0" encoding="utf-8"?>
<ds:datastoreItem xmlns:ds="http://schemas.openxmlformats.org/officeDocument/2006/customXml" ds:itemID="{3d9dee42-057f-4680-b211-f34fbf336881}">
  <ds:schemaRefs/>
</ds:datastoreItem>
</file>

<file path=customXml/itemProps4.xml><?xml version="1.0" encoding="utf-8"?>
<ds:datastoreItem xmlns:ds="http://schemas.openxmlformats.org/officeDocument/2006/customXml" ds:itemID="{e07d6afb-274c-4e8f-92fb-2af221678595}">
  <ds:schemaRefs/>
</ds:datastoreItem>
</file>

<file path=customXml/itemProps5.xml><?xml version="1.0" encoding="utf-8"?>
<ds:datastoreItem xmlns:ds="http://schemas.openxmlformats.org/officeDocument/2006/customXml" ds:itemID="{ce3f1051-c3bd-403c-bd85-a148bfc1f9be}">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78</Pages>
  <Words>16563</Words>
  <Characters>17315</Characters>
  <Lines>332</Lines>
  <Paragraphs>93</Paragraphs>
  <TotalTime>6</TotalTime>
  <ScaleCrop>false</ScaleCrop>
  <LinksUpToDate>false</LinksUpToDate>
  <CharactersWithSpaces>17408</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2021-04-19T08:29:00Z</dcterms:created>
  <dc:creator>thsware</dc:creator>
  <cp:lastModifiedBy>25143</cp:lastModifiedBy>
  <cp:lastPrinted>2021-05-09T08:02:00Z</cp:lastPrinted>
  <dcterms:modified xsi:type="dcterms:W3CDTF">2026-10-23T08:44:32Z</dcterms:modified>
  <dc:title>招  标_x3000_文_x3000_件</dc:title>
  <cp:revision>83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eyJoZGlkIjoiYWQ1N2QwYWE3YzI3MmJlNWQ1ZWI5ZjRiYjQ1MTMwMjMiLCJ1c2VySWQiOiI5ODcyMDk0MjAifQ==</vt:lpwstr>
  </property>
  <property fmtid="{D5CDD505-2E9C-101B-9397-08002B2CF9AE}" pid="3" name="KSOProductBuildVer">
    <vt:lpwstr>2052-12.1.0.24034</vt:lpwstr>
  </property>
  <property fmtid="{D5CDD505-2E9C-101B-9397-08002B2CF9AE}" pid="4" name="ICV">
    <vt:lpwstr>F909D002A38B4E4793DC12B9E401B365_12</vt:lpwstr>
  </property>
</Properties>
</file>