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C3D4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right="0" w:rightChars="0"/>
        <w:jc w:val="center"/>
        <w:textAlignment w:val="auto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  <w:lang w:val="en-US" w:eastAsia="zh-CN"/>
        </w:rPr>
        <w:t>2026年</w:t>
      </w:r>
      <w:r>
        <w:rPr>
          <w:rFonts w:hint="default" w:ascii="宋体" w:hAnsi="宋体" w:eastAsia="宋体" w:cs="宋体"/>
          <w:sz w:val="44"/>
          <w:szCs w:val="44"/>
          <w:lang w:val="en-US" w:eastAsia="zh-CN"/>
        </w:rPr>
        <w:t>湾区</w:t>
      </w:r>
      <w:r>
        <w:rPr>
          <w:rFonts w:hint="eastAsia" w:ascii="宋体" w:hAnsi="宋体" w:cs="宋体"/>
          <w:sz w:val="44"/>
          <w:szCs w:val="44"/>
          <w:lang w:val="en-US" w:eastAsia="zh-CN"/>
        </w:rPr>
        <w:t>（深圳）</w:t>
      </w:r>
      <w:r>
        <w:rPr>
          <w:rFonts w:hint="default" w:ascii="宋体" w:hAnsi="宋体" w:eastAsia="宋体" w:cs="宋体"/>
          <w:sz w:val="44"/>
          <w:szCs w:val="44"/>
          <w:lang w:val="en-US" w:eastAsia="zh-CN"/>
        </w:rPr>
        <w:t>大学生围棋、国际象棋联赛</w:t>
      </w:r>
      <w:r>
        <w:rPr>
          <w:rFonts w:hint="eastAsia" w:ascii="宋体" w:hAnsi="宋体" w:eastAsia="宋体" w:cs="宋体"/>
          <w:sz w:val="44"/>
          <w:szCs w:val="44"/>
        </w:rPr>
        <w:t>采购文件</w:t>
      </w:r>
    </w:p>
    <w:p w14:paraId="360248BE">
      <w:pPr>
        <w:jc w:val="center"/>
        <w:rPr>
          <w:rFonts w:hint="default" w:ascii="宋体" w:hAnsi="宋体" w:eastAsia="宋体" w:cs="宋体"/>
          <w:sz w:val="44"/>
          <w:szCs w:val="44"/>
        </w:rPr>
      </w:pPr>
    </w:p>
    <w:p w14:paraId="62F5CCF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一、</w:t>
      </w:r>
      <w:r>
        <w:rPr>
          <w:rFonts w:hint="default" w:ascii="Times New Roman" w:hAnsi="Times New Roman" w:eastAsia="黑体" w:cs="Times New Roman"/>
          <w:sz w:val="32"/>
          <w:szCs w:val="32"/>
        </w:rPr>
        <w:t>采购单位：</w:t>
      </w:r>
    </w:p>
    <w:p w14:paraId="24BA4A4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罗湖区文化广电旅游体育局</w:t>
      </w:r>
    </w:p>
    <w:p w14:paraId="689361FD">
      <w:pPr>
        <w:keepNext w:val="0"/>
        <w:keepLines w:val="0"/>
        <w:pageBreakBefore w:val="0"/>
        <w:numPr>
          <w:ilvl w:val="0"/>
          <w:numId w:val="1"/>
        </w:numPr>
        <w:tabs>
          <w:tab w:val="left" w:pos="2781"/>
          <w:tab w:val="center" w:pos="4802"/>
        </w:tabs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jc w:val="left"/>
        <w:textAlignment w:val="auto"/>
        <w:rPr>
          <w:rFonts w:hint="eastAsia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项目名称</w:t>
      </w:r>
      <w:r>
        <w:rPr>
          <w:rFonts w:hint="eastAsia" w:ascii="Times New Roman" w:hAnsi="Times New Roman" w:eastAsia="黑体" w:cs="Times New Roman"/>
          <w:sz w:val="32"/>
          <w:szCs w:val="32"/>
          <w:lang w:eastAsia="zh-CN"/>
        </w:rPr>
        <w:t>：</w:t>
      </w:r>
    </w:p>
    <w:p w14:paraId="5E5A848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2026年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湾区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（深圳）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大学生围棋、国际象棋联赛</w:t>
      </w:r>
    </w:p>
    <w:p w14:paraId="1828AC6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项目预算限额：</w:t>
      </w:r>
    </w:p>
    <w:p w14:paraId="11733303">
      <w:pPr>
        <w:keepNext w:val="0"/>
        <w:keepLines w:val="0"/>
        <w:pageBreakBefore w:val="0"/>
        <w:numPr>
          <w:ilvl w:val="0"/>
          <w:numId w:val="0"/>
        </w:numPr>
        <w:tabs>
          <w:tab w:val="left" w:pos="2781"/>
          <w:tab w:val="center" w:pos="4802"/>
        </w:tabs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31.5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万元</w:t>
      </w:r>
    </w:p>
    <w:p w14:paraId="00B29749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四、项目履行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限期</w:t>
      </w:r>
      <w:r>
        <w:rPr>
          <w:rFonts w:hint="eastAsia" w:ascii="黑体" w:hAnsi="黑体" w:eastAsia="黑体" w:cs="黑体"/>
          <w:sz w:val="32"/>
          <w:szCs w:val="32"/>
        </w:rPr>
        <w:t>：</w:t>
      </w:r>
    </w:p>
    <w:p w14:paraId="12A901F8">
      <w:pPr>
        <w:keepNext w:val="0"/>
        <w:keepLines w:val="0"/>
        <w:pageBreakBefore w:val="0"/>
        <w:numPr>
          <w:ilvl w:val="0"/>
          <w:numId w:val="0"/>
        </w:numPr>
        <w:tabs>
          <w:tab w:val="left" w:pos="2781"/>
          <w:tab w:val="center" w:pos="4802"/>
        </w:tabs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2026年12月31日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之前</w:t>
      </w:r>
      <w:bookmarkStart w:id="0" w:name="_GoBack"/>
      <w:bookmarkEnd w:id="0"/>
    </w:p>
    <w:p w14:paraId="0D8D88E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五、项目背景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：</w:t>
      </w:r>
    </w:p>
    <w:p w14:paraId="609F266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right="0" w:rightChars="0" w:firstLine="640" w:firstLineChars="200"/>
        <w:textAlignment w:val="auto"/>
        <w:rPr>
          <w:rFonts w:hint="eastAsia" w:ascii="黑体" w:hAnsi="黑体" w:eastAsia="黑体" w:cs="黑体"/>
          <w:spacing w:val="8"/>
          <w:kern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高质量传承十五运会赛事遗产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依托深圳举办APEC重大契机，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根据工作安排，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计划联合市群众体育促进中心举办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湾区大学生围棋、国际象棋联赛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进一步提升城区影响力及辐射力，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打造罗湖智力运动先锋城区，助力深圳国际著名体育城市建设。</w:t>
      </w:r>
    </w:p>
    <w:p w14:paraId="0449E63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right="0" w:rightChars="0" w:firstLine="672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8"/>
          <w:kern w:val="0"/>
          <w:sz w:val="32"/>
          <w:szCs w:val="32"/>
          <w:shd w:val="clear" w:color="auto" w:fill="FFFFFF"/>
          <w:lang w:eastAsia="zh-CN"/>
        </w:rPr>
        <w:t>六、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活动要求：</w:t>
      </w:r>
    </w:p>
    <w:p w14:paraId="05E3EFB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right="0" w:righ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要求提交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赛事活动组织方案、赛事活动安保工作方案、赛事活动应急处置预案、赛事活动应急演练方案、赛事活动风险评估报告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、赛事综合效益评估报告</w:t>
      </w:r>
    </w:p>
    <w:p w14:paraId="73E7090C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right="0" w:rightChars="0"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七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供应商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资质要求：</w:t>
      </w:r>
    </w:p>
    <w:p w14:paraId="3EF519B8"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1、报名供应商必须为深圳市政府采购供应商；</w:t>
      </w:r>
    </w:p>
    <w:p w14:paraId="3997BACA">
      <w:pPr>
        <w:keepNext w:val="0"/>
        <w:keepLines w:val="0"/>
        <w:pageBreakBefore w:val="0"/>
        <w:numPr>
          <w:ilvl w:val="0"/>
          <w:numId w:val="0"/>
        </w:numPr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报名供应商必须是在深圳市市场监管部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门或民政部门</w:t>
      </w:r>
      <w:r>
        <w:rPr>
          <w:rFonts w:hint="eastAsia" w:ascii="仿宋_GB2312" w:hAnsi="仿宋_GB2312" w:eastAsia="仿宋_GB2312" w:cs="仿宋_GB2312"/>
          <w:sz w:val="32"/>
          <w:szCs w:val="32"/>
        </w:rPr>
        <w:t>合法注册登记的企事业法人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或社会团体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经营</w:t>
      </w:r>
      <w:r>
        <w:rPr>
          <w:rFonts w:hint="eastAsia" w:ascii="仿宋_GB2312" w:hAnsi="仿宋_GB2312" w:eastAsia="仿宋_GB2312" w:cs="仿宋_GB2312"/>
          <w:sz w:val="32"/>
          <w:szCs w:val="32"/>
        </w:rPr>
        <w:t>范围包括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体育赛事、活动组织与策划、培训</w:t>
      </w:r>
      <w:r>
        <w:rPr>
          <w:rFonts w:hint="eastAsia" w:ascii="仿宋_GB2312" w:hAnsi="仿宋_GB2312" w:eastAsia="仿宋_GB2312" w:cs="仿宋_GB2312"/>
          <w:sz w:val="32"/>
          <w:szCs w:val="32"/>
        </w:rPr>
        <w:t>等相关业务；</w:t>
      </w:r>
    </w:p>
    <w:p w14:paraId="113BCF20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、报名供应商必须具有合法的经营范围（须提供有效的证明材料，如具有经营范围的营业执照、税务登记证，或当地工商局、市场监督管理局商事主体登记及备案信息查询单扫描件，原件备查）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17FA8F88"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、报名供应商必须具有独立法人资格；</w:t>
      </w:r>
    </w:p>
    <w:p w14:paraId="6873D288"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、本项目不接受联合体投标，不允许分包、转包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40C16C90"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项目完成后，成交供应商须自行选取供应商对活动经费支出明细进行审计，并按时提交审计报告。成交供应商自行承担审计费用，并对审计报告的真实性、合法性和有效性负责。审计报告将作为今后项目合作的重要依据，如发现弄虚作假者，取消三年内合作资格。</w:t>
      </w:r>
    </w:p>
    <w:p w14:paraId="428A79C9"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、成交供应商应保证本项目体育赛事的名称、会徽、商标、吉祥物等标志，符合《中华人民共和国商标法》、《中华人民共和国专利法》以及《中华人民共和国著作权法》等知识产权保护的有关法律法规，不得侵犯第三方的知识产权。</w:t>
      </w:r>
    </w:p>
    <w:p w14:paraId="1099FF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八</w:t>
      </w:r>
      <w:r>
        <w:rPr>
          <w:rFonts w:hint="default" w:ascii="Times New Roman" w:hAnsi="Times New Roman" w:eastAsia="黑体" w:cs="Times New Roman"/>
          <w:sz w:val="32"/>
          <w:szCs w:val="32"/>
        </w:rPr>
        <w:t>、评标方式：</w:t>
      </w:r>
    </w:p>
    <w:p w14:paraId="76AB15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评审定标</w:t>
      </w:r>
    </w:p>
    <w:p w14:paraId="454B4A9A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580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评分标准：</w:t>
      </w:r>
    </w:p>
    <w:tbl>
      <w:tblPr>
        <w:tblStyle w:val="2"/>
        <w:tblW w:w="906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4"/>
        <w:gridCol w:w="1030"/>
        <w:gridCol w:w="6406"/>
      </w:tblGrid>
      <w:tr w14:paraId="5B38926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624" w:type="dxa"/>
            <w:noWrap w:val="0"/>
            <w:vAlign w:val="center"/>
          </w:tcPr>
          <w:p w14:paraId="1E4062CB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评分项目</w:t>
            </w:r>
          </w:p>
        </w:tc>
        <w:tc>
          <w:tcPr>
            <w:tcW w:w="1030" w:type="dxa"/>
            <w:noWrap w:val="0"/>
            <w:vAlign w:val="center"/>
          </w:tcPr>
          <w:p w14:paraId="1425FD33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权重</w:t>
            </w:r>
          </w:p>
        </w:tc>
        <w:tc>
          <w:tcPr>
            <w:tcW w:w="6406" w:type="dxa"/>
            <w:noWrap w:val="0"/>
            <w:vAlign w:val="center"/>
          </w:tcPr>
          <w:p w14:paraId="4B338AC3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b/>
                <w:sz w:val="28"/>
                <w:szCs w:val="28"/>
              </w:rPr>
              <w:t>评 分 参 考 及 范 围</w:t>
            </w:r>
          </w:p>
        </w:tc>
      </w:tr>
      <w:tr w14:paraId="7A2574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624" w:type="dxa"/>
            <w:noWrap w:val="0"/>
            <w:vAlign w:val="center"/>
          </w:tcPr>
          <w:p w14:paraId="171A702F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资质</w:t>
            </w:r>
          </w:p>
        </w:tc>
        <w:tc>
          <w:tcPr>
            <w:tcW w:w="1030" w:type="dxa"/>
            <w:noWrap w:val="0"/>
            <w:vAlign w:val="center"/>
          </w:tcPr>
          <w:p w14:paraId="38477E7B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6406" w:type="dxa"/>
            <w:noWrap w:val="0"/>
            <w:vAlign w:val="center"/>
          </w:tcPr>
          <w:p w14:paraId="34EDE5C5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ind w:left="0" w:leftChars="0"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营业执照等证照齐全，经营范围符合本项目要求的其余不得分。</w:t>
            </w:r>
          </w:p>
        </w:tc>
      </w:tr>
      <w:tr w14:paraId="3F8BC22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624" w:type="dxa"/>
            <w:noWrap w:val="0"/>
            <w:vAlign w:val="center"/>
          </w:tcPr>
          <w:p w14:paraId="63B7BAC1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价格</w:t>
            </w:r>
          </w:p>
        </w:tc>
        <w:tc>
          <w:tcPr>
            <w:tcW w:w="1030" w:type="dxa"/>
            <w:noWrap w:val="0"/>
            <w:vAlign w:val="center"/>
          </w:tcPr>
          <w:p w14:paraId="77EFC113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20</w:t>
            </w:r>
          </w:p>
        </w:tc>
        <w:tc>
          <w:tcPr>
            <w:tcW w:w="6406" w:type="dxa"/>
            <w:noWrap w:val="0"/>
            <w:vAlign w:val="center"/>
          </w:tcPr>
          <w:p w14:paraId="2CF0470E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ind w:left="0" w:leftChars="0"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报名供应商提供项目报价明细，经评审合格的最低投标报价得满分，即得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分；其他经评审合格的报价得分公式=（最低投标报价/投标报价）×20分。未提供报价明细的不得分。</w:t>
            </w:r>
          </w:p>
        </w:tc>
      </w:tr>
      <w:tr w14:paraId="6592F0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624" w:type="dxa"/>
            <w:noWrap w:val="0"/>
            <w:vAlign w:val="center"/>
          </w:tcPr>
          <w:p w14:paraId="74FE177A">
            <w:pPr>
              <w:keepNext w:val="0"/>
              <w:keepLines w:val="0"/>
              <w:pageBreakBefore w:val="0"/>
              <w:widowControl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业绩情况</w:t>
            </w:r>
          </w:p>
        </w:tc>
        <w:tc>
          <w:tcPr>
            <w:tcW w:w="1030" w:type="dxa"/>
            <w:noWrap w:val="0"/>
            <w:vAlign w:val="center"/>
          </w:tcPr>
          <w:p w14:paraId="730BC7D8">
            <w:pPr>
              <w:keepNext w:val="0"/>
              <w:keepLines w:val="0"/>
              <w:pageBreakBefore w:val="0"/>
              <w:widowControl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6406" w:type="dxa"/>
            <w:noWrap w:val="0"/>
            <w:vAlign w:val="center"/>
          </w:tcPr>
          <w:p w14:paraId="52DCFD90">
            <w:pPr>
              <w:keepNext w:val="0"/>
              <w:keepLines w:val="0"/>
              <w:pageBreakBefore w:val="0"/>
              <w:widowControl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自202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年1月1日至响应截止日，以合同签订日期为准，报名供应商具备承接区级及以上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体育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主管部门、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体育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事业单位主办的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棋类比赛活动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相关经验的，每提供一项得5分，最高得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0分，需提供合同关键页（关键信息包括但不仅限于体现项目内容、签订日期等）扫描件（原件备查），未提供证明材料或所提供证明材料未能体现上述评分内容的不得分。</w:t>
            </w:r>
          </w:p>
        </w:tc>
      </w:tr>
      <w:tr w14:paraId="67824D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1624" w:type="dxa"/>
            <w:noWrap w:val="0"/>
            <w:vAlign w:val="center"/>
          </w:tcPr>
          <w:p w14:paraId="2833641E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活动方案</w:t>
            </w:r>
          </w:p>
        </w:tc>
        <w:tc>
          <w:tcPr>
            <w:tcW w:w="1030" w:type="dxa"/>
            <w:noWrap w:val="0"/>
            <w:vAlign w:val="center"/>
          </w:tcPr>
          <w:p w14:paraId="3C012AE2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eastAsia="zh-CN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  <w:lang w:val="en-US" w:eastAsia="zh-CN"/>
              </w:rPr>
              <w:t>60</w:t>
            </w:r>
          </w:p>
        </w:tc>
        <w:tc>
          <w:tcPr>
            <w:tcW w:w="6406" w:type="dxa"/>
            <w:noWrap w:val="0"/>
            <w:vAlign w:val="center"/>
          </w:tcPr>
          <w:p w14:paraId="226C1D12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ind w:left="0" w:leftChars="0"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报名供应商需提交本项目赛事活动组织方案、赛事活动安保工作方案、赛事活动应急处置预案、赛事活动应急演练方案、赛事活动风险评估报告、赛事综合效益评估报告。每一项方案总分为10分（其中优：8-10分；良：5-7分；差：0-4分），最高得60分，未提供不得分。</w:t>
            </w:r>
          </w:p>
        </w:tc>
      </w:tr>
      <w:tr w14:paraId="7BDB00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6" w:hRule="atLeast"/>
          <w:jc w:val="center"/>
        </w:trPr>
        <w:tc>
          <w:tcPr>
            <w:tcW w:w="1624" w:type="dxa"/>
            <w:noWrap w:val="0"/>
            <w:vAlign w:val="center"/>
          </w:tcPr>
          <w:p w14:paraId="1DF9F41B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总分</w:t>
            </w:r>
          </w:p>
        </w:tc>
        <w:tc>
          <w:tcPr>
            <w:tcW w:w="1030" w:type="dxa"/>
            <w:noWrap w:val="0"/>
            <w:vAlign w:val="center"/>
          </w:tcPr>
          <w:p w14:paraId="65998EF6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textAlignment w:val="auto"/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</w:pPr>
            <w:r>
              <w:rPr>
                <w:rFonts w:hint="eastAsia" w:ascii="CESI仿宋-GB2312" w:hAnsi="CESI仿宋-GB2312" w:eastAsia="CESI仿宋-GB2312" w:cs="CESI仿宋-GB2312"/>
                <w:sz w:val="28"/>
                <w:szCs w:val="28"/>
              </w:rPr>
              <w:t>100</w:t>
            </w:r>
          </w:p>
        </w:tc>
        <w:tc>
          <w:tcPr>
            <w:tcW w:w="6406" w:type="dxa"/>
            <w:noWrap w:val="0"/>
            <w:vAlign w:val="center"/>
          </w:tcPr>
          <w:p w14:paraId="2DADE5E3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ind w:left="0" w:leftChars="0"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 w14:paraId="5ED073D2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814" w:right="1474" w:bottom="181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C69E28"/>
    <w:multiLevelType w:val="singleLevel"/>
    <w:tmpl w:val="9FC69E2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10A069E"/>
    <w:multiLevelType w:val="singleLevel"/>
    <w:tmpl w:val="610A069E"/>
    <w:lvl w:ilvl="0" w:tentative="0">
      <w:start w:val="9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79D7358"/>
    <w:rsid w:val="15A3E1E6"/>
    <w:rsid w:val="214D79C4"/>
    <w:rsid w:val="268146D3"/>
    <w:rsid w:val="33371FCC"/>
    <w:rsid w:val="3BF17747"/>
    <w:rsid w:val="3DA34150"/>
    <w:rsid w:val="3F9F9CB4"/>
    <w:rsid w:val="49F3CCF6"/>
    <w:rsid w:val="6B4B3B7F"/>
    <w:rsid w:val="6E0A0EF5"/>
    <w:rsid w:val="6E49E8A8"/>
    <w:rsid w:val="6F8E9D9F"/>
    <w:rsid w:val="6FBD7E92"/>
    <w:rsid w:val="7311689E"/>
    <w:rsid w:val="73294434"/>
    <w:rsid w:val="75F9ABA4"/>
    <w:rsid w:val="77677F0C"/>
    <w:rsid w:val="77AFBF78"/>
    <w:rsid w:val="7BA76BE7"/>
    <w:rsid w:val="9B7920AC"/>
    <w:rsid w:val="9E9F5C2E"/>
    <w:rsid w:val="B357D0AC"/>
    <w:rsid w:val="BDE365C3"/>
    <w:rsid w:val="D1F11F8F"/>
    <w:rsid w:val="D3EFE88C"/>
    <w:rsid w:val="DBDC6CC3"/>
    <w:rsid w:val="DFFDD485"/>
    <w:rsid w:val="E79D7358"/>
    <w:rsid w:val="EBF79DE7"/>
    <w:rsid w:val="F5B7FFF6"/>
    <w:rsid w:val="F6DDD797"/>
    <w:rsid w:val="F77ED58F"/>
    <w:rsid w:val="FBE3C874"/>
    <w:rsid w:val="FCFFACD2"/>
    <w:rsid w:val="FDDF8675"/>
    <w:rsid w:val="FDFEA37C"/>
    <w:rsid w:val="FFABA494"/>
    <w:rsid w:val="FFF5DBDB"/>
    <w:rsid w:val="FFFE305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1159</Words>
  <Characters>1200</Characters>
  <Lines>0</Lines>
  <Paragraphs>0</Paragraphs>
  <TotalTime>0</TotalTime>
  <ScaleCrop>false</ScaleCrop>
  <LinksUpToDate>false</LinksUpToDate>
  <CharactersWithSpaces>1206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2022-11-22T18:27:00Z</dcterms:created>
  <dc:creator>tyk2214</dc:creator>
  <cp:lastModifiedBy>wtj</cp:lastModifiedBy>
  <dcterms:modified xsi:type="dcterms:W3CDTF">2026-07-20T10:59:02Z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ICV">
    <vt:lpwstr>965B208AEF6B41A99009B52DCF38AACB_13</vt:lpwstr>
  </property>
  <property fmtid="{D5CDD505-2E9C-101B-9397-08002B2CF9AE}" pid="4" name="KSOTemplateDocerSaveRecord">
    <vt:lpwstr>eyJoZGlkIjoiMjE3YTIyMGVlMzY4NGZkNmJmNzVlZDQ3NTYzZTc2YjkiLCJ1c2VySWQiOiIyMzcwMzI4NTMifQ==</vt:lpwstr>
  </property>
</Properties>
</file>