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A93EFF">
      <w:pPr>
        <w:pStyle w:val="4"/>
        <w:spacing w:line="240" w:lineRule="auto"/>
        <w:ind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highlight w:val="none"/>
        </w:rPr>
        <w:t xml:space="preserve">   </w:t>
      </w:r>
      <w:r>
        <w:rPr>
          <w:rFonts w:ascii="仿宋_GB2312" w:hAnsi="仿宋_GB2312" w:eastAsia="仿宋_GB2312" w:cs="仿宋_GB2312"/>
          <w:b w:val="0"/>
          <w:bCs w:val="0"/>
          <w:sz w:val="32"/>
          <w:szCs w:val="32"/>
          <w:highlight w:val="none"/>
        </w:rPr>
        <w:t xml:space="preserve">  </w:t>
      </w:r>
      <w:r>
        <w:rPr>
          <w:rFonts w:hint="eastAsia" w:ascii="仿宋_GB2312" w:hAnsi="仿宋_GB2312" w:eastAsia="仿宋_GB2312" w:cs="仿宋_GB2312"/>
          <w:b w:val="0"/>
          <w:bCs w:val="0"/>
          <w:sz w:val="32"/>
          <w:szCs w:val="32"/>
          <w:highlight w:val="none"/>
        </w:rPr>
        <w:t>合同编号：XMH</w:t>
      </w:r>
      <w:r>
        <w:rPr>
          <w:rFonts w:hint="eastAsia" w:ascii="仿宋_GB2312" w:hAnsi="仿宋_GB2312" w:eastAsia="仿宋_GB2312" w:cs="仿宋_GB2312"/>
          <w:b w:val="0"/>
          <w:bCs w:val="0"/>
          <w:sz w:val="32"/>
          <w:szCs w:val="32"/>
          <w:highlight w:val="none"/>
          <w:lang w:val="en-US" w:eastAsia="zh-CN"/>
        </w:rPr>
        <w:t>2026137</w:t>
      </w:r>
    </w:p>
    <w:p w14:paraId="19528851">
      <w:pPr>
        <w:keepNext/>
        <w:keepLines/>
        <w:jc w:val="center"/>
        <w:rPr>
          <w:sz w:val="44"/>
          <w:szCs w:val="44"/>
          <w:highlight w:val="none"/>
          <w:u w:val="single"/>
        </w:rPr>
      </w:pPr>
    </w:p>
    <w:p w14:paraId="5A525F9F">
      <w:pPr>
        <w:keepNext/>
        <w:keepLines/>
        <w:jc w:val="center"/>
        <w:rPr>
          <w:rFonts w:ascii="宋体" w:hAnsi="宋体" w:cs="宋体"/>
          <w:b/>
          <w:bCs/>
          <w:sz w:val="52"/>
          <w:szCs w:val="52"/>
          <w:highlight w:val="none"/>
        </w:rPr>
      </w:pPr>
    </w:p>
    <w:p w14:paraId="016DE0C6">
      <w:pPr>
        <w:keepNext/>
        <w:keepLines/>
        <w:jc w:val="center"/>
        <w:rPr>
          <w:rFonts w:ascii="宋体" w:hAnsi="宋体" w:cs="宋体"/>
          <w:b/>
          <w:bCs/>
          <w:sz w:val="52"/>
          <w:szCs w:val="52"/>
          <w:highlight w:val="none"/>
        </w:rPr>
      </w:pPr>
    </w:p>
    <w:p w14:paraId="51BB1CA7">
      <w:pPr>
        <w:keepNext/>
        <w:keepLines/>
        <w:jc w:val="center"/>
        <w:rPr>
          <w:rFonts w:hint="eastAsia" w:ascii="宋体" w:hAnsi="宋体" w:cs="宋体"/>
          <w:b/>
          <w:bCs/>
          <w:sz w:val="72"/>
          <w:szCs w:val="72"/>
          <w:highlight w:val="none"/>
        </w:rPr>
      </w:pPr>
      <w:r>
        <w:rPr>
          <w:rFonts w:hint="eastAsia" w:ascii="宋体" w:hAnsi="宋体" w:cs="宋体"/>
          <w:b/>
          <w:bCs/>
          <w:sz w:val="72"/>
          <w:szCs w:val="72"/>
          <w:highlight w:val="none"/>
        </w:rPr>
        <w:t>福田区香蜜湖街道</w:t>
      </w:r>
      <w:r>
        <w:rPr>
          <w:rFonts w:hint="eastAsia" w:ascii="宋体" w:hAnsi="宋体" w:cs="宋体"/>
          <w:b/>
          <w:bCs/>
          <w:sz w:val="72"/>
          <w:szCs w:val="72"/>
          <w:highlight w:val="none"/>
          <w:lang w:eastAsia="zh-CN"/>
        </w:rPr>
        <w:t>办事处</w:t>
      </w:r>
      <w:r>
        <w:rPr>
          <w:rFonts w:hint="eastAsia" w:ascii="宋体" w:hAnsi="宋体" w:cs="宋体"/>
          <w:b/>
          <w:bCs/>
          <w:sz w:val="72"/>
          <w:szCs w:val="72"/>
          <w:highlight w:val="none"/>
        </w:rPr>
        <w:t>购买社会工作服务</w:t>
      </w:r>
    </w:p>
    <w:p w14:paraId="332F20D8">
      <w:pPr>
        <w:keepNext/>
        <w:keepLines/>
        <w:jc w:val="center"/>
        <w:rPr>
          <w:rFonts w:hint="eastAsia" w:ascii="宋体" w:hAnsi="宋体" w:cs="宋体"/>
          <w:b/>
          <w:bCs/>
          <w:sz w:val="72"/>
          <w:szCs w:val="72"/>
          <w:highlight w:val="none"/>
        </w:rPr>
      </w:pPr>
      <w:r>
        <w:rPr>
          <w:rFonts w:hint="eastAsia" w:ascii="宋体" w:hAnsi="宋体" w:cs="宋体"/>
          <w:b/>
          <w:bCs/>
          <w:sz w:val="72"/>
          <w:szCs w:val="72"/>
          <w:highlight w:val="none"/>
        </w:rPr>
        <w:t>项目合同</w:t>
      </w:r>
    </w:p>
    <w:p w14:paraId="360C71D2">
      <w:pPr>
        <w:keepNext/>
        <w:keepLines/>
        <w:jc w:val="center"/>
        <w:rPr>
          <w:rFonts w:hint="eastAsia" w:ascii="宋体" w:hAnsi="宋体" w:cs="宋体" w:eastAsiaTheme="minorEastAsia"/>
          <w:b/>
          <w:bCs/>
          <w:sz w:val="72"/>
          <w:szCs w:val="72"/>
          <w:highlight w:val="none"/>
          <w:lang w:eastAsia="zh-CN"/>
        </w:rPr>
      </w:pPr>
      <w:r>
        <w:rPr>
          <w:rFonts w:hint="eastAsia" w:ascii="宋体" w:hAnsi="宋体" w:cs="宋体"/>
          <w:b/>
          <w:bCs/>
          <w:sz w:val="72"/>
          <w:szCs w:val="72"/>
          <w:highlight w:val="none"/>
          <w:lang w:eastAsia="zh-CN"/>
        </w:rPr>
        <w:t>（</w:t>
      </w:r>
      <w:r>
        <w:rPr>
          <w:rFonts w:hint="eastAsia" w:ascii="宋体" w:hAnsi="宋体" w:cs="宋体"/>
          <w:b/>
          <w:bCs/>
          <w:sz w:val="72"/>
          <w:szCs w:val="72"/>
          <w:highlight w:val="none"/>
          <w:lang w:val="en-US" w:eastAsia="zh-CN"/>
        </w:rPr>
        <w:t>2026年-2027年</w:t>
      </w:r>
      <w:r>
        <w:rPr>
          <w:rFonts w:hint="eastAsia" w:ascii="宋体" w:hAnsi="宋体" w:cs="宋体"/>
          <w:b/>
          <w:bCs/>
          <w:sz w:val="72"/>
          <w:szCs w:val="72"/>
          <w:highlight w:val="none"/>
          <w:lang w:eastAsia="zh-CN"/>
        </w:rPr>
        <w:t>）</w:t>
      </w:r>
    </w:p>
    <w:p w14:paraId="353D7764">
      <w:pPr>
        <w:keepNext/>
        <w:keepLines/>
        <w:jc w:val="center"/>
        <w:rPr>
          <w:sz w:val="48"/>
          <w:szCs w:val="48"/>
          <w:highlight w:val="none"/>
          <w:u w:val="single"/>
        </w:rPr>
      </w:pPr>
    </w:p>
    <w:p w14:paraId="7A9D046F">
      <w:pPr>
        <w:keepNext/>
        <w:keepLines/>
        <w:jc w:val="center"/>
        <w:rPr>
          <w:sz w:val="48"/>
          <w:szCs w:val="48"/>
          <w:highlight w:val="none"/>
          <w:u w:val="single"/>
        </w:rPr>
      </w:pPr>
    </w:p>
    <w:p w14:paraId="7001E1EA">
      <w:pPr>
        <w:keepNext/>
        <w:keepLines/>
        <w:jc w:val="center"/>
        <w:rPr>
          <w:sz w:val="48"/>
          <w:szCs w:val="48"/>
          <w:highlight w:val="none"/>
          <w:u w:val="single"/>
        </w:rPr>
      </w:pPr>
    </w:p>
    <w:p w14:paraId="3B84742B">
      <w:pPr>
        <w:keepNext/>
        <w:keepLines/>
        <w:jc w:val="center"/>
        <w:rPr>
          <w:sz w:val="48"/>
          <w:szCs w:val="48"/>
          <w:highlight w:val="none"/>
          <w:u w:val="single"/>
        </w:rPr>
      </w:pPr>
    </w:p>
    <w:p w14:paraId="381FEF78">
      <w:pPr>
        <w:keepNext/>
        <w:keepLines/>
        <w:jc w:val="center"/>
        <w:rPr>
          <w:sz w:val="48"/>
          <w:szCs w:val="48"/>
          <w:highlight w:val="none"/>
          <w:u w:val="single"/>
        </w:rPr>
      </w:pPr>
    </w:p>
    <w:p w14:paraId="5E8E6574">
      <w:pPr>
        <w:keepNext/>
        <w:keepLines/>
        <w:ind w:firstLine="0" w:firstLineChars="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rPr>
        <w:t>项目名称：福田区香蜜湖街道办事处</w:t>
      </w:r>
      <w:r>
        <w:rPr>
          <w:rFonts w:hint="eastAsia" w:ascii="仿宋_GB2312" w:hAnsi="仿宋_GB2312" w:eastAsia="仿宋_GB2312" w:cs="仿宋_GB2312"/>
          <w:bCs/>
          <w:sz w:val="32"/>
          <w:szCs w:val="32"/>
          <w:highlight w:val="none"/>
          <w:lang w:eastAsia="zh-CN"/>
        </w:rPr>
        <w:t>竹园、竹林、香岭</w:t>
      </w:r>
      <w:r>
        <w:rPr>
          <w:rFonts w:hint="eastAsia" w:ascii="仿宋_GB2312" w:hAnsi="仿宋_GB2312" w:eastAsia="仿宋_GB2312" w:cs="仿宋_GB2312"/>
          <w:bCs/>
          <w:sz w:val="32"/>
          <w:szCs w:val="32"/>
          <w:highlight w:val="none"/>
        </w:rPr>
        <w:t>社区党群服务中心社会工作服务项目</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2026</w:t>
      </w:r>
      <w:r>
        <w:rPr>
          <w:rFonts w:hint="eastAsia" w:ascii="仿宋_GB2312" w:hAnsi="仿宋_GB2312" w:eastAsia="仿宋_GB2312" w:cs="仿宋_GB2312"/>
          <w:bCs/>
          <w:sz w:val="32"/>
          <w:szCs w:val="32"/>
          <w:highlight w:val="none"/>
          <w:lang w:eastAsia="zh-CN"/>
        </w:rPr>
        <w:t>年</w:t>
      </w:r>
      <w:r>
        <w:rPr>
          <w:rFonts w:hint="eastAsia" w:ascii="仿宋_GB2312" w:hAnsi="仿宋_GB2312" w:eastAsia="仿宋_GB2312" w:cs="仿宋_GB2312"/>
          <w:bCs/>
          <w:sz w:val="32"/>
          <w:szCs w:val="32"/>
          <w:highlight w:val="none"/>
          <w:lang w:val="en-US" w:eastAsia="zh-CN"/>
        </w:rPr>
        <w:t>-2027年</w:t>
      </w:r>
      <w:r>
        <w:rPr>
          <w:rFonts w:hint="eastAsia" w:ascii="仿宋_GB2312" w:hAnsi="仿宋_GB2312" w:eastAsia="仿宋_GB2312" w:cs="仿宋_GB2312"/>
          <w:bCs/>
          <w:sz w:val="32"/>
          <w:szCs w:val="32"/>
          <w:highlight w:val="none"/>
          <w:lang w:eastAsia="zh-CN"/>
        </w:rPr>
        <w:t>）</w:t>
      </w:r>
    </w:p>
    <w:p w14:paraId="38B9F021">
      <w:pPr>
        <w:keepNext/>
        <w:keepLines/>
        <w:ind w:firstLine="0" w:firstLineChars="0"/>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甲    方：</w:t>
      </w:r>
      <w:r>
        <w:rPr>
          <w:rFonts w:hint="eastAsia" w:ascii="仿宋_GB2312" w:hAnsi="仿宋_GB2312" w:eastAsia="仿宋_GB2312" w:cs="仿宋_GB2312"/>
          <w:bCs/>
          <w:sz w:val="32"/>
          <w:szCs w:val="32"/>
          <w:highlight w:val="none"/>
          <w:u w:val="single"/>
          <w:lang w:eastAsia="zh-CN"/>
        </w:rPr>
        <w:t>深圳市福田区香蜜湖街道办事处</w:t>
      </w:r>
      <w:r>
        <w:rPr>
          <w:rFonts w:hint="eastAsia" w:ascii="仿宋_GB2312" w:hAnsi="仿宋_GB2312" w:eastAsia="仿宋_GB2312" w:cs="仿宋_GB2312"/>
          <w:bCs/>
          <w:sz w:val="32"/>
          <w:szCs w:val="32"/>
          <w:highlight w:val="none"/>
          <w:u w:val="single"/>
        </w:rPr>
        <w:t xml:space="preserve">                           </w:t>
      </w:r>
    </w:p>
    <w:p w14:paraId="53169E22">
      <w:pPr>
        <w:keepNext/>
        <w:keepLines/>
        <w:ind w:firstLine="0" w:firstLineChars="0"/>
        <w:rPr>
          <w:rFonts w:ascii="仿宋_GB2312" w:hAnsi="仿宋_GB2312" w:eastAsia="仿宋_GB2312" w:cs="仿宋_GB2312"/>
          <w:bCs/>
          <w:sz w:val="32"/>
          <w:szCs w:val="32"/>
          <w:highlight w:val="none"/>
          <w:u w:val="single"/>
        </w:rPr>
      </w:pPr>
      <w:r>
        <w:rPr>
          <w:rFonts w:hint="eastAsia" w:ascii="仿宋_GB2312" w:hAnsi="仿宋_GB2312" w:eastAsia="仿宋_GB2312" w:cs="仿宋_GB2312"/>
          <w:bCs/>
          <w:sz w:val="32"/>
          <w:szCs w:val="32"/>
          <w:highlight w:val="none"/>
        </w:rPr>
        <w:t>乙    方：</w:t>
      </w:r>
      <w:r>
        <w:rPr>
          <w:rFonts w:hint="eastAsia" w:ascii="仿宋_GB2312" w:hAnsi="仿宋_GB2312" w:eastAsia="仿宋_GB2312" w:cs="仿宋_GB2312"/>
          <w:bCs/>
          <w:sz w:val="32"/>
          <w:szCs w:val="32"/>
          <w:highlight w:val="none"/>
          <w:u w:val="single"/>
          <w:lang w:eastAsia="zh-CN"/>
        </w:rPr>
        <w:t>深圳市志远社会工作服务社</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 xml:space="preserve"> </w:t>
      </w:r>
    </w:p>
    <w:p w14:paraId="6DC5D3AB">
      <w:pPr>
        <w:keepNext/>
        <w:keepLines/>
        <w:rPr>
          <w:sz w:val="48"/>
          <w:szCs w:val="48"/>
          <w:highlight w:val="none"/>
          <w:u w:val="single"/>
        </w:rPr>
      </w:pPr>
    </w:p>
    <w:p w14:paraId="6BBB9BDE">
      <w:pPr>
        <w:keepNext/>
        <w:keepLines/>
        <w:widowControl w:val="0"/>
        <w:suppressLineNumbers w:val="0"/>
        <w:jc w:val="center"/>
        <w:rPr>
          <w:rFonts w:hint="eastAsia" w:ascii="方正小标宋简体" w:hAnsi="方正小标宋简体" w:eastAsia="方正小标宋简体" w:cs="方正小标宋简体"/>
          <w:color w:val="000000"/>
          <w:kern w:val="0"/>
          <w:sz w:val="44"/>
          <w:szCs w:val="44"/>
          <w:highlight w:val="none"/>
          <w:lang w:val="en-US" w:eastAsia="zh-CN" w:bidi="ar"/>
        </w:rPr>
        <w:sectPr>
          <w:pgSz w:w="11906" w:h="16838"/>
          <w:pgMar w:top="1440" w:right="1800" w:bottom="1440" w:left="1800" w:header="851" w:footer="992" w:gutter="0"/>
          <w:cols w:space="425" w:num="1"/>
          <w:docGrid w:type="lines" w:linePitch="312" w:charSpace="0"/>
        </w:sectPr>
      </w:pPr>
    </w:p>
    <w:p w14:paraId="4CCD5211">
      <w:pPr>
        <w:keepNext w:val="0"/>
        <w:keepLines w:val="0"/>
        <w:widowControl w:val="0"/>
        <w:suppressLineNumbers w:val="0"/>
        <w:jc w:val="center"/>
        <w:rPr>
          <w:rFonts w:hint="eastAsia" w:ascii="仿宋_GB2312" w:hAnsi="仿宋_GB2312" w:eastAsia="仿宋_GB2312" w:cs="仿宋_GB2312"/>
          <w:bCs/>
          <w:sz w:val="32"/>
          <w:szCs w:val="32"/>
          <w:highlight w:val="none"/>
          <w:lang w:eastAsia="zh-CN"/>
        </w:rPr>
      </w:pPr>
      <w:bookmarkStart w:id="0" w:name="_GoBack"/>
      <w:r>
        <w:rPr>
          <w:rFonts w:hint="eastAsia" w:ascii="方正小标宋简体" w:hAnsi="方正小标宋简体" w:eastAsia="方正小标宋简体" w:cs="方正小标宋简体"/>
          <w:color w:val="000000"/>
          <w:kern w:val="0"/>
          <w:sz w:val="44"/>
          <w:szCs w:val="44"/>
          <w:highlight w:val="none"/>
          <w:lang w:val="en-US" w:eastAsia="zh-CN" w:bidi="ar"/>
        </w:rPr>
        <w:t>福田区香蜜湖街道办事处竹园、竹林、香岭社区党群服务中心社会工作服务项目合同</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2026年-2027年</w:t>
      </w:r>
      <w:r>
        <w:rPr>
          <w:rFonts w:hint="eastAsia" w:ascii="仿宋_GB2312" w:hAnsi="仿宋_GB2312" w:eastAsia="仿宋_GB2312" w:cs="仿宋_GB2312"/>
          <w:bCs/>
          <w:sz w:val="32"/>
          <w:szCs w:val="32"/>
          <w:highlight w:val="none"/>
          <w:lang w:eastAsia="zh-CN"/>
        </w:rPr>
        <w:t>）</w:t>
      </w:r>
    </w:p>
    <w:p w14:paraId="46A3EDDB">
      <w:pPr>
        <w:pStyle w:val="2"/>
        <w:rPr>
          <w:rFonts w:hint="eastAsia"/>
          <w:lang w:val="en-US" w:eastAsia="zh-CN"/>
        </w:rPr>
      </w:pPr>
    </w:p>
    <w:p w14:paraId="55B90F0B">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rPr>
        <w:t>甲方（采购人）：</w:t>
      </w:r>
      <w:r>
        <w:rPr>
          <w:rFonts w:hint="eastAsia" w:ascii="仿宋_GB2312" w:hAnsi="仿宋_GB2312" w:eastAsia="仿宋_GB2312" w:cs="仿宋_GB2312"/>
          <w:sz w:val="28"/>
          <w:szCs w:val="28"/>
          <w:highlight w:val="none"/>
          <w:lang w:val="en-US" w:eastAsia="zh-CN"/>
        </w:rPr>
        <w:t>深圳市</w:t>
      </w:r>
      <w:r>
        <w:rPr>
          <w:rFonts w:hint="eastAsia" w:ascii="仿宋_GB2312" w:hAnsi="仿宋_GB2312" w:eastAsia="仿宋_GB2312" w:cs="仿宋_GB2312"/>
          <w:sz w:val="28"/>
          <w:szCs w:val="28"/>
          <w:highlight w:val="none"/>
          <w:lang w:eastAsia="zh-CN"/>
        </w:rPr>
        <w:t>福田区香蜜湖街道办事处</w:t>
      </w:r>
    </w:p>
    <w:p w14:paraId="10C1B433">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法定代表人/负责人或授权代表：</w:t>
      </w:r>
      <w:r>
        <w:rPr>
          <w:rFonts w:hint="eastAsia" w:ascii="仿宋_GB2312" w:hAnsi="仿宋_GB2312" w:eastAsia="仿宋_GB2312" w:cs="仿宋_GB2312"/>
          <w:sz w:val="28"/>
          <w:szCs w:val="28"/>
          <w:highlight w:val="none"/>
          <w:lang w:val="en-US" w:eastAsia="zh-CN"/>
        </w:rPr>
        <w:t>XX</w:t>
      </w:r>
    </w:p>
    <w:p w14:paraId="73DD515D">
      <w:pPr>
        <w:keepNext w:val="0"/>
        <w:keepLines w:val="0"/>
        <w:adjustRightInd w:val="0"/>
        <w:snapToGrid w:val="0"/>
        <w:spacing w:line="560" w:lineRule="exact"/>
        <w:jc w:val="left"/>
        <w:rPr>
          <w:rFonts w:hint="default"/>
          <w:highlight w:val="none"/>
          <w:lang w:val="en-US" w:eastAsia="zh-CN"/>
        </w:rPr>
      </w:pPr>
      <w:r>
        <w:rPr>
          <w:rFonts w:hint="eastAsia" w:ascii="仿宋_GB2312" w:hAnsi="仿宋_GB2312" w:eastAsia="仿宋_GB2312" w:cs="仿宋_GB2312"/>
          <w:sz w:val="28"/>
          <w:szCs w:val="28"/>
          <w:highlight w:val="none"/>
          <w:lang w:eastAsia="zh-CN"/>
        </w:rPr>
        <w:t>联系人：</w:t>
      </w:r>
      <w:r>
        <w:rPr>
          <w:rFonts w:hint="eastAsia" w:ascii="仿宋_GB2312" w:hAnsi="仿宋_GB2312" w:eastAsia="仿宋_GB2312" w:cs="仿宋_GB2312"/>
          <w:sz w:val="28"/>
          <w:szCs w:val="28"/>
          <w:highlight w:val="none"/>
          <w:lang w:val="en-US" w:eastAsia="zh-CN"/>
        </w:rPr>
        <w:t>XX</w:t>
      </w:r>
    </w:p>
    <w:p w14:paraId="6D3E0CFD">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rPr>
        <w:t>地址：</w:t>
      </w:r>
      <w:r>
        <w:rPr>
          <w:rFonts w:hint="eastAsia" w:ascii="仿宋_GB2312" w:hAnsi="仿宋_GB2312" w:eastAsia="仿宋_GB2312" w:cs="仿宋_GB2312"/>
          <w:sz w:val="28"/>
          <w:szCs w:val="28"/>
          <w:highlight w:val="none"/>
          <w:lang w:eastAsia="zh-CN"/>
        </w:rPr>
        <w:t>深圳市福田区香蜜湖街道农林路1号</w:t>
      </w:r>
    </w:p>
    <w:p w14:paraId="0D583B2D">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联系电话：</w:t>
      </w:r>
      <w:r>
        <w:rPr>
          <w:rFonts w:hint="eastAsia" w:ascii="仿宋_GB2312" w:hAnsi="仿宋_GB2312" w:eastAsia="仿宋_GB2312" w:cs="仿宋_GB2312"/>
          <w:sz w:val="28"/>
          <w:szCs w:val="28"/>
          <w:highlight w:val="none"/>
          <w:lang w:val="en-US" w:eastAsia="zh-CN"/>
        </w:rPr>
        <w:t>XX</w:t>
      </w:r>
    </w:p>
    <w:p w14:paraId="5CFFF7B1">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乙方（供应商）：深圳</w:t>
      </w:r>
      <w:r>
        <w:rPr>
          <w:rFonts w:hint="eastAsia" w:ascii="仿宋_GB2312" w:hAnsi="仿宋_GB2312" w:eastAsia="仿宋_GB2312" w:cs="仿宋_GB2312"/>
          <w:sz w:val="28"/>
          <w:szCs w:val="28"/>
          <w:highlight w:val="none"/>
          <w:lang w:eastAsia="zh-CN"/>
        </w:rPr>
        <w:t>市志远社会工作</w:t>
      </w:r>
      <w:r>
        <w:rPr>
          <w:rFonts w:hint="eastAsia" w:ascii="仿宋_GB2312" w:hAnsi="仿宋_GB2312" w:eastAsia="仿宋_GB2312" w:cs="仿宋_GB2312"/>
          <w:sz w:val="28"/>
          <w:szCs w:val="28"/>
          <w:highlight w:val="none"/>
        </w:rPr>
        <w:t>服务社</w:t>
      </w:r>
    </w:p>
    <w:p w14:paraId="0EAD22F1">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法定代表人或授权代表：</w:t>
      </w:r>
      <w:r>
        <w:rPr>
          <w:rFonts w:hint="eastAsia" w:ascii="仿宋_GB2312" w:hAnsi="仿宋_GB2312" w:eastAsia="仿宋_GB2312" w:cs="仿宋_GB2312"/>
          <w:sz w:val="28"/>
          <w:szCs w:val="28"/>
          <w:highlight w:val="none"/>
          <w:lang w:val="en-US" w:eastAsia="zh-CN"/>
        </w:rPr>
        <w:t>XX</w:t>
      </w:r>
    </w:p>
    <w:p w14:paraId="69BB21CE">
      <w:pPr>
        <w:keepNext w:val="0"/>
        <w:keepLines w:val="0"/>
        <w:adjustRightInd w:val="0"/>
        <w:snapToGrid w:val="0"/>
        <w:spacing w:line="560" w:lineRule="exact"/>
        <w:jc w:val="left"/>
        <w:rPr>
          <w:rFonts w:hint="default"/>
          <w:highlight w:val="none"/>
          <w:lang w:val="en-US"/>
        </w:rPr>
      </w:pPr>
      <w:r>
        <w:rPr>
          <w:rFonts w:hint="eastAsia" w:ascii="仿宋_GB2312" w:hAnsi="仿宋_GB2312" w:eastAsia="仿宋_GB2312" w:cs="仿宋_GB2312"/>
          <w:sz w:val="28"/>
          <w:szCs w:val="28"/>
          <w:highlight w:val="none"/>
          <w:lang w:eastAsia="zh-CN"/>
        </w:rPr>
        <w:t>联系人：</w:t>
      </w:r>
      <w:r>
        <w:rPr>
          <w:rFonts w:hint="eastAsia" w:ascii="仿宋_GB2312" w:hAnsi="仿宋_GB2312" w:eastAsia="仿宋_GB2312" w:cs="仿宋_GB2312"/>
          <w:sz w:val="28"/>
          <w:szCs w:val="28"/>
          <w:highlight w:val="none"/>
          <w:lang w:val="en-US" w:eastAsia="zh-CN"/>
        </w:rPr>
        <w:t>XX</w:t>
      </w:r>
    </w:p>
    <w:p w14:paraId="011E6846">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地址：</w:t>
      </w:r>
      <w:r>
        <w:rPr>
          <w:rFonts w:hint="eastAsia" w:ascii="仿宋_GB2312" w:hAnsi="仿宋_GB2312" w:eastAsia="仿宋_GB2312" w:cs="仿宋_GB2312"/>
          <w:sz w:val="28"/>
          <w:szCs w:val="28"/>
          <w:highlight w:val="none"/>
          <w:lang w:eastAsia="zh-CN"/>
        </w:rPr>
        <w:t>深圳市龙岗区陂头肚综合楼</w:t>
      </w:r>
      <w:r>
        <w:rPr>
          <w:rFonts w:hint="eastAsia" w:ascii="仿宋_GB2312" w:hAnsi="仿宋_GB2312" w:eastAsia="仿宋_GB2312" w:cs="仿宋_GB2312"/>
          <w:sz w:val="28"/>
          <w:szCs w:val="28"/>
          <w:highlight w:val="none"/>
          <w:lang w:val="en-US" w:eastAsia="zh-CN"/>
        </w:rPr>
        <w:t>C栋13层</w:t>
      </w:r>
    </w:p>
    <w:p w14:paraId="4CBFD332">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联系电话：</w:t>
      </w:r>
      <w:r>
        <w:rPr>
          <w:rFonts w:hint="eastAsia" w:ascii="仿宋_GB2312" w:hAnsi="仿宋_GB2312" w:eastAsia="仿宋_GB2312" w:cs="仿宋_GB2312"/>
          <w:sz w:val="28"/>
          <w:szCs w:val="28"/>
          <w:highlight w:val="none"/>
          <w:lang w:val="en-US" w:eastAsia="zh-CN"/>
        </w:rPr>
        <w:t>XX</w:t>
      </w:r>
    </w:p>
    <w:p w14:paraId="2C68F14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p>
    <w:p w14:paraId="557D654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根据《中华人民共和国民法典》、《深圳经济特区政府采购条例》、《深圳经济特区政府采购条例实施细则》和</w:t>
      </w:r>
      <w:r>
        <w:rPr>
          <w:rFonts w:hint="eastAsia" w:ascii="仿宋_GB2312" w:hAnsi="仿宋_GB2312" w:eastAsia="仿宋_GB2312" w:cs="仿宋_GB2312"/>
          <w:color w:val="auto"/>
          <w:kern w:val="0"/>
          <w:sz w:val="28"/>
          <w:szCs w:val="28"/>
          <w:highlight w:val="none"/>
          <w:lang w:val="en-US" w:eastAsia="zh-CN" w:bidi="ar"/>
        </w:rPr>
        <w:t>《政府购买社会工作服务规范指引（试行）》等有关规定，</w:t>
      </w:r>
      <w:r>
        <w:rPr>
          <w:rFonts w:hint="eastAsia" w:ascii="仿宋_GB2312" w:hAnsi="仿宋_GB2312" w:eastAsia="仿宋_GB2312" w:cs="仿宋_GB2312"/>
          <w:color w:val="000000"/>
          <w:kern w:val="0"/>
          <w:sz w:val="28"/>
          <w:szCs w:val="28"/>
          <w:highlight w:val="none"/>
          <w:lang w:val="en-US" w:eastAsia="zh-CN" w:bidi="ar"/>
        </w:rPr>
        <w:t xml:space="preserve">为保证社会工作服务项目质量，明确双方的权利义务，甲乙双方在平等、自愿、协商一致的基础上，就有关事宜达成如下合同： </w:t>
      </w:r>
    </w:p>
    <w:p w14:paraId="35AAB45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第一条 项目名称</w:t>
      </w:r>
      <w:r>
        <w:rPr>
          <w:rFonts w:hint="eastAsia" w:ascii="仿宋_GB2312" w:hAnsi="仿宋_GB2312" w:eastAsia="仿宋_GB2312" w:cs="仿宋_GB2312"/>
          <w:color w:val="000000"/>
          <w:kern w:val="0"/>
          <w:sz w:val="28"/>
          <w:szCs w:val="28"/>
          <w:highlight w:val="none"/>
          <w:lang w:val="en-US" w:eastAsia="zh-CN" w:bidi="ar"/>
        </w:rPr>
        <w:t xml:space="preserve"> </w:t>
      </w:r>
    </w:p>
    <w:p w14:paraId="7C5902F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1"/>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福田区香蜜湖街道办事处竹园、竹林、香岭社区党群服务中心社会工作服务项目</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2026年-2027年</w:t>
      </w:r>
      <w:r>
        <w:rPr>
          <w:rFonts w:hint="eastAsia" w:ascii="仿宋_GB2312" w:hAnsi="仿宋_GB2312" w:eastAsia="仿宋_GB2312" w:cs="仿宋_GB2312"/>
          <w:bCs/>
          <w:sz w:val="32"/>
          <w:szCs w:val="32"/>
          <w:highlight w:val="none"/>
          <w:lang w:eastAsia="zh-CN"/>
        </w:rPr>
        <w:t>）</w:t>
      </w:r>
    </w:p>
    <w:p w14:paraId="5CD6D9E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第二条 服务目的 </w:t>
      </w:r>
    </w:p>
    <w:p w14:paraId="51CC679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一）坚持党委领导。服务项目在社区党委的领导下，围绕社区党委的中心工作开展社区服务，旗帜鲜明地体现为民服务的核心要求，确保为社区居民提供专业服务的过程，成为社区党委联系群众、赢得群众的过程，成为社区党委树立形象、凝聚党心民心的过程。</w:t>
      </w:r>
    </w:p>
    <w:p w14:paraId="28781FE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二）坚持需求导向。聚焦特殊群体，聚焦群众关切，采取多种形式，全面细致调查分析，准确掌握社区居民需求，通过精准化、精细化设计和实施服务项目，为社区居民提供更优质服务，满足社区居民多样化、个性化服务需求。</w:t>
      </w:r>
    </w:p>
    <w:p w14:paraId="1A76508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三）坚持专业方法。推动将社会工作专业理念、知识和技能融入社区建设的各领域、各环节，综合运用专业方法为有需要的个人、家庭和群体、社区提供帮困扶弱、心理疏导、矛盾调处、资源链接、权益维护、能力提升、社会融入等服务，促进社会工作在社区治理体系和治理能力现代化实践中实现专业作为。</w:t>
      </w:r>
    </w:p>
    <w:p w14:paraId="05F8BA0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四）坚持共建共享。探索构建社区、社会组织、社工、社区志愿者、社区慈善资源“五社联动”基层治理模式，充分发挥“社工引领志愿者、志愿者协助社工”的“双工联动”服务模式作用，不断发展壮大基层服务队伍力量。聚力形成多元参与、社区共建、成果共享的新型社区治理模式，推动共建共治共享“首善”社区。</w:t>
      </w:r>
    </w:p>
    <w:p w14:paraId="78EAD7A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第三条 服务群体 </w:t>
      </w:r>
    </w:p>
    <w:p w14:paraId="612E02E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香蜜湖街道居民群众。</w:t>
      </w:r>
    </w:p>
    <w:p w14:paraId="1DC8424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第四条 服务内容 </w:t>
      </w:r>
    </w:p>
    <w:p w14:paraId="25AE490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1"/>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一）社区服务项目。包含“社区助老服务”“社区困境儿童及家庭、儿童青少年成长支持服务”“低保、低边、特困人群、残疾人、困境妇女和流浪乞讨救助服务”等3类服务项目。通过运用专业社会工作方法与社区服务力量进行联动对接，为特殊群体提供生计发展、家庭探访、精神慰藉、心理疏导、人文关怀、能力提升、关系调试、社会融入及资源链接等服务。</w:t>
      </w:r>
    </w:p>
    <w:p w14:paraId="0A8FD67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1"/>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二）社区治理项目。包含“扩大社区参与”“促进社区融合”“推动社区发展”3类服务项目。协助社区引入多元主体参与基层治理，吸纳专业机构和人才，孵化培育社区社会组织，链接慈善资源，开展志愿服务和深港融合服务。充分发挥社工在探索建立社区与社会组织、社会工作者、社区志愿者、社会慈善资源的联动机制中的专业作用。</w:t>
      </w:r>
    </w:p>
    <w:p w14:paraId="6F3626E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1"/>
        <w:rPr>
          <w:rFonts w:hint="eastAsia" w:ascii="仿宋_GB2312" w:hAnsi="仿宋_GB2312" w:eastAsia="仿宋_GB2312" w:cs="仿宋_GB2312"/>
          <w:sz w:val="28"/>
          <w:szCs w:val="28"/>
          <w:highlight w:val="none"/>
          <w:vertAlign w:val="baseline"/>
        </w:rPr>
      </w:pPr>
      <w:r>
        <w:rPr>
          <w:rFonts w:hint="eastAsia" w:ascii="仿宋_GB2312" w:hAnsi="仿宋_GB2312" w:eastAsia="仿宋_GB2312" w:cs="仿宋_GB2312"/>
          <w:color w:val="000000"/>
          <w:kern w:val="0"/>
          <w:sz w:val="28"/>
          <w:szCs w:val="28"/>
          <w:highlight w:val="none"/>
          <w:lang w:val="en-US" w:eastAsia="zh-CN" w:bidi="ar"/>
        </w:rPr>
        <w:t>（三）专项服务项目。协助社区“两委”统筹开展“民生微实事”、“兜底民生服务社会工作双百工程”（以下简称“双百工程”）、民政服务站、“社区心理健康服务”等工作，加强任务统筹、工作联动、信息共享，完善需求分拨解决机制，构建集约高效的兜底民生服务供给体系。</w:t>
      </w:r>
    </w:p>
    <w:p w14:paraId="63E01BB3">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color w:val="000000"/>
          <w:kern w:val="0"/>
          <w:sz w:val="28"/>
          <w:szCs w:val="28"/>
          <w:highlight w:val="none"/>
          <w:lang w:val="en-US" w:eastAsia="zh-CN" w:bidi="ar"/>
        </w:rPr>
      </w:pPr>
      <w:r>
        <w:rPr>
          <w:rFonts w:hint="eastAsia" w:ascii="仿宋_GB2312" w:hAnsi="仿宋_GB2312" w:eastAsia="仿宋_GB2312" w:cs="仿宋_GB2312"/>
          <w:b/>
          <w:bCs/>
          <w:color w:val="000000"/>
          <w:kern w:val="0"/>
          <w:sz w:val="28"/>
          <w:szCs w:val="28"/>
          <w:highlight w:val="none"/>
          <w:lang w:val="en-US" w:eastAsia="zh-CN" w:bidi="ar"/>
        </w:rPr>
        <w:t xml:space="preserve">第五条 服务项目具体要求 </w:t>
      </w:r>
    </w:p>
    <w:p w14:paraId="452069A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根据《深圳市关于提升社会工作服务水平的若干措施》，项目人力成本占比不少于项目总经费的85%，</w:t>
      </w:r>
      <w:r>
        <w:rPr>
          <w:rFonts w:hint="eastAsia" w:ascii="仿宋_GB2312" w:hAnsi="仿宋_GB2312" w:eastAsia="仿宋_GB2312" w:cs="仿宋_GB2312"/>
          <w:b w:val="0"/>
          <w:bCs/>
          <w:color w:val="000000"/>
          <w:kern w:val="0"/>
          <w:sz w:val="28"/>
          <w:szCs w:val="28"/>
          <w:highlight w:val="none"/>
          <w:lang w:val="en-US" w:eastAsia="zh-CN" w:bidi="ar"/>
        </w:rPr>
        <w:t>项目指标清单和</w:t>
      </w:r>
      <w:r>
        <w:rPr>
          <w:rFonts w:hint="eastAsia" w:ascii="仿宋_GB2312" w:hAnsi="仿宋_GB2312" w:eastAsia="仿宋_GB2312" w:cs="仿宋_GB2312"/>
          <w:sz w:val="28"/>
          <w:szCs w:val="28"/>
          <w:lang w:val="en-US" w:eastAsia="zh-CN"/>
        </w:rPr>
        <w:t>指标总量与服务参考工时数</w:t>
      </w:r>
      <w:r>
        <w:rPr>
          <w:rFonts w:hint="eastAsia" w:ascii="仿宋_GB2312" w:hAnsi="仿宋_GB2312" w:eastAsia="仿宋_GB2312" w:cs="仿宋_GB2312"/>
          <w:b w:val="0"/>
          <w:bCs/>
          <w:color w:val="000000"/>
          <w:kern w:val="0"/>
          <w:sz w:val="28"/>
          <w:szCs w:val="28"/>
          <w:highlight w:val="none"/>
          <w:lang w:val="en-US" w:eastAsia="zh-CN" w:bidi="ar"/>
        </w:rPr>
        <w:t>在</w:t>
      </w:r>
      <w:r>
        <w:rPr>
          <w:rFonts w:hint="eastAsia" w:ascii="仿宋_GB2312" w:hAnsi="仿宋_GB2312" w:eastAsia="仿宋_GB2312" w:cs="仿宋_GB2312"/>
          <w:color w:val="000000"/>
          <w:kern w:val="0"/>
          <w:sz w:val="28"/>
          <w:szCs w:val="28"/>
          <w:highlight w:val="none"/>
          <w:lang w:val="en-US" w:eastAsia="zh-CN" w:bidi="ar"/>
        </w:rPr>
        <w:t>《福田区社区党群服务中心社会工作服务项目工作指引》和甲方要求的基础上形成如下：</w:t>
      </w:r>
    </w:p>
    <w:tbl>
      <w:tblPr>
        <w:tblStyle w:val="11"/>
        <w:tblpPr w:leftFromText="180" w:rightFromText="180" w:vertAnchor="text" w:horzAnchor="page" w:tblpXSpec="center" w:tblpY="753"/>
        <w:tblOverlap w:val="neve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088"/>
        <w:gridCol w:w="4743"/>
        <w:gridCol w:w="2005"/>
      </w:tblGrid>
      <w:tr w14:paraId="172B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83" w:type="pct"/>
            <w:noWrap w:val="0"/>
            <w:vAlign w:val="center"/>
          </w:tcPr>
          <w:p w14:paraId="2A032230">
            <w:pPr>
              <w:jc w:val="center"/>
              <w:rPr>
                <w:rFonts w:hint="eastAsia" w:ascii="宋体" w:hAnsi="宋体" w:cs="宋体"/>
                <w:b/>
                <w:bCs/>
                <w:sz w:val="24"/>
              </w:rPr>
            </w:pPr>
            <w:r>
              <w:rPr>
                <w:rFonts w:hint="eastAsia" w:ascii="宋体" w:hAnsi="宋体" w:cs="宋体"/>
                <w:b/>
                <w:bCs/>
                <w:sz w:val="24"/>
              </w:rPr>
              <w:t>序号</w:t>
            </w:r>
          </w:p>
        </w:tc>
        <w:tc>
          <w:tcPr>
            <w:tcW w:w="627" w:type="pct"/>
            <w:noWrap w:val="0"/>
            <w:vAlign w:val="center"/>
          </w:tcPr>
          <w:p w14:paraId="6B0C84D4">
            <w:pPr>
              <w:jc w:val="center"/>
              <w:rPr>
                <w:rFonts w:hint="eastAsia" w:ascii="宋体" w:hAnsi="宋体" w:eastAsia="宋体" w:cs="宋体"/>
                <w:b/>
                <w:bCs/>
                <w:sz w:val="24"/>
                <w:lang w:eastAsia="zh-CN"/>
              </w:rPr>
            </w:pPr>
            <w:r>
              <w:rPr>
                <w:rFonts w:hint="eastAsia" w:ascii="宋体" w:hAnsi="宋体" w:cs="宋体"/>
                <w:b/>
                <w:bCs/>
                <w:sz w:val="24"/>
                <w:lang w:eastAsia="zh-CN"/>
              </w:rPr>
              <w:t>项目</w:t>
            </w:r>
          </w:p>
        </w:tc>
        <w:tc>
          <w:tcPr>
            <w:tcW w:w="2734" w:type="pct"/>
            <w:noWrap w:val="0"/>
            <w:vAlign w:val="center"/>
          </w:tcPr>
          <w:p w14:paraId="51D077CA">
            <w:pPr>
              <w:jc w:val="center"/>
              <w:rPr>
                <w:rFonts w:hint="eastAsia" w:ascii="宋体" w:hAnsi="宋体" w:cs="宋体"/>
                <w:b/>
                <w:bCs/>
                <w:sz w:val="24"/>
              </w:rPr>
            </w:pPr>
            <w:r>
              <w:rPr>
                <w:rFonts w:hint="eastAsia" w:ascii="宋体" w:hAnsi="宋体" w:cs="宋体"/>
                <w:b/>
                <w:bCs/>
                <w:sz w:val="24"/>
              </w:rPr>
              <w:t>指标内容</w:t>
            </w:r>
          </w:p>
        </w:tc>
        <w:tc>
          <w:tcPr>
            <w:tcW w:w="1155" w:type="pct"/>
            <w:noWrap w:val="0"/>
            <w:vAlign w:val="center"/>
          </w:tcPr>
          <w:p w14:paraId="25D391C8">
            <w:pPr>
              <w:jc w:val="center"/>
              <w:rPr>
                <w:rFonts w:hint="eastAsia" w:ascii="宋体" w:hAnsi="宋体" w:cs="宋体"/>
                <w:b/>
                <w:bCs/>
                <w:sz w:val="24"/>
              </w:rPr>
            </w:pPr>
            <w:r>
              <w:rPr>
                <w:rFonts w:hint="eastAsia" w:ascii="宋体" w:hAnsi="宋体" w:cs="宋体"/>
                <w:b/>
                <w:bCs/>
                <w:sz w:val="24"/>
              </w:rPr>
              <w:t>指标值/目标值</w:t>
            </w:r>
          </w:p>
          <w:p w14:paraId="689D6281">
            <w:pPr>
              <w:jc w:val="center"/>
              <w:rPr>
                <w:rFonts w:hint="eastAsia" w:ascii="宋体" w:hAnsi="宋体" w:cs="宋体"/>
                <w:b/>
                <w:bCs/>
                <w:sz w:val="24"/>
              </w:rPr>
            </w:pPr>
            <w:r>
              <w:rPr>
                <w:rFonts w:hint="eastAsia" w:ascii="宋体" w:hAnsi="宋体" w:cs="宋体"/>
                <w:b/>
                <w:bCs/>
                <w:sz w:val="24"/>
              </w:rPr>
              <w:t>（1个中心/年）</w:t>
            </w:r>
          </w:p>
        </w:tc>
      </w:tr>
      <w:tr w14:paraId="0C85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83" w:type="pct"/>
            <w:noWrap w:val="0"/>
            <w:vAlign w:val="center"/>
          </w:tcPr>
          <w:p w14:paraId="3E6847CF">
            <w:pPr>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627" w:type="pct"/>
            <w:noWrap w:val="0"/>
            <w:vAlign w:val="center"/>
          </w:tcPr>
          <w:p w14:paraId="75494EAB">
            <w:pPr>
              <w:jc w:val="center"/>
              <w:rPr>
                <w:rFonts w:hint="eastAsia" w:ascii="宋体" w:hAnsi="宋体" w:eastAsia="宋体" w:cs="宋体"/>
                <w:sz w:val="24"/>
                <w:lang w:eastAsia="zh-CN"/>
              </w:rPr>
            </w:pPr>
            <w:r>
              <w:rPr>
                <w:rFonts w:hint="eastAsia" w:ascii="宋体" w:hAnsi="宋体" w:cs="宋体"/>
                <w:sz w:val="24"/>
                <w:lang w:eastAsia="zh-CN"/>
              </w:rPr>
              <w:t>项目调研</w:t>
            </w:r>
          </w:p>
        </w:tc>
        <w:tc>
          <w:tcPr>
            <w:tcW w:w="2734" w:type="pct"/>
            <w:noWrap w:val="0"/>
            <w:vAlign w:val="center"/>
          </w:tcPr>
          <w:p w14:paraId="62064681">
            <w:pPr>
              <w:jc w:val="center"/>
              <w:rPr>
                <w:rFonts w:hint="eastAsia" w:ascii="宋体" w:hAnsi="宋体" w:eastAsia="宋体" w:cs="宋体"/>
                <w:kern w:val="2"/>
                <w:sz w:val="24"/>
                <w:szCs w:val="24"/>
                <w:lang w:val="en-US" w:eastAsia="zh-CN" w:bidi="ar-SA"/>
              </w:rPr>
            </w:pPr>
            <w:r>
              <w:rPr>
                <w:rFonts w:hint="eastAsia" w:ascii="宋体" w:hAnsi="宋体" w:cs="宋体"/>
                <w:sz w:val="24"/>
                <w:highlight w:val="none"/>
              </w:rPr>
              <w:t>调研报告（份）</w:t>
            </w:r>
          </w:p>
        </w:tc>
        <w:tc>
          <w:tcPr>
            <w:tcW w:w="1155" w:type="pct"/>
            <w:noWrap w:val="0"/>
            <w:vAlign w:val="center"/>
          </w:tcPr>
          <w:p w14:paraId="17A59D9E">
            <w:pPr>
              <w:jc w:val="center"/>
              <w:rPr>
                <w:rFonts w:hint="eastAsia" w:ascii="宋体" w:hAnsi="宋体" w:eastAsia="宋体" w:cs="宋体"/>
                <w:kern w:val="2"/>
                <w:sz w:val="24"/>
                <w:szCs w:val="24"/>
                <w:lang w:val="en-US" w:eastAsia="zh-CN" w:bidi="ar-SA"/>
              </w:rPr>
            </w:pPr>
            <w:r>
              <w:rPr>
                <w:rFonts w:hint="eastAsia" w:ascii="宋体" w:hAnsi="宋体" w:cs="宋体"/>
                <w:sz w:val="24"/>
              </w:rPr>
              <w:t>1</w:t>
            </w:r>
          </w:p>
        </w:tc>
      </w:tr>
      <w:tr w14:paraId="50A5F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3DB3DE30">
            <w:pPr>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627" w:type="pct"/>
            <w:vMerge w:val="restart"/>
            <w:noWrap w:val="0"/>
            <w:vAlign w:val="center"/>
          </w:tcPr>
          <w:p w14:paraId="04A231A6">
            <w:pPr>
              <w:jc w:val="center"/>
              <w:rPr>
                <w:rFonts w:hint="eastAsia" w:ascii="宋体" w:hAnsi="宋体" w:eastAsia="宋体" w:cs="宋体"/>
                <w:sz w:val="24"/>
                <w:lang w:eastAsia="zh-CN"/>
              </w:rPr>
            </w:pPr>
            <w:r>
              <w:rPr>
                <w:rFonts w:hint="eastAsia" w:ascii="宋体" w:hAnsi="宋体" w:cs="宋体"/>
                <w:sz w:val="24"/>
                <w:lang w:eastAsia="zh-CN"/>
              </w:rPr>
              <w:t>项目设计</w:t>
            </w:r>
          </w:p>
        </w:tc>
        <w:tc>
          <w:tcPr>
            <w:tcW w:w="2734" w:type="pct"/>
            <w:noWrap w:val="0"/>
            <w:vAlign w:val="center"/>
          </w:tcPr>
          <w:p w14:paraId="2CC3BC2B">
            <w:pPr>
              <w:jc w:val="center"/>
              <w:rPr>
                <w:rFonts w:hint="eastAsia" w:ascii="宋体" w:hAnsi="宋体" w:eastAsia="宋体" w:cs="宋体"/>
                <w:kern w:val="2"/>
                <w:sz w:val="24"/>
                <w:szCs w:val="24"/>
                <w:lang w:val="en-US" w:eastAsia="zh-CN" w:bidi="ar-SA"/>
              </w:rPr>
            </w:pPr>
            <w:r>
              <w:rPr>
                <w:rFonts w:hint="eastAsia" w:ascii="宋体" w:hAnsi="宋体" w:cs="宋体"/>
                <w:sz w:val="24"/>
              </w:rPr>
              <w:t>中长期规划</w:t>
            </w:r>
          </w:p>
        </w:tc>
        <w:tc>
          <w:tcPr>
            <w:tcW w:w="1155" w:type="pct"/>
            <w:noWrap w:val="0"/>
            <w:vAlign w:val="center"/>
          </w:tcPr>
          <w:p w14:paraId="56462283">
            <w:pPr>
              <w:jc w:val="center"/>
              <w:rPr>
                <w:rFonts w:hint="eastAsia" w:ascii="宋体" w:hAnsi="宋体" w:eastAsia="宋体" w:cs="宋体"/>
                <w:sz w:val="24"/>
                <w:lang w:val="en-US" w:eastAsia="zh-CN"/>
              </w:rPr>
            </w:pPr>
            <w:r>
              <w:rPr>
                <w:rFonts w:hint="eastAsia" w:ascii="宋体" w:hAnsi="宋体" w:eastAsia="宋体" w:cs="宋体"/>
                <w:sz w:val="24"/>
                <w:lang w:val="en-US" w:eastAsia="zh-CN"/>
              </w:rPr>
              <w:t>1</w:t>
            </w:r>
          </w:p>
        </w:tc>
      </w:tr>
      <w:tr w14:paraId="3D92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4282F5DE">
            <w:pPr>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627" w:type="pct"/>
            <w:vMerge w:val="continue"/>
            <w:noWrap w:val="0"/>
            <w:vAlign w:val="center"/>
          </w:tcPr>
          <w:p w14:paraId="4E16F8CF">
            <w:pPr>
              <w:jc w:val="center"/>
              <w:rPr>
                <w:rFonts w:hint="eastAsia" w:ascii="宋体" w:hAnsi="宋体" w:cs="宋体"/>
                <w:sz w:val="24"/>
              </w:rPr>
            </w:pPr>
          </w:p>
        </w:tc>
        <w:tc>
          <w:tcPr>
            <w:tcW w:w="2734" w:type="pct"/>
            <w:noWrap w:val="0"/>
            <w:vAlign w:val="center"/>
          </w:tcPr>
          <w:p w14:paraId="6ACD47F4">
            <w:pPr>
              <w:jc w:val="center"/>
              <w:rPr>
                <w:rFonts w:hint="eastAsia" w:ascii="宋体" w:hAnsi="宋体" w:eastAsia="宋体" w:cs="宋体"/>
                <w:kern w:val="2"/>
                <w:sz w:val="24"/>
                <w:szCs w:val="24"/>
                <w:lang w:val="en-US" w:eastAsia="zh-CN" w:bidi="ar-SA"/>
              </w:rPr>
            </w:pPr>
            <w:r>
              <w:rPr>
                <w:rFonts w:hint="eastAsia" w:ascii="宋体" w:hAnsi="宋体" w:cs="宋体"/>
                <w:sz w:val="24"/>
              </w:rPr>
              <w:t>年度计划</w:t>
            </w:r>
          </w:p>
        </w:tc>
        <w:tc>
          <w:tcPr>
            <w:tcW w:w="1155" w:type="pct"/>
            <w:noWrap w:val="0"/>
            <w:vAlign w:val="center"/>
          </w:tcPr>
          <w:p w14:paraId="66A9F8CC">
            <w:pPr>
              <w:jc w:val="center"/>
              <w:rPr>
                <w:rFonts w:hint="eastAsia" w:ascii="宋体" w:hAnsi="宋体" w:eastAsia="宋体" w:cs="宋体"/>
                <w:sz w:val="24"/>
                <w:lang w:val="en-US" w:eastAsia="zh-CN"/>
              </w:rPr>
            </w:pPr>
            <w:r>
              <w:rPr>
                <w:rFonts w:hint="eastAsia" w:ascii="宋体" w:hAnsi="宋体" w:eastAsia="宋体" w:cs="宋体"/>
                <w:sz w:val="24"/>
                <w:lang w:val="en-US" w:eastAsia="zh-CN"/>
              </w:rPr>
              <w:t>1</w:t>
            </w:r>
          </w:p>
        </w:tc>
      </w:tr>
      <w:tr w14:paraId="0400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83" w:type="pct"/>
            <w:noWrap w:val="0"/>
            <w:vAlign w:val="center"/>
          </w:tcPr>
          <w:p w14:paraId="1E1522A0">
            <w:pPr>
              <w:jc w:val="center"/>
              <w:rPr>
                <w:rFonts w:hint="eastAsia" w:ascii="宋体" w:hAnsi="宋体" w:cs="宋体"/>
                <w:sz w:val="24"/>
                <w:lang w:val="en-US" w:eastAsia="zh-CN"/>
              </w:rPr>
            </w:pPr>
          </w:p>
          <w:p w14:paraId="53CB6E59">
            <w:pPr>
              <w:ind w:firstLine="0" w:firstLineChars="0"/>
              <w:jc w:val="center"/>
              <w:rPr>
                <w:rFonts w:hint="eastAsia" w:ascii="宋体" w:hAnsi="宋体" w:eastAsia="宋体" w:cs="宋体"/>
                <w:sz w:val="24"/>
                <w:lang w:val="en-US" w:eastAsia="zh-CN"/>
              </w:rPr>
            </w:pPr>
            <w:r>
              <w:rPr>
                <w:rFonts w:hint="eastAsia" w:ascii="宋体" w:hAnsi="宋体" w:cs="宋体"/>
                <w:sz w:val="24"/>
                <w:lang w:val="en-US" w:eastAsia="zh-CN"/>
              </w:rPr>
              <w:t>4</w:t>
            </w:r>
          </w:p>
        </w:tc>
        <w:tc>
          <w:tcPr>
            <w:tcW w:w="627" w:type="pct"/>
            <w:vMerge w:val="restart"/>
            <w:noWrap w:val="0"/>
            <w:vAlign w:val="center"/>
          </w:tcPr>
          <w:p w14:paraId="0B5654FC">
            <w:pPr>
              <w:jc w:val="center"/>
              <w:rPr>
                <w:rFonts w:hint="eastAsia" w:ascii="宋体" w:hAnsi="宋体" w:eastAsia="宋体" w:cs="宋体"/>
                <w:sz w:val="24"/>
                <w:lang w:eastAsia="zh-CN"/>
              </w:rPr>
            </w:pPr>
            <w:r>
              <w:rPr>
                <w:rFonts w:hint="eastAsia" w:ascii="宋体" w:hAnsi="宋体" w:cs="宋体"/>
                <w:sz w:val="24"/>
                <w:highlight w:val="none"/>
                <w:lang w:eastAsia="zh-CN"/>
              </w:rPr>
              <w:t>社区服务类</w:t>
            </w:r>
          </w:p>
        </w:tc>
        <w:tc>
          <w:tcPr>
            <w:tcW w:w="2734" w:type="pct"/>
            <w:noWrap w:val="0"/>
            <w:vAlign w:val="center"/>
          </w:tcPr>
          <w:p w14:paraId="7E53E2E6">
            <w:pPr>
              <w:jc w:val="center"/>
              <w:rPr>
                <w:rFonts w:hint="eastAsia" w:ascii="宋体" w:hAnsi="宋体" w:cs="宋体"/>
                <w:sz w:val="24"/>
              </w:rPr>
            </w:pPr>
            <w:r>
              <w:rPr>
                <w:rFonts w:hint="eastAsia" w:ascii="宋体" w:hAnsi="宋体" w:cs="宋体"/>
                <w:sz w:val="24"/>
              </w:rPr>
              <w:t>走访（人次）</w:t>
            </w:r>
          </w:p>
        </w:tc>
        <w:tc>
          <w:tcPr>
            <w:tcW w:w="1155" w:type="pct"/>
            <w:noWrap w:val="0"/>
            <w:vAlign w:val="center"/>
          </w:tcPr>
          <w:p w14:paraId="5183A855">
            <w:pPr>
              <w:jc w:val="center"/>
              <w:rPr>
                <w:rFonts w:hint="eastAsia" w:ascii="宋体" w:hAnsi="宋体" w:eastAsia="宋体" w:cs="宋体"/>
                <w:sz w:val="24"/>
                <w:highlight w:val="none"/>
                <w:lang w:val="en-US" w:eastAsia="zh-CN"/>
              </w:rPr>
            </w:pPr>
            <w:r>
              <w:rPr>
                <w:rFonts w:hint="eastAsia" w:ascii="宋体" w:hAnsi="宋体" w:cs="宋体"/>
                <w:sz w:val="24"/>
                <w:highlight w:val="none"/>
                <w:lang w:eastAsia="zh-CN"/>
              </w:rPr>
              <w:t>在册特殊群体（含新增）</w:t>
            </w:r>
            <w:r>
              <w:rPr>
                <w:rFonts w:hint="eastAsia" w:ascii="宋体" w:hAnsi="宋体" w:cs="宋体"/>
                <w:sz w:val="24"/>
                <w:highlight w:val="none"/>
                <w:lang w:val="en-US" w:eastAsia="zh-CN"/>
              </w:rPr>
              <w:t>100%</w:t>
            </w:r>
          </w:p>
        </w:tc>
      </w:tr>
      <w:tr w14:paraId="6496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83" w:type="pct"/>
            <w:noWrap w:val="0"/>
            <w:vAlign w:val="center"/>
          </w:tcPr>
          <w:p w14:paraId="3E611504">
            <w:pPr>
              <w:jc w:val="center"/>
              <w:rPr>
                <w:rFonts w:hint="eastAsia" w:ascii="宋体" w:hAnsi="宋体" w:cs="宋体"/>
                <w:sz w:val="24"/>
                <w:lang w:val="en-US" w:eastAsia="zh-CN"/>
              </w:rPr>
            </w:pPr>
          </w:p>
          <w:p w14:paraId="2A19F22B">
            <w:pPr>
              <w:jc w:val="center"/>
              <w:rPr>
                <w:rFonts w:hint="eastAsia" w:ascii="宋体" w:hAnsi="宋体" w:eastAsia="宋体" w:cs="宋体"/>
                <w:sz w:val="24"/>
                <w:lang w:val="en-US" w:eastAsia="zh-CN"/>
              </w:rPr>
            </w:pPr>
            <w:r>
              <w:rPr>
                <w:rFonts w:hint="eastAsia" w:ascii="宋体" w:hAnsi="宋体" w:cs="宋体"/>
                <w:sz w:val="24"/>
                <w:lang w:val="en-US" w:eastAsia="zh-CN"/>
              </w:rPr>
              <w:t>5</w:t>
            </w:r>
          </w:p>
        </w:tc>
        <w:tc>
          <w:tcPr>
            <w:tcW w:w="627" w:type="pct"/>
            <w:vMerge w:val="continue"/>
            <w:noWrap w:val="0"/>
            <w:vAlign w:val="center"/>
          </w:tcPr>
          <w:p w14:paraId="0B07FE34">
            <w:pPr>
              <w:jc w:val="center"/>
              <w:rPr>
                <w:rFonts w:hint="eastAsia" w:ascii="宋体" w:hAnsi="宋体" w:cs="宋体"/>
                <w:sz w:val="24"/>
              </w:rPr>
            </w:pPr>
          </w:p>
        </w:tc>
        <w:tc>
          <w:tcPr>
            <w:tcW w:w="2734" w:type="pct"/>
            <w:noWrap w:val="0"/>
            <w:vAlign w:val="center"/>
          </w:tcPr>
          <w:p w14:paraId="32143393">
            <w:pPr>
              <w:jc w:val="center"/>
              <w:rPr>
                <w:rFonts w:hint="eastAsia" w:ascii="宋体" w:hAnsi="宋体" w:eastAsia="宋体" w:cs="宋体"/>
                <w:sz w:val="24"/>
                <w:lang w:eastAsia="zh-CN"/>
              </w:rPr>
            </w:pPr>
            <w:r>
              <w:rPr>
                <w:rFonts w:hint="eastAsia" w:ascii="宋体" w:hAnsi="宋体" w:cs="宋体"/>
                <w:sz w:val="24"/>
                <w:lang w:eastAsia="zh-CN"/>
              </w:rPr>
              <w:t>建档</w:t>
            </w:r>
          </w:p>
        </w:tc>
        <w:tc>
          <w:tcPr>
            <w:tcW w:w="1155" w:type="pct"/>
            <w:noWrap w:val="0"/>
            <w:vAlign w:val="center"/>
          </w:tcPr>
          <w:p w14:paraId="5104921F">
            <w:pPr>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新增</w:t>
            </w:r>
            <w:r>
              <w:rPr>
                <w:rFonts w:hint="eastAsia" w:ascii="宋体" w:hAnsi="宋体" w:cs="宋体"/>
                <w:sz w:val="24"/>
                <w:highlight w:val="none"/>
                <w:lang w:eastAsia="zh-CN"/>
              </w:rPr>
              <w:t>在册特殊群体</w:t>
            </w:r>
            <w:r>
              <w:rPr>
                <w:rFonts w:hint="eastAsia" w:ascii="宋体" w:hAnsi="宋体" w:cs="宋体"/>
                <w:sz w:val="24"/>
                <w:highlight w:val="none"/>
                <w:lang w:val="en-US" w:eastAsia="zh-CN"/>
              </w:rPr>
              <w:t>100%</w:t>
            </w:r>
          </w:p>
        </w:tc>
      </w:tr>
      <w:tr w14:paraId="7268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83" w:type="pct"/>
            <w:noWrap w:val="0"/>
            <w:vAlign w:val="center"/>
          </w:tcPr>
          <w:p w14:paraId="5FA0B0EC">
            <w:pPr>
              <w:jc w:val="center"/>
              <w:rPr>
                <w:rFonts w:hint="eastAsia" w:ascii="宋体" w:hAnsi="宋体" w:cs="宋体"/>
                <w:sz w:val="24"/>
                <w:lang w:val="en-US" w:eastAsia="zh-CN"/>
              </w:rPr>
            </w:pPr>
          </w:p>
          <w:p w14:paraId="3B7E723D">
            <w:pPr>
              <w:jc w:val="center"/>
              <w:rPr>
                <w:rFonts w:hint="eastAsia" w:ascii="宋体" w:hAnsi="宋体" w:eastAsia="宋体" w:cs="宋体"/>
                <w:sz w:val="24"/>
                <w:lang w:val="en-US" w:eastAsia="zh-CN"/>
              </w:rPr>
            </w:pPr>
            <w:r>
              <w:rPr>
                <w:rFonts w:hint="eastAsia" w:ascii="宋体" w:hAnsi="宋体" w:cs="宋体"/>
                <w:sz w:val="24"/>
                <w:lang w:val="en-US" w:eastAsia="zh-CN"/>
              </w:rPr>
              <w:t>6</w:t>
            </w:r>
          </w:p>
        </w:tc>
        <w:tc>
          <w:tcPr>
            <w:tcW w:w="627" w:type="pct"/>
            <w:vMerge w:val="continue"/>
            <w:noWrap w:val="0"/>
            <w:vAlign w:val="center"/>
          </w:tcPr>
          <w:p w14:paraId="3DF61030">
            <w:pPr>
              <w:jc w:val="center"/>
              <w:rPr>
                <w:rFonts w:hint="eastAsia" w:ascii="宋体" w:hAnsi="宋体" w:cs="宋体"/>
                <w:sz w:val="24"/>
              </w:rPr>
            </w:pPr>
          </w:p>
        </w:tc>
        <w:tc>
          <w:tcPr>
            <w:tcW w:w="2734" w:type="pct"/>
            <w:noWrap w:val="0"/>
            <w:vAlign w:val="center"/>
          </w:tcPr>
          <w:p w14:paraId="5E21ACA3">
            <w:pPr>
              <w:jc w:val="center"/>
              <w:rPr>
                <w:rFonts w:hint="eastAsia" w:ascii="宋体" w:hAnsi="宋体" w:cs="宋体"/>
                <w:sz w:val="24"/>
                <w:lang w:eastAsia="zh-CN"/>
              </w:rPr>
            </w:pPr>
            <w:r>
              <w:rPr>
                <w:rFonts w:hint="eastAsia" w:ascii="宋体" w:hAnsi="宋体" w:cs="宋体"/>
                <w:sz w:val="24"/>
              </w:rPr>
              <w:t>个案（个/6节以上）</w:t>
            </w:r>
          </w:p>
        </w:tc>
        <w:tc>
          <w:tcPr>
            <w:tcW w:w="1155" w:type="pct"/>
            <w:noWrap w:val="0"/>
            <w:vAlign w:val="center"/>
          </w:tcPr>
          <w:p w14:paraId="17CCEEE0">
            <w:pPr>
              <w:jc w:val="center"/>
              <w:rPr>
                <w:rFonts w:hint="eastAsia" w:ascii="宋体" w:hAnsi="宋体" w:eastAsia="宋体" w:cs="宋体"/>
                <w:sz w:val="24"/>
                <w:lang w:val="en-US" w:eastAsia="zh-CN"/>
              </w:rPr>
            </w:pPr>
            <w:r>
              <w:rPr>
                <w:rFonts w:hint="eastAsia" w:ascii="宋体" w:hAnsi="宋体" w:cs="宋体"/>
                <w:sz w:val="24"/>
                <w:lang w:val="en-US" w:eastAsia="zh-CN"/>
              </w:rPr>
              <w:t>4（至少1个典型案例）</w:t>
            </w:r>
          </w:p>
        </w:tc>
      </w:tr>
      <w:tr w14:paraId="7766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346F0C31">
            <w:pPr>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627" w:type="pct"/>
            <w:vMerge w:val="continue"/>
            <w:noWrap w:val="0"/>
            <w:vAlign w:val="center"/>
          </w:tcPr>
          <w:p w14:paraId="74DE46B6">
            <w:pPr>
              <w:jc w:val="center"/>
              <w:rPr>
                <w:rFonts w:hint="eastAsia" w:ascii="宋体" w:hAnsi="宋体" w:cs="宋体"/>
                <w:sz w:val="24"/>
              </w:rPr>
            </w:pPr>
          </w:p>
        </w:tc>
        <w:tc>
          <w:tcPr>
            <w:tcW w:w="2734" w:type="pct"/>
            <w:noWrap w:val="0"/>
            <w:vAlign w:val="center"/>
          </w:tcPr>
          <w:p w14:paraId="6B383F82">
            <w:pPr>
              <w:jc w:val="center"/>
              <w:rPr>
                <w:rFonts w:hint="eastAsia" w:ascii="宋体" w:hAnsi="宋体" w:cs="宋体"/>
                <w:sz w:val="24"/>
                <w:lang w:eastAsia="zh-CN"/>
              </w:rPr>
            </w:pPr>
            <w:r>
              <w:rPr>
                <w:rFonts w:hint="eastAsia" w:ascii="宋体" w:hAnsi="宋体" w:cs="宋体"/>
                <w:sz w:val="24"/>
                <w:lang w:eastAsia="zh-CN"/>
              </w:rPr>
              <w:t>小组</w:t>
            </w:r>
            <w:r>
              <w:rPr>
                <w:rFonts w:hint="eastAsia" w:ascii="宋体" w:hAnsi="宋体" w:cs="宋体"/>
                <w:sz w:val="24"/>
              </w:rPr>
              <w:t>（个/5节以上）</w:t>
            </w:r>
          </w:p>
        </w:tc>
        <w:tc>
          <w:tcPr>
            <w:tcW w:w="1155" w:type="pct"/>
            <w:noWrap w:val="0"/>
            <w:vAlign w:val="center"/>
          </w:tcPr>
          <w:p w14:paraId="681F42FF">
            <w:pPr>
              <w:jc w:val="center"/>
              <w:rPr>
                <w:rFonts w:hint="eastAsia" w:ascii="宋体" w:hAnsi="宋体" w:eastAsia="宋体" w:cs="宋体"/>
                <w:sz w:val="24"/>
                <w:lang w:val="en-US" w:eastAsia="zh-CN"/>
              </w:rPr>
            </w:pPr>
            <w:r>
              <w:rPr>
                <w:rFonts w:hint="eastAsia" w:ascii="宋体" w:hAnsi="宋体" w:cs="宋体"/>
                <w:sz w:val="24"/>
                <w:lang w:val="en-US" w:eastAsia="zh-CN"/>
              </w:rPr>
              <w:t>2</w:t>
            </w:r>
          </w:p>
        </w:tc>
      </w:tr>
      <w:tr w14:paraId="425A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4A54FE63">
            <w:pPr>
              <w:jc w:val="center"/>
              <w:rPr>
                <w:rFonts w:hint="eastAsia" w:ascii="宋体" w:hAnsi="宋体" w:cs="宋体"/>
                <w:sz w:val="24"/>
                <w:lang w:val="en-US" w:eastAsia="zh-CN"/>
              </w:rPr>
            </w:pPr>
          </w:p>
          <w:p w14:paraId="3C8A63D5">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627" w:type="pct"/>
            <w:vMerge w:val="continue"/>
            <w:noWrap w:val="0"/>
            <w:vAlign w:val="center"/>
          </w:tcPr>
          <w:p w14:paraId="595CC92F">
            <w:pPr>
              <w:jc w:val="center"/>
              <w:rPr>
                <w:rFonts w:hint="eastAsia" w:ascii="宋体" w:hAnsi="宋体" w:cs="宋体"/>
                <w:sz w:val="24"/>
              </w:rPr>
            </w:pPr>
          </w:p>
        </w:tc>
        <w:tc>
          <w:tcPr>
            <w:tcW w:w="2734" w:type="pct"/>
            <w:noWrap w:val="0"/>
            <w:vAlign w:val="center"/>
          </w:tcPr>
          <w:p w14:paraId="78433FE6">
            <w:pPr>
              <w:jc w:val="center"/>
              <w:rPr>
                <w:rFonts w:hint="eastAsia" w:ascii="宋体" w:hAnsi="宋体" w:cs="宋体"/>
                <w:sz w:val="24"/>
                <w:lang w:eastAsia="zh-CN"/>
              </w:rPr>
            </w:pPr>
            <w:r>
              <w:rPr>
                <w:rFonts w:hint="eastAsia" w:ascii="宋体" w:hAnsi="宋体" w:cs="宋体"/>
                <w:sz w:val="24"/>
                <w:lang w:eastAsia="zh-CN"/>
              </w:rPr>
              <w:t>政策宣传</w:t>
            </w:r>
            <w:r>
              <w:rPr>
                <w:rFonts w:hint="eastAsia" w:ascii="宋体" w:hAnsi="宋体" w:cs="宋体"/>
                <w:sz w:val="24"/>
                <w:lang w:val="en-US" w:eastAsia="zh-CN"/>
              </w:rPr>
              <w:t>/</w:t>
            </w:r>
            <w:r>
              <w:rPr>
                <w:rFonts w:hint="eastAsia" w:ascii="宋体" w:hAnsi="宋体" w:cs="宋体"/>
                <w:sz w:val="24"/>
                <w:lang w:eastAsia="zh-CN"/>
              </w:rPr>
              <w:t>倡导（场）及落实</w:t>
            </w:r>
          </w:p>
        </w:tc>
        <w:tc>
          <w:tcPr>
            <w:tcW w:w="1155" w:type="pct"/>
            <w:noWrap w:val="0"/>
            <w:vAlign w:val="center"/>
          </w:tcPr>
          <w:p w14:paraId="0148EDEF">
            <w:pPr>
              <w:jc w:val="both"/>
              <w:rPr>
                <w:rFonts w:hint="eastAsia" w:ascii="宋体" w:hAnsi="宋体" w:eastAsia="宋体" w:cs="宋体"/>
                <w:sz w:val="24"/>
                <w:lang w:val="en-US" w:eastAsia="zh-CN"/>
              </w:rPr>
            </w:pPr>
            <w:r>
              <w:rPr>
                <w:rFonts w:hint="eastAsia" w:ascii="宋体" w:hAnsi="宋体" w:cs="宋体"/>
                <w:sz w:val="24"/>
                <w:lang w:val="en-US" w:eastAsia="zh-CN"/>
              </w:rPr>
              <w:t>3（活动3场，另需提供政策落实情况证明台账）</w:t>
            </w:r>
          </w:p>
        </w:tc>
      </w:tr>
      <w:tr w14:paraId="3932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483" w:type="pct"/>
            <w:noWrap w:val="0"/>
            <w:vAlign w:val="center"/>
          </w:tcPr>
          <w:p w14:paraId="592EC306">
            <w:pPr>
              <w:jc w:val="center"/>
              <w:rPr>
                <w:rFonts w:hint="eastAsia" w:ascii="宋体" w:hAnsi="宋体" w:cs="宋体"/>
                <w:sz w:val="24"/>
                <w:lang w:val="en-US" w:eastAsia="zh-CN"/>
              </w:rPr>
            </w:pPr>
          </w:p>
          <w:p w14:paraId="4A8310E2">
            <w:pPr>
              <w:jc w:val="center"/>
              <w:rPr>
                <w:rFonts w:hint="eastAsia" w:ascii="宋体" w:hAnsi="宋体" w:cs="宋体"/>
                <w:sz w:val="24"/>
                <w:lang w:val="en-US" w:eastAsia="zh-CN"/>
              </w:rPr>
            </w:pPr>
          </w:p>
          <w:p w14:paraId="205228A0">
            <w:pPr>
              <w:jc w:val="center"/>
              <w:rPr>
                <w:rFonts w:hint="eastAsia" w:ascii="宋体" w:hAnsi="宋体" w:cs="宋体"/>
                <w:sz w:val="24"/>
                <w:lang w:val="en-US" w:eastAsia="zh-CN"/>
              </w:rPr>
            </w:pPr>
            <w:r>
              <w:rPr>
                <w:rFonts w:hint="eastAsia" w:ascii="宋体" w:hAnsi="宋体" w:cs="宋体"/>
                <w:sz w:val="24"/>
                <w:lang w:val="en-US" w:eastAsia="zh-CN"/>
              </w:rPr>
              <w:t>9</w:t>
            </w:r>
          </w:p>
          <w:p w14:paraId="3E68187F">
            <w:pPr>
              <w:jc w:val="center"/>
              <w:rPr>
                <w:rFonts w:hint="eastAsia" w:ascii="宋体" w:hAnsi="宋体" w:cs="宋体"/>
                <w:sz w:val="24"/>
                <w:lang w:val="en-US" w:eastAsia="zh-CN"/>
              </w:rPr>
            </w:pPr>
          </w:p>
          <w:p w14:paraId="3F8D32E6">
            <w:pPr>
              <w:jc w:val="both"/>
              <w:rPr>
                <w:rFonts w:hint="eastAsia" w:ascii="宋体" w:hAnsi="宋体" w:eastAsia="宋体" w:cs="宋体"/>
                <w:sz w:val="24"/>
                <w:lang w:val="en-US" w:eastAsia="zh-CN"/>
              </w:rPr>
            </w:pPr>
          </w:p>
        </w:tc>
        <w:tc>
          <w:tcPr>
            <w:tcW w:w="627" w:type="pct"/>
            <w:vMerge w:val="continue"/>
            <w:noWrap w:val="0"/>
            <w:vAlign w:val="center"/>
          </w:tcPr>
          <w:p w14:paraId="34D66BB0">
            <w:pPr>
              <w:jc w:val="center"/>
              <w:rPr>
                <w:rFonts w:hint="eastAsia" w:ascii="宋体" w:hAnsi="宋体" w:cs="宋体"/>
                <w:sz w:val="24"/>
              </w:rPr>
            </w:pPr>
          </w:p>
        </w:tc>
        <w:tc>
          <w:tcPr>
            <w:tcW w:w="2734" w:type="pct"/>
            <w:noWrap w:val="0"/>
            <w:vAlign w:val="center"/>
          </w:tcPr>
          <w:p w14:paraId="3C2BBA46">
            <w:pPr>
              <w:jc w:val="center"/>
              <w:rPr>
                <w:rFonts w:hint="eastAsia" w:ascii="宋体" w:hAnsi="宋体" w:cs="宋体"/>
                <w:sz w:val="24"/>
                <w:lang w:eastAsia="zh-CN"/>
              </w:rPr>
            </w:pPr>
            <w:r>
              <w:rPr>
                <w:rFonts w:hint="eastAsia" w:ascii="宋体" w:hAnsi="宋体" w:cs="宋体"/>
                <w:sz w:val="24"/>
                <w:lang w:eastAsia="zh-CN"/>
              </w:rPr>
              <w:t>服务活动（场）</w:t>
            </w:r>
          </w:p>
        </w:tc>
        <w:tc>
          <w:tcPr>
            <w:tcW w:w="1155" w:type="pct"/>
            <w:noWrap w:val="0"/>
            <w:vAlign w:val="center"/>
          </w:tcPr>
          <w:p w14:paraId="02945336">
            <w:pPr>
              <w:jc w:val="center"/>
              <w:rPr>
                <w:rFonts w:hint="eastAsia" w:ascii="宋体" w:hAnsi="宋体" w:eastAsia="宋体" w:cs="宋体"/>
                <w:sz w:val="24"/>
                <w:lang w:val="en-US" w:eastAsia="zh-CN"/>
              </w:rPr>
            </w:pPr>
            <w:r>
              <w:rPr>
                <w:rFonts w:hint="eastAsia" w:ascii="宋体" w:hAnsi="宋体" w:cs="宋体"/>
                <w:sz w:val="24"/>
                <w:lang w:val="en-US" w:eastAsia="zh-CN"/>
              </w:rPr>
              <w:t>22</w:t>
            </w:r>
            <w:r>
              <w:rPr>
                <w:rFonts w:hint="eastAsia" w:ascii="宋体" w:hAnsi="宋体" w:eastAsia="宋体" w:cs="宋体"/>
                <w:sz w:val="24"/>
                <w:lang w:val="en-US" w:eastAsia="zh-CN"/>
              </w:rPr>
              <w:t>（</w:t>
            </w:r>
            <w:r>
              <w:rPr>
                <w:rFonts w:hint="eastAsia" w:ascii="宋体" w:hAnsi="宋体" w:cs="宋体"/>
                <w:sz w:val="24"/>
                <w:lang w:val="en-US" w:eastAsia="zh-CN"/>
              </w:rPr>
              <w:t>年度总活动场数，含其他领域）</w:t>
            </w:r>
          </w:p>
        </w:tc>
      </w:tr>
      <w:tr w14:paraId="5D06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18F772B1">
            <w:pPr>
              <w:jc w:val="center"/>
              <w:rPr>
                <w:rFonts w:hint="eastAsia" w:ascii="宋体" w:hAnsi="宋体" w:eastAsia="宋体" w:cs="宋体"/>
                <w:sz w:val="24"/>
                <w:lang w:val="en-US" w:eastAsia="zh-CN"/>
              </w:rPr>
            </w:pPr>
            <w:r>
              <w:rPr>
                <w:rFonts w:hint="eastAsia" w:ascii="宋体" w:hAnsi="宋体" w:cs="宋体"/>
                <w:sz w:val="24"/>
                <w:lang w:val="en-US" w:eastAsia="zh-CN"/>
              </w:rPr>
              <w:t>10</w:t>
            </w:r>
          </w:p>
        </w:tc>
        <w:tc>
          <w:tcPr>
            <w:tcW w:w="627" w:type="pct"/>
            <w:noWrap w:val="0"/>
            <w:vAlign w:val="center"/>
          </w:tcPr>
          <w:p w14:paraId="7444FE4E">
            <w:pPr>
              <w:jc w:val="center"/>
              <w:rPr>
                <w:rFonts w:hint="eastAsia" w:ascii="宋体" w:hAnsi="宋体" w:cs="宋体"/>
                <w:sz w:val="24"/>
                <w:lang w:eastAsia="zh-CN"/>
              </w:rPr>
            </w:pPr>
            <w:r>
              <w:rPr>
                <w:rFonts w:hint="eastAsia" w:ascii="宋体" w:hAnsi="宋体" w:cs="宋体"/>
                <w:sz w:val="24"/>
                <w:lang w:val="en-US" w:eastAsia="zh-CN"/>
              </w:rPr>
              <w:t xml:space="preserve">         </w:t>
            </w:r>
            <w:r>
              <w:rPr>
                <w:rFonts w:hint="eastAsia" w:ascii="宋体" w:hAnsi="宋体" w:cs="宋体"/>
                <w:sz w:val="24"/>
                <w:highlight w:val="none"/>
              </w:rPr>
              <w:t>社区治理项目（类）</w:t>
            </w:r>
          </w:p>
        </w:tc>
        <w:tc>
          <w:tcPr>
            <w:tcW w:w="2734" w:type="pct"/>
            <w:noWrap w:val="0"/>
            <w:vAlign w:val="center"/>
          </w:tcPr>
          <w:p w14:paraId="77AF6EBD">
            <w:pPr>
              <w:jc w:val="left"/>
              <w:rPr>
                <w:rFonts w:hint="default" w:ascii="宋体" w:hAnsi="宋体" w:cs="宋体"/>
                <w:sz w:val="24"/>
                <w:lang w:val="en-US" w:eastAsia="zh-CN"/>
              </w:rPr>
            </w:pPr>
            <w:r>
              <w:rPr>
                <w:rFonts w:hint="eastAsia" w:ascii="宋体" w:hAnsi="宋体" w:cs="宋体"/>
                <w:sz w:val="24"/>
                <w:lang w:val="en-US" w:eastAsia="zh-CN"/>
              </w:rPr>
              <w:t>竹园社区：建立资源清单、需求清单、项目清单、责任清单、开展社区居民自助与互助服务2场。                            竹林社区：建立责任清单、开展社区共建2场、开展社区矛盾化解（其中个案≥3节）、培育社区归属感和认同感2场、推动多方应</w:t>
            </w:r>
            <w:r>
              <w:rPr>
                <w:rFonts w:hint="eastAsia" w:ascii="宋体" w:hAnsi="宋体" w:cs="宋体"/>
                <w:sz w:val="24"/>
                <w:highlight w:val="none"/>
                <w:lang w:val="en-US" w:eastAsia="zh-CN"/>
              </w:rPr>
              <w:t>急联动。                             香岭社区：建立资源清单、需求清单、项目清单、开展社区共建2场、培育社区归属感和认同感2场。</w:t>
            </w:r>
          </w:p>
        </w:tc>
        <w:tc>
          <w:tcPr>
            <w:tcW w:w="1155" w:type="pct"/>
            <w:noWrap w:val="0"/>
            <w:vAlign w:val="center"/>
          </w:tcPr>
          <w:p w14:paraId="106587A5">
            <w:pPr>
              <w:jc w:val="center"/>
              <w:rPr>
                <w:rFonts w:hint="eastAsia" w:ascii="宋体" w:hAnsi="宋体" w:eastAsia="宋体" w:cs="宋体"/>
                <w:sz w:val="24"/>
                <w:lang w:val="en-US" w:eastAsia="zh-CN"/>
              </w:rPr>
            </w:pPr>
            <w:r>
              <w:rPr>
                <w:rFonts w:hint="eastAsia" w:ascii="宋体" w:hAnsi="宋体" w:eastAsia="宋体" w:cs="宋体"/>
                <w:sz w:val="24"/>
                <w:lang w:val="en-US" w:eastAsia="zh-CN"/>
              </w:rPr>
              <w:t>至少</w:t>
            </w:r>
            <w:r>
              <w:rPr>
                <w:rFonts w:hint="eastAsia" w:ascii="宋体" w:hAnsi="宋体" w:cs="宋体"/>
                <w:sz w:val="24"/>
                <w:lang w:val="en-US" w:eastAsia="zh-CN"/>
              </w:rPr>
              <w:t>5</w:t>
            </w:r>
            <w:r>
              <w:rPr>
                <w:rFonts w:hint="eastAsia" w:ascii="宋体" w:hAnsi="宋体" w:eastAsia="宋体" w:cs="宋体"/>
                <w:sz w:val="24"/>
                <w:lang w:val="en-US" w:eastAsia="zh-CN"/>
              </w:rPr>
              <w:t>项</w:t>
            </w:r>
          </w:p>
        </w:tc>
      </w:tr>
      <w:tr w14:paraId="5769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690787BC">
            <w:pPr>
              <w:jc w:val="center"/>
              <w:rPr>
                <w:rFonts w:hint="eastAsia" w:ascii="宋体" w:hAnsi="宋体" w:eastAsia="宋体" w:cs="宋体"/>
                <w:sz w:val="24"/>
                <w:lang w:val="en-US" w:eastAsia="zh-CN"/>
              </w:rPr>
            </w:pPr>
            <w:r>
              <w:rPr>
                <w:rFonts w:hint="eastAsia" w:ascii="宋体" w:hAnsi="宋体" w:cs="宋体"/>
                <w:sz w:val="24"/>
                <w:lang w:val="en-US" w:eastAsia="zh-CN"/>
              </w:rPr>
              <w:t>11</w:t>
            </w:r>
          </w:p>
        </w:tc>
        <w:tc>
          <w:tcPr>
            <w:tcW w:w="627" w:type="pct"/>
            <w:vMerge w:val="restart"/>
            <w:noWrap w:val="0"/>
            <w:vAlign w:val="center"/>
          </w:tcPr>
          <w:p w14:paraId="2805AFAC">
            <w:pPr>
              <w:jc w:val="center"/>
              <w:rPr>
                <w:rFonts w:hint="eastAsia" w:ascii="宋体" w:hAnsi="宋体" w:eastAsia="宋体" w:cs="宋体"/>
                <w:kern w:val="2"/>
                <w:sz w:val="24"/>
                <w:szCs w:val="24"/>
                <w:lang w:val="en-US" w:eastAsia="zh-CN" w:bidi="ar-SA"/>
              </w:rPr>
            </w:pPr>
            <w:r>
              <w:rPr>
                <w:rFonts w:hint="eastAsia" w:ascii="宋体" w:hAnsi="宋体" w:cs="宋体"/>
                <w:sz w:val="24"/>
                <w:lang w:eastAsia="zh-CN"/>
              </w:rPr>
              <w:t>志愿服务项目</w:t>
            </w:r>
          </w:p>
        </w:tc>
        <w:tc>
          <w:tcPr>
            <w:tcW w:w="2734" w:type="pct"/>
            <w:noWrap w:val="0"/>
            <w:vAlign w:val="center"/>
          </w:tcPr>
          <w:p w14:paraId="088B5E58">
            <w:pPr>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rPr>
              <w:t>志愿者培训</w:t>
            </w:r>
          </w:p>
        </w:tc>
        <w:tc>
          <w:tcPr>
            <w:tcW w:w="1155" w:type="pct"/>
            <w:noWrap w:val="0"/>
            <w:vAlign w:val="center"/>
          </w:tcPr>
          <w:p w14:paraId="693529EC">
            <w:pPr>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1</w:t>
            </w:r>
          </w:p>
        </w:tc>
      </w:tr>
      <w:tr w14:paraId="6333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1278894A">
            <w:pPr>
              <w:jc w:val="center"/>
              <w:rPr>
                <w:rFonts w:hint="eastAsia" w:ascii="宋体" w:hAnsi="宋体" w:eastAsia="宋体" w:cs="宋体"/>
                <w:sz w:val="24"/>
                <w:lang w:val="en-US" w:eastAsia="zh-CN"/>
              </w:rPr>
            </w:pPr>
            <w:r>
              <w:rPr>
                <w:rFonts w:hint="eastAsia" w:ascii="宋体" w:hAnsi="宋体" w:cs="宋体"/>
                <w:sz w:val="24"/>
                <w:lang w:val="en-US" w:eastAsia="zh-CN"/>
              </w:rPr>
              <w:t>12</w:t>
            </w:r>
          </w:p>
        </w:tc>
        <w:tc>
          <w:tcPr>
            <w:tcW w:w="627" w:type="pct"/>
            <w:vMerge w:val="continue"/>
            <w:noWrap w:val="0"/>
            <w:vAlign w:val="center"/>
          </w:tcPr>
          <w:p w14:paraId="1C1F4BE3">
            <w:pPr>
              <w:jc w:val="center"/>
              <w:rPr>
                <w:rFonts w:hint="eastAsia" w:ascii="宋体" w:hAnsi="宋体" w:cs="宋体"/>
                <w:sz w:val="24"/>
                <w:lang w:eastAsia="zh-CN"/>
              </w:rPr>
            </w:pPr>
          </w:p>
        </w:tc>
        <w:tc>
          <w:tcPr>
            <w:tcW w:w="2734" w:type="pct"/>
            <w:noWrap w:val="0"/>
            <w:vAlign w:val="center"/>
          </w:tcPr>
          <w:p w14:paraId="268C5A70">
            <w:pPr>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eastAsia="zh-CN"/>
              </w:rPr>
              <w:t>志愿者团建及表彰</w:t>
            </w:r>
          </w:p>
        </w:tc>
        <w:tc>
          <w:tcPr>
            <w:tcW w:w="1155" w:type="pct"/>
            <w:noWrap w:val="0"/>
            <w:vAlign w:val="center"/>
          </w:tcPr>
          <w:p w14:paraId="71BEBA49">
            <w:pPr>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1</w:t>
            </w:r>
          </w:p>
        </w:tc>
      </w:tr>
      <w:tr w14:paraId="70C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83" w:type="pct"/>
            <w:noWrap w:val="0"/>
            <w:vAlign w:val="center"/>
          </w:tcPr>
          <w:p w14:paraId="1E59DFFB">
            <w:pPr>
              <w:jc w:val="center"/>
              <w:rPr>
                <w:rFonts w:hint="eastAsia" w:ascii="宋体" w:hAnsi="宋体" w:eastAsia="宋体" w:cs="宋体"/>
                <w:sz w:val="24"/>
                <w:lang w:val="en-US" w:eastAsia="zh-CN"/>
              </w:rPr>
            </w:pPr>
            <w:r>
              <w:rPr>
                <w:rFonts w:hint="eastAsia" w:ascii="宋体" w:hAnsi="宋体" w:cs="宋体"/>
                <w:sz w:val="24"/>
                <w:lang w:val="en-US" w:eastAsia="zh-CN"/>
              </w:rPr>
              <w:t>13</w:t>
            </w:r>
          </w:p>
        </w:tc>
        <w:tc>
          <w:tcPr>
            <w:tcW w:w="627" w:type="pct"/>
            <w:vMerge w:val="continue"/>
            <w:noWrap w:val="0"/>
            <w:vAlign w:val="center"/>
          </w:tcPr>
          <w:p w14:paraId="49A7B79D">
            <w:pPr>
              <w:jc w:val="center"/>
              <w:rPr>
                <w:rFonts w:hint="eastAsia" w:ascii="宋体" w:hAnsi="宋体" w:cs="宋体"/>
                <w:sz w:val="24"/>
                <w:lang w:eastAsia="zh-CN"/>
              </w:rPr>
            </w:pPr>
          </w:p>
        </w:tc>
        <w:tc>
          <w:tcPr>
            <w:tcW w:w="2734" w:type="pct"/>
            <w:noWrap w:val="0"/>
            <w:vAlign w:val="center"/>
          </w:tcPr>
          <w:p w14:paraId="60F40A95">
            <w:pPr>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eastAsia="zh-CN"/>
              </w:rPr>
              <w:t>至少</w:t>
            </w:r>
            <w:r>
              <w:rPr>
                <w:rFonts w:hint="eastAsia" w:ascii="宋体" w:hAnsi="宋体" w:cs="宋体"/>
                <w:sz w:val="24"/>
                <w:highlight w:val="none"/>
                <w:lang w:val="en-US" w:eastAsia="zh-CN"/>
              </w:rPr>
              <w:t>1支专项（特色）服务志愿者队伍</w:t>
            </w:r>
          </w:p>
        </w:tc>
        <w:tc>
          <w:tcPr>
            <w:tcW w:w="1155" w:type="pct"/>
            <w:noWrap w:val="0"/>
            <w:vAlign w:val="center"/>
          </w:tcPr>
          <w:p w14:paraId="22470C30">
            <w:pPr>
              <w:jc w:val="center"/>
              <w:rPr>
                <w:rFonts w:hint="eastAsia" w:ascii="宋体" w:hAnsi="宋体" w:eastAsia="宋体" w:cs="宋体"/>
                <w:kern w:val="2"/>
                <w:sz w:val="24"/>
                <w:szCs w:val="24"/>
                <w:lang w:val="en-US" w:eastAsia="zh-CN" w:bidi="ar-SA"/>
              </w:rPr>
            </w:pPr>
            <w:r>
              <w:rPr>
                <w:rFonts w:hint="eastAsia" w:ascii="宋体" w:hAnsi="宋体" w:cs="宋体"/>
                <w:sz w:val="24"/>
                <w:highlight w:val="none"/>
                <w:lang w:val="en-US" w:eastAsia="zh-CN"/>
              </w:rPr>
              <w:t>30</w:t>
            </w:r>
            <w:r>
              <w:rPr>
                <w:rFonts w:hint="eastAsia" w:ascii="宋体" w:hAnsi="宋体" w:cs="宋体"/>
                <w:sz w:val="24"/>
                <w:highlight w:val="none"/>
                <w:lang w:eastAsia="zh-CN"/>
              </w:rPr>
              <w:t>人</w:t>
            </w:r>
            <w:r>
              <w:rPr>
                <w:rFonts w:hint="eastAsia" w:ascii="宋体" w:hAnsi="宋体" w:cs="宋体"/>
                <w:sz w:val="24"/>
                <w:highlight w:val="none"/>
              </w:rPr>
              <w:t>/支</w:t>
            </w:r>
          </w:p>
        </w:tc>
      </w:tr>
      <w:tr w14:paraId="000B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483" w:type="pct"/>
            <w:noWrap w:val="0"/>
            <w:vAlign w:val="center"/>
          </w:tcPr>
          <w:p w14:paraId="3EA4D6D6">
            <w:pPr>
              <w:jc w:val="center"/>
              <w:rPr>
                <w:rFonts w:hint="eastAsia" w:ascii="宋体" w:hAnsi="宋体" w:eastAsia="宋体" w:cs="宋体"/>
                <w:sz w:val="24"/>
                <w:lang w:val="en-US" w:eastAsia="zh-CN"/>
              </w:rPr>
            </w:pPr>
            <w:r>
              <w:rPr>
                <w:rFonts w:hint="eastAsia" w:ascii="宋体" w:hAnsi="宋体" w:cs="宋体"/>
                <w:sz w:val="24"/>
                <w:lang w:val="en-US" w:eastAsia="zh-CN"/>
              </w:rPr>
              <w:t>14</w:t>
            </w:r>
          </w:p>
        </w:tc>
        <w:tc>
          <w:tcPr>
            <w:tcW w:w="627" w:type="pct"/>
            <w:vMerge w:val="continue"/>
            <w:noWrap w:val="0"/>
            <w:vAlign w:val="center"/>
          </w:tcPr>
          <w:p w14:paraId="24155C9C">
            <w:pPr>
              <w:jc w:val="center"/>
              <w:rPr>
                <w:rFonts w:hint="eastAsia" w:ascii="宋体" w:hAnsi="宋体" w:cs="宋体"/>
                <w:sz w:val="24"/>
                <w:lang w:eastAsia="zh-CN"/>
              </w:rPr>
            </w:pPr>
          </w:p>
        </w:tc>
        <w:tc>
          <w:tcPr>
            <w:tcW w:w="2734" w:type="pct"/>
            <w:noWrap w:val="0"/>
            <w:vAlign w:val="center"/>
          </w:tcPr>
          <w:p w14:paraId="4D0D21E9">
            <w:pPr>
              <w:pStyle w:val="6"/>
              <w:rPr>
                <w:rFonts w:hint="eastAsia" w:ascii="宋体" w:hAnsi="宋体" w:eastAsia="宋体" w:cs="宋体"/>
                <w:kern w:val="2"/>
                <w:sz w:val="24"/>
                <w:szCs w:val="24"/>
                <w:highlight w:val="none"/>
                <w:lang w:val="en-US" w:eastAsia="zh-CN" w:bidi="ar-SA"/>
              </w:rPr>
            </w:pPr>
            <w:r>
              <w:rPr>
                <w:rFonts w:hint="eastAsia" w:ascii="宋体" w:hAnsi="宋体" w:cs="宋体"/>
                <w:sz w:val="24"/>
                <w:lang w:eastAsia="zh-CN"/>
              </w:rPr>
              <w:t>活跃志愿者不少于</w:t>
            </w:r>
            <w:r>
              <w:rPr>
                <w:rFonts w:hint="eastAsia" w:ascii="宋体" w:hAnsi="宋体" w:cs="宋体"/>
                <w:sz w:val="24"/>
                <w:lang w:val="en-US" w:eastAsia="zh-CN"/>
              </w:rPr>
              <w:t>20人（全年服务时数超过10小时或者服务次数5次以上为活跃志愿者）</w:t>
            </w:r>
          </w:p>
        </w:tc>
        <w:tc>
          <w:tcPr>
            <w:tcW w:w="1155" w:type="pct"/>
            <w:noWrap w:val="0"/>
            <w:vAlign w:val="center"/>
          </w:tcPr>
          <w:p w14:paraId="2E4E5D4C">
            <w:pPr>
              <w:jc w:val="center"/>
              <w:rPr>
                <w:rFonts w:hint="eastAsia" w:ascii="宋体" w:hAnsi="宋体" w:eastAsia="宋体" w:cs="宋体"/>
                <w:kern w:val="2"/>
                <w:sz w:val="24"/>
                <w:szCs w:val="24"/>
                <w:lang w:val="en-US" w:eastAsia="zh-CN" w:bidi="ar-SA"/>
              </w:rPr>
            </w:pPr>
            <w:r>
              <w:rPr>
                <w:rFonts w:hint="eastAsia" w:ascii="宋体" w:hAnsi="宋体" w:cs="宋体"/>
                <w:sz w:val="24"/>
                <w:lang w:eastAsia="zh-CN"/>
              </w:rPr>
              <w:t>不少于</w:t>
            </w:r>
            <w:r>
              <w:rPr>
                <w:rFonts w:hint="eastAsia" w:ascii="宋体" w:hAnsi="宋体" w:cs="宋体"/>
                <w:sz w:val="24"/>
                <w:lang w:val="en-US" w:eastAsia="zh-CN"/>
              </w:rPr>
              <w:t>20人</w:t>
            </w:r>
          </w:p>
        </w:tc>
      </w:tr>
      <w:tr w14:paraId="10303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51A2E07B">
            <w:pPr>
              <w:jc w:val="center"/>
              <w:rPr>
                <w:rFonts w:hint="eastAsia" w:ascii="宋体" w:hAnsi="宋体" w:eastAsia="宋体" w:cs="宋体"/>
                <w:sz w:val="24"/>
                <w:lang w:val="en-US" w:eastAsia="zh-CN"/>
              </w:rPr>
            </w:pPr>
            <w:r>
              <w:rPr>
                <w:rFonts w:hint="eastAsia" w:ascii="宋体" w:hAnsi="宋体" w:cs="宋体"/>
                <w:sz w:val="24"/>
                <w:lang w:val="en-US" w:eastAsia="zh-CN"/>
              </w:rPr>
              <w:t>15</w:t>
            </w:r>
          </w:p>
        </w:tc>
        <w:tc>
          <w:tcPr>
            <w:tcW w:w="627" w:type="pct"/>
            <w:noWrap w:val="0"/>
            <w:vAlign w:val="center"/>
          </w:tcPr>
          <w:p w14:paraId="17862905">
            <w:pPr>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 xml:space="preserve">          </w:t>
            </w:r>
            <w:r>
              <w:rPr>
                <w:rFonts w:hint="eastAsia" w:ascii="宋体" w:hAnsi="宋体" w:cs="宋体"/>
                <w:sz w:val="24"/>
                <w:highlight w:val="none"/>
              </w:rPr>
              <w:t>专项服务项目（</w:t>
            </w:r>
            <w:r>
              <w:rPr>
                <w:rFonts w:hint="eastAsia" w:ascii="宋体" w:hAnsi="宋体" w:cs="宋体"/>
                <w:color w:val="auto"/>
                <w:sz w:val="24"/>
                <w:highlight w:val="none"/>
                <w:lang w:eastAsia="zh-CN"/>
              </w:rPr>
              <w:t>项</w:t>
            </w:r>
            <w:r>
              <w:rPr>
                <w:rFonts w:hint="eastAsia" w:ascii="宋体" w:hAnsi="宋体" w:cs="宋体"/>
                <w:sz w:val="24"/>
                <w:highlight w:val="none"/>
              </w:rPr>
              <w:t>）</w:t>
            </w:r>
          </w:p>
        </w:tc>
        <w:tc>
          <w:tcPr>
            <w:tcW w:w="2734" w:type="pct"/>
            <w:noWrap w:val="0"/>
            <w:vAlign w:val="center"/>
          </w:tcPr>
          <w:p w14:paraId="63242163">
            <w:pPr>
              <w:jc w:val="center"/>
              <w:rPr>
                <w:rFonts w:hint="default" w:ascii="宋体" w:hAnsi="宋体" w:cs="宋体"/>
                <w:sz w:val="24"/>
                <w:lang w:val="en-US" w:eastAsia="zh-CN"/>
              </w:rPr>
            </w:pPr>
            <w:r>
              <w:rPr>
                <w:rFonts w:hint="eastAsia" w:ascii="宋体" w:hAnsi="宋体" w:cs="宋体"/>
                <w:sz w:val="24"/>
                <w:lang w:val="en-US" w:eastAsia="zh-CN"/>
              </w:rPr>
              <w:t>1、推动实施“社区民生微实事”项目      2、推动实施社区心理健康服务建设项目</w:t>
            </w:r>
          </w:p>
        </w:tc>
        <w:tc>
          <w:tcPr>
            <w:tcW w:w="1155" w:type="pct"/>
            <w:noWrap w:val="0"/>
            <w:vAlign w:val="center"/>
          </w:tcPr>
          <w:p w14:paraId="5C3BACDD">
            <w:pPr>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2项</w:t>
            </w:r>
          </w:p>
        </w:tc>
      </w:tr>
      <w:tr w14:paraId="7FF84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83" w:type="pct"/>
            <w:noWrap w:val="0"/>
            <w:vAlign w:val="center"/>
          </w:tcPr>
          <w:p w14:paraId="3DA13D78">
            <w:pPr>
              <w:jc w:val="center"/>
              <w:rPr>
                <w:rFonts w:hint="eastAsia" w:ascii="宋体" w:hAnsi="宋体" w:eastAsia="宋体" w:cs="宋体"/>
                <w:sz w:val="24"/>
                <w:lang w:val="en-US" w:eastAsia="zh-CN"/>
              </w:rPr>
            </w:pPr>
            <w:r>
              <w:rPr>
                <w:rFonts w:hint="eastAsia" w:ascii="宋体" w:hAnsi="宋体" w:cs="宋体"/>
                <w:sz w:val="24"/>
                <w:lang w:val="en-US" w:eastAsia="zh-CN"/>
              </w:rPr>
              <w:t>16</w:t>
            </w:r>
          </w:p>
        </w:tc>
        <w:tc>
          <w:tcPr>
            <w:tcW w:w="627" w:type="pct"/>
            <w:noWrap w:val="0"/>
            <w:vAlign w:val="center"/>
          </w:tcPr>
          <w:p w14:paraId="1C70D06C">
            <w:pPr>
              <w:jc w:val="center"/>
              <w:rPr>
                <w:rFonts w:hint="eastAsia" w:ascii="宋体" w:hAnsi="宋体" w:eastAsia="宋体" w:cs="宋体"/>
                <w:sz w:val="24"/>
                <w:lang w:eastAsia="zh-CN"/>
              </w:rPr>
            </w:pPr>
            <w:r>
              <w:rPr>
                <w:rFonts w:hint="eastAsia" w:ascii="宋体" w:hAnsi="宋体" w:cs="宋体"/>
                <w:sz w:val="24"/>
                <w:lang w:eastAsia="zh-CN"/>
              </w:rPr>
              <w:t>项目总结</w:t>
            </w:r>
          </w:p>
        </w:tc>
        <w:tc>
          <w:tcPr>
            <w:tcW w:w="2734" w:type="pct"/>
            <w:noWrap w:val="0"/>
            <w:vAlign w:val="center"/>
          </w:tcPr>
          <w:p w14:paraId="0052CE06">
            <w:pPr>
              <w:jc w:val="center"/>
              <w:rPr>
                <w:rFonts w:hint="eastAsia" w:ascii="宋体" w:hAnsi="宋体" w:eastAsia="宋体" w:cs="宋体"/>
                <w:kern w:val="2"/>
                <w:sz w:val="24"/>
                <w:szCs w:val="24"/>
                <w:lang w:val="en-US" w:eastAsia="zh-CN" w:bidi="ar-SA"/>
              </w:rPr>
            </w:pPr>
            <w:r>
              <w:rPr>
                <w:rFonts w:hint="eastAsia" w:ascii="宋体" w:hAnsi="宋体" w:cs="宋体"/>
                <w:sz w:val="24"/>
              </w:rPr>
              <w:t>年度总结报告（份）</w:t>
            </w:r>
          </w:p>
        </w:tc>
        <w:tc>
          <w:tcPr>
            <w:tcW w:w="1155" w:type="pct"/>
            <w:noWrap w:val="0"/>
            <w:vAlign w:val="center"/>
          </w:tcPr>
          <w:p w14:paraId="5B8A305E">
            <w:pPr>
              <w:jc w:val="center"/>
              <w:rPr>
                <w:rFonts w:hint="eastAsia" w:ascii="宋体" w:hAnsi="宋体" w:eastAsia="宋体" w:cs="宋体"/>
                <w:sz w:val="24"/>
                <w:lang w:val="en-US" w:eastAsia="zh-CN"/>
              </w:rPr>
            </w:pPr>
            <w:r>
              <w:rPr>
                <w:rFonts w:hint="eastAsia" w:ascii="宋体" w:hAnsi="宋体" w:eastAsia="宋体" w:cs="宋体"/>
                <w:sz w:val="24"/>
                <w:lang w:val="en-US" w:eastAsia="zh-CN"/>
              </w:rPr>
              <w:t>1</w:t>
            </w:r>
          </w:p>
        </w:tc>
      </w:tr>
      <w:tr w14:paraId="1E0A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3" w:type="pct"/>
            <w:noWrap w:val="0"/>
            <w:vAlign w:val="center"/>
          </w:tcPr>
          <w:p w14:paraId="0ABA231B">
            <w:pPr>
              <w:jc w:val="center"/>
              <w:rPr>
                <w:rFonts w:hint="eastAsia" w:ascii="宋体" w:hAnsi="宋体" w:eastAsia="宋体" w:cs="宋体"/>
                <w:sz w:val="24"/>
                <w:lang w:val="en-US" w:eastAsia="zh-CN"/>
              </w:rPr>
            </w:pPr>
            <w:r>
              <w:rPr>
                <w:rFonts w:hint="eastAsia" w:ascii="宋体" w:hAnsi="宋体" w:cs="宋体"/>
                <w:sz w:val="24"/>
                <w:lang w:val="en-US" w:eastAsia="zh-CN"/>
              </w:rPr>
              <w:t>17</w:t>
            </w:r>
          </w:p>
        </w:tc>
        <w:tc>
          <w:tcPr>
            <w:tcW w:w="3361" w:type="pct"/>
            <w:gridSpan w:val="2"/>
            <w:noWrap w:val="0"/>
            <w:vAlign w:val="center"/>
          </w:tcPr>
          <w:p w14:paraId="5FA35E9D">
            <w:pPr>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 xml:space="preserve">         </w:t>
            </w:r>
            <w:r>
              <w:rPr>
                <w:rFonts w:hint="eastAsia" w:ascii="宋体" w:hAnsi="宋体" w:cs="宋体"/>
                <w:sz w:val="24"/>
              </w:rPr>
              <w:t>服务成效报告（份）</w:t>
            </w:r>
          </w:p>
        </w:tc>
        <w:tc>
          <w:tcPr>
            <w:tcW w:w="1155" w:type="pct"/>
            <w:noWrap w:val="0"/>
            <w:vAlign w:val="center"/>
          </w:tcPr>
          <w:p w14:paraId="7C84FE88">
            <w:pPr>
              <w:jc w:val="center"/>
              <w:rPr>
                <w:rFonts w:hint="eastAsia" w:ascii="宋体" w:hAnsi="宋体" w:eastAsia="宋体" w:cs="宋体"/>
                <w:sz w:val="24"/>
                <w:lang w:val="en-US" w:eastAsia="zh-CN"/>
              </w:rPr>
            </w:pPr>
            <w:r>
              <w:rPr>
                <w:rFonts w:hint="eastAsia" w:ascii="宋体" w:hAnsi="宋体" w:eastAsia="宋体" w:cs="宋体"/>
                <w:sz w:val="24"/>
                <w:lang w:val="en-US" w:eastAsia="zh-CN"/>
              </w:rPr>
              <w:t>1</w:t>
            </w:r>
          </w:p>
        </w:tc>
      </w:tr>
      <w:tr w14:paraId="4827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9" w:hRule="atLeast"/>
          <w:jc w:val="center"/>
        </w:trPr>
        <w:tc>
          <w:tcPr>
            <w:tcW w:w="5000" w:type="pct"/>
            <w:gridSpan w:val="4"/>
            <w:noWrap w:val="0"/>
            <w:vAlign w:val="center"/>
          </w:tcPr>
          <w:p w14:paraId="5B2B662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备注说明：1.根据通知要求，完成智慧民政系统在册特殊困难群体100%走访（根据服务等级划分情况，危级服务对象每周至少1次、一级每月至少1次、二级每两个月至少1次，三级每季度至少1次，四级每半年至少1次的频率开展走访工作，服务记录以智慧民政系统走访记录为准，不得出现超期任务。）2.新增特殊困难群体100%</w:t>
            </w:r>
            <w:r>
              <w:rPr>
                <w:rFonts w:hint="eastAsia" w:ascii="宋体" w:hAnsi="宋体" w:eastAsia="宋体" w:cs="宋体"/>
                <w:sz w:val="24"/>
                <w:szCs w:val="24"/>
                <w:lang w:val="en-US" w:eastAsia="zh-CN"/>
              </w:rPr>
              <w:t>建档</w:t>
            </w:r>
            <w:r>
              <w:rPr>
                <w:rFonts w:hint="eastAsia" w:ascii="宋体" w:hAnsi="宋体" w:cs="宋体"/>
                <w:sz w:val="24"/>
                <w:szCs w:val="24"/>
                <w:lang w:val="en-US" w:eastAsia="zh-CN"/>
              </w:rPr>
              <w:t>；3.“老小”“弱困”群体及矛盾纠纷化解、心理健康专项服务等个案4个（至少1个典型案例）；4.</w:t>
            </w:r>
            <w:r>
              <w:rPr>
                <w:rFonts w:hint="eastAsia" w:ascii="宋体" w:hAnsi="宋体" w:cs="宋体"/>
                <w:sz w:val="24"/>
                <w:lang w:eastAsia="zh-CN"/>
              </w:rPr>
              <w:t>政策宣传</w:t>
            </w:r>
            <w:r>
              <w:rPr>
                <w:rFonts w:hint="eastAsia" w:ascii="宋体" w:hAnsi="宋体" w:cs="宋体"/>
                <w:sz w:val="24"/>
                <w:lang w:val="en-US" w:eastAsia="zh-CN"/>
              </w:rPr>
              <w:t>/</w:t>
            </w:r>
            <w:r>
              <w:rPr>
                <w:rFonts w:hint="eastAsia" w:ascii="宋体" w:hAnsi="宋体" w:cs="宋体"/>
                <w:sz w:val="24"/>
                <w:lang w:eastAsia="zh-CN"/>
              </w:rPr>
              <w:t>倡导需开展</w:t>
            </w:r>
            <w:r>
              <w:rPr>
                <w:rFonts w:hint="eastAsia" w:ascii="宋体" w:hAnsi="宋体" w:cs="宋体"/>
                <w:sz w:val="24"/>
                <w:lang w:val="en-US" w:eastAsia="zh-CN"/>
              </w:rPr>
              <w:t>3场活动，同时提供日常工作中主动发现并协助</w:t>
            </w:r>
            <w:r>
              <w:rPr>
                <w:rFonts w:hint="eastAsia" w:ascii="宋体" w:hAnsi="宋体" w:cs="宋体"/>
                <w:sz w:val="24"/>
                <w:lang w:eastAsia="zh-CN"/>
              </w:rPr>
              <w:t>落实政策人员名单。</w:t>
            </w:r>
          </w:p>
        </w:tc>
      </w:tr>
    </w:tbl>
    <w:p w14:paraId="2193D635">
      <w:pPr>
        <w:pStyle w:val="2"/>
        <w:rPr>
          <w:rFonts w:hint="eastAsia"/>
          <w:lang w:val="en-US" w:eastAsia="zh-CN"/>
        </w:rPr>
      </w:pPr>
    </w:p>
    <w:p w14:paraId="4899638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p>
    <w:p w14:paraId="5E600886">
      <w:pPr>
        <w:pStyle w:val="2"/>
        <w:rPr>
          <w:rFonts w:hint="eastAsia" w:ascii="仿宋_GB2312" w:hAnsi="仿宋_GB2312" w:eastAsia="仿宋_GB2312" w:cs="仿宋_GB2312"/>
          <w:color w:val="000000"/>
          <w:kern w:val="0"/>
          <w:sz w:val="28"/>
          <w:szCs w:val="28"/>
          <w:highlight w:val="none"/>
          <w:lang w:val="en-US" w:eastAsia="zh-CN" w:bidi="ar"/>
        </w:rPr>
      </w:pPr>
    </w:p>
    <w:p w14:paraId="7FEEB139">
      <w:pPr>
        <w:pStyle w:val="2"/>
        <w:rPr>
          <w:rFonts w:hint="eastAsia" w:ascii="仿宋_GB2312" w:hAnsi="仿宋_GB2312" w:eastAsia="仿宋_GB2312" w:cs="仿宋_GB2312"/>
          <w:color w:val="000000"/>
          <w:kern w:val="0"/>
          <w:sz w:val="28"/>
          <w:szCs w:val="28"/>
          <w:highlight w:val="none"/>
          <w:lang w:val="en-US" w:eastAsia="zh-CN" w:bidi="ar"/>
        </w:rPr>
      </w:pPr>
    </w:p>
    <w:p w14:paraId="3F4FF074">
      <w:pPr>
        <w:pStyle w:val="2"/>
        <w:rPr>
          <w:rFonts w:hint="eastAsia" w:ascii="仿宋_GB2312" w:hAnsi="仿宋_GB2312" w:eastAsia="仿宋_GB2312" w:cs="仿宋_GB2312"/>
          <w:color w:val="000000"/>
          <w:kern w:val="0"/>
          <w:sz w:val="28"/>
          <w:szCs w:val="28"/>
          <w:highlight w:val="none"/>
          <w:lang w:val="en-US" w:eastAsia="zh-CN" w:bidi="ar"/>
        </w:rPr>
      </w:pPr>
    </w:p>
    <w:p w14:paraId="60585579">
      <w:pPr>
        <w:pStyle w:val="2"/>
        <w:rPr>
          <w:rFonts w:hint="eastAsia" w:ascii="仿宋_GB2312" w:hAnsi="仿宋_GB2312" w:eastAsia="仿宋_GB2312" w:cs="仿宋_GB2312"/>
          <w:color w:val="000000"/>
          <w:kern w:val="0"/>
          <w:sz w:val="28"/>
          <w:szCs w:val="28"/>
          <w:highlight w:val="none"/>
          <w:lang w:val="en-US" w:eastAsia="zh-CN" w:bidi="ar"/>
        </w:rPr>
      </w:pPr>
    </w:p>
    <w:p w14:paraId="5D0ECDD2">
      <w:pPr>
        <w:pStyle w:val="2"/>
        <w:rPr>
          <w:rFonts w:hint="eastAsia" w:ascii="仿宋_GB2312" w:hAnsi="仿宋_GB2312" w:eastAsia="仿宋_GB2312" w:cs="仿宋_GB2312"/>
          <w:color w:val="000000"/>
          <w:kern w:val="0"/>
          <w:sz w:val="28"/>
          <w:szCs w:val="28"/>
          <w:highlight w:val="none"/>
          <w:lang w:val="en-US" w:eastAsia="zh-CN" w:bidi="ar"/>
        </w:rPr>
      </w:pPr>
    </w:p>
    <w:p w14:paraId="7439C702">
      <w:pPr>
        <w:pStyle w:val="2"/>
        <w:rPr>
          <w:rFonts w:hint="eastAsia" w:ascii="仿宋_GB2312" w:hAnsi="仿宋_GB2312" w:eastAsia="仿宋_GB2312" w:cs="仿宋_GB2312"/>
          <w:color w:val="000000"/>
          <w:kern w:val="0"/>
          <w:sz w:val="28"/>
          <w:szCs w:val="28"/>
          <w:highlight w:val="none"/>
          <w:lang w:val="en-US" w:eastAsia="zh-CN" w:bidi="ar"/>
        </w:rPr>
      </w:pPr>
    </w:p>
    <w:p w14:paraId="282F7623">
      <w:pPr>
        <w:pStyle w:val="2"/>
        <w:rPr>
          <w:rFonts w:hint="eastAsia" w:ascii="仿宋_GB2312" w:hAnsi="仿宋_GB2312" w:eastAsia="仿宋_GB2312" w:cs="仿宋_GB2312"/>
          <w:color w:val="000000"/>
          <w:kern w:val="0"/>
          <w:sz w:val="28"/>
          <w:szCs w:val="28"/>
          <w:highlight w:val="none"/>
          <w:lang w:val="en-US" w:eastAsia="zh-CN" w:bidi="ar"/>
        </w:rPr>
      </w:pPr>
    </w:p>
    <w:p w14:paraId="2A0C89ED">
      <w:pPr>
        <w:pStyle w:val="2"/>
        <w:rPr>
          <w:rFonts w:hint="eastAsia" w:ascii="仿宋_GB2312" w:hAnsi="仿宋_GB2312" w:eastAsia="仿宋_GB2312" w:cs="仿宋_GB2312"/>
          <w:color w:val="000000"/>
          <w:kern w:val="0"/>
          <w:sz w:val="28"/>
          <w:szCs w:val="28"/>
          <w:highlight w:val="none"/>
          <w:lang w:val="en-US" w:eastAsia="zh-CN" w:bidi="ar"/>
        </w:rPr>
      </w:pPr>
    </w:p>
    <w:p w14:paraId="3FBEC805">
      <w:pPr>
        <w:pStyle w:val="2"/>
        <w:rPr>
          <w:rFonts w:hint="eastAsia" w:ascii="仿宋_GB2312" w:hAnsi="仿宋_GB2312" w:eastAsia="仿宋_GB2312" w:cs="仿宋_GB2312"/>
          <w:color w:val="000000"/>
          <w:kern w:val="0"/>
          <w:sz w:val="28"/>
          <w:szCs w:val="28"/>
          <w:highlight w:val="none"/>
          <w:lang w:val="en-US" w:eastAsia="zh-CN" w:bidi="ar"/>
        </w:rPr>
      </w:pPr>
    </w:p>
    <w:p w14:paraId="0C2D674F">
      <w:pPr>
        <w:pStyle w:val="2"/>
        <w:rPr>
          <w:rFonts w:hint="eastAsia" w:ascii="仿宋_GB2312" w:hAnsi="仿宋_GB2312" w:eastAsia="仿宋_GB2312" w:cs="仿宋_GB2312"/>
          <w:color w:val="000000"/>
          <w:kern w:val="0"/>
          <w:sz w:val="28"/>
          <w:szCs w:val="28"/>
          <w:highlight w:val="none"/>
          <w:lang w:val="en-US" w:eastAsia="zh-CN" w:bidi="ar"/>
        </w:rPr>
      </w:pPr>
    </w:p>
    <w:p w14:paraId="6C745FC0">
      <w:pPr>
        <w:pStyle w:val="2"/>
        <w:rPr>
          <w:rFonts w:hint="eastAsia" w:ascii="仿宋_GB2312" w:hAnsi="仿宋_GB2312" w:eastAsia="仿宋_GB2312" w:cs="仿宋_GB2312"/>
          <w:color w:val="000000"/>
          <w:kern w:val="0"/>
          <w:sz w:val="28"/>
          <w:szCs w:val="28"/>
          <w:highlight w:val="none"/>
          <w:lang w:val="en-US" w:eastAsia="zh-CN" w:bidi="ar"/>
        </w:rPr>
      </w:pPr>
    </w:p>
    <w:p w14:paraId="73AE7365">
      <w:pPr>
        <w:pStyle w:val="2"/>
        <w:rPr>
          <w:rFonts w:hint="eastAsia" w:ascii="仿宋_GB2312" w:hAnsi="仿宋_GB2312" w:eastAsia="仿宋_GB2312" w:cs="仿宋_GB2312"/>
          <w:color w:val="000000"/>
          <w:kern w:val="0"/>
          <w:sz w:val="28"/>
          <w:szCs w:val="28"/>
          <w:highlight w:val="none"/>
          <w:lang w:val="en-US" w:eastAsia="zh-CN" w:bidi="ar"/>
        </w:rPr>
      </w:pPr>
    </w:p>
    <w:p w14:paraId="1963F797">
      <w:pPr>
        <w:pStyle w:val="2"/>
        <w:rPr>
          <w:rFonts w:hint="eastAsia" w:ascii="仿宋_GB2312" w:hAnsi="仿宋_GB2312" w:eastAsia="仿宋_GB2312" w:cs="仿宋_GB2312"/>
          <w:color w:val="000000"/>
          <w:kern w:val="0"/>
          <w:sz w:val="28"/>
          <w:szCs w:val="28"/>
          <w:highlight w:val="none"/>
          <w:lang w:val="en-US" w:eastAsia="zh-CN" w:bidi="ar"/>
        </w:rPr>
      </w:pPr>
    </w:p>
    <w:p w14:paraId="5D8D063E">
      <w:pPr>
        <w:pStyle w:val="2"/>
        <w:rPr>
          <w:rFonts w:hint="eastAsia" w:ascii="仿宋_GB2312" w:hAnsi="仿宋_GB2312" w:eastAsia="仿宋_GB2312" w:cs="仿宋_GB2312"/>
          <w:color w:val="000000"/>
          <w:kern w:val="0"/>
          <w:sz w:val="28"/>
          <w:szCs w:val="28"/>
          <w:highlight w:val="none"/>
          <w:lang w:val="en-US" w:eastAsia="zh-CN" w:bidi="ar"/>
        </w:rPr>
      </w:pPr>
    </w:p>
    <w:p w14:paraId="04023D02">
      <w:pPr>
        <w:pStyle w:val="2"/>
        <w:rPr>
          <w:rFonts w:hint="eastAsia" w:ascii="仿宋_GB2312" w:hAnsi="仿宋_GB2312" w:eastAsia="仿宋_GB2312" w:cs="仿宋_GB2312"/>
          <w:color w:val="000000"/>
          <w:kern w:val="0"/>
          <w:sz w:val="28"/>
          <w:szCs w:val="28"/>
          <w:highlight w:val="none"/>
          <w:lang w:val="en-US" w:eastAsia="zh-CN" w:bidi="ar"/>
        </w:rPr>
      </w:pPr>
    </w:p>
    <w:p w14:paraId="77E11D02">
      <w:pPr>
        <w:pStyle w:val="2"/>
        <w:rPr>
          <w:rFonts w:hint="eastAsia" w:ascii="仿宋_GB2312" w:hAnsi="仿宋_GB2312" w:eastAsia="仿宋_GB2312" w:cs="仿宋_GB2312"/>
          <w:color w:val="000000"/>
          <w:kern w:val="0"/>
          <w:sz w:val="28"/>
          <w:szCs w:val="28"/>
          <w:highlight w:val="none"/>
          <w:lang w:val="en-US" w:eastAsia="zh-CN" w:bidi="ar"/>
        </w:rPr>
        <w:sectPr>
          <w:footerReference r:id="rId3" w:type="default"/>
          <w:pgSz w:w="11906" w:h="16838"/>
          <w:pgMar w:top="1383" w:right="1800" w:bottom="1440" w:left="1800" w:header="851" w:footer="992" w:gutter="0"/>
          <w:pgNumType w:fmt="decimal" w:start="1"/>
          <w:cols w:space="425" w:num="1"/>
          <w:docGrid w:type="lines" w:linePitch="312" w:charSpace="0"/>
        </w:sectPr>
      </w:pPr>
    </w:p>
    <w:tbl>
      <w:tblPr>
        <w:tblStyle w:val="10"/>
        <w:tblW w:w="12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314"/>
        <w:gridCol w:w="1194"/>
        <w:gridCol w:w="796"/>
        <w:gridCol w:w="1131"/>
        <w:gridCol w:w="773"/>
        <w:gridCol w:w="588"/>
        <w:gridCol w:w="374"/>
        <w:gridCol w:w="164"/>
        <w:gridCol w:w="755"/>
        <w:gridCol w:w="755"/>
        <w:gridCol w:w="755"/>
        <w:gridCol w:w="1097"/>
        <w:gridCol w:w="1780"/>
      </w:tblGrid>
      <w:tr w14:paraId="7A44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2148" w:type="dxa"/>
            <w:gridSpan w:val="2"/>
            <w:vMerge w:val="restart"/>
            <w:tcBorders>
              <w:tl2br w:val="nil"/>
              <w:tr2bl w:val="nil"/>
            </w:tcBorders>
            <w:shd w:val="clear" w:color="auto" w:fill="C5E0B3"/>
            <w:noWrap w:val="0"/>
            <w:tcMar>
              <w:top w:w="15" w:type="dxa"/>
              <w:left w:w="15" w:type="dxa"/>
              <w:right w:w="15" w:type="dxa"/>
            </w:tcMar>
            <w:vAlign w:val="center"/>
          </w:tcPr>
          <w:p w14:paraId="60CD01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sz w:val="24"/>
                <w:szCs w:val="24"/>
                <w:u w:val="none"/>
              </w:rPr>
            </w:pPr>
            <w:r>
              <w:rPr>
                <w:rFonts w:hint="eastAsia" w:ascii="仿宋_GB2312" w:hAnsi="仿宋_GB2312" w:eastAsia="仿宋_GB2312" w:cs="仿宋_GB2312"/>
                <w:b/>
                <w:i w:val="0"/>
                <w:color w:val="000000"/>
                <w:kern w:val="0"/>
                <w:sz w:val="24"/>
                <w:szCs w:val="24"/>
                <w:u w:val="none"/>
                <w:lang w:val="en-US" w:eastAsia="zh-CN" w:bidi="ar"/>
              </w:rPr>
              <w:t>服务</w:t>
            </w:r>
            <w:r>
              <w:rPr>
                <w:rFonts w:hint="eastAsia" w:ascii="仿宋_GB2312" w:hAnsi="仿宋_GB2312" w:eastAsia="仿宋_GB2312" w:cs="仿宋_GB2312"/>
                <w:b/>
                <w:i w:val="0"/>
                <w:color w:val="000000"/>
                <w:kern w:val="0"/>
                <w:sz w:val="24"/>
                <w:szCs w:val="24"/>
                <w:u w:val="none"/>
                <w:lang w:val="en-US" w:eastAsia="zh-CN" w:bidi="ar"/>
              </w:rPr>
              <w:br w:type="textWrapping"/>
            </w:r>
            <w:r>
              <w:rPr>
                <w:rFonts w:hint="eastAsia" w:ascii="仿宋_GB2312" w:hAnsi="仿宋_GB2312" w:eastAsia="仿宋_GB2312" w:cs="仿宋_GB2312"/>
                <w:b/>
                <w:i w:val="0"/>
                <w:color w:val="000000"/>
                <w:kern w:val="0"/>
                <w:sz w:val="24"/>
                <w:szCs w:val="24"/>
                <w:u w:val="none"/>
                <w:lang w:val="en-US" w:eastAsia="zh-CN" w:bidi="ar"/>
              </w:rPr>
              <w:t>内容</w:t>
            </w:r>
          </w:p>
        </w:tc>
        <w:tc>
          <w:tcPr>
            <w:tcW w:w="1194" w:type="dxa"/>
            <w:vMerge w:val="restart"/>
            <w:tcBorders>
              <w:tl2br w:val="nil"/>
              <w:tr2bl w:val="nil"/>
            </w:tcBorders>
            <w:shd w:val="clear" w:color="auto" w:fill="C5E0B3"/>
            <w:noWrap w:val="0"/>
            <w:tcMar>
              <w:top w:w="15" w:type="dxa"/>
              <w:left w:w="15" w:type="dxa"/>
              <w:right w:w="15" w:type="dxa"/>
            </w:tcMar>
            <w:vAlign w:val="center"/>
          </w:tcPr>
          <w:p w14:paraId="28AF6C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sz w:val="24"/>
                <w:szCs w:val="24"/>
                <w:u w:val="none"/>
              </w:rPr>
            </w:pPr>
            <w:r>
              <w:rPr>
                <w:rFonts w:hint="eastAsia" w:ascii="仿宋_GB2312" w:hAnsi="仿宋_GB2312" w:eastAsia="仿宋_GB2312" w:cs="仿宋_GB2312"/>
                <w:b/>
                <w:i w:val="0"/>
                <w:color w:val="000000"/>
                <w:kern w:val="0"/>
                <w:sz w:val="24"/>
                <w:szCs w:val="24"/>
                <w:u w:val="none"/>
                <w:lang w:val="en-US" w:eastAsia="zh-CN" w:bidi="ar"/>
              </w:rPr>
              <w:t>分类</w:t>
            </w:r>
          </w:p>
        </w:tc>
        <w:tc>
          <w:tcPr>
            <w:tcW w:w="1927" w:type="dxa"/>
            <w:gridSpan w:val="2"/>
            <w:vMerge w:val="restart"/>
            <w:tcBorders>
              <w:tl2br w:val="nil"/>
              <w:tr2bl w:val="nil"/>
            </w:tcBorders>
            <w:shd w:val="clear" w:color="auto" w:fill="C5E0B3"/>
            <w:noWrap/>
            <w:tcMar>
              <w:top w:w="15" w:type="dxa"/>
              <w:left w:w="15" w:type="dxa"/>
              <w:right w:w="15" w:type="dxa"/>
            </w:tcMar>
            <w:vAlign w:val="center"/>
          </w:tcPr>
          <w:p w14:paraId="6CD9C0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sz w:val="24"/>
                <w:szCs w:val="24"/>
                <w:u w:val="none"/>
              </w:rPr>
            </w:pPr>
            <w:r>
              <w:rPr>
                <w:rFonts w:hint="eastAsia" w:ascii="仿宋_GB2312" w:hAnsi="仿宋_GB2312" w:eastAsia="仿宋_GB2312" w:cs="仿宋_GB2312"/>
                <w:b/>
                <w:i w:val="0"/>
                <w:color w:val="000000"/>
                <w:kern w:val="0"/>
                <w:sz w:val="24"/>
                <w:szCs w:val="24"/>
                <w:u w:val="none"/>
                <w:lang w:val="en-US" w:eastAsia="zh-CN" w:bidi="ar"/>
              </w:rPr>
              <w:t>服务时数（不少于）</w:t>
            </w:r>
          </w:p>
        </w:tc>
        <w:tc>
          <w:tcPr>
            <w:tcW w:w="2654" w:type="dxa"/>
            <w:gridSpan w:val="5"/>
            <w:tcBorders>
              <w:tl2br w:val="nil"/>
              <w:tr2bl w:val="nil"/>
            </w:tcBorders>
            <w:shd w:val="clear" w:color="auto" w:fill="C5E0B3"/>
            <w:noWrap/>
            <w:tcMar>
              <w:top w:w="15" w:type="dxa"/>
              <w:left w:w="15" w:type="dxa"/>
              <w:right w:w="15" w:type="dxa"/>
            </w:tcMar>
            <w:vAlign w:val="center"/>
          </w:tcPr>
          <w:p w14:paraId="010621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社区</w:t>
            </w:r>
          </w:p>
          <w:p w14:paraId="6E8071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服务</w:t>
            </w:r>
          </w:p>
        </w:tc>
        <w:tc>
          <w:tcPr>
            <w:tcW w:w="755" w:type="dxa"/>
            <w:tcBorders>
              <w:tl2br w:val="nil"/>
              <w:tr2bl w:val="nil"/>
            </w:tcBorders>
            <w:shd w:val="clear" w:color="auto" w:fill="C5E0B3"/>
            <w:noWrap/>
            <w:tcMar>
              <w:top w:w="15" w:type="dxa"/>
              <w:left w:w="15" w:type="dxa"/>
              <w:right w:w="15" w:type="dxa"/>
            </w:tcMar>
            <w:vAlign w:val="center"/>
          </w:tcPr>
          <w:p w14:paraId="1157DF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社区</w:t>
            </w:r>
          </w:p>
          <w:p w14:paraId="4D978B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治理</w:t>
            </w:r>
          </w:p>
        </w:tc>
        <w:tc>
          <w:tcPr>
            <w:tcW w:w="755" w:type="dxa"/>
            <w:tcBorders>
              <w:tl2br w:val="nil"/>
              <w:tr2bl w:val="nil"/>
            </w:tcBorders>
            <w:shd w:val="clear" w:color="auto" w:fill="C5E0B3"/>
            <w:noWrap/>
            <w:tcMar>
              <w:top w:w="15" w:type="dxa"/>
              <w:left w:w="15" w:type="dxa"/>
              <w:right w:w="15" w:type="dxa"/>
            </w:tcMar>
            <w:vAlign w:val="center"/>
          </w:tcPr>
          <w:p w14:paraId="01A3D7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专项</w:t>
            </w:r>
          </w:p>
          <w:p w14:paraId="2980BE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服务</w:t>
            </w:r>
          </w:p>
        </w:tc>
        <w:tc>
          <w:tcPr>
            <w:tcW w:w="1097" w:type="dxa"/>
            <w:vMerge w:val="restart"/>
            <w:tcBorders>
              <w:tl2br w:val="nil"/>
              <w:tr2bl w:val="nil"/>
            </w:tcBorders>
            <w:shd w:val="clear" w:color="auto" w:fill="C5E0B3"/>
            <w:noWrap w:val="0"/>
            <w:tcMar>
              <w:top w:w="15" w:type="dxa"/>
              <w:left w:w="15" w:type="dxa"/>
              <w:right w:w="15" w:type="dxa"/>
            </w:tcMar>
            <w:vAlign w:val="center"/>
          </w:tcPr>
          <w:p w14:paraId="1BDC9D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数量</w:t>
            </w:r>
          </w:p>
          <w:p w14:paraId="0C553D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bidi="ar"/>
              </w:rPr>
            </w:pPr>
            <w:r>
              <w:rPr>
                <w:rFonts w:hint="eastAsia" w:ascii="仿宋_GB2312" w:hAnsi="仿宋_GB2312" w:eastAsia="仿宋_GB2312" w:cs="仿宋_GB2312"/>
                <w:b/>
                <w:i w:val="0"/>
                <w:color w:val="000000"/>
                <w:kern w:val="0"/>
                <w:sz w:val="24"/>
                <w:szCs w:val="24"/>
                <w:u w:val="none"/>
                <w:lang w:val="en-US" w:eastAsia="zh-CN" w:bidi="ar"/>
              </w:rPr>
              <w:t>小计（不少于）</w:t>
            </w:r>
          </w:p>
        </w:tc>
        <w:tc>
          <w:tcPr>
            <w:tcW w:w="1780" w:type="dxa"/>
            <w:vMerge w:val="restart"/>
            <w:tcBorders>
              <w:tl2br w:val="nil"/>
              <w:tr2bl w:val="nil"/>
            </w:tcBorders>
            <w:shd w:val="clear" w:color="auto" w:fill="C5E0B3"/>
            <w:noWrap w:val="0"/>
            <w:tcMar>
              <w:top w:w="15" w:type="dxa"/>
              <w:left w:w="15" w:type="dxa"/>
              <w:right w:w="15" w:type="dxa"/>
            </w:tcMar>
            <w:vAlign w:val="center"/>
          </w:tcPr>
          <w:p w14:paraId="59CB86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时数</w:t>
            </w:r>
          </w:p>
          <w:p w14:paraId="4BCA1A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000000"/>
                <w:kern w:val="0"/>
                <w:sz w:val="24"/>
                <w:szCs w:val="24"/>
                <w:u w:val="none"/>
                <w:lang w:bidi="ar"/>
              </w:rPr>
            </w:pPr>
            <w:r>
              <w:rPr>
                <w:rFonts w:hint="eastAsia" w:ascii="仿宋_GB2312" w:hAnsi="仿宋_GB2312" w:eastAsia="仿宋_GB2312" w:cs="仿宋_GB2312"/>
                <w:b/>
                <w:i w:val="0"/>
                <w:color w:val="000000"/>
                <w:kern w:val="0"/>
                <w:sz w:val="24"/>
                <w:szCs w:val="24"/>
                <w:u w:val="none"/>
                <w:lang w:val="en-US" w:eastAsia="zh-CN" w:bidi="ar"/>
              </w:rPr>
              <w:t>小计（不少于）</w:t>
            </w:r>
          </w:p>
        </w:tc>
      </w:tr>
      <w:tr w14:paraId="103AC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jc w:val="center"/>
        </w:trPr>
        <w:tc>
          <w:tcPr>
            <w:tcW w:w="2148" w:type="dxa"/>
            <w:gridSpan w:val="2"/>
            <w:vMerge w:val="continue"/>
            <w:tcBorders>
              <w:tl2br w:val="nil"/>
              <w:tr2bl w:val="nil"/>
            </w:tcBorders>
            <w:shd w:val="clear" w:color="auto" w:fill="C5E0B3"/>
            <w:noWrap w:val="0"/>
            <w:tcMar>
              <w:top w:w="15" w:type="dxa"/>
              <w:left w:w="15" w:type="dxa"/>
              <w:right w:w="15" w:type="dxa"/>
            </w:tcMar>
            <w:vAlign w:val="center"/>
          </w:tcPr>
          <w:p w14:paraId="19FA8A22">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000000"/>
                <w:sz w:val="24"/>
                <w:szCs w:val="24"/>
                <w:u w:val="none"/>
              </w:rPr>
            </w:pPr>
          </w:p>
        </w:tc>
        <w:tc>
          <w:tcPr>
            <w:tcW w:w="1194" w:type="dxa"/>
            <w:vMerge w:val="continue"/>
            <w:tcBorders>
              <w:tl2br w:val="nil"/>
              <w:tr2bl w:val="nil"/>
            </w:tcBorders>
            <w:shd w:val="clear" w:color="auto" w:fill="C5E0B3"/>
            <w:noWrap w:val="0"/>
            <w:tcMar>
              <w:top w:w="15" w:type="dxa"/>
              <w:left w:w="15" w:type="dxa"/>
              <w:right w:w="15" w:type="dxa"/>
            </w:tcMar>
            <w:vAlign w:val="center"/>
          </w:tcPr>
          <w:p w14:paraId="61F2DE48">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000000"/>
                <w:sz w:val="24"/>
                <w:szCs w:val="24"/>
                <w:u w:val="none"/>
              </w:rPr>
            </w:pPr>
          </w:p>
        </w:tc>
        <w:tc>
          <w:tcPr>
            <w:tcW w:w="1927" w:type="dxa"/>
            <w:gridSpan w:val="2"/>
            <w:vMerge w:val="continue"/>
            <w:tcBorders>
              <w:tl2br w:val="nil"/>
              <w:tr2bl w:val="nil"/>
            </w:tcBorders>
            <w:shd w:val="clear" w:color="auto" w:fill="C5E0B3"/>
            <w:noWrap/>
            <w:tcMar>
              <w:top w:w="15" w:type="dxa"/>
              <w:left w:w="15" w:type="dxa"/>
              <w:right w:w="15" w:type="dxa"/>
            </w:tcMar>
            <w:vAlign w:val="center"/>
          </w:tcPr>
          <w:p w14:paraId="2A2BE089">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000000"/>
                <w:sz w:val="24"/>
                <w:szCs w:val="24"/>
                <w:u w:val="none"/>
              </w:rPr>
            </w:pPr>
          </w:p>
        </w:tc>
        <w:tc>
          <w:tcPr>
            <w:tcW w:w="773" w:type="dxa"/>
            <w:tcBorders>
              <w:tl2br w:val="nil"/>
              <w:tr2bl w:val="nil"/>
            </w:tcBorders>
            <w:shd w:val="clear" w:color="auto" w:fill="C5E0B3"/>
            <w:noWrap/>
            <w:tcMar>
              <w:top w:w="15" w:type="dxa"/>
              <w:left w:w="15" w:type="dxa"/>
              <w:right w:w="15" w:type="dxa"/>
            </w:tcMar>
            <w:vAlign w:val="center"/>
          </w:tcPr>
          <w:p w14:paraId="130C78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困难</w:t>
            </w:r>
          </w:p>
          <w:p w14:paraId="09304DE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老人</w:t>
            </w:r>
          </w:p>
        </w:tc>
        <w:tc>
          <w:tcPr>
            <w:tcW w:w="588" w:type="dxa"/>
            <w:tcBorders>
              <w:tl2br w:val="nil"/>
              <w:tr2bl w:val="nil"/>
            </w:tcBorders>
            <w:shd w:val="clear" w:color="auto" w:fill="C5E0B3"/>
            <w:noWrap/>
            <w:tcMar>
              <w:top w:w="15" w:type="dxa"/>
              <w:left w:w="15" w:type="dxa"/>
              <w:right w:w="15" w:type="dxa"/>
            </w:tcMar>
            <w:vAlign w:val="center"/>
          </w:tcPr>
          <w:p w14:paraId="46A8D3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困境</w:t>
            </w:r>
          </w:p>
          <w:p w14:paraId="3C6974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儿童</w:t>
            </w:r>
          </w:p>
        </w:tc>
        <w:tc>
          <w:tcPr>
            <w:tcW w:w="538" w:type="dxa"/>
            <w:gridSpan w:val="2"/>
            <w:tcBorders>
              <w:tl2br w:val="nil"/>
              <w:tr2bl w:val="nil"/>
            </w:tcBorders>
            <w:shd w:val="clear" w:color="auto" w:fill="C5E0B3"/>
            <w:noWrap/>
            <w:tcMar>
              <w:top w:w="15" w:type="dxa"/>
              <w:left w:w="15" w:type="dxa"/>
              <w:right w:w="15" w:type="dxa"/>
            </w:tcMar>
            <w:vAlign w:val="center"/>
          </w:tcPr>
          <w:p w14:paraId="410796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社会</w:t>
            </w:r>
          </w:p>
          <w:p w14:paraId="2E6ACC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救助</w:t>
            </w:r>
          </w:p>
        </w:tc>
        <w:tc>
          <w:tcPr>
            <w:tcW w:w="755" w:type="dxa"/>
            <w:tcBorders>
              <w:tl2br w:val="nil"/>
              <w:tr2bl w:val="nil"/>
            </w:tcBorders>
            <w:shd w:val="clear" w:color="auto" w:fill="C5E0B3"/>
            <w:noWrap/>
            <w:tcMar>
              <w:top w:w="15" w:type="dxa"/>
              <w:left w:w="15" w:type="dxa"/>
              <w:right w:w="15" w:type="dxa"/>
            </w:tcMar>
            <w:vAlign w:val="center"/>
          </w:tcPr>
          <w:p w14:paraId="06C8E4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其他困难群体</w:t>
            </w:r>
          </w:p>
        </w:tc>
        <w:tc>
          <w:tcPr>
            <w:tcW w:w="755" w:type="dxa"/>
            <w:tcBorders>
              <w:tl2br w:val="nil"/>
              <w:tr2bl w:val="nil"/>
            </w:tcBorders>
            <w:shd w:val="clear" w:color="auto" w:fill="C5E0B3"/>
            <w:noWrap/>
            <w:tcMar>
              <w:top w:w="15" w:type="dxa"/>
              <w:left w:w="15" w:type="dxa"/>
              <w:right w:w="15" w:type="dxa"/>
            </w:tcMar>
            <w:vAlign w:val="center"/>
          </w:tcPr>
          <w:p w14:paraId="61AC54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矛盾</w:t>
            </w:r>
          </w:p>
          <w:p w14:paraId="073C8A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化解</w:t>
            </w:r>
          </w:p>
        </w:tc>
        <w:tc>
          <w:tcPr>
            <w:tcW w:w="755" w:type="dxa"/>
            <w:tcBorders>
              <w:tl2br w:val="nil"/>
              <w:tr2bl w:val="nil"/>
            </w:tcBorders>
            <w:shd w:val="clear" w:color="auto" w:fill="C5E0B3"/>
            <w:noWrap/>
            <w:tcMar>
              <w:top w:w="15" w:type="dxa"/>
              <w:left w:w="15" w:type="dxa"/>
              <w:right w:w="15" w:type="dxa"/>
            </w:tcMar>
            <w:vAlign w:val="center"/>
          </w:tcPr>
          <w:p w14:paraId="52E850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心理</w:t>
            </w:r>
          </w:p>
          <w:p w14:paraId="387857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kern w:val="0"/>
                <w:sz w:val="24"/>
                <w:szCs w:val="24"/>
                <w:u w:val="none"/>
                <w:lang w:val="en-US" w:eastAsia="zh-CN" w:bidi="ar"/>
              </w:rPr>
            </w:pPr>
            <w:r>
              <w:rPr>
                <w:rFonts w:hint="eastAsia" w:ascii="仿宋_GB2312" w:hAnsi="仿宋_GB2312" w:eastAsia="仿宋_GB2312" w:cs="仿宋_GB2312"/>
                <w:b/>
                <w:i w:val="0"/>
                <w:color w:val="000000"/>
                <w:kern w:val="0"/>
                <w:sz w:val="24"/>
                <w:szCs w:val="24"/>
                <w:u w:val="none"/>
                <w:lang w:val="en-US" w:eastAsia="zh-CN" w:bidi="ar"/>
              </w:rPr>
              <w:t>健康</w:t>
            </w:r>
          </w:p>
        </w:tc>
        <w:tc>
          <w:tcPr>
            <w:tcW w:w="1097" w:type="dxa"/>
            <w:vMerge w:val="continue"/>
            <w:tcBorders>
              <w:tl2br w:val="nil"/>
              <w:tr2bl w:val="nil"/>
            </w:tcBorders>
            <w:shd w:val="clear" w:color="auto" w:fill="C5E0B3"/>
            <w:noWrap w:val="0"/>
            <w:tcMar>
              <w:top w:w="15" w:type="dxa"/>
              <w:left w:w="15" w:type="dxa"/>
              <w:right w:w="15" w:type="dxa"/>
            </w:tcMar>
            <w:vAlign w:val="center"/>
          </w:tcPr>
          <w:p w14:paraId="57D525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sz w:val="24"/>
                <w:szCs w:val="24"/>
                <w:u w:val="none"/>
              </w:rPr>
            </w:pPr>
          </w:p>
        </w:tc>
        <w:tc>
          <w:tcPr>
            <w:tcW w:w="1780" w:type="dxa"/>
            <w:vMerge w:val="continue"/>
            <w:tcBorders>
              <w:tl2br w:val="nil"/>
              <w:tr2bl w:val="nil"/>
            </w:tcBorders>
            <w:shd w:val="clear" w:color="auto" w:fill="C5E0B3"/>
            <w:noWrap w:val="0"/>
            <w:tcMar>
              <w:top w:w="15" w:type="dxa"/>
              <w:left w:w="15" w:type="dxa"/>
              <w:right w:w="15" w:type="dxa"/>
            </w:tcMar>
            <w:vAlign w:val="center"/>
          </w:tcPr>
          <w:p w14:paraId="7C71C5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000000"/>
                <w:sz w:val="24"/>
                <w:szCs w:val="24"/>
                <w:u w:val="none"/>
              </w:rPr>
            </w:pPr>
          </w:p>
        </w:tc>
      </w:tr>
      <w:tr w14:paraId="5B5BE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jc w:val="center"/>
        </w:trPr>
        <w:tc>
          <w:tcPr>
            <w:tcW w:w="3342" w:type="dxa"/>
            <w:gridSpan w:val="3"/>
            <w:tcBorders>
              <w:tl2br w:val="nil"/>
              <w:tr2bl w:val="nil"/>
            </w:tcBorders>
            <w:noWrap w:val="0"/>
            <w:tcMar>
              <w:top w:w="15" w:type="dxa"/>
              <w:left w:w="15" w:type="dxa"/>
              <w:right w:w="15" w:type="dxa"/>
            </w:tcMar>
            <w:vAlign w:val="center"/>
          </w:tcPr>
          <w:p w14:paraId="58949C1D">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auto"/>
                <w:sz w:val="24"/>
                <w:szCs w:val="24"/>
                <w:u w:val="none"/>
              </w:rPr>
            </w:pPr>
            <w:r>
              <w:rPr>
                <w:rFonts w:hint="eastAsia" w:ascii="仿宋_GB2312" w:hAnsi="仿宋_GB2312" w:eastAsia="仿宋_GB2312" w:cs="仿宋_GB2312"/>
                <w:b/>
                <w:i w:val="0"/>
                <w:color w:val="auto"/>
                <w:sz w:val="24"/>
                <w:szCs w:val="24"/>
                <w:u w:val="none"/>
                <w:lang w:val="en-US" w:eastAsia="zh-CN"/>
              </w:rPr>
              <w:t>社区调研</w:t>
            </w:r>
          </w:p>
        </w:tc>
        <w:tc>
          <w:tcPr>
            <w:tcW w:w="796" w:type="dxa"/>
            <w:tcBorders>
              <w:tl2br w:val="nil"/>
              <w:tr2bl w:val="nil"/>
            </w:tcBorders>
            <w:noWrap/>
            <w:tcMar>
              <w:top w:w="15" w:type="dxa"/>
              <w:left w:w="15" w:type="dxa"/>
              <w:right w:w="15" w:type="dxa"/>
            </w:tcMar>
            <w:vAlign w:val="center"/>
          </w:tcPr>
          <w:p w14:paraId="491AF907">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default" w:ascii="仿宋_GB2312" w:hAnsi="仿宋_GB2312" w:eastAsia="仿宋_GB2312" w:cs="仿宋_GB2312"/>
                <w:b w:val="0"/>
                <w:bCs/>
                <w:i w:val="0"/>
                <w:color w:val="auto"/>
                <w:sz w:val="24"/>
                <w:szCs w:val="24"/>
                <w:u w:val="none"/>
                <w:lang w:val="en-US" w:eastAsia="zh-CN"/>
              </w:rPr>
            </w:pPr>
            <w:r>
              <w:rPr>
                <w:rFonts w:hint="eastAsia" w:ascii="仿宋_GB2312" w:hAnsi="仿宋_GB2312" w:eastAsia="仿宋_GB2312" w:cs="仿宋_GB2312"/>
                <w:b w:val="0"/>
                <w:bCs/>
                <w:i w:val="0"/>
                <w:color w:val="auto"/>
                <w:sz w:val="24"/>
                <w:szCs w:val="24"/>
                <w:u w:val="none"/>
                <w:lang w:val="en-US" w:eastAsia="zh-CN"/>
              </w:rPr>
              <w:t>420</w:t>
            </w:r>
          </w:p>
        </w:tc>
        <w:tc>
          <w:tcPr>
            <w:tcW w:w="1131" w:type="dxa"/>
            <w:tcBorders>
              <w:tl2br w:val="nil"/>
              <w:tr2bl w:val="nil"/>
            </w:tcBorders>
            <w:noWrap/>
            <w:tcMar>
              <w:top w:w="15" w:type="dxa"/>
              <w:left w:w="15" w:type="dxa"/>
              <w:right w:w="15" w:type="dxa"/>
            </w:tcMar>
            <w:vAlign w:val="center"/>
          </w:tcPr>
          <w:p w14:paraId="6381F34F">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val="0"/>
                <w:bCs/>
                <w:i w:val="0"/>
                <w:color w:val="auto"/>
                <w:sz w:val="24"/>
                <w:szCs w:val="24"/>
                <w:u w:val="none"/>
                <w:lang w:val="en-US" w:eastAsia="zh-CN"/>
              </w:rPr>
            </w:pPr>
            <w:r>
              <w:rPr>
                <w:rFonts w:hint="eastAsia" w:ascii="仿宋_GB2312" w:hAnsi="仿宋_GB2312" w:eastAsia="仿宋_GB2312" w:cs="仿宋_GB2312"/>
                <w:b w:val="0"/>
                <w:bCs/>
                <w:i w:val="0"/>
                <w:color w:val="auto"/>
                <w:sz w:val="24"/>
                <w:szCs w:val="24"/>
                <w:u w:val="none"/>
                <w:lang w:val="en-US" w:eastAsia="zh-CN"/>
              </w:rPr>
              <w:t>小时/次</w:t>
            </w:r>
          </w:p>
        </w:tc>
        <w:tc>
          <w:tcPr>
            <w:tcW w:w="4164" w:type="dxa"/>
            <w:gridSpan w:val="7"/>
            <w:tcBorders>
              <w:tl2br w:val="nil"/>
              <w:tr2bl w:val="nil"/>
            </w:tcBorders>
            <w:noWrap/>
            <w:tcMar>
              <w:top w:w="15" w:type="dxa"/>
              <w:left w:w="15" w:type="dxa"/>
              <w:right w:w="15" w:type="dxa"/>
            </w:tcMar>
            <w:vAlign w:val="center"/>
          </w:tcPr>
          <w:p w14:paraId="3CD818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val="0"/>
                <w:bCs/>
                <w:i w:val="0"/>
                <w:color w:val="auto"/>
                <w:kern w:val="0"/>
                <w:sz w:val="24"/>
                <w:szCs w:val="24"/>
                <w:u w:val="none"/>
                <w:lang w:val="en-US" w:eastAsia="zh-CN" w:bidi="ar"/>
              </w:rPr>
            </w:pPr>
            <w:r>
              <w:rPr>
                <w:rFonts w:hint="eastAsia" w:ascii="仿宋_GB2312" w:hAnsi="仿宋_GB2312" w:eastAsia="仿宋_GB2312" w:cs="仿宋_GB2312"/>
                <w:b w:val="0"/>
                <w:bCs/>
                <w:i w:val="0"/>
                <w:color w:val="auto"/>
                <w:kern w:val="0"/>
                <w:sz w:val="24"/>
                <w:szCs w:val="24"/>
                <w:u w:val="none"/>
                <w:lang w:val="en-US" w:eastAsia="zh-CN" w:bidi="ar"/>
              </w:rPr>
              <w:t>——</w:t>
            </w:r>
          </w:p>
        </w:tc>
        <w:tc>
          <w:tcPr>
            <w:tcW w:w="1097" w:type="dxa"/>
            <w:tcBorders>
              <w:tl2br w:val="nil"/>
              <w:tr2bl w:val="nil"/>
            </w:tcBorders>
            <w:noWrap w:val="0"/>
            <w:tcMar>
              <w:top w:w="15" w:type="dxa"/>
              <w:left w:w="15" w:type="dxa"/>
              <w:right w:w="15" w:type="dxa"/>
            </w:tcMar>
            <w:vAlign w:val="center"/>
          </w:tcPr>
          <w:p w14:paraId="7646F2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val="0"/>
                <w:bCs/>
                <w:i w:val="0"/>
                <w:color w:val="auto"/>
                <w:sz w:val="24"/>
                <w:szCs w:val="24"/>
                <w:u w:val="none"/>
                <w:lang w:val="en-US" w:eastAsia="zh-CN"/>
              </w:rPr>
            </w:pPr>
            <w:r>
              <w:rPr>
                <w:rFonts w:hint="eastAsia" w:ascii="仿宋_GB2312" w:hAnsi="仿宋_GB2312" w:eastAsia="仿宋_GB2312" w:cs="仿宋_GB2312"/>
                <w:b w:val="0"/>
                <w:bCs/>
                <w:i w:val="0"/>
                <w:color w:val="auto"/>
                <w:sz w:val="24"/>
                <w:szCs w:val="24"/>
                <w:u w:val="none"/>
                <w:lang w:val="en-US" w:eastAsia="zh-CN"/>
              </w:rPr>
              <w:t>1</w:t>
            </w:r>
          </w:p>
        </w:tc>
        <w:tc>
          <w:tcPr>
            <w:tcW w:w="1780" w:type="dxa"/>
            <w:tcBorders>
              <w:tl2br w:val="nil"/>
              <w:tr2bl w:val="nil"/>
            </w:tcBorders>
            <w:noWrap w:val="0"/>
            <w:tcMar>
              <w:top w:w="15" w:type="dxa"/>
              <w:left w:w="15" w:type="dxa"/>
              <w:right w:w="15" w:type="dxa"/>
            </w:tcMar>
            <w:vAlign w:val="center"/>
          </w:tcPr>
          <w:p w14:paraId="5DCE0B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b w:val="0"/>
                <w:bCs/>
                <w:i w:val="0"/>
                <w:color w:val="auto"/>
                <w:sz w:val="24"/>
                <w:szCs w:val="24"/>
                <w:u w:val="none"/>
                <w:lang w:val="en-US" w:eastAsia="zh-CN"/>
              </w:rPr>
            </w:pPr>
            <w:r>
              <w:rPr>
                <w:rFonts w:hint="eastAsia" w:ascii="仿宋_GB2312" w:hAnsi="仿宋_GB2312" w:eastAsia="仿宋_GB2312" w:cs="仿宋_GB2312"/>
                <w:b w:val="0"/>
                <w:bCs/>
                <w:i w:val="0"/>
                <w:color w:val="auto"/>
                <w:sz w:val="24"/>
                <w:szCs w:val="24"/>
                <w:u w:val="none"/>
                <w:lang w:val="en-US" w:eastAsia="zh-CN"/>
              </w:rPr>
              <w:t>420</w:t>
            </w:r>
          </w:p>
        </w:tc>
      </w:tr>
      <w:tr w14:paraId="1507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2148" w:type="dxa"/>
            <w:gridSpan w:val="2"/>
            <w:vMerge w:val="restart"/>
            <w:tcBorders>
              <w:tl2br w:val="nil"/>
              <w:tr2bl w:val="nil"/>
            </w:tcBorders>
            <w:noWrap/>
            <w:tcMar>
              <w:top w:w="15" w:type="dxa"/>
              <w:left w:w="15" w:type="dxa"/>
              <w:right w:w="15" w:type="dxa"/>
            </w:tcMar>
            <w:vAlign w:val="center"/>
          </w:tcPr>
          <w:p w14:paraId="62234B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b/>
                <w:bCs/>
                <w:i w:val="0"/>
                <w:color w:val="auto"/>
                <w:kern w:val="0"/>
                <w:sz w:val="24"/>
                <w:szCs w:val="24"/>
                <w:u w:val="none"/>
                <w:lang w:val="en-US" w:eastAsia="zh-CN" w:bidi="ar"/>
              </w:rPr>
              <w:t>个案</w:t>
            </w:r>
          </w:p>
        </w:tc>
        <w:tc>
          <w:tcPr>
            <w:tcW w:w="1194" w:type="dxa"/>
            <w:tcBorders>
              <w:tl2br w:val="nil"/>
              <w:tr2bl w:val="nil"/>
            </w:tcBorders>
            <w:noWrap w:val="0"/>
            <w:tcMar>
              <w:top w:w="15" w:type="dxa"/>
              <w:left w:w="15" w:type="dxa"/>
              <w:right w:w="15" w:type="dxa"/>
            </w:tcMar>
            <w:vAlign w:val="center"/>
          </w:tcPr>
          <w:p w14:paraId="6EF960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i w:val="0"/>
                <w:color w:val="auto"/>
                <w:kern w:val="0"/>
                <w:sz w:val="24"/>
                <w:szCs w:val="24"/>
                <w:u w:val="none"/>
                <w:lang w:val="en-US" w:eastAsia="zh-CN" w:bidi="ar"/>
              </w:rPr>
              <w:t>个数</w:t>
            </w:r>
          </w:p>
        </w:tc>
        <w:tc>
          <w:tcPr>
            <w:tcW w:w="796" w:type="dxa"/>
            <w:tcBorders>
              <w:tl2br w:val="nil"/>
              <w:tr2bl w:val="nil"/>
            </w:tcBorders>
            <w:noWrap/>
            <w:tcMar>
              <w:top w:w="15" w:type="dxa"/>
              <w:left w:w="15" w:type="dxa"/>
              <w:right w:w="15" w:type="dxa"/>
            </w:tcMar>
            <w:vAlign w:val="center"/>
          </w:tcPr>
          <w:p w14:paraId="4E67DF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48</w:t>
            </w:r>
          </w:p>
        </w:tc>
        <w:tc>
          <w:tcPr>
            <w:tcW w:w="1131" w:type="dxa"/>
            <w:tcBorders>
              <w:tl2br w:val="nil"/>
              <w:tr2bl w:val="nil"/>
            </w:tcBorders>
            <w:noWrap/>
            <w:tcMar>
              <w:top w:w="15" w:type="dxa"/>
              <w:left w:w="15" w:type="dxa"/>
              <w:right w:w="15" w:type="dxa"/>
            </w:tcMar>
            <w:vAlign w:val="center"/>
          </w:tcPr>
          <w:p w14:paraId="1B56FD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小时/个</w:t>
            </w:r>
          </w:p>
        </w:tc>
        <w:tc>
          <w:tcPr>
            <w:tcW w:w="4164" w:type="dxa"/>
            <w:gridSpan w:val="7"/>
            <w:tcBorders>
              <w:tl2br w:val="nil"/>
              <w:tr2bl w:val="nil"/>
            </w:tcBorders>
            <w:noWrap/>
            <w:tcMar>
              <w:top w:w="15" w:type="dxa"/>
              <w:left w:w="15" w:type="dxa"/>
              <w:right w:w="15" w:type="dxa"/>
            </w:tcMar>
            <w:vAlign w:val="center"/>
          </w:tcPr>
          <w:p w14:paraId="79F685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4</w:t>
            </w:r>
          </w:p>
        </w:tc>
        <w:tc>
          <w:tcPr>
            <w:tcW w:w="1097" w:type="dxa"/>
            <w:tcBorders>
              <w:tl2br w:val="nil"/>
              <w:tr2bl w:val="nil"/>
            </w:tcBorders>
            <w:noWrap/>
            <w:tcMar>
              <w:top w:w="15" w:type="dxa"/>
              <w:left w:w="15" w:type="dxa"/>
              <w:right w:w="15" w:type="dxa"/>
            </w:tcMar>
            <w:vAlign w:val="center"/>
          </w:tcPr>
          <w:p w14:paraId="086A7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4</w:t>
            </w:r>
          </w:p>
        </w:tc>
        <w:tc>
          <w:tcPr>
            <w:tcW w:w="1780" w:type="dxa"/>
            <w:vMerge w:val="restart"/>
            <w:tcBorders>
              <w:tl2br w:val="nil"/>
              <w:tr2bl w:val="nil"/>
            </w:tcBorders>
            <w:noWrap/>
            <w:tcMar>
              <w:top w:w="15" w:type="dxa"/>
              <w:left w:w="15" w:type="dxa"/>
              <w:right w:w="15" w:type="dxa"/>
            </w:tcMar>
            <w:vAlign w:val="center"/>
          </w:tcPr>
          <w:p w14:paraId="09C6A8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192</w:t>
            </w:r>
          </w:p>
        </w:tc>
      </w:tr>
      <w:tr w14:paraId="2B39A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2148" w:type="dxa"/>
            <w:gridSpan w:val="2"/>
            <w:vMerge w:val="continue"/>
            <w:tcBorders>
              <w:tl2br w:val="nil"/>
              <w:tr2bl w:val="nil"/>
            </w:tcBorders>
            <w:noWrap/>
            <w:tcMar>
              <w:top w:w="15" w:type="dxa"/>
              <w:left w:w="15" w:type="dxa"/>
              <w:right w:w="15" w:type="dxa"/>
            </w:tcMar>
            <w:vAlign w:val="center"/>
          </w:tcPr>
          <w:p w14:paraId="798D27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p>
        </w:tc>
        <w:tc>
          <w:tcPr>
            <w:tcW w:w="1194" w:type="dxa"/>
            <w:tcBorders>
              <w:tl2br w:val="nil"/>
              <w:tr2bl w:val="nil"/>
            </w:tcBorders>
            <w:noWrap w:val="0"/>
            <w:tcMar>
              <w:top w:w="15" w:type="dxa"/>
              <w:left w:w="15" w:type="dxa"/>
              <w:right w:w="15" w:type="dxa"/>
            </w:tcMar>
            <w:vAlign w:val="center"/>
          </w:tcPr>
          <w:p w14:paraId="2B236C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i w:val="0"/>
                <w:color w:val="auto"/>
                <w:kern w:val="0"/>
                <w:sz w:val="24"/>
                <w:szCs w:val="24"/>
                <w:u w:val="none"/>
                <w:lang w:val="en-US" w:eastAsia="zh-CN" w:bidi="ar"/>
              </w:rPr>
              <w:t>次数</w:t>
            </w:r>
          </w:p>
          <w:p w14:paraId="3CA08F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（6次/个）</w:t>
            </w:r>
          </w:p>
        </w:tc>
        <w:tc>
          <w:tcPr>
            <w:tcW w:w="796" w:type="dxa"/>
            <w:tcBorders>
              <w:tl2br w:val="nil"/>
              <w:tr2bl w:val="nil"/>
            </w:tcBorders>
            <w:noWrap/>
            <w:tcMar>
              <w:top w:w="15" w:type="dxa"/>
              <w:left w:w="15" w:type="dxa"/>
              <w:right w:w="15" w:type="dxa"/>
            </w:tcMar>
            <w:vAlign w:val="center"/>
          </w:tcPr>
          <w:p w14:paraId="5F4D1B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8</w:t>
            </w:r>
          </w:p>
        </w:tc>
        <w:tc>
          <w:tcPr>
            <w:tcW w:w="1131" w:type="dxa"/>
            <w:tcBorders>
              <w:tl2br w:val="nil"/>
              <w:tr2bl w:val="nil"/>
            </w:tcBorders>
            <w:noWrap/>
            <w:tcMar>
              <w:top w:w="15" w:type="dxa"/>
              <w:left w:w="15" w:type="dxa"/>
              <w:right w:w="15" w:type="dxa"/>
            </w:tcMar>
            <w:vAlign w:val="center"/>
          </w:tcPr>
          <w:p w14:paraId="08800F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小时/次</w:t>
            </w:r>
          </w:p>
        </w:tc>
        <w:tc>
          <w:tcPr>
            <w:tcW w:w="4164" w:type="dxa"/>
            <w:gridSpan w:val="7"/>
            <w:tcBorders>
              <w:tl2br w:val="nil"/>
              <w:tr2bl w:val="nil"/>
            </w:tcBorders>
            <w:noWrap/>
            <w:tcMar>
              <w:top w:w="15" w:type="dxa"/>
              <w:left w:w="15" w:type="dxa"/>
              <w:right w:w="15" w:type="dxa"/>
            </w:tcMar>
            <w:vAlign w:val="center"/>
          </w:tcPr>
          <w:p w14:paraId="4C04C7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192</w:t>
            </w:r>
          </w:p>
        </w:tc>
        <w:tc>
          <w:tcPr>
            <w:tcW w:w="1097" w:type="dxa"/>
            <w:tcBorders>
              <w:tl2br w:val="nil"/>
              <w:tr2bl w:val="nil"/>
            </w:tcBorders>
            <w:noWrap/>
            <w:tcMar>
              <w:top w:w="15" w:type="dxa"/>
              <w:left w:w="15" w:type="dxa"/>
              <w:right w:w="15" w:type="dxa"/>
            </w:tcMar>
            <w:vAlign w:val="center"/>
          </w:tcPr>
          <w:p w14:paraId="29EAA5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192</w:t>
            </w:r>
          </w:p>
        </w:tc>
        <w:tc>
          <w:tcPr>
            <w:tcW w:w="1780" w:type="dxa"/>
            <w:vMerge w:val="continue"/>
            <w:tcBorders>
              <w:tl2br w:val="nil"/>
              <w:tr2bl w:val="nil"/>
            </w:tcBorders>
            <w:noWrap/>
            <w:tcMar>
              <w:top w:w="15" w:type="dxa"/>
              <w:left w:w="15" w:type="dxa"/>
              <w:right w:w="15" w:type="dxa"/>
            </w:tcMar>
            <w:vAlign w:val="center"/>
          </w:tcPr>
          <w:p w14:paraId="3C610F03">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i w:val="0"/>
                <w:color w:val="auto"/>
                <w:sz w:val="24"/>
                <w:szCs w:val="24"/>
                <w:u w:val="none"/>
              </w:rPr>
            </w:pPr>
          </w:p>
        </w:tc>
      </w:tr>
      <w:tr w14:paraId="02C80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jc w:val="center"/>
        </w:trPr>
        <w:tc>
          <w:tcPr>
            <w:tcW w:w="2148" w:type="dxa"/>
            <w:gridSpan w:val="2"/>
            <w:vMerge w:val="restart"/>
            <w:tcBorders>
              <w:tl2br w:val="nil"/>
              <w:tr2bl w:val="nil"/>
            </w:tcBorders>
            <w:noWrap/>
            <w:tcMar>
              <w:top w:w="15" w:type="dxa"/>
              <w:left w:w="15" w:type="dxa"/>
              <w:right w:w="15" w:type="dxa"/>
            </w:tcMar>
            <w:vAlign w:val="center"/>
          </w:tcPr>
          <w:p w14:paraId="1FFC57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auto"/>
                <w:sz w:val="24"/>
                <w:szCs w:val="24"/>
                <w:u w:val="none"/>
              </w:rPr>
            </w:pPr>
            <w:r>
              <w:rPr>
                <w:rFonts w:hint="eastAsia" w:ascii="仿宋_GB2312" w:hAnsi="仿宋_GB2312" w:eastAsia="仿宋_GB2312" w:cs="仿宋_GB2312"/>
                <w:b/>
                <w:i w:val="0"/>
                <w:color w:val="auto"/>
                <w:kern w:val="0"/>
                <w:sz w:val="24"/>
                <w:szCs w:val="24"/>
                <w:u w:val="none"/>
                <w:lang w:val="en-US" w:eastAsia="zh-CN" w:bidi="ar"/>
              </w:rPr>
              <w:t>小组</w:t>
            </w:r>
          </w:p>
        </w:tc>
        <w:tc>
          <w:tcPr>
            <w:tcW w:w="1194" w:type="dxa"/>
            <w:tcBorders>
              <w:tl2br w:val="nil"/>
              <w:tr2bl w:val="nil"/>
            </w:tcBorders>
            <w:noWrap w:val="0"/>
            <w:tcMar>
              <w:top w:w="15" w:type="dxa"/>
              <w:left w:w="15" w:type="dxa"/>
              <w:right w:w="15" w:type="dxa"/>
            </w:tcMar>
            <w:vAlign w:val="center"/>
          </w:tcPr>
          <w:p w14:paraId="28CA6D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i w:val="0"/>
                <w:color w:val="auto"/>
                <w:kern w:val="0"/>
                <w:sz w:val="24"/>
                <w:szCs w:val="24"/>
                <w:u w:val="none"/>
                <w:lang w:val="en-US" w:eastAsia="zh-CN" w:bidi="ar"/>
              </w:rPr>
              <w:t>个数</w:t>
            </w:r>
          </w:p>
        </w:tc>
        <w:tc>
          <w:tcPr>
            <w:tcW w:w="796" w:type="dxa"/>
            <w:tcBorders>
              <w:tl2br w:val="nil"/>
              <w:tr2bl w:val="nil"/>
            </w:tcBorders>
            <w:noWrap/>
            <w:tcMar>
              <w:top w:w="15" w:type="dxa"/>
              <w:left w:w="15" w:type="dxa"/>
              <w:right w:w="15" w:type="dxa"/>
            </w:tcMar>
            <w:vAlign w:val="center"/>
          </w:tcPr>
          <w:p w14:paraId="3A3AA9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40</w:t>
            </w:r>
          </w:p>
        </w:tc>
        <w:tc>
          <w:tcPr>
            <w:tcW w:w="1131" w:type="dxa"/>
            <w:tcBorders>
              <w:tl2br w:val="nil"/>
              <w:tr2bl w:val="nil"/>
            </w:tcBorders>
            <w:noWrap/>
            <w:tcMar>
              <w:top w:w="15" w:type="dxa"/>
              <w:left w:w="15" w:type="dxa"/>
              <w:right w:w="15" w:type="dxa"/>
            </w:tcMar>
            <w:vAlign w:val="center"/>
          </w:tcPr>
          <w:p w14:paraId="4E8BD0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小时/个</w:t>
            </w:r>
          </w:p>
        </w:tc>
        <w:tc>
          <w:tcPr>
            <w:tcW w:w="4164" w:type="dxa"/>
            <w:gridSpan w:val="7"/>
            <w:tcBorders>
              <w:tl2br w:val="nil"/>
              <w:tr2bl w:val="nil"/>
            </w:tcBorders>
            <w:noWrap/>
            <w:tcMar>
              <w:top w:w="15" w:type="dxa"/>
              <w:left w:w="15" w:type="dxa"/>
              <w:right w:w="15" w:type="dxa"/>
            </w:tcMar>
            <w:vAlign w:val="center"/>
          </w:tcPr>
          <w:p w14:paraId="12F567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2</w:t>
            </w:r>
          </w:p>
        </w:tc>
        <w:tc>
          <w:tcPr>
            <w:tcW w:w="1097" w:type="dxa"/>
            <w:tcBorders>
              <w:tl2br w:val="nil"/>
              <w:tr2bl w:val="nil"/>
            </w:tcBorders>
            <w:noWrap/>
            <w:tcMar>
              <w:top w:w="15" w:type="dxa"/>
              <w:left w:w="15" w:type="dxa"/>
              <w:right w:w="15" w:type="dxa"/>
            </w:tcMar>
            <w:vAlign w:val="center"/>
          </w:tcPr>
          <w:p w14:paraId="316D65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2</w:t>
            </w:r>
          </w:p>
        </w:tc>
        <w:tc>
          <w:tcPr>
            <w:tcW w:w="1780" w:type="dxa"/>
            <w:vMerge w:val="restart"/>
            <w:tcBorders>
              <w:tl2br w:val="nil"/>
              <w:tr2bl w:val="nil"/>
            </w:tcBorders>
            <w:noWrap/>
            <w:tcMar>
              <w:top w:w="15" w:type="dxa"/>
              <w:left w:w="15" w:type="dxa"/>
              <w:right w:w="15" w:type="dxa"/>
            </w:tcMar>
            <w:vAlign w:val="center"/>
          </w:tcPr>
          <w:p w14:paraId="642151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80</w:t>
            </w:r>
          </w:p>
        </w:tc>
      </w:tr>
      <w:tr w14:paraId="791A6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jc w:val="center"/>
        </w:trPr>
        <w:tc>
          <w:tcPr>
            <w:tcW w:w="2148" w:type="dxa"/>
            <w:gridSpan w:val="2"/>
            <w:vMerge w:val="continue"/>
            <w:tcBorders>
              <w:tl2br w:val="nil"/>
              <w:tr2bl w:val="nil"/>
            </w:tcBorders>
            <w:noWrap/>
            <w:tcMar>
              <w:top w:w="15" w:type="dxa"/>
              <w:left w:w="15" w:type="dxa"/>
              <w:right w:w="15" w:type="dxa"/>
            </w:tcMar>
            <w:vAlign w:val="center"/>
          </w:tcPr>
          <w:p w14:paraId="77C61D31">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auto"/>
                <w:sz w:val="24"/>
                <w:szCs w:val="24"/>
                <w:u w:val="none"/>
              </w:rPr>
            </w:pPr>
          </w:p>
        </w:tc>
        <w:tc>
          <w:tcPr>
            <w:tcW w:w="1194" w:type="dxa"/>
            <w:tcBorders>
              <w:tl2br w:val="nil"/>
              <w:tr2bl w:val="nil"/>
            </w:tcBorders>
            <w:noWrap w:val="0"/>
            <w:tcMar>
              <w:top w:w="15" w:type="dxa"/>
              <w:left w:w="15" w:type="dxa"/>
              <w:right w:w="15" w:type="dxa"/>
            </w:tcMar>
            <w:vAlign w:val="center"/>
          </w:tcPr>
          <w:p w14:paraId="55BAE2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i w:val="0"/>
                <w:color w:val="auto"/>
                <w:kern w:val="0"/>
                <w:sz w:val="24"/>
                <w:szCs w:val="24"/>
                <w:u w:val="none"/>
                <w:lang w:val="en-US" w:eastAsia="zh-CN" w:bidi="ar"/>
              </w:rPr>
              <w:t>节数</w:t>
            </w:r>
          </w:p>
          <w:p w14:paraId="485AE1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i w:val="0"/>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（5节/个）</w:t>
            </w:r>
          </w:p>
        </w:tc>
        <w:tc>
          <w:tcPr>
            <w:tcW w:w="796" w:type="dxa"/>
            <w:tcBorders>
              <w:tl2br w:val="nil"/>
              <w:tr2bl w:val="nil"/>
            </w:tcBorders>
            <w:noWrap/>
            <w:tcMar>
              <w:top w:w="15" w:type="dxa"/>
              <w:left w:w="15" w:type="dxa"/>
              <w:right w:w="15" w:type="dxa"/>
            </w:tcMar>
            <w:vAlign w:val="center"/>
          </w:tcPr>
          <w:p w14:paraId="04E0F6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8</w:t>
            </w:r>
          </w:p>
        </w:tc>
        <w:tc>
          <w:tcPr>
            <w:tcW w:w="1131" w:type="dxa"/>
            <w:tcBorders>
              <w:tl2br w:val="nil"/>
              <w:tr2bl w:val="nil"/>
            </w:tcBorders>
            <w:noWrap/>
            <w:tcMar>
              <w:top w:w="15" w:type="dxa"/>
              <w:left w:w="15" w:type="dxa"/>
              <w:right w:w="15" w:type="dxa"/>
            </w:tcMar>
            <w:vAlign w:val="center"/>
          </w:tcPr>
          <w:p w14:paraId="338B6D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小时/节</w:t>
            </w:r>
          </w:p>
        </w:tc>
        <w:tc>
          <w:tcPr>
            <w:tcW w:w="4164" w:type="dxa"/>
            <w:gridSpan w:val="7"/>
            <w:tcBorders>
              <w:tl2br w:val="nil"/>
              <w:tr2bl w:val="nil"/>
            </w:tcBorders>
            <w:noWrap/>
            <w:tcMar>
              <w:top w:w="15" w:type="dxa"/>
              <w:left w:w="15" w:type="dxa"/>
              <w:right w:w="15" w:type="dxa"/>
            </w:tcMar>
            <w:vAlign w:val="center"/>
          </w:tcPr>
          <w:p w14:paraId="5DC399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80</w:t>
            </w:r>
          </w:p>
        </w:tc>
        <w:tc>
          <w:tcPr>
            <w:tcW w:w="1097" w:type="dxa"/>
            <w:tcBorders>
              <w:tl2br w:val="nil"/>
              <w:tr2bl w:val="nil"/>
            </w:tcBorders>
            <w:noWrap/>
            <w:tcMar>
              <w:top w:w="15" w:type="dxa"/>
              <w:left w:w="15" w:type="dxa"/>
              <w:right w:w="15" w:type="dxa"/>
            </w:tcMar>
            <w:vAlign w:val="center"/>
          </w:tcPr>
          <w:p w14:paraId="41C356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80</w:t>
            </w:r>
          </w:p>
        </w:tc>
        <w:tc>
          <w:tcPr>
            <w:tcW w:w="1780" w:type="dxa"/>
            <w:vMerge w:val="continue"/>
            <w:tcBorders>
              <w:tl2br w:val="nil"/>
              <w:tr2bl w:val="nil"/>
            </w:tcBorders>
            <w:noWrap/>
            <w:tcMar>
              <w:top w:w="15" w:type="dxa"/>
              <w:left w:w="15" w:type="dxa"/>
              <w:right w:w="15" w:type="dxa"/>
            </w:tcMar>
            <w:vAlign w:val="center"/>
          </w:tcPr>
          <w:p w14:paraId="5ABE6B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p>
        </w:tc>
      </w:tr>
      <w:tr w14:paraId="20F58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jc w:val="center"/>
        </w:trPr>
        <w:tc>
          <w:tcPr>
            <w:tcW w:w="2148" w:type="dxa"/>
            <w:gridSpan w:val="2"/>
            <w:vMerge w:val="restart"/>
            <w:tcBorders>
              <w:tl2br w:val="nil"/>
              <w:tr2bl w:val="nil"/>
            </w:tcBorders>
            <w:noWrap/>
            <w:tcMar>
              <w:top w:w="15" w:type="dxa"/>
              <w:left w:w="15" w:type="dxa"/>
              <w:right w:w="15" w:type="dxa"/>
            </w:tcMar>
            <w:vAlign w:val="center"/>
          </w:tcPr>
          <w:p w14:paraId="465E59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auto"/>
                <w:sz w:val="24"/>
                <w:szCs w:val="24"/>
                <w:u w:val="none"/>
                <w:lang w:val="en-US" w:eastAsia="zh-CN"/>
              </w:rPr>
            </w:pPr>
            <w:r>
              <w:rPr>
                <w:rFonts w:hint="eastAsia" w:ascii="仿宋_GB2312" w:hAnsi="仿宋_GB2312" w:eastAsia="仿宋_GB2312" w:cs="仿宋_GB2312"/>
                <w:b/>
                <w:i w:val="0"/>
                <w:color w:val="auto"/>
                <w:sz w:val="24"/>
                <w:szCs w:val="24"/>
                <w:u w:val="none"/>
                <w:lang w:val="en-US" w:eastAsia="zh-CN"/>
              </w:rPr>
              <w:t>社区</w:t>
            </w:r>
          </w:p>
        </w:tc>
        <w:tc>
          <w:tcPr>
            <w:tcW w:w="1194" w:type="dxa"/>
            <w:tcBorders>
              <w:tl2br w:val="nil"/>
              <w:tr2bl w:val="nil"/>
            </w:tcBorders>
            <w:noWrap w:val="0"/>
            <w:tcMar>
              <w:top w:w="15" w:type="dxa"/>
              <w:left w:w="15" w:type="dxa"/>
              <w:right w:w="15" w:type="dxa"/>
            </w:tcMar>
            <w:vAlign w:val="center"/>
          </w:tcPr>
          <w:p w14:paraId="01BB4E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政策倡导</w:t>
            </w:r>
          </w:p>
          <w:p w14:paraId="2FA62E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(100人次以上）</w:t>
            </w:r>
          </w:p>
        </w:tc>
        <w:tc>
          <w:tcPr>
            <w:tcW w:w="796" w:type="dxa"/>
            <w:tcBorders>
              <w:tl2br w:val="nil"/>
              <w:tr2bl w:val="nil"/>
            </w:tcBorders>
            <w:noWrap/>
            <w:tcMar>
              <w:top w:w="15" w:type="dxa"/>
              <w:left w:w="15" w:type="dxa"/>
              <w:right w:w="15" w:type="dxa"/>
            </w:tcMar>
            <w:vAlign w:val="center"/>
          </w:tcPr>
          <w:p w14:paraId="4EFB88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120</w:t>
            </w:r>
          </w:p>
        </w:tc>
        <w:tc>
          <w:tcPr>
            <w:tcW w:w="1131" w:type="dxa"/>
            <w:tcBorders>
              <w:tl2br w:val="nil"/>
              <w:tr2bl w:val="nil"/>
            </w:tcBorders>
            <w:noWrap/>
            <w:tcMar>
              <w:top w:w="15" w:type="dxa"/>
              <w:left w:w="15" w:type="dxa"/>
              <w:right w:w="15" w:type="dxa"/>
            </w:tcMar>
            <w:vAlign w:val="center"/>
          </w:tcPr>
          <w:p w14:paraId="1C7300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小时/次</w:t>
            </w:r>
          </w:p>
        </w:tc>
        <w:tc>
          <w:tcPr>
            <w:tcW w:w="773" w:type="dxa"/>
            <w:tcBorders>
              <w:tl2br w:val="nil"/>
              <w:tr2bl w:val="nil"/>
            </w:tcBorders>
            <w:noWrap/>
            <w:tcMar>
              <w:top w:w="15" w:type="dxa"/>
              <w:left w:w="15" w:type="dxa"/>
              <w:right w:w="15" w:type="dxa"/>
            </w:tcMar>
            <w:vAlign w:val="center"/>
          </w:tcPr>
          <w:p w14:paraId="7B16C6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588" w:type="dxa"/>
            <w:tcBorders>
              <w:tl2br w:val="nil"/>
              <w:tr2bl w:val="nil"/>
            </w:tcBorders>
            <w:noWrap/>
            <w:tcMar>
              <w:top w:w="15" w:type="dxa"/>
              <w:left w:w="15" w:type="dxa"/>
              <w:right w:w="15" w:type="dxa"/>
            </w:tcMar>
            <w:vAlign w:val="center"/>
          </w:tcPr>
          <w:p w14:paraId="67852C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538" w:type="dxa"/>
            <w:gridSpan w:val="2"/>
            <w:tcBorders>
              <w:tl2br w:val="nil"/>
              <w:tr2bl w:val="nil"/>
            </w:tcBorders>
            <w:noWrap/>
            <w:tcMar>
              <w:top w:w="15" w:type="dxa"/>
              <w:left w:w="15" w:type="dxa"/>
              <w:right w:w="15" w:type="dxa"/>
            </w:tcMar>
            <w:vAlign w:val="center"/>
          </w:tcPr>
          <w:p w14:paraId="0625F7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755" w:type="dxa"/>
            <w:tcBorders>
              <w:tl2br w:val="nil"/>
              <w:tr2bl w:val="nil"/>
            </w:tcBorders>
            <w:noWrap/>
            <w:tcMar>
              <w:top w:w="15" w:type="dxa"/>
              <w:left w:w="15" w:type="dxa"/>
              <w:right w:w="15" w:type="dxa"/>
            </w:tcMar>
            <w:vAlign w:val="center"/>
          </w:tcPr>
          <w:p w14:paraId="3BA4FA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w:t>
            </w:r>
          </w:p>
        </w:tc>
        <w:tc>
          <w:tcPr>
            <w:tcW w:w="755" w:type="dxa"/>
            <w:tcBorders>
              <w:tl2br w:val="nil"/>
              <w:tr2bl w:val="nil"/>
            </w:tcBorders>
            <w:noWrap/>
            <w:tcMar>
              <w:top w:w="15" w:type="dxa"/>
              <w:left w:w="15" w:type="dxa"/>
              <w:right w:w="15" w:type="dxa"/>
            </w:tcMar>
            <w:vAlign w:val="center"/>
          </w:tcPr>
          <w:p w14:paraId="3DC8A0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w:t>
            </w:r>
          </w:p>
        </w:tc>
        <w:tc>
          <w:tcPr>
            <w:tcW w:w="755" w:type="dxa"/>
            <w:tcBorders>
              <w:tl2br w:val="nil"/>
              <w:tr2bl w:val="nil"/>
            </w:tcBorders>
            <w:noWrap/>
            <w:tcMar>
              <w:top w:w="15" w:type="dxa"/>
              <w:left w:w="15" w:type="dxa"/>
              <w:right w:w="15" w:type="dxa"/>
            </w:tcMar>
            <w:vAlign w:val="center"/>
          </w:tcPr>
          <w:p w14:paraId="6B3A62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w:t>
            </w:r>
          </w:p>
        </w:tc>
        <w:tc>
          <w:tcPr>
            <w:tcW w:w="1097" w:type="dxa"/>
            <w:tcBorders>
              <w:tl2br w:val="nil"/>
              <w:tr2bl w:val="nil"/>
            </w:tcBorders>
            <w:noWrap/>
            <w:tcMar>
              <w:top w:w="15" w:type="dxa"/>
              <w:left w:w="15" w:type="dxa"/>
              <w:right w:w="15" w:type="dxa"/>
            </w:tcMar>
            <w:vAlign w:val="center"/>
          </w:tcPr>
          <w:p w14:paraId="3C33B6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3</w:t>
            </w:r>
          </w:p>
        </w:tc>
        <w:tc>
          <w:tcPr>
            <w:tcW w:w="1780" w:type="dxa"/>
            <w:tcBorders>
              <w:tl2br w:val="nil"/>
              <w:tr2bl w:val="nil"/>
            </w:tcBorders>
            <w:noWrap/>
            <w:tcMar>
              <w:top w:w="15" w:type="dxa"/>
              <w:left w:w="15" w:type="dxa"/>
              <w:right w:w="15" w:type="dxa"/>
            </w:tcMar>
            <w:vAlign w:val="center"/>
          </w:tcPr>
          <w:p w14:paraId="79D4E5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360</w:t>
            </w:r>
          </w:p>
        </w:tc>
      </w:tr>
      <w:tr w14:paraId="27CBD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2148" w:type="dxa"/>
            <w:gridSpan w:val="2"/>
            <w:vMerge w:val="continue"/>
            <w:tcBorders>
              <w:tl2br w:val="nil"/>
              <w:tr2bl w:val="nil"/>
            </w:tcBorders>
            <w:noWrap/>
            <w:tcMar>
              <w:top w:w="15" w:type="dxa"/>
              <w:left w:w="15" w:type="dxa"/>
              <w:right w:w="15" w:type="dxa"/>
            </w:tcMar>
            <w:vAlign w:val="center"/>
          </w:tcPr>
          <w:p w14:paraId="1BA84568">
            <w:pPr>
              <w:keepNext w:val="0"/>
              <w:keepLines w:val="0"/>
              <w:pageBreakBefore w:val="0"/>
              <w:widowControl w:val="0"/>
              <w:kinsoku/>
              <w:wordWrap/>
              <w:overflowPunct/>
              <w:topLinePunct w:val="0"/>
              <w:autoSpaceDE/>
              <w:autoSpaceDN/>
              <w:bidi w:val="0"/>
              <w:adjustRightInd w:val="0"/>
              <w:snapToGrid w:val="0"/>
              <w:spacing w:beforeAutospacing="0" w:afterAutospacing="0" w:line="579" w:lineRule="exact"/>
              <w:jc w:val="center"/>
              <w:rPr>
                <w:rFonts w:hint="eastAsia" w:ascii="仿宋_GB2312" w:hAnsi="仿宋_GB2312" w:eastAsia="仿宋_GB2312" w:cs="仿宋_GB2312"/>
                <w:b/>
                <w:i w:val="0"/>
                <w:color w:val="auto"/>
                <w:sz w:val="24"/>
                <w:szCs w:val="24"/>
                <w:u w:val="none"/>
              </w:rPr>
            </w:pPr>
          </w:p>
        </w:tc>
        <w:tc>
          <w:tcPr>
            <w:tcW w:w="1194" w:type="dxa"/>
            <w:tcBorders>
              <w:tl2br w:val="nil"/>
              <w:tr2bl w:val="nil"/>
            </w:tcBorders>
            <w:noWrap w:val="0"/>
            <w:tcMar>
              <w:top w:w="15" w:type="dxa"/>
              <w:left w:w="15" w:type="dxa"/>
              <w:right w:w="15" w:type="dxa"/>
            </w:tcMar>
            <w:vAlign w:val="center"/>
          </w:tcPr>
          <w:p w14:paraId="107BA3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服务活动</w:t>
            </w:r>
          </w:p>
          <w:p w14:paraId="5D89F3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color w:val="auto"/>
                <w:kern w:val="0"/>
                <w:sz w:val="24"/>
                <w:szCs w:val="24"/>
                <w:u w:val="none"/>
                <w:lang w:val="en-US" w:eastAsia="zh-CN" w:bidi="ar"/>
              </w:rPr>
            </w:pPr>
            <w:r>
              <w:rPr>
                <w:rFonts w:hint="eastAsia" w:ascii="仿宋_GB2312" w:hAnsi="仿宋_GB2312" w:eastAsia="仿宋_GB2312" w:cs="仿宋_GB2312"/>
                <w:b/>
                <w:color w:val="auto"/>
                <w:kern w:val="0"/>
                <w:sz w:val="24"/>
                <w:szCs w:val="24"/>
                <w:u w:val="none"/>
                <w:lang w:val="en-US" w:eastAsia="zh-CN" w:bidi="ar"/>
              </w:rPr>
              <w:t>（平均30人次）</w:t>
            </w:r>
          </w:p>
        </w:tc>
        <w:tc>
          <w:tcPr>
            <w:tcW w:w="796" w:type="dxa"/>
            <w:tcBorders>
              <w:tl2br w:val="nil"/>
              <w:tr2bl w:val="nil"/>
            </w:tcBorders>
            <w:noWrap/>
            <w:tcMar>
              <w:top w:w="15" w:type="dxa"/>
              <w:left w:w="15" w:type="dxa"/>
              <w:right w:w="15" w:type="dxa"/>
            </w:tcMar>
            <w:vAlign w:val="center"/>
          </w:tcPr>
          <w:p w14:paraId="46B241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72</w:t>
            </w:r>
          </w:p>
        </w:tc>
        <w:tc>
          <w:tcPr>
            <w:tcW w:w="1131" w:type="dxa"/>
            <w:tcBorders>
              <w:tl2br w:val="nil"/>
              <w:tr2bl w:val="nil"/>
            </w:tcBorders>
            <w:noWrap/>
            <w:tcMar>
              <w:top w:w="15" w:type="dxa"/>
              <w:left w:w="15" w:type="dxa"/>
              <w:right w:w="15" w:type="dxa"/>
            </w:tcMar>
            <w:vAlign w:val="center"/>
          </w:tcPr>
          <w:p w14:paraId="57E66F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小时/次</w:t>
            </w:r>
          </w:p>
        </w:tc>
        <w:tc>
          <w:tcPr>
            <w:tcW w:w="773" w:type="dxa"/>
            <w:tcBorders>
              <w:tl2br w:val="nil"/>
              <w:tr2bl w:val="nil"/>
            </w:tcBorders>
            <w:noWrap/>
            <w:tcMar>
              <w:top w:w="15" w:type="dxa"/>
              <w:left w:w="15" w:type="dxa"/>
              <w:right w:w="15" w:type="dxa"/>
            </w:tcMar>
            <w:vAlign w:val="center"/>
          </w:tcPr>
          <w:p w14:paraId="6EBB0A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4</w:t>
            </w:r>
          </w:p>
        </w:tc>
        <w:tc>
          <w:tcPr>
            <w:tcW w:w="588" w:type="dxa"/>
            <w:tcBorders>
              <w:tl2br w:val="nil"/>
              <w:tr2bl w:val="nil"/>
            </w:tcBorders>
            <w:noWrap/>
            <w:tcMar>
              <w:top w:w="15" w:type="dxa"/>
              <w:left w:w="15" w:type="dxa"/>
              <w:right w:w="15" w:type="dxa"/>
            </w:tcMar>
            <w:vAlign w:val="center"/>
          </w:tcPr>
          <w:p w14:paraId="7EB70C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4</w:t>
            </w:r>
          </w:p>
        </w:tc>
        <w:tc>
          <w:tcPr>
            <w:tcW w:w="538" w:type="dxa"/>
            <w:gridSpan w:val="2"/>
            <w:tcBorders>
              <w:tl2br w:val="nil"/>
              <w:tr2bl w:val="nil"/>
            </w:tcBorders>
            <w:noWrap/>
            <w:tcMar>
              <w:top w:w="15" w:type="dxa"/>
              <w:left w:w="15" w:type="dxa"/>
              <w:right w:w="15" w:type="dxa"/>
            </w:tcMar>
            <w:vAlign w:val="center"/>
          </w:tcPr>
          <w:p w14:paraId="4B6074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w:t>
            </w:r>
          </w:p>
        </w:tc>
        <w:tc>
          <w:tcPr>
            <w:tcW w:w="755" w:type="dxa"/>
            <w:tcBorders>
              <w:tl2br w:val="nil"/>
              <w:tr2bl w:val="nil"/>
            </w:tcBorders>
            <w:noWrap/>
            <w:tcMar>
              <w:top w:w="15" w:type="dxa"/>
              <w:left w:w="15" w:type="dxa"/>
              <w:right w:w="15" w:type="dxa"/>
            </w:tcMar>
            <w:vAlign w:val="center"/>
          </w:tcPr>
          <w:p w14:paraId="24AD44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w:t>
            </w:r>
          </w:p>
        </w:tc>
        <w:tc>
          <w:tcPr>
            <w:tcW w:w="755" w:type="dxa"/>
            <w:tcBorders>
              <w:tl2br w:val="nil"/>
              <w:tr2bl w:val="nil"/>
            </w:tcBorders>
            <w:noWrap/>
            <w:tcMar>
              <w:top w:w="15" w:type="dxa"/>
              <w:left w:w="15" w:type="dxa"/>
              <w:right w:w="15" w:type="dxa"/>
            </w:tcMar>
            <w:vAlign w:val="center"/>
          </w:tcPr>
          <w:p w14:paraId="621387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12</w:t>
            </w:r>
          </w:p>
        </w:tc>
        <w:tc>
          <w:tcPr>
            <w:tcW w:w="755" w:type="dxa"/>
            <w:tcBorders>
              <w:tl2br w:val="nil"/>
              <w:tr2bl w:val="nil"/>
            </w:tcBorders>
            <w:noWrap/>
            <w:tcMar>
              <w:top w:w="15" w:type="dxa"/>
              <w:left w:w="15" w:type="dxa"/>
              <w:right w:w="15" w:type="dxa"/>
            </w:tcMar>
            <w:vAlign w:val="center"/>
          </w:tcPr>
          <w:p w14:paraId="5576C4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w:t>
            </w:r>
          </w:p>
        </w:tc>
        <w:tc>
          <w:tcPr>
            <w:tcW w:w="1097" w:type="dxa"/>
            <w:tcBorders>
              <w:tl2br w:val="nil"/>
              <w:tr2bl w:val="nil"/>
            </w:tcBorders>
            <w:noWrap/>
            <w:tcMar>
              <w:top w:w="15" w:type="dxa"/>
              <w:left w:w="15" w:type="dxa"/>
              <w:right w:w="15" w:type="dxa"/>
            </w:tcMar>
            <w:vAlign w:val="center"/>
          </w:tcPr>
          <w:p w14:paraId="0D2B6E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22</w:t>
            </w:r>
          </w:p>
        </w:tc>
        <w:tc>
          <w:tcPr>
            <w:tcW w:w="1780" w:type="dxa"/>
            <w:tcBorders>
              <w:tl2br w:val="nil"/>
              <w:tr2bl w:val="nil"/>
            </w:tcBorders>
            <w:noWrap/>
            <w:tcMar>
              <w:top w:w="15" w:type="dxa"/>
              <w:left w:w="15" w:type="dxa"/>
              <w:right w:w="15" w:type="dxa"/>
            </w:tcMar>
            <w:vAlign w:val="center"/>
          </w:tcPr>
          <w:p w14:paraId="16F2D9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1584</w:t>
            </w:r>
          </w:p>
        </w:tc>
      </w:tr>
      <w:tr w14:paraId="22EAB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2148" w:type="dxa"/>
            <w:gridSpan w:val="2"/>
            <w:tcBorders>
              <w:tl2br w:val="nil"/>
              <w:tr2bl w:val="nil"/>
            </w:tcBorders>
            <w:noWrap/>
            <w:tcMar>
              <w:top w:w="15" w:type="dxa"/>
              <w:left w:w="15" w:type="dxa"/>
              <w:right w:w="15" w:type="dxa"/>
            </w:tcMar>
            <w:vAlign w:val="center"/>
          </w:tcPr>
          <w:p w14:paraId="2CE7FE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auto"/>
                <w:sz w:val="24"/>
                <w:szCs w:val="24"/>
                <w:u w:val="none"/>
              </w:rPr>
            </w:pPr>
            <w:r>
              <w:rPr>
                <w:rFonts w:hint="eastAsia" w:ascii="仿宋_GB2312" w:hAnsi="仿宋_GB2312" w:eastAsia="仿宋_GB2312" w:cs="仿宋_GB2312"/>
                <w:b/>
                <w:i w:val="0"/>
                <w:color w:val="auto"/>
                <w:kern w:val="0"/>
                <w:sz w:val="24"/>
                <w:szCs w:val="24"/>
                <w:u w:val="none"/>
                <w:lang w:val="en-US" w:eastAsia="zh-CN" w:bidi="ar"/>
              </w:rPr>
              <w:t>建档</w:t>
            </w:r>
          </w:p>
        </w:tc>
        <w:tc>
          <w:tcPr>
            <w:tcW w:w="1194" w:type="dxa"/>
            <w:tcBorders>
              <w:tl2br w:val="nil"/>
              <w:tr2bl w:val="nil"/>
            </w:tcBorders>
            <w:noWrap/>
            <w:tcMar>
              <w:top w:w="15" w:type="dxa"/>
              <w:left w:w="15" w:type="dxa"/>
              <w:right w:w="15" w:type="dxa"/>
            </w:tcMar>
            <w:vAlign w:val="center"/>
          </w:tcPr>
          <w:p w14:paraId="6654AE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1927" w:type="dxa"/>
            <w:gridSpan w:val="2"/>
            <w:tcBorders>
              <w:tl2br w:val="nil"/>
              <w:tr2bl w:val="nil"/>
            </w:tcBorders>
            <w:noWrap/>
            <w:tcMar>
              <w:top w:w="15" w:type="dxa"/>
              <w:left w:w="15" w:type="dxa"/>
              <w:right w:w="15" w:type="dxa"/>
            </w:tcMar>
            <w:vAlign w:val="center"/>
          </w:tcPr>
          <w:p w14:paraId="1657A2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小时/份</w:t>
            </w:r>
          </w:p>
        </w:tc>
        <w:tc>
          <w:tcPr>
            <w:tcW w:w="773" w:type="dxa"/>
            <w:tcBorders>
              <w:tl2br w:val="nil"/>
              <w:tr2bl w:val="nil"/>
            </w:tcBorders>
            <w:noWrap/>
            <w:tcMar>
              <w:top w:w="15" w:type="dxa"/>
              <w:left w:w="15" w:type="dxa"/>
              <w:right w:w="15" w:type="dxa"/>
            </w:tcMar>
            <w:vAlign w:val="center"/>
          </w:tcPr>
          <w:p w14:paraId="5876D8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在册数</w:t>
            </w:r>
          </w:p>
        </w:tc>
        <w:tc>
          <w:tcPr>
            <w:tcW w:w="588" w:type="dxa"/>
            <w:tcBorders>
              <w:tl2br w:val="nil"/>
              <w:tr2bl w:val="nil"/>
            </w:tcBorders>
            <w:noWrap/>
            <w:tcMar>
              <w:top w:w="15" w:type="dxa"/>
              <w:left w:w="15" w:type="dxa"/>
              <w:right w:w="15" w:type="dxa"/>
            </w:tcMar>
            <w:vAlign w:val="center"/>
          </w:tcPr>
          <w:p w14:paraId="021F9C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在册数</w:t>
            </w:r>
          </w:p>
        </w:tc>
        <w:tc>
          <w:tcPr>
            <w:tcW w:w="538" w:type="dxa"/>
            <w:gridSpan w:val="2"/>
            <w:tcBorders>
              <w:tl2br w:val="nil"/>
              <w:tr2bl w:val="nil"/>
            </w:tcBorders>
            <w:noWrap/>
            <w:tcMar>
              <w:top w:w="15" w:type="dxa"/>
              <w:left w:w="15" w:type="dxa"/>
              <w:right w:w="15" w:type="dxa"/>
            </w:tcMar>
            <w:vAlign w:val="center"/>
          </w:tcPr>
          <w:p w14:paraId="3BF280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在册数</w:t>
            </w:r>
          </w:p>
        </w:tc>
        <w:tc>
          <w:tcPr>
            <w:tcW w:w="755" w:type="dxa"/>
            <w:tcBorders>
              <w:tl2br w:val="nil"/>
              <w:tr2bl w:val="nil"/>
            </w:tcBorders>
            <w:noWrap/>
            <w:tcMar>
              <w:top w:w="15" w:type="dxa"/>
              <w:left w:w="15" w:type="dxa"/>
              <w:right w:w="15" w:type="dxa"/>
            </w:tcMar>
            <w:vAlign w:val="center"/>
          </w:tcPr>
          <w:p w14:paraId="24C048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发现数</w:t>
            </w:r>
          </w:p>
        </w:tc>
        <w:tc>
          <w:tcPr>
            <w:tcW w:w="755" w:type="dxa"/>
            <w:tcBorders>
              <w:tl2br w:val="nil"/>
              <w:tr2bl w:val="nil"/>
            </w:tcBorders>
            <w:noWrap/>
            <w:tcMar>
              <w:top w:w="15" w:type="dxa"/>
              <w:left w:w="15" w:type="dxa"/>
              <w:right w:w="15" w:type="dxa"/>
            </w:tcMar>
            <w:vAlign w:val="center"/>
          </w:tcPr>
          <w:p w14:paraId="3AD08A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w:t>
            </w:r>
          </w:p>
        </w:tc>
        <w:tc>
          <w:tcPr>
            <w:tcW w:w="755" w:type="dxa"/>
            <w:tcBorders>
              <w:tl2br w:val="nil"/>
              <w:tr2bl w:val="nil"/>
            </w:tcBorders>
            <w:noWrap/>
            <w:tcMar>
              <w:top w:w="15" w:type="dxa"/>
              <w:left w:w="15" w:type="dxa"/>
              <w:right w:w="15" w:type="dxa"/>
            </w:tcMar>
            <w:vAlign w:val="center"/>
          </w:tcPr>
          <w:p w14:paraId="0F13AD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w:t>
            </w:r>
          </w:p>
        </w:tc>
        <w:tc>
          <w:tcPr>
            <w:tcW w:w="1097" w:type="dxa"/>
            <w:tcBorders>
              <w:tl2br w:val="nil"/>
              <w:tr2bl w:val="nil"/>
            </w:tcBorders>
            <w:noWrap/>
            <w:tcMar>
              <w:top w:w="15" w:type="dxa"/>
              <w:left w:w="15" w:type="dxa"/>
              <w:right w:w="15" w:type="dxa"/>
            </w:tcMar>
            <w:vAlign w:val="center"/>
          </w:tcPr>
          <w:p w14:paraId="450E13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30</w:t>
            </w:r>
          </w:p>
        </w:tc>
        <w:tc>
          <w:tcPr>
            <w:tcW w:w="1780" w:type="dxa"/>
            <w:tcBorders>
              <w:tl2br w:val="nil"/>
              <w:tr2bl w:val="nil"/>
            </w:tcBorders>
            <w:noWrap/>
            <w:tcMar>
              <w:top w:w="15" w:type="dxa"/>
              <w:left w:w="15" w:type="dxa"/>
              <w:right w:w="15" w:type="dxa"/>
            </w:tcMar>
            <w:vAlign w:val="center"/>
          </w:tcPr>
          <w:p w14:paraId="730C29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120</w:t>
            </w:r>
          </w:p>
        </w:tc>
      </w:tr>
      <w:tr w14:paraId="2BD2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2148" w:type="dxa"/>
            <w:gridSpan w:val="2"/>
            <w:tcBorders>
              <w:tl2br w:val="nil"/>
              <w:tr2bl w:val="nil"/>
            </w:tcBorders>
            <w:noWrap/>
            <w:tcMar>
              <w:top w:w="15" w:type="dxa"/>
              <w:left w:w="15" w:type="dxa"/>
              <w:right w:w="15" w:type="dxa"/>
            </w:tcMar>
            <w:vAlign w:val="center"/>
          </w:tcPr>
          <w:p w14:paraId="1396C0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i w:val="0"/>
                <w:color w:val="auto"/>
                <w:sz w:val="24"/>
                <w:szCs w:val="24"/>
                <w:u w:val="none"/>
              </w:rPr>
            </w:pPr>
            <w:r>
              <w:rPr>
                <w:rFonts w:hint="eastAsia" w:ascii="仿宋_GB2312" w:hAnsi="仿宋_GB2312" w:eastAsia="仿宋_GB2312" w:cs="仿宋_GB2312"/>
                <w:b/>
                <w:i w:val="0"/>
                <w:color w:val="auto"/>
                <w:kern w:val="0"/>
                <w:sz w:val="24"/>
                <w:szCs w:val="24"/>
                <w:u w:val="none"/>
                <w:lang w:val="en-US" w:eastAsia="zh-CN" w:bidi="ar"/>
              </w:rPr>
              <w:t>走访</w:t>
            </w:r>
          </w:p>
        </w:tc>
        <w:tc>
          <w:tcPr>
            <w:tcW w:w="1194" w:type="dxa"/>
            <w:tcBorders>
              <w:tl2br w:val="nil"/>
              <w:tr2bl w:val="nil"/>
            </w:tcBorders>
            <w:noWrap/>
            <w:tcMar>
              <w:top w:w="15" w:type="dxa"/>
              <w:left w:w="15" w:type="dxa"/>
              <w:right w:w="15" w:type="dxa"/>
            </w:tcMar>
            <w:vAlign w:val="center"/>
          </w:tcPr>
          <w:p w14:paraId="7E7851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1927" w:type="dxa"/>
            <w:gridSpan w:val="2"/>
            <w:tcBorders>
              <w:tl2br w:val="nil"/>
              <w:tr2bl w:val="nil"/>
            </w:tcBorders>
            <w:noWrap/>
            <w:tcMar>
              <w:top w:w="15" w:type="dxa"/>
              <w:left w:w="15" w:type="dxa"/>
              <w:right w:w="15" w:type="dxa"/>
            </w:tcMar>
            <w:vAlign w:val="center"/>
          </w:tcPr>
          <w:p w14:paraId="295C04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小时/次</w:t>
            </w:r>
          </w:p>
        </w:tc>
        <w:tc>
          <w:tcPr>
            <w:tcW w:w="4164" w:type="dxa"/>
            <w:gridSpan w:val="7"/>
            <w:tcBorders>
              <w:tl2br w:val="nil"/>
              <w:tr2bl w:val="nil"/>
            </w:tcBorders>
            <w:noWrap/>
            <w:tcMar>
              <w:top w:w="15" w:type="dxa"/>
              <w:left w:w="15" w:type="dxa"/>
              <w:right w:w="15" w:type="dxa"/>
            </w:tcMar>
            <w:vAlign w:val="center"/>
          </w:tcPr>
          <w:p w14:paraId="24402F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w:t>
            </w:r>
          </w:p>
        </w:tc>
        <w:tc>
          <w:tcPr>
            <w:tcW w:w="1097" w:type="dxa"/>
            <w:tcBorders>
              <w:tl2br w:val="nil"/>
              <w:tr2bl w:val="nil"/>
            </w:tcBorders>
            <w:noWrap/>
            <w:tcMar>
              <w:top w:w="15" w:type="dxa"/>
              <w:left w:w="15" w:type="dxa"/>
              <w:right w:w="15" w:type="dxa"/>
            </w:tcMar>
            <w:vAlign w:val="center"/>
          </w:tcPr>
          <w:p w14:paraId="4AE492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100</w:t>
            </w:r>
          </w:p>
        </w:tc>
        <w:tc>
          <w:tcPr>
            <w:tcW w:w="1780" w:type="dxa"/>
            <w:tcBorders>
              <w:tl2br w:val="nil"/>
              <w:tr2bl w:val="nil"/>
            </w:tcBorders>
            <w:noWrap/>
            <w:tcMar>
              <w:top w:w="15" w:type="dxa"/>
              <w:left w:w="15" w:type="dxa"/>
              <w:right w:w="15" w:type="dxa"/>
            </w:tcMar>
            <w:vAlign w:val="center"/>
          </w:tcPr>
          <w:p w14:paraId="70C3D4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200</w:t>
            </w:r>
          </w:p>
        </w:tc>
      </w:tr>
      <w:tr w14:paraId="5B7EF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jc w:val="center"/>
        </w:trPr>
        <w:tc>
          <w:tcPr>
            <w:tcW w:w="834" w:type="dxa"/>
            <w:vMerge w:val="restart"/>
            <w:tcBorders>
              <w:tl2br w:val="nil"/>
              <w:tr2bl w:val="nil"/>
            </w:tcBorders>
            <w:noWrap/>
            <w:tcMar>
              <w:top w:w="15" w:type="dxa"/>
              <w:left w:w="15" w:type="dxa"/>
              <w:right w:w="15" w:type="dxa"/>
            </w:tcMar>
            <w:vAlign w:val="center"/>
          </w:tcPr>
          <w:p w14:paraId="0EFC32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bCs/>
                <w:i w:val="0"/>
                <w:iCs w:val="0"/>
                <w:color w:val="auto"/>
                <w:kern w:val="0"/>
                <w:sz w:val="24"/>
                <w:szCs w:val="24"/>
                <w:u w:val="none"/>
                <w:lang w:val="en-US" w:eastAsia="zh-CN" w:bidi="ar"/>
              </w:rPr>
            </w:pPr>
            <w:r>
              <w:rPr>
                <w:rFonts w:hint="eastAsia" w:ascii="仿宋_GB2312" w:hAnsi="仿宋_GB2312" w:eastAsia="仿宋_GB2312" w:cs="仿宋_GB2312"/>
                <w:b/>
                <w:bCs w:val="0"/>
                <w:i w:val="0"/>
                <w:iCs w:val="0"/>
                <w:color w:val="auto"/>
                <w:kern w:val="0"/>
                <w:sz w:val="24"/>
                <w:szCs w:val="24"/>
                <w:u w:val="none"/>
                <w:lang w:val="en-US" w:eastAsia="zh-CN" w:bidi="ar"/>
              </w:rPr>
              <w:t>发展志愿者</w:t>
            </w:r>
          </w:p>
        </w:tc>
        <w:tc>
          <w:tcPr>
            <w:tcW w:w="1314" w:type="dxa"/>
            <w:tcBorders>
              <w:tl2br w:val="nil"/>
              <w:tr2bl w:val="nil"/>
            </w:tcBorders>
            <w:noWrap/>
            <w:tcMar>
              <w:top w:w="15" w:type="dxa"/>
              <w:left w:w="15" w:type="dxa"/>
              <w:right w:w="15" w:type="dxa"/>
            </w:tcMar>
            <w:vAlign w:val="center"/>
          </w:tcPr>
          <w:p w14:paraId="0C54E8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培育志愿者队伍</w:t>
            </w:r>
          </w:p>
        </w:tc>
        <w:tc>
          <w:tcPr>
            <w:tcW w:w="1194" w:type="dxa"/>
            <w:tcBorders>
              <w:tl2br w:val="nil"/>
              <w:tr2bl w:val="nil"/>
            </w:tcBorders>
            <w:noWrap/>
            <w:tcMar>
              <w:top w:w="15" w:type="dxa"/>
              <w:left w:w="15" w:type="dxa"/>
              <w:right w:w="15" w:type="dxa"/>
            </w:tcMar>
            <w:vAlign w:val="center"/>
          </w:tcPr>
          <w:p w14:paraId="41F712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8</w:t>
            </w:r>
          </w:p>
        </w:tc>
        <w:tc>
          <w:tcPr>
            <w:tcW w:w="1927" w:type="dxa"/>
            <w:gridSpan w:val="2"/>
            <w:tcBorders>
              <w:tl2br w:val="nil"/>
              <w:tr2bl w:val="nil"/>
            </w:tcBorders>
            <w:noWrap/>
            <w:tcMar>
              <w:top w:w="15" w:type="dxa"/>
              <w:left w:w="15" w:type="dxa"/>
              <w:right w:w="15" w:type="dxa"/>
            </w:tcMar>
            <w:vAlign w:val="center"/>
          </w:tcPr>
          <w:p w14:paraId="466101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小时/人/支</w:t>
            </w:r>
          </w:p>
        </w:tc>
        <w:tc>
          <w:tcPr>
            <w:tcW w:w="4164" w:type="dxa"/>
            <w:gridSpan w:val="7"/>
            <w:tcBorders>
              <w:tl2br w:val="nil"/>
              <w:tr2bl w:val="nil"/>
            </w:tcBorders>
            <w:noWrap/>
            <w:tcMar>
              <w:top w:w="15" w:type="dxa"/>
              <w:left w:w="15" w:type="dxa"/>
              <w:right w:w="15" w:type="dxa"/>
            </w:tcMar>
            <w:vAlign w:val="center"/>
          </w:tcPr>
          <w:p w14:paraId="4AA1EF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w:t>
            </w:r>
          </w:p>
        </w:tc>
        <w:tc>
          <w:tcPr>
            <w:tcW w:w="1097" w:type="dxa"/>
            <w:tcBorders>
              <w:tl2br w:val="nil"/>
              <w:tr2bl w:val="nil"/>
            </w:tcBorders>
            <w:noWrap/>
            <w:tcMar>
              <w:top w:w="15" w:type="dxa"/>
              <w:left w:w="15" w:type="dxa"/>
              <w:right w:w="15" w:type="dxa"/>
            </w:tcMar>
            <w:vAlign w:val="center"/>
          </w:tcPr>
          <w:p w14:paraId="10C114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1支/30人</w:t>
            </w:r>
          </w:p>
        </w:tc>
        <w:tc>
          <w:tcPr>
            <w:tcW w:w="1780" w:type="dxa"/>
            <w:tcBorders>
              <w:tl2br w:val="nil"/>
              <w:tr2bl w:val="nil"/>
            </w:tcBorders>
            <w:noWrap/>
            <w:tcMar>
              <w:top w:w="15" w:type="dxa"/>
              <w:left w:w="15" w:type="dxa"/>
              <w:right w:w="15" w:type="dxa"/>
            </w:tcMar>
            <w:vAlign w:val="center"/>
          </w:tcPr>
          <w:p w14:paraId="3364C3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240</w:t>
            </w:r>
          </w:p>
        </w:tc>
      </w:tr>
      <w:tr w14:paraId="0286E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834" w:type="dxa"/>
            <w:vMerge w:val="continue"/>
            <w:tcBorders>
              <w:tl2br w:val="nil"/>
              <w:tr2bl w:val="nil"/>
            </w:tcBorders>
            <w:noWrap/>
            <w:tcMar>
              <w:top w:w="15" w:type="dxa"/>
              <w:left w:w="15" w:type="dxa"/>
              <w:right w:w="15" w:type="dxa"/>
            </w:tcMar>
            <w:vAlign w:val="center"/>
          </w:tcPr>
          <w:p w14:paraId="06B216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bCs/>
                <w:i w:val="0"/>
                <w:color w:val="auto"/>
                <w:kern w:val="2"/>
                <w:sz w:val="24"/>
                <w:szCs w:val="24"/>
                <w:u w:val="none"/>
                <w:lang w:val="en-US" w:eastAsia="zh-CN" w:bidi="ar-SA"/>
              </w:rPr>
            </w:pPr>
          </w:p>
        </w:tc>
        <w:tc>
          <w:tcPr>
            <w:tcW w:w="1314" w:type="dxa"/>
            <w:tcBorders>
              <w:tl2br w:val="nil"/>
              <w:tr2bl w:val="nil"/>
            </w:tcBorders>
            <w:noWrap/>
            <w:tcMar>
              <w:top w:w="15" w:type="dxa"/>
              <w:left w:w="15" w:type="dxa"/>
              <w:right w:w="15" w:type="dxa"/>
            </w:tcMar>
            <w:vAlign w:val="center"/>
          </w:tcPr>
          <w:p w14:paraId="4EF5BF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00" w:lineRule="exact"/>
              <w:jc w:val="center"/>
              <w:textAlignment w:val="center"/>
              <w:rPr>
                <w:rFonts w:hint="default" w:ascii="仿宋_GB2312" w:hAnsi="仿宋_GB2312" w:eastAsia="仿宋_GB2312" w:cs="仿宋_GB2312"/>
                <w:b w:val="0"/>
                <w:bCs w:val="0"/>
                <w:i w:val="0"/>
                <w:color w:val="auto"/>
                <w:kern w:val="2"/>
                <w:sz w:val="24"/>
                <w:szCs w:val="24"/>
                <w:u w:val="none"/>
                <w:lang w:val="en-US" w:eastAsia="zh-CN" w:bidi="ar-SA"/>
              </w:rPr>
            </w:pPr>
            <w:r>
              <w:rPr>
                <w:rFonts w:hint="eastAsia" w:ascii="仿宋_GB2312" w:hAnsi="仿宋_GB2312" w:eastAsia="仿宋_GB2312" w:cs="仿宋_GB2312"/>
                <w:b w:val="0"/>
                <w:bCs w:val="0"/>
                <w:i w:val="0"/>
                <w:color w:val="auto"/>
                <w:kern w:val="0"/>
                <w:sz w:val="24"/>
                <w:szCs w:val="24"/>
                <w:u w:val="none"/>
                <w:lang w:val="en-US" w:eastAsia="zh-CN" w:bidi="ar"/>
              </w:rPr>
              <w:t>志愿者管理/激励</w:t>
            </w:r>
          </w:p>
        </w:tc>
        <w:tc>
          <w:tcPr>
            <w:tcW w:w="1194" w:type="dxa"/>
            <w:tcBorders>
              <w:tl2br w:val="nil"/>
              <w:tr2bl w:val="nil"/>
            </w:tcBorders>
            <w:noWrap/>
            <w:tcMar>
              <w:top w:w="15" w:type="dxa"/>
              <w:left w:w="15" w:type="dxa"/>
              <w:right w:w="15" w:type="dxa"/>
            </w:tcMar>
            <w:vAlign w:val="center"/>
          </w:tcPr>
          <w:p w14:paraId="5423E7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1927" w:type="dxa"/>
            <w:gridSpan w:val="2"/>
            <w:tcBorders>
              <w:tl2br w:val="nil"/>
              <w:tr2bl w:val="nil"/>
            </w:tcBorders>
            <w:noWrap/>
            <w:tcMar>
              <w:top w:w="15" w:type="dxa"/>
              <w:left w:w="15" w:type="dxa"/>
              <w:right w:w="15" w:type="dxa"/>
            </w:tcMar>
            <w:vAlign w:val="center"/>
          </w:tcPr>
          <w:p w14:paraId="557D73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小时/人</w:t>
            </w:r>
          </w:p>
        </w:tc>
        <w:tc>
          <w:tcPr>
            <w:tcW w:w="4164" w:type="dxa"/>
            <w:gridSpan w:val="7"/>
            <w:tcBorders>
              <w:tl2br w:val="nil"/>
              <w:tr2bl w:val="nil"/>
            </w:tcBorders>
            <w:noWrap/>
            <w:tcMar>
              <w:top w:w="15" w:type="dxa"/>
              <w:left w:w="15" w:type="dxa"/>
              <w:right w:w="15" w:type="dxa"/>
            </w:tcMar>
            <w:vAlign w:val="center"/>
          </w:tcPr>
          <w:p w14:paraId="2457C9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w:t>
            </w:r>
          </w:p>
        </w:tc>
        <w:tc>
          <w:tcPr>
            <w:tcW w:w="1097" w:type="dxa"/>
            <w:tcBorders>
              <w:tl2br w:val="nil"/>
              <w:tr2bl w:val="nil"/>
            </w:tcBorders>
            <w:noWrap/>
            <w:tcMar>
              <w:top w:w="15" w:type="dxa"/>
              <w:left w:w="15" w:type="dxa"/>
              <w:right w:w="15" w:type="dxa"/>
            </w:tcMar>
            <w:vAlign w:val="center"/>
          </w:tcPr>
          <w:p w14:paraId="4E6CDB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highlight w:val="none"/>
                <w:u w:val="none"/>
                <w:lang w:val="en-US" w:eastAsia="zh-CN"/>
              </w:rPr>
              <w:t>20</w:t>
            </w:r>
          </w:p>
        </w:tc>
        <w:tc>
          <w:tcPr>
            <w:tcW w:w="1780" w:type="dxa"/>
            <w:tcBorders>
              <w:tl2br w:val="nil"/>
              <w:tr2bl w:val="nil"/>
            </w:tcBorders>
            <w:noWrap/>
            <w:tcMar>
              <w:top w:w="15" w:type="dxa"/>
              <w:left w:w="15" w:type="dxa"/>
              <w:right w:w="15" w:type="dxa"/>
            </w:tcMar>
            <w:vAlign w:val="center"/>
          </w:tcPr>
          <w:p w14:paraId="0C7A73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100</w:t>
            </w:r>
          </w:p>
        </w:tc>
      </w:tr>
      <w:tr w14:paraId="74137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jc w:val="center"/>
        </w:trPr>
        <w:tc>
          <w:tcPr>
            <w:tcW w:w="10530" w:type="dxa"/>
            <w:gridSpan w:val="13"/>
            <w:tcBorders>
              <w:tl2br w:val="nil"/>
              <w:tr2bl w:val="nil"/>
            </w:tcBorders>
            <w:noWrap/>
            <w:tcMar>
              <w:top w:w="15" w:type="dxa"/>
              <w:left w:w="15" w:type="dxa"/>
              <w:right w:w="15" w:type="dxa"/>
            </w:tcMar>
            <w:vAlign w:val="center"/>
          </w:tcPr>
          <w:p w14:paraId="3A7A37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b/>
                <w:bCs/>
                <w:i w:val="0"/>
                <w:color w:val="auto"/>
                <w:sz w:val="24"/>
                <w:szCs w:val="24"/>
                <w:u w:val="none"/>
                <w:lang w:val="en-US" w:eastAsia="zh-CN"/>
              </w:rPr>
              <w:t>小计（不少于）</w:t>
            </w:r>
          </w:p>
        </w:tc>
        <w:tc>
          <w:tcPr>
            <w:tcW w:w="1780" w:type="dxa"/>
            <w:tcBorders>
              <w:tl2br w:val="nil"/>
              <w:tr2bl w:val="nil"/>
            </w:tcBorders>
            <w:noWrap/>
            <w:tcMar>
              <w:top w:w="15" w:type="dxa"/>
              <w:left w:w="15" w:type="dxa"/>
              <w:right w:w="15" w:type="dxa"/>
            </w:tcMar>
            <w:vAlign w:val="center"/>
          </w:tcPr>
          <w:p w14:paraId="63F312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b/>
                <w:bCs/>
                <w:i w:val="0"/>
                <w:color w:val="auto"/>
                <w:sz w:val="24"/>
                <w:szCs w:val="24"/>
                <w:u w:val="none"/>
                <w:lang w:val="en-US" w:eastAsia="zh-CN"/>
              </w:rPr>
              <w:t>3296</w:t>
            </w:r>
          </w:p>
        </w:tc>
      </w:tr>
      <w:tr w14:paraId="788E9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42" w:type="dxa"/>
            <w:gridSpan w:val="3"/>
            <w:vMerge w:val="restart"/>
            <w:tcBorders>
              <w:tl2br w:val="nil"/>
              <w:tr2bl w:val="nil"/>
            </w:tcBorders>
            <w:noWrap/>
            <w:tcMar>
              <w:top w:w="15" w:type="dxa"/>
              <w:left w:w="15" w:type="dxa"/>
              <w:right w:w="15" w:type="dxa"/>
            </w:tcMar>
            <w:vAlign w:val="center"/>
          </w:tcPr>
          <w:p w14:paraId="5453ED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b/>
                <w:bCs/>
                <w:i w:val="0"/>
                <w:iCs w:val="0"/>
                <w:color w:val="auto"/>
                <w:kern w:val="0"/>
                <w:sz w:val="24"/>
                <w:szCs w:val="24"/>
                <w:u w:val="none"/>
                <w:lang w:val="en-US" w:eastAsia="zh-CN" w:bidi="ar"/>
              </w:rPr>
              <w:t>间接服务工时</w:t>
            </w:r>
          </w:p>
        </w:tc>
        <w:tc>
          <w:tcPr>
            <w:tcW w:w="3662" w:type="dxa"/>
            <w:gridSpan w:val="5"/>
            <w:tcBorders>
              <w:tl2br w:val="nil"/>
              <w:tr2bl w:val="nil"/>
            </w:tcBorders>
            <w:noWrap/>
            <w:tcMar>
              <w:top w:w="15" w:type="dxa"/>
              <w:left w:w="15" w:type="dxa"/>
              <w:right w:w="15" w:type="dxa"/>
            </w:tcMar>
            <w:vAlign w:val="center"/>
          </w:tcPr>
          <w:p w14:paraId="7E2491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培训和继续教育时数</w:t>
            </w:r>
          </w:p>
        </w:tc>
        <w:tc>
          <w:tcPr>
            <w:tcW w:w="2429" w:type="dxa"/>
            <w:gridSpan w:val="4"/>
            <w:tcBorders>
              <w:tl2br w:val="nil"/>
              <w:tr2bl w:val="nil"/>
            </w:tcBorders>
            <w:noWrap/>
            <w:tcMar>
              <w:top w:w="15" w:type="dxa"/>
              <w:left w:w="15" w:type="dxa"/>
              <w:right w:w="15" w:type="dxa"/>
            </w:tcMar>
            <w:vAlign w:val="center"/>
          </w:tcPr>
          <w:p w14:paraId="04A7D4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80*2</w:t>
            </w:r>
          </w:p>
        </w:tc>
        <w:tc>
          <w:tcPr>
            <w:tcW w:w="1097" w:type="dxa"/>
            <w:tcBorders>
              <w:tl2br w:val="nil"/>
              <w:tr2bl w:val="nil"/>
            </w:tcBorders>
            <w:noWrap/>
            <w:tcMar>
              <w:top w:w="15" w:type="dxa"/>
              <w:left w:w="15" w:type="dxa"/>
              <w:right w:w="15" w:type="dxa"/>
            </w:tcMar>
            <w:vAlign w:val="center"/>
          </w:tcPr>
          <w:p w14:paraId="755F33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160</w:t>
            </w:r>
          </w:p>
        </w:tc>
        <w:tc>
          <w:tcPr>
            <w:tcW w:w="1780" w:type="dxa"/>
            <w:vMerge w:val="restart"/>
            <w:tcBorders>
              <w:tl2br w:val="nil"/>
              <w:tr2bl w:val="nil"/>
            </w:tcBorders>
            <w:noWrap/>
            <w:tcMar>
              <w:top w:w="15" w:type="dxa"/>
              <w:left w:w="15" w:type="dxa"/>
              <w:right w:w="15" w:type="dxa"/>
            </w:tcMar>
            <w:vAlign w:val="center"/>
          </w:tcPr>
          <w:p w14:paraId="555E06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1768</w:t>
            </w:r>
          </w:p>
        </w:tc>
      </w:tr>
      <w:tr w14:paraId="0ED0B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42" w:type="dxa"/>
            <w:gridSpan w:val="3"/>
            <w:vMerge w:val="continue"/>
            <w:tcBorders>
              <w:tl2br w:val="nil"/>
              <w:tr2bl w:val="nil"/>
            </w:tcBorders>
            <w:noWrap/>
            <w:tcMar>
              <w:top w:w="15" w:type="dxa"/>
              <w:left w:w="15" w:type="dxa"/>
              <w:right w:w="15" w:type="dxa"/>
            </w:tcMar>
            <w:vAlign w:val="center"/>
          </w:tcPr>
          <w:p w14:paraId="616122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662" w:type="dxa"/>
            <w:gridSpan w:val="5"/>
            <w:tcBorders>
              <w:tl2br w:val="nil"/>
              <w:tr2bl w:val="nil"/>
            </w:tcBorders>
            <w:noWrap/>
            <w:tcMar>
              <w:top w:w="15" w:type="dxa"/>
              <w:left w:w="15" w:type="dxa"/>
              <w:right w:w="15" w:type="dxa"/>
            </w:tcMar>
            <w:vAlign w:val="center"/>
          </w:tcPr>
          <w:p w14:paraId="606FBD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接受督导时数</w:t>
            </w:r>
          </w:p>
        </w:tc>
        <w:tc>
          <w:tcPr>
            <w:tcW w:w="2429" w:type="dxa"/>
            <w:gridSpan w:val="4"/>
            <w:tcBorders>
              <w:tl2br w:val="nil"/>
              <w:tr2bl w:val="nil"/>
            </w:tcBorders>
            <w:noWrap/>
            <w:tcMar>
              <w:top w:w="15" w:type="dxa"/>
              <w:left w:w="15" w:type="dxa"/>
              <w:right w:w="15" w:type="dxa"/>
            </w:tcMar>
            <w:vAlign w:val="center"/>
          </w:tcPr>
          <w:p w14:paraId="30E0D1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96*3</w:t>
            </w:r>
          </w:p>
        </w:tc>
        <w:tc>
          <w:tcPr>
            <w:tcW w:w="1097" w:type="dxa"/>
            <w:tcBorders>
              <w:tl2br w:val="nil"/>
              <w:tr2bl w:val="nil"/>
            </w:tcBorders>
            <w:noWrap/>
            <w:tcMar>
              <w:top w:w="15" w:type="dxa"/>
              <w:left w:w="15" w:type="dxa"/>
              <w:right w:w="15" w:type="dxa"/>
            </w:tcMar>
            <w:vAlign w:val="center"/>
          </w:tcPr>
          <w:p w14:paraId="23FED9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288</w:t>
            </w:r>
          </w:p>
        </w:tc>
        <w:tc>
          <w:tcPr>
            <w:tcW w:w="1780" w:type="dxa"/>
            <w:vMerge w:val="continue"/>
            <w:tcBorders>
              <w:tl2br w:val="nil"/>
              <w:tr2bl w:val="nil"/>
            </w:tcBorders>
            <w:noWrap/>
            <w:tcMar>
              <w:top w:w="15" w:type="dxa"/>
              <w:left w:w="15" w:type="dxa"/>
              <w:right w:w="15" w:type="dxa"/>
            </w:tcMar>
            <w:vAlign w:val="center"/>
          </w:tcPr>
          <w:p w14:paraId="6EC4F9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p>
        </w:tc>
      </w:tr>
      <w:tr w14:paraId="60AC0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42" w:type="dxa"/>
            <w:gridSpan w:val="3"/>
            <w:vMerge w:val="continue"/>
            <w:tcBorders>
              <w:tl2br w:val="nil"/>
              <w:tr2bl w:val="nil"/>
            </w:tcBorders>
            <w:noWrap/>
            <w:tcMar>
              <w:top w:w="15" w:type="dxa"/>
              <w:left w:w="15" w:type="dxa"/>
              <w:right w:w="15" w:type="dxa"/>
            </w:tcMar>
            <w:vAlign w:val="center"/>
          </w:tcPr>
          <w:p w14:paraId="7B3828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662" w:type="dxa"/>
            <w:gridSpan w:val="5"/>
            <w:tcBorders>
              <w:tl2br w:val="nil"/>
              <w:tr2bl w:val="nil"/>
            </w:tcBorders>
            <w:noWrap/>
            <w:tcMar>
              <w:top w:w="15" w:type="dxa"/>
              <w:left w:w="15" w:type="dxa"/>
              <w:right w:w="15" w:type="dxa"/>
            </w:tcMar>
            <w:vAlign w:val="center"/>
          </w:tcPr>
          <w:p w14:paraId="08EFA1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参加会议时数</w:t>
            </w:r>
          </w:p>
        </w:tc>
        <w:tc>
          <w:tcPr>
            <w:tcW w:w="2429" w:type="dxa"/>
            <w:gridSpan w:val="4"/>
            <w:tcBorders>
              <w:tl2br w:val="nil"/>
              <w:tr2bl w:val="nil"/>
            </w:tcBorders>
            <w:noWrap/>
            <w:tcMar>
              <w:top w:w="15" w:type="dxa"/>
              <w:left w:w="15" w:type="dxa"/>
              <w:right w:w="15" w:type="dxa"/>
            </w:tcMar>
            <w:vAlign w:val="center"/>
          </w:tcPr>
          <w:p w14:paraId="6FD34F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140*3</w:t>
            </w:r>
          </w:p>
        </w:tc>
        <w:tc>
          <w:tcPr>
            <w:tcW w:w="1097" w:type="dxa"/>
            <w:tcBorders>
              <w:tl2br w:val="nil"/>
              <w:tr2bl w:val="nil"/>
            </w:tcBorders>
            <w:noWrap/>
            <w:tcMar>
              <w:top w:w="15" w:type="dxa"/>
              <w:left w:w="15" w:type="dxa"/>
              <w:right w:w="15" w:type="dxa"/>
            </w:tcMar>
            <w:vAlign w:val="center"/>
          </w:tcPr>
          <w:p w14:paraId="7AAB4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420</w:t>
            </w:r>
          </w:p>
        </w:tc>
        <w:tc>
          <w:tcPr>
            <w:tcW w:w="1780" w:type="dxa"/>
            <w:vMerge w:val="continue"/>
            <w:tcBorders>
              <w:tl2br w:val="nil"/>
              <w:tr2bl w:val="nil"/>
            </w:tcBorders>
            <w:noWrap/>
            <w:tcMar>
              <w:top w:w="15" w:type="dxa"/>
              <w:left w:w="15" w:type="dxa"/>
              <w:right w:w="15" w:type="dxa"/>
            </w:tcMar>
            <w:vAlign w:val="center"/>
          </w:tcPr>
          <w:p w14:paraId="6583AF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p>
        </w:tc>
      </w:tr>
      <w:tr w14:paraId="4C9C9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42" w:type="dxa"/>
            <w:gridSpan w:val="3"/>
            <w:vMerge w:val="continue"/>
            <w:tcBorders>
              <w:tl2br w:val="nil"/>
              <w:tr2bl w:val="nil"/>
            </w:tcBorders>
            <w:noWrap/>
            <w:tcMar>
              <w:top w:w="15" w:type="dxa"/>
              <w:left w:w="15" w:type="dxa"/>
              <w:right w:w="15" w:type="dxa"/>
            </w:tcMar>
            <w:vAlign w:val="center"/>
          </w:tcPr>
          <w:p w14:paraId="18F13C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662" w:type="dxa"/>
            <w:gridSpan w:val="5"/>
            <w:tcBorders>
              <w:tl2br w:val="nil"/>
              <w:tr2bl w:val="nil"/>
            </w:tcBorders>
            <w:noWrap/>
            <w:tcMar>
              <w:top w:w="15" w:type="dxa"/>
              <w:left w:w="15" w:type="dxa"/>
              <w:right w:w="15" w:type="dxa"/>
            </w:tcMar>
            <w:vAlign w:val="center"/>
          </w:tcPr>
          <w:p w14:paraId="14C490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b w:val="0"/>
                <w:bCs/>
                <w:i w:val="0"/>
                <w:iCs w:val="0"/>
                <w:color w:val="auto"/>
                <w:kern w:val="0"/>
                <w:sz w:val="24"/>
                <w:szCs w:val="24"/>
                <w:u w:val="none"/>
                <w:lang w:val="en-US" w:eastAsia="zh-CN" w:bidi="ar"/>
              </w:rPr>
            </w:pPr>
            <w:r>
              <w:rPr>
                <w:rFonts w:hint="eastAsia" w:ascii="仿宋_GB2312" w:hAnsi="仿宋_GB2312" w:eastAsia="仿宋_GB2312" w:cs="仿宋_GB2312"/>
                <w:b w:val="0"/>
                <w:bCs/>
                <w:i w:val="0"/>
                <w:iCs w:val="0"/>
                <w:color w:val="auto"/>
                <w:kern w:val="0"/>
                <w:sz w:val="24"/>
                <w:szCs w:val="24"/>
                <w:u w:val="none"/>
                <w:lang w:val="en-US" w:eastAsia="zh-CN" w:bidi="ar"/>
              </w:rPr>
              <w:t>行政工作</w:t>
            </w:r>
          </w:p>
          <w:p w14:paraId="0B7CEA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b w:val="0"/>
                <w:bCs/>
                <w:i w:val="0"/>
                <w:iCs w:val="0"/>
                <w:color w:val="auto"/>
                <w:kern w:val="0"/>
                <w:sz w:val="24"/>
                <w:szCs w:val="24"/>
                <w:u w:val="none"/>
                <w:lang w:val="en-US" w:eastAsia="zh-CN" w:bidi="ar"/>
              </w:rPr>
              <w:t>(配合政府、街道、社区、社会组织等开展或协助工作）</w:t>
            </w:r>
          </w:p>
        </w:tc>
        <w:tc>
          <w:tcPr>
            <w:tcW w:w="2429" w:type="dxa"/>
            <w:gridSpan w:val="4"/>
            <w:tcBorders>
              <w:tl2br w:val="nil"/>
              <w:tr2bl w:val="nil"/>
            </w:tcBorders>
            <w:noWrap/>
            <w:tcMar>
              <w:top w:w="15" w:type="dxa"/>
              <w:left w:w="15" w:type="dxa"/>
              <w:right w:w="15" w:type="dxa"/>
            </w:tcMar>
            <w:vAlign w:val="center"/>
          </w:tcPr>
          <w:p w14:paraId="4F295F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300*3</w:t>
            </w:r>
          </w:p>
        </w:tc>
        <w:tc>
          <w:tcPr>
            <w:tcW w:w="1097" w:type="dxa"/>
            <w:tcBorders>
              <w:tl2br w:val="nil"/>
              <w:tr2bl w:val="nil"/>
            </w:tcBorders>
            <w:noWrap/>
            <w:tcMar>
              <w:top w:w="15" w:type="dxa"/>
              <w:left w:w="15" w:type="dxa"/>
              <w:right w:w="15" w:type="dxa"/>
            </w:tcMar>
            <w:vAlign w:val="center"/>
          </w:tcPr>
          <w:p w14:paraId="4C2C83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900</w:t>
            </w:r>
          </w:p>
        </w:tc>
        <w:tc>
          <w:tcPr>
            <w:tcW w:w="1780" w:type="dxa"/>
            <w:vMerge w:val="continue"/>
            <w:tcBorders>
              <w:tl2br w:val="nil"/>
              <w:tr2bl w:val="nil"/>
            </w:tcBorders>
            <w:noWrap/>
            <w:tcMar>
              <w:top w:w="15" w:type="dxa"/>
              <w:left w:w="15" w:type="dxa"/>
              <w:right w:w="15" w:type="dxa"/>
            </w:tcMar>
            <w:vAlign w:val="center"/>
          </w:tcPr>
          <w:p w14:paraId="70D0E9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sz w:val="24"/>
                <w:szCs w:val="24"/>
                <w:u w:val="none"/>
                <w:lang w:val="en-US" w:eastAsia="zh-CN"/>
              </w:rPr>
            </w:pPr>
          </w:p>
        </w:tc>
      </w:tr>
      <w:tr w14:paraId="2894D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jc w:val="center"/>
        </w:trPr>
        <w:tc>
          <w:tcPr>
            <w:tcW w:w="10530" w:type="dxa"/>
            <w:gridSpan w:val="13"/>
            <w:tcBorders>
              <w:tl2br w:val="nil"/>
              <w:tr2bl w:val="nil"/>
            </w:tcBorders>
            <w:noWrap/>
            <w:tcMar>
              <w:top w:w="15" w:type="dxa"/>
              <w:left w:w="15" w:type="dxa"/>
              <w:right w:w="15" w:type="dxa"/>
            </w:tcMar>
            <w:vAlign w:val="center"/>
          </w:tcPr>
          <w:p w14:paraId="40A00F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eastAsia" w:ascii="仿宋_GB2312" w:hAnsi="仿宋_GB2312" w:eastAsia="仿宋_GB2312" w:cs="仿宋_GB2312"/>
                <w:i w:val="0"/>
                <w:color w:val="auto"/>
                <w:kern w:val="2"/>
                <w:sz w:val="24"/>
                <w:szCs w:val="24"/>
                <w:u w:val="none"/>
                <w:lang w:val="en-US" w:eastAsia="zh-CN" w:bidi="ar-SA"/>
              </w:rPr>
            </w:pPr>
            <w:r>
              <w:rPr>
                <w:rFonts w:hint="eastAsia" w:ascii="仿宋_GB2312" w:hAnsi="仿宋_GB2312" w:eastAsia="仿宋_GB2312" w:cs="仿宋_GB2312"/>
                <w:b/>
                <w:bCs/>
                <w:i w:val="0"/>
                <w:color w:val="auto"/>
                <w:kern w:val="2"/>
                <w:sz w:val="24"/>
                <w:szCs w:val="24"/>
                <w:u w:val="none"/>
                <w:lang w:val="en-US" w:eastAsia="zh-CN" w:bidi="ar-SA"/>
              </w:rPr>
              <w:t>服务总工时合计（不少于）</w:t>
            </w:r>
          </w:p>
        </w:tc>
        <w:tc>
          <w:tcPr>
            <w:tcW w:w="1780" w:type="dxa"/>
            <w:tcBorders>
              <w:tl2br w:val="nil"/>
              <w:tr2bl w:val="nil"/>
            </w:tcBorders>
            <w:noWrap/>
            <w:tcMar>
              <w:top w:w="15" w:type="dxa"/>
              <w:left w:w="15" w:type="dxa"/>
              <w:right w:w="15" w:type="dxa"/>
            </w:tcMar>
            <w:vAlign w:val="center"/>
          </w:tcPr>
          <w:p w14:paraId="27983D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9" w:lineRule="exact"/>
              <w:jc w:val="center"/>
              <w:textAlignment w:val="center"/>
              <w:rPr>
                <w:rFonts w:hint="default" w:ascii="仿宋_GB2312" w:hAnsi="仿宋_GB2312" w:eastAsia="仿宋_GB2312" w:cs="仿宋_GB2312"/>
                <w:i w:val="0"/>
                <w:color w:val="auto"/>
                <w:sz w:val="24"/>
                <w:szCs w:val="24"/>
                <w:u w:val="none"/>
                <w:lang w:val="en-US" w:eastAsia="zh-CN"/>
              </w:rPr>
            </w:pPr>
            <w:r>
              <w:rPr>
                <w:rFonts w:hint="eastAsia" w:ascii="仿宋_GB2312" w:hAnsi="仿宋_GB2312" w:eastAsia="仿宋_GB2312" w:cs="仿宋_GB2312"/>
                <w:i w:val="0"/>
                <w:color w:val="auto"/>
                <w:sz w:val="24"/>
                <w:szCs w:val="24"/>
                <w:u w:val="none"/>
                <w:lang w:val="en-US" w:eastAsia="zh-CN"/>
              </w:rPr>
              <w:t>5064</w:t>
            </w:r>
          </w:p>
        </w:tc>
      </w:tr>
    </w:tbl>
    <w:p w14:paraId="66BC38B5">
      <w:pPr>
        <w:pStyle w:val="2"/>
        <w:rPr>
          <w:rFonts w:hint="eastAsia" w:ascii="仿宋_GB2312" w:hAnsi="仿宋_GB2312" w:eastAsia="仿宋_GB2312" w:cs="仿宋_GB2312"/>
          <w:color w:val="000000"/>
          <w:kern w:val="0"/>
          <w:sz w:val="28"/>
          <w:szCs w:val="28"/>
          <w:highlight w:val="none"/>
          <w:lang w:val="en-US" w:eastAsia="zh-CN" w:bidi="ar"/>
        </w:rPr>
      </w:pPr>
    </w:p>
    <w:p w14:paraId="057733D9">
      <w:pPr>
        <w:pStyle w:val="2"/>
        <w:rPr>
          <w:rFonts w:hint="eastAsia" w:ascii="仿宋_GB2312" w:hAnsi="仿宋_GB2312" w:eastAsia="仿宋_GB2312" w:cs="仿宋_GB2312"/>
          <w:color w:val="000000"/>
          <w:kern w:val="0"/>
          <w:sz w:val="28"/>
          <w:szCs w:val="28"/>
          <w:highlight w:val="none"/>
          <w:lang w:val="en-US" w:eastAsia="zh-CN" w:bidi="ar"/>
        </w:rPr>
      </w:pPr>
    </w:p>
    <w:p w14:paraId="75C4376F">
      <w:pPr>
        <w:pStyle w:val="2"/>
        <w:rPr>
          <w:rFonts w:hint="eastAsia" w:ascii="仿宋_GB2312" w:hAnsi="仿宋_GB2312" w:eastAsia="仿宋_GB2312" w:cs="仿宋_GB2312"/>
          <w:color w:val="000000"/>
          <w:kern w:val="0"/>
          <w:sz w:val="28"/>
          <w:szCs w:val="28"/>
          <w:highlight w:val="none"/>
          <w:lang w:val="en-US" w:eastAsia="zh-CN" w:bidi="ar"/>
        </w:rPr>
      </w:pPr>
    </w:p>
    <w:p w14:paraId="58149BA4">
      <w:pPr>
        <w:pStyle w:val="2"/>
        <w:rPr>
          <w:rFonts w:hint="eastAsia" w:ascii="仿宋_GB2312" w:hAnsi="仿宋_GB2312" w:eastAsia="仿宋_GB2312" w:cs="仿宋_GB2312"/>
          <w:color w:val="000000"/>
          <w:kern w:val="0"/>
          <w:sz w:val="28"/>
          <w:szCs w:val="28"/>
          <w:highlight w:val="none"/>
          <w:lang w:val="en-US" w:eastAsia="zh-CN" w:bidi="ar"/>
        </w:rPr>
        <w:sectPr>
          <w:pgSz w:w="16838" w:h="11906" w:orient="landscape"/>
          <w:pgMar w:top="1689" w:right="1383" w:bottom="1689" w:left="1440" w:header="851" w:footer="992" w:gutter="0"/>
          <w:pgNumType w:fmt="decimal"/>
          <w:cols w:space="425" w:num="1"/>
          <w:docGrid w:type="lines" w:linePitch="312" w:charSpace="0"/>
        </w:sectPr>
      </w:pPr>
    </w:p>
    <w:p w14:paraId="7F3076A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0" w:firstLineChars="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p>
    <w:p w14:paraId="30BB5DA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第六条 服务期限 </w:t>
      </w:r>
    </w:p>
    <w:p w14:paraId="05436FFA">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default"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1.服务期：本项目为长期服务政府采购项目，服务期自2026年5月15日起至2029年5月14日止，项目服务期限最长不超过三十六个月，合同一年一签。本次为新签订的合同（第1年），有效期为1年，自2026年5月15日起至2027年5月14日止，甲方根据乙方履约情况及其他考核情况确定是否续签第二年合同。</w:t>
      </w:r>
    </w:p>
    <w:p w14:paraId="40EBF7E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（1）本合同期满，乙方依约向甲方提交项目总结报告等文件及报表，且甲方经履约评价乙方认真履行本合同各条款、提供了合同约定的全部服务内容、积极配合甲方开展项目相关工作并经甲方验收合格。</w:t>
      </w:r>
    </w:p>
    <w:p w14:paraId="413C3F5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（2）本项目合同期满后，甲方有权根据工作实际情况，对双方续签</w:t>
      </w:r>
      <w:r>
        <w:rPr>
          <w:rFonts w:hint="eastAsia" w:ascii="仿宋_GB2312" w:hAnsi="仿宋_GB2312" w:eastAsia="仿宋_GB2312" w:cs="仿宋_GB2312"/>
          <w:color w:val="000000"/>
          <w:kern w:val="0"/>
          <w:sz w:val="28"/>
          <w:szCs w:val="28"/>
          <w:highlight w:val="none"/>
          <w:lang w:bidi="ar"/>
        </w:rPr>
        <w:t>合同</w:t>
      </w:r>
      <w:r>
        <w:rPr>
          <w:rFonts w:hint="eastAsia" w:ascii="仿宋_GB2312" w:hAnsi="仿宋_GB2312" w:eastAsia="仿宋_GB2312" w:cs="仿宋_GB2312"/>
          <w:color w:val="000000"/>
          <w:kern w:val="0"/>
          <w:sz w:val="28"/>
          <w:szCs w:val="28"/>
          <w:highlight w:val="none"/>
          <w:lang w:val="en-US" w:eastAsia="zh-CN" w:bidi="ar"/>
        </w:rPr>
        <w:t>的服务内容进行修改、完善，乙方对此无异议。</w:t>
      </w:r>
    </w:p>
    <w:p w14:paraId="1D7A29F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（3）乙方未违反政府招标采购的相关法律、法规、规章和规范性文件规定以及本合同的相关约定。</w:t>
      </w:r>
    </w:p>
    <w:p w14:paraId="6A5B9D1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2.若乙方不符合上述约定前提条件，或乙方不愿意续签合同的，或甲方决定不续签合同的，则甲方可采取重新招标等方式选择新的委托合作单位。甲方决定不续签合同的，不视为甲方违约。</w:t>
      </w:r>
    </w:p>
    <w:p w14:paraId="32DD65A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第七条 项目人员配备</w:t>
      </w:r>
    </w:p>
    <w:p w14:paraId="041867F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每个社区服务项目的人员配置数量为3人（其中至少1名本科及以上学历），含2名持证社工（至少1名为中级社会工作师）和1名行政辅助人员。每个社区服务项目中原则上至少有1名中国共产党党员。一个片区即三个社区一共配置11人（其中含增配2人），人员学历均需大专及以上。</w:t>
      </w:r>
    </w:p>
    <w:p w14:paraId="3CE90C3A">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第八条 项目经费支付方式及使用原则 </w:t>
      </w:r>
    </w:p>
    <w:p w14:paraId="682E1AC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1.项目经费总额为人民币大写XX元整 （¥），</w:t>
      </w:r>
      <w:r>
        <w:rPr>
          <w:rFonts w:hint="eastAsia" w:ascii="仿宋_GB2312" w:hAnsi="仿宋_GB2312" w:eastAsia="仿宋_GB2312" w:cs="仿宋_GB2312"/>
          <w:color w:val="000000"/>
          <w:kern w:val="0"/>
          <w:sz w:val="28"/>
          <w:szCs w:val="28"/>
          <w:highlight w:val="none"/>
          <w:lang w:bidi="ar"/>
        </w:rPr>
        <w:t>上述价格</w:t>
      </w:r>
      <w:r>
        <w:rPr>
          <w:rFonts w:hint="eastAsia" w:ascii="仿宋_GB2312" w:hAnsi="仿宋_GB2312" w:eastAsia="仿宋_GB2312" w:cs="仿宋_GB2312"/>
          <w:color w:val="000000"/>
          <w:kern w:val="0"/>
          <w:sz w:val="28"/>
          <w:szCs w:val="28"/>
          <w:highlight w:val="none"/>
          <w:lang w:eastAsia="zh-CN" w:bidi="ar"/>
        </w:rPr>
        <w:t>为包干价</w:t>
      </w:r>
      <w:r>
        <w:rPr>
          <w:rFonts w:hint="eastAsia" w:ascii="仿宋_GB2312" w:hAnsi="仿宋_GB2312" w:eastAsia="仿宋_GB2312" w:cs="仿宋_GB2312"/>
          <w:color w:val="000000"/>
          <w:kern w:val="0"/>
          <w:sz w:val="28"/>
          <w:szCs w:val="28"/>
          <w:highlight w:val="none"/>
          <w:lang w:bidi="ar"/>
        </w:rPr>
        <w:t>，</w:t>
      </w:r>
      <w:r>
        <w:rPr>
          <w:rFonts w:hint="eastAsia" w:ascii="仿宋_GB2312" w:hAnsi="仿宋_GB2312" w:eastAsia="仿宋_GB2312" w:cs="仿宋_GB2312"/>
          <w:color w:val="000000"/>
          <w:kern w:val="0"/>
          <w:sz w:val="28"/>
          <w:szCs w:val="28"/>
          <w:highlight w:val="none"/>
          <w:lang w:eastAsia="zh-Hans" w:bidi="ar"/>
        </w:rPr>
        <w:t>包括但不限于</w:t>
      </w:r>
      <w:r>
        <w:rPr>
          <w:rFonts w:hint="eastAsia" w:ascii="仿宋_GB2312" w:hAnsi="仿宋_GB2312" w:eastAsia="仿宋_GB2312" w:cs="仿宋_GB2312"/>
          <w:color w:val="000000"/>
          <w:kern w:val="0"/>
          <w:sz w:val="28"/>
          <w:szCs w:val="28"/>
          <w:highlight w:val="none"/>
          <w:lang w:val="en-US" w:eastAsia="zh-CN" w:bidi="ar"/>
        </w:rPr>
        <w:t xml:space="preserve">人力成本、督导经费、业务活动费、管理费、服务险和税费、人员培训等内容，甲方不再另行支付费用。  </w:t>
      </w:r>
    </w:p>
    <w:p w14:paraId="7914665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2.甲方应根据项目进展情况，分期支付。 </w:t>
      </w:r>
    </w:p>
    <w:p w14:paraId="0F6BC7C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（1）本项目合同签订后收到乙方提交的正</w:t>
      </w:r>
      <w:r>
        <w:rPr>
          <w:rFonts w:hint="eastAsia" w:ascii="仿宋_GB2312" w:hAnsi="仿宋_GB2312" w:eastAsia="仿宋_GB2312" w:cs="仿宋_GB2312"/>
          <w:color w:val="auto"/>
          <w:kern w:val="0"/>
          <w:sz w:val="28"/>
          <w:szCs w:val="28"/>
          <w:highlight w:val="none"/>
          <w:lang w:val="en-US" w:eastAsia="zh-CN" w:bidi="ar"/>
        </w:rPr>
        <w:t>规发票后</w:t>
      </w:r>
      <w:r>
        <w:rPr>
          <w:rFonts w:hint="eastAsia" w:ascii="仿宋_GB2312" w:hAnsi="仿宋_GB2312" w:eastAsia="仿宋_GB2312" w:cs="仿宋_GB2312"/>
          <w:color w:val="auto"/>
          <w:kern w:val="0"/>
          <w:sz w:val="28"/>
          <w:szCs w:val="28"/>
          <w:highlight w:val="none"/>
          <w:u w:val="single"/>
          <w:lang w:val="en-US" w:eastAsia="zh-CN" w:bidi="ar"/>
        </w:rPr>
        <w:t>20</w:t>
      </w:r>
      <w:r>
        <w:rPr>
          <w:rFonts w:hint="eastAsia" w:ascii="仿宋_GB2312" w:hAnsi="仿宋_GB2312" w:eastAsia="仿宋_GB2312" w:cs="仿宋_GB2312"/>
          <w:color w:val="auto"/>
          <w:kern w:val="0"/>
          <w:sz w:val="28"/>
          <w:szCs w:val="28"/>
          <w:highlight w:val="none"/>
          <w:lang w:val="en-US" w:eastAsia="zh-CN" w:bidi="ar"/>
        </w:rPr>
        <w:t>个工作</w:t>
      </w:r>
      <w:r>
        <w:rPr>
          <w:rFonts w:hint="eastAsia" w:ascii="仿宋_GB2312" w:hAnsi="仿宋_GB2312" w:eastAsia="仿宋_GB2312" w:cs="仿宋_GB2312"/>
          <w:color w:val="000000"/>
          <w:kern w:val="0"/>
          <w:sz w:val="28"/>
          <w:szCs w:val="28"/>
          <w:highlight w:val="none"/>
          <w:lang w:val="en-US" w:eastAsia="zh-CN" w:bidi="ar"/>
        </w:rPr>
        <w:t>日内，拨付项目经费总额的</w:t>
      </w:r>
      <w:r>
        <w:rPr>
          <w:rFonts w:hint="eastAsia" w:ascii="仿宋_GB2312" w:hAnsi="仿宋_GB2312" w:eastAsia="仿宋_GB2312" w:cs="仿宋_GB2312"/>
          <w:color w:val="000000"/>
          <w:kern w:val="0"/>
          <w:sz w:val="28"/>
          <w:szCs w:val="28"/>
          <w:highlight w:val="none"/>
          <w:u w:val="single"/>
          <w:lang w:val="en-US" w:eastAsia="zh-CN" w:bidi="ar"/>
        </w:rPr>
        <w:t xml:space="preserve"> 50 </w:t>
      </w:r>
      <w:r>
        <w:rPr>
          <w:rFonts w:hint="eastAsia" w:ascii="仿宋_GB2312" w:hAnsi="仿宋_GB2312" w:eastAsia="仿宋_GB2312" w:cs="仿宋_GB2312"/>
          <w:color w:val="000000"/>
          <w:kern w:val="0"/>
          <w:sz w:val="28"/>
          <w:szCs w:val="28"/>
          <w:highlight w:val="none"/>
          <w:lang w:val="en-US" w:eastAsia="zh-CN" w:bidi="ar"/>
        </w:rPr>
        <w:t>%，计大写人民币XX（¥</w:t>
      </w:r>
      <w:r>
        <w:rPr>
          <w:rFonts w:hint="eastAsia" w:ascii="仿宋_GB2312" w:hAnsi="仿宋_GB2312" w:eastAsia="仿宋_GB2312" w:cs="仿宋_GB2312"/>
          <w:color w:val="000000"/>
          <w:kern w:val="0"/>
          <w:sz w:val="28"/>
          <w:szCs w:val="28"/>
          <w:highlight w:val="none"/>
          <w:u w:val="single"/>
          <w:lang w:val="en-US" w:eastAsia="zh-CN" w:bidi="ar"/>
        </w:rPr>
        <w:t xml:space="preserve"> XX </w:t>
      </w:r>
      <w:r>
        <w:rPr>
          <w:rFonts w:hint="eastAsia" w:ascii="仿宋_GB2312" w:hAnsi="仿宋_GB2312" w:eastAsia="仿宋_GB2312" w:cs="仿宋_GB2312"/>
          <w:color w:val="000000"/>
          <w:kern w:val="0"/>
          <w:sz w:val="28"/>
          <w:szCs w:val="28"/>
          <w:highlight w:val="none"/>
          <w:lang w:val="en-US" w:eastAsia="zh-CN" w:bidi="ar"/>
        </w:rPr>
        <w:t xml:space="preserve">）； </w:t>
      </w:r>
    </w:p>
    <w:p w14:paraId="157C038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（2）运营满6个月且</w:t>
      </w:r>
      <w:r>
        <w:rPr>
          <w:rFonts w:hint="eastAsia" w:ascii="仿宋_GB2312" w:hAnsi="仿宋_GB2312" w:eastAsia="仿宋_GB2312" w:cs="仿宋_GB2312"/>
          <w:color w:val="000000"/>
          <w:kern w:val="0"/>
          <w:sz w:val="28"/>
          <w:szCs w:val="28"/>
          <w:highlight w:val="none"/>
          <w:lang w:bidi="ar"/>
        </w:rPr>
        <w:t>收到乙方提交的正</w:t>
      </w:r>
      <w:r>
        <w:rPr>
          <w:rFonts w:hint="eastAsia" w:ascii="仿宋_GB2312" w:hAnsi="仿宋_GB2312" w:eastAsia="仿宋_GB2312" w:cs="仿宋_GB2312"/>
          <w:kern w:val="0"/>
          <w:sz w:val="28"/>
          <w:szCs w:val="28"/>
          <w:highlight w:val="none"/>
          <w:lang w:bidi="ar"/>
        </w:rPr>
        <w:t>规发票后</w:t>
      </w:r>
      <w:r>
        <w:rPr>
          <w:rFonts w:hint="eastAsia" w:ascii="仿宋_GB2312" w:hAnsi="仿宋_GB2312" w:eastAsia="仿宋_GB2312" w:cs="仿宋_GB2312"/>
          <w:color w:val="000000"/>
          <w:kern w:val="0"/>
          <w:sz w:val="28"/>
          <w:szCs w:val="28"/>
          <w:highlight w:val="none"/>
          <w:u w:val="single"/>
          <w:lang w:val="en-US" w:eastAsia="zh-CN" w:bidi="ar"/>
        </w:rPr>
        <w:t xml:space="preserve"> 20 </w:t>
      </w:r>
      <w:r>
        <w:rPr>
          <w:rFonts w:hint="eastAsia" w:ascii="仿宋_GB2312" w:hAnsi="仿宋_GB2312" w:eastAsia="仿宋_GB2312" w:cs="仿宋_GB2312"/>
          <w:color w:val="000000"/>
          <w:kern w:val="0"/>
          <w:sz w:val="28"/>
          <w:szCs w:val="28"/>
          <w:highlight w:val="none"/>
          <w:lang w:val="en-US" w:eastAsia="zh-CN" w:bidi="ar"/>
        </w:rPr>
        <w:t>个工作日内，拨付项目经费总额的</w:t>
      </w:r>
      <w:r>
        <w:rPr>
          <w:rFonts w:hint="eastAsia" w:ascii="仿宋_GB2312" w:hAnsi="仿宋_GB2312" w:eastAsia="仿宋_GB2312" w:cs="仿宋_GB2312"/>
          <w:color w:val="000000"/>
          <w:kern w:val="0"/>
          <w:sz w:val="28"/>
          <w:szCs w:val="28"/>
          <w:highlight w:val="none"/>
          <w:u w:val="single"/>
          <w:lang w:val="en-US" w:eastAsia="zh-CN" w:bidi="ar"/>
        </w:rPr>
        <w:t xml:space="preserve"> XX </w:t>
      </w:r>
      <w:r>
        <w:rPr>
          <w:rFonts w:hint="eastAsia" w:ascii="仿宋_GB2312" w:hAnsi="仿宋_GB2312" w:eastAsia="仿宋_GB2312" w:cs="仿宋_GB2312"/>
          <w:color w:val="000000"/>
          <w:kern w:val="0"/>
          <w:sz w:val="28"/>
          <w:szCs w:val="28"/>
          <w:highlight w:val="none"/>
          <w:lang w:val="en-US" w:eastAsia="zh-CN" w:bidi="ar"/>
        </w:rPr>
        <w:t>%，计大写人民币</w:t>
      </w:r>
      <w:r>
        <w:rPr>
          <w:rFonts w:hint="eastAsia" w:ascii="仿宋_GB2312" w:hAnsi="仿宋_GB2312" w:eastAsia="仿宋_GB2312" w:cs="仿宋_GB2312"/>
          <w:color w:val="000000"/>
          <w:kern w:val="0"/>
          <w:sz w:val="28"/>
          <w:szCs w:val="28"/>
          <w:highlight w:val="none"/>
          <w:u w:val="single"/>
          <w:lang w:val="en-US" w:eastAsia="zh-CN" w:bidi="ar"/>
        </w:rPr>
        <w:t>XX</w:t>
      </w:r>
      <w:r>
        <w:rPr>
          <w:rFonts w:hint="eastAsia" w:ascii="仿宋_GB2312" w:hAnsi="仿宋_GB2312" w:eastAsia="仿宋_GB2312" w:cs="仿宋_GB2312"/>
          <w:color w:val="000000"/>
          <w:kern w:val="0"/>
          <w:sz w:val="28"/>
          <w:szCs w:val="28"/>
          <w:highlight w:val="none"/>
          <w:lang w:val="en-US" w:eastAsia="zh-CN" w:bidi="ar"/>
        </w:rPr>
        <w:t>（¥</w:t>
      </w:r>
      <w:r>
        <w:rPr>
          <w:rFonts w:hint="eastAsia" w:ascii="仿宋_GB2312" w:hAnsi="仿宋_GB2312" w:eastAsia="仿宋_GB2312" w:cs="仿宋_GB2312"/>
          <w:color w:val="000000"/>
          <w:kern w:val="0"/>
          <w:sz w:val="28"/>
          <w:szCs w:val="28"/>
          <w:highlight w:val="none"/>
          <w:u w:val="single"/>
          <w:lang w:val="en-US" w:eastAsia="zh-CN" w:bidi="ar"/>
        </w:rPr>
        <w:t xml:space="preserve"> XX</w:t>
      </w:r>
      <w:r>
        <w:rPr>
          <w:rFonts w:hint="eastAsia" w:ascii="仿宋_GB2312" w:hAnsi="仿宋_GB2312" w:eastAsia="仿宋_GB2312" w:cs="仿宋_GB2312"/>
          <w:color w:val="000000"/>
          <w:kern w:val="0"/>
          <w:sz w:val="28"/>
          <w:szCs w:val="28"/>
          <w:highlight w:val="none"/>
          <w:lang w:val="en-US" w:eastAsia="zh-CN" w:bidi="ar"/>
        </w:rPr>
        <w:t xml:space="preserve">）； </w:t>
      </w:r>
    </w:p>
    <w:p w14:paraId="3803C273">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w:t>
      </w:r>
      <w:r>
        <w:rPr>
          <w:rFonts w:hint="eastAsia" w:ascii="仿宋_GB2312" w:hAnsi="仿宋_GB2312" w:eastAsia="仿宋_GB2312" w:cs="仿宋_GB2312"/>
          <w:color w:val="auto"/>
          <w:kern w:val="0"/>
          <w:sz w:val="28"/>
          <w:szCs w:val="28"/>
          <w:highlight w:val="none"/>
          <w:lang w:val="en-US" w:eastAsia="zh-CN" w:bidi="ar"/>
        </w:rPr>
        <w:t>3）合同期满履约评价及验收合格</w:t>
      </w:r>
      <w:r>
        <w:rPr>
          <w:rFonts w:hint="eastAsia" w:ascii="仿宋_GB2312" w:hAnsi="仿宋_GB2312" w:eastAsia="仿宋_GB2312" w:cs="仿宋_GB2312"/>
          <w:kern w:val="0"/>
          <w:sz w:val="28"/>
          <w:szCs w:val="28"/>
          <w:highlight w:val="none"/>
          <w:lang w:val="en-US" w:eastAsia="zh-CN" w:bidi="ar"/>
        </w:rPr>
        <w:t>且</w:t>
      </w:r>
      <w:r>
        <w:rPr>
          <w:rFonts w:hint="eastAsia" w:ascii="仿宋_GB2312" w:hAnsi="仿宋_GB2312" w:eastAsia="仿宋_GB2312" w:cs="仿宋_GB2312"/>
          <w:color w:val="000000"/>
          <w:kern w:val="0"/>
          <w:sz w:val="28"/>
          <w:szCs w:val="28"/>
          <w:highlight w:val="none"/>
          <w:lang w:bidi="ar"/>
        </w:rPr>
        <w:t>收到乙方提交的正</w:t>
      </w:r>
      <w:r>
        <w:rPr>
          <w:rFonts w:hint="eastAsia" w:ascii="仿宋_GB2312" w:hAnsi="仿宋_GB2312" w:eastAsia="仿宋_GB2312" w:cs="仿宋_GB2312"/>
          <w:kern w:val="0"/>
          <w:sz w:val="28"/>
          <w:szCs w:val="28"/>
          <w:highlight w:val="none"/>
          <w:lang w:bidi="ar"/>
        </w:rPr>
        <w:t>规发票后</w:t>
      </w:r>
      <w:r>
        <w:rPr>
          <w:rFonts w:hint="eastAsia" w:ascii="仿宋_GB2312" w:hAnsi="仿宋_GB2312" w:eastAsia="仿宋_GB2312" w:cs="仿宋_GB2312"/>
          <w:color w:val="auto"/>
          <w:kern w:val="0"/>
          <w:sz w:val="28"/>
          <w:szCs w:val="28"/>
          <w:highlight w:val="none"/>
          <w:u w:val="single"/>
          <w:lang w:val="en-US" w:eastAsia="zh-CN" w:bidi="ar"/>
        </w:rPr>
        <w:t xml:space="preserve"> 20 </w:t>
      </w:r>
      <w:r>
        <w:rPr>
          <w:rFonts w:hint="eastAsia" w:ascii="仿宋_GB2312" w:hAnsi="仿宋_GB2312" w:eastAsia="仿宋_GB2312" w:cs="仿宋_GB2312"/>
          <w:color w:val="auto"/>
          <w:kern w:val="0"/>
          <w:sz w:val="28"/>
          <w:szCs w:val="28"/>
          <w:highlight w:val="none"/>
          <w:lang w:val="en-US" w:eastAsia="zh-CN" w:bidi="ar"/>
        </w:rPr>
        <w:t>个工作日内，拨付项目经费总额的</w:t>
      </w:r>
      <w:r>
        <w:rPr>
          <w:rFonts w:hint="eastAsia" w:ascii="仿宋_GB2312" w:hAnsi="仿宋_GB2312" w:eastAsia="仿宋_GB2312" w:cs="仿宋_GB2312"/>
          <w:color w:val="auto"/>
          <w:kern w:val="0"/>
          <w:sz w:val="28"/>
          <w:szCs w:val="28"/>
          <w:highlight w:val="none"/>
          <w:u w:val="single"/>
          <w:lang w:val="en-US" w:eastAsia="zh-CN" w:bidi="ar"/>
        </w:rPr>
        <w:t xml:space="preserve"> XX </w:t>
      </w:r>
      <w:r>
        <w:rPr>
          <w:rFonts w:hint="eastAsia" w:ascii="仿宋_GB2312" w:hAnsi="仿宋_GB2312" w:eastAsia="仿宋_GB2312" w:cs="仿宋_GB2312"/>
          <w:color w:val="auto"/>
          <w:kern w:val="0"/>
          <w:sz w:val="28"/>
          <w:szCs w:val="28"/>
          <w:highlight w:val="none"/>
          <w:lang w:val="en-US" w:eastAsia="zh-CN" w:bidi="ar"/>
        </w:rPr>
        <w:t>%，计大写人民币</w:t>
      </w:r>
      <w:r>
        <w:rPr>
          <w:rFonts w:hint="eastAsia" w:ascii="仿宋_GB2312" w:hAnsi="仿宋_GB2312" w:eastAsia="仿宋_GB2312" w:cs="仿宋_GB2312"/>
          <w:kern w:val="0"/>
          <w:sz w:val="28"/>
          <w:szCs w:val="28"/>
          <w:highlight w:val="none"/>
          <w:u w:val="single"/>
          <w:lang w:val="en-US" w:eastAsia="zh-CN" w:bidi="ar"/>
        </w:rPr>
        <w:t>XX</w:t>
      </w:r>
      <w:r>
        <w:rPr>
          <w:rFonts w:hint="eastAsia" w:ascii="仿宋_GB2312" w:hAnsi="仿宋_GB2312" w:eastAsia="仿宋_GB2312" w:cs="仿宋_GB2312"/>
          <w:color w:val="auto"/>
          <w:kern w:val="0"/>
          <w:sz w:val="28"/>
          <w:szCs w:val="28"/>
          <w:highlight w:val="none"/>
          <w:lang w:val="en-US" w:eastAsia="zh-CN" w:bidi="ar"/>
        </w:rPr>
        <w:t>（¥</w:t>
      </w:r>
      <w:r>
        <w:rPr>
          <w:rFonts w:hint="eastAsia" w:ascii="仿宋_GB2312" w:hAnsi="仿宋_GB2312" w:eastAsia="仿宋_GB2312" w:cs="仿宋_GB2312"/>
          <w:color w:val="auto"/>
          <w:kern w:val="0"/>
          <w:sz w:val="28"/>
          <w:szCs w:val="28"/>
          <w:highlight w:val="none"/>
          <w:u w:val="single"/>
          <w:lang w:eastAsia="zh-CN" w:bidi="ar"/>
        </w:rPr>
        <w:t xml:space="preserve"> </w:t>
      </w:r>
      <w:r>
        <w:rPr>
          <w:rFonts w:hint="eastAsia" w:ascii="仿宋_GB2312" w:hAnsi="仿宋_GB2312" w:eastAsia="仿宋_GB2312" w:cs="仿宋_GB2312"/>
          <w:color w:val="auto"/>
          <w:kern w:val="0"/>
          <w:sz w:val="28"/>
          <w:szCs w:val="28"/>
          <w:highlight w:val="none"/>
          <w:u w:val="single"/>
          <w:lang w:val="en-US" w:eastAsia="zh-CN" w:bidi="ar"/>
        </w:rPr>
        <w:t xml:space="preserve">XX </w:t>
      </w:r>
      <w:r>
        <w:rPr>
          <w:rFonts w:hint="eastAsia" w:ascii="仿宋_GB2312" w:hAnsi="仿宋_GB2312" w:eastAsia="仿宋_GB2312" w:cs="仿宋_GB2312"/>
          <w:color w:val="auto"/>
          <w:kern w:val="0"/>
          <w:sz w:val="28"/>
          <w:szCs w:val="28"/>
          <w:highlight w:val="none"/>
          <w:lang w:val="en-US" w:eastAsia="zh-CN" w:bidi="ar"/>
        </w:rPr>
        <w:t xml:space="preserve">）； </w:t>
      </w:r>
    </w:p>
    <w:p w14:paraId="4530B0C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auto"/>
          <w:kern w:val="0"/>
          <w:sz w:val="28"/>
          <w:szCs w:val="28"/>
          <w:highlight w:val="none"/>
          <w:lang w:val="en-US" w:eastAsia="zh-CN" w:bidi="ar"/>
        </w:rPr>
        <w:t>甲方有权不定期对乙方提供的社工服务进行在岗情况</w:t>
      </w:r>
      <w:r>
        <w:rPr>
          <w:rFonts w:hint="eastAsia" w:ascii="仿宋_GB2312" w:hAnsi="仿宋_GB2312" w:eastAsia="仿宋_GB2312" w:cs="仿宋_GB2312"/>
          <w:kern w:val="0"/>
          <w:sz w:val="28"/>
          <w:szCs w:val="28"/>
          <w:highlight w:val="none"/>
          <w:lang w:bidi="ar"/>
        </w:rPr>
        <w:t>检查</w:t>
      </w:r>
      <w:r>
        <w:rPr>
          <w:rFonts w:hint="eastAsia" w:ascii="仿宋_GB2312" w:hAnsi="仿宋_GB2312" w:eastAsia="仿宋_GB2312" w:cs="仿宋_GB2312"/>
          <w:color w:val="auto"/>
          <w:kern w:val="0"/>
          <w:sz w:val="28"/>
          <w:szCs w:val="28"/>
          <w:highlight w:val="none"/>
          <w:lang w:val="en-US" w:eastAsia="zh-CN" w:bidi="ar"/>
        </w:rPr>
        <w:t>及评估，对于存在空岗的，甲方应在合同经费尾款核算时按实际情况扣除相应经费</w:t>
      </w:r>
      <w:r>
        <w:rPr>
          <w:rFonts w:hint="eastAsia"/>
          <w:highlight w:val="none"/>
        </w:rPr>
        <w:t>。</w:t>
      </w:r>
      <w:r>
        <w:rPr>
          <w:rFonts w:hint="eastAsia" w:ascii="仿宋_GB2312" w:hAnsi="仿宋_GB2312" w:eastAsia="仿宋_GB2312" w:cs="仿宋_GB2312"/>
          <w:kern w:val="0"/>
          <w:sz w:val="28"/>
          <w:szCs w:val="28"/>
          <w:highlight w:val="none"/>
          <w:lang w:bidi="ar"/>
        </w:rPr>
        <w:t>尾款不足以扣除的</w:t>
      </w:r>
      <w:r>
        <w:rPr>
          <w:rFonts w:hint="eastAsia" w:ascii="仿宋_GB2312" w:hAnsi="仿宋_GB2312" w:eastAsia="仿宋_GB2312" w:cs="仿宋_GB2312"/>
          <w:color w:val="auto"/>
          <w:kern w:val="0"/>
          <w:sz w:val="28"/>
          <w:szCs w:val="28"/>
          <w:highlight w:val="none"/>
          <w:lang w:val="en-US" w:eastAsia="zh-CN" w:bidi="ar"/>
        </w:rPr>
        <w:t>，甲方在项目完成后</w:t>
      </w:r>
      <w:r>
        <w:rPr>
          <w:rFonts w:hint="eastAsia" w:ascii="仿宋_GB2312" w:hAnsi="仿宋_GB2312" w:eastAsia="仿宋_GB2312" w:cs="仿宋_GB2312"/>
          <w:color w:val="auto"/>
          <w:sz w:val="28"/>
          <w:szCs w:val="28"/>
          <w:highlight w:val="none"/>
          <w:u w:val="single"/>
          <w:lang w:val="en-US" w:eastAsia="zh-CN"/>
        </w:rPr>
        <w:t xml:space="preserve"> 15 </w:t>
      </w:r>
      <w:r>
        <w:rPr>
          <w:rFonts w:hint="eastAsia" w:ascii="仿宋_GB2312" w:hAnsi="仿宋_GB2312" w:eastAsia="仿宋_GB2312" w:cs="仿宋_GB2312"/>
          <w:color w:val="auto"/>
          <w:kern w:val="0"/>
          <w:sz w:val="28"/>
          <w:szCs w:val="28"/>
          <w:highlight w:val="none"/>
          <w:lang w:val="en-US" w:eastAsia="zh-CN" w:bidi="ar"/>
        </w:rPr>
        <w:t>个工作日内核算退款金额，乙方</w:t>
      </w:r>
      <w:r>
        <w:rPr>
          <w:rFonts w:hint="eastAsia" w:ascii="仿宋_GB2312" w:hAnsi="仿宋_GB2312" w:eastAsia="仿宋_GB2312" w:cs="仿宋_GB2312"/>
          <w:color w:val="auto"/>
          <w:kern w:val="0"/>
          <w:sz w:val="28"/>
          <w:szCs w:val="28"/>
          <w:highlight w:val="none"/>
          <w:lang w:val="en-US" w:eastAsia="zh-Hans" w:bidi="ar"/>
        </w:rPr>
        <w:t>收到退款通知后</w:t>
      </w:r>
      <w:r>
        <w:rPr>
          <w:rFonts w:hint="eastAsia" w:ascii="仿宋_GB2312" w:hAnsi="仿宋_GB2312" w:eastAsia="仿宋_GB2312" w:cs="仿宋_GB2312"/>
          <w:color w:val="auto"/>
          <w:sz w:val="28"/>
          <w:szCs w:val="28"/>
          <w:highlight w:val="none"/>
          <w:u w:val="single"/>
          <w:lang w:val="en-US" w:eastAsia="zh-CN"/>
        </w:rPr>
        <w:t xml:space="preserve"> 15 </w:t>
      </w:r>
      <w:r>
        <w:rPr>
          <w:rFonts w:hint="eastAsia" w:ascii="仿宋_GB2312" w:hAnsi="仿宋_GB2312" w:eastAsia="仿宋_GB2312" w:cs="仿宋_GB2312"/>
          <w:color w:val="auto"/>
          <w:kern w:val="0"/>
          <w:sz w:val="28"/>
          <w:szCs w:val="28"/>
          <w:highlight w:val="none"/>
          <w:lang w:val="en-US" w:eastAsia="zh-Hans" w:bidi="ar"/>
        </w:rPr>
        <w:t>个工作日内</w:t>
      </w:r>
      <w:r>
        <w:rPr>
          <w:rFonts w:hint="eastAsia" w:ascii="仿宋_GB2312" w:hAnsi="仿宋_GB2312" w:eastAsia="仿宋_GB2312" w:cs="仿宋_GB2312"/>
          <w:color w:val="auto"/>
          <w:kern w:val="0"/>
          <w:sz w:val="28"/>
          <w:szCs w:val="28"/>
          <w:highlight w:val="none"/>
          <w:lang w:val="en-US" w:eastAsia="zh-CN" w:bidi="ar"/>
        </w:rPr>
        <w:t>将退款金额退回至甲方指</w:t>
      </w:r>
      <w:r>
        <w:rPr>
          <w:rFonts w:hint="eastAsia" w:ascii="仿宋_GB2312" w:hAnsi="仿宋_GB2312" w:eastAsia="仿宋_GB2312" w:cs="仿宋_GB2312"/>
          <w:color w:val="000000"/>
          <w:kern w:val="0"/>
          <w:sz w:val="28"/>
          <w:szCs w:val="28"/>
          <w:highlight w:val="none"/>
          <w:lang w:val="en-US" w:eastAsia="zh-CN" w:bidi="ar"/>
        </w:rPr>
        <w:t xml:space="preserve">定账户。 </w:t>
      </w:r>
    </w:p>
    <w:p w14:paraId="246AC34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甲方开户名： 深圳市福田区香蜜湖街道办事处 ； </w:t>
      </w:r>
    </w:p>
    <w:p w14:paraId="34319F7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甲方开户银行： XX ； </w:t>
      </w:r>
    </w:p>
    <w:p w14:paraId="213E6FB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甲方银行账号：XX 。 </w:t>
      </w:r>
    </w:p>
    <w:p w14:paraId="4CAC51F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3.甲方在每次付款前，乙方应向甲方提供相关等额的拨款需要的正式票据、银行开户许可证等。 </w:t>
      </w:r>
    </w:p>
    <w:p w14:paraId="68F5C7D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乙方开户名： </w:t>
      </w:r>
      <w:r>
        <w:rPr>
          <w:rFonts w:hint="eastAsia" w:ascii="仿宋_GB2312" w:hAnsi="仿宋_GB2312" w:eastAsia="仿宋_GB2312" w:cs="仿宋_GB2312"/>
          <w:color w:val="000000"/>
          <w:kern w:val="0"/>
          <w:sz w:val="28"/>
          <w:szCs w:val="28"/>
          <w:highlight w:val="none"/>
          <w:lang w:bidi="ar"/>
        </w:rPr>
        <w:t>深圳市志远社会工作服务社</w:t>
      </w:r>
      <w:r>
        <w:rPr>
          <w:rFonts w:hint="eastAsia" w:ascii="仿宋_GB2312" w:hAnsi="仿宋_GB2312" w:eastAsia="仿宋_GB2312" w:cs="仿宋_GB2312"/>
          <w:color w:val="000000"/>
          <w:kern w:val="0"/>
          <w:sz w:val="28"/>
          <w:szCs w:val="28"/>
          <w:highlight w:val="none"/>
          <w:lang w:val="en-US" w:eastAsia="zh-CN" w:bidi="ar"/>
        </w:rPr>
        <w:t xml:space="preserve">  </w:t>
      </w:r>
    </w:p>
    <w:p w14:paraId="25D9EEC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乙方开户银行：XX </w:t>
      </w:r>
    </w:p>
    <w:p w14:paraId="304C8E1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default"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乙方银行账号：</w:t>
      </w:r>
      <w:r>
        <w:rPr>
          <w:rFonts w:hint="eastAsia" w:ascii="仿宋_GB2312" w:hAnsi="仿宋_GB2312" w:eastAsia="仿宋_GB2312" w:cs="仿宋_GB2312"/>
          <w:color w:val="000000"/>
          <w:kern w:val="0"/>
          <w:sz w:val="28"/>
          <w:szCs w:val="28"/>
          <w:highlight w:val="none"/>
          <w:u w:val="none"/>
          <w:lang w:val="en-US" w:eastAsia="zh-CN" w:bidi="ar"/>
        </w:rPr>
        <w:t>XX</w:t>
      </w:r>
    </w:p>
    <w:p w14:paraId="74E8A020">
      <w:pPr>
        <w:keepNext w:val="0"/>
        <w:keepLines w:val="0"/>
        <w:widowControl w:val="0"/>
        <w:adjustRightInd w:val="0"/>
        <w:snapToGrid w:val="0"/>
        <w:spacing w:line="560" w:lineRule="exact"/>
        <w:ind w:firstLine="560" w:firstLineChars="200"/>
        <w:rPr>
          <w:rFonts w:hint="eastAsia" w:ascii="仿宋_GB2312" w:hAnsi="仿宋_GB2312" w:eastAsia="仿宋_GB2312" w:cs="仿宋_GB2312"/>
          <w:b w:val="0"/>
          <w:color w:val="000000"/>
          <w:kern w:val="0"/>
          <w:sz w:val="28"/>
          <w:szCs w:val="28"/>
          <w:highlight w:val="none"/>
          <w:lang w:bidi="ar"/>
        </w:rPr>
      </w:pPr>
      <w:r>
        <w:rPr>
          <w:rFonts w:hint="eastAsia" w:ascii="仿宋_GB2312" w:hAnsi="仿宋_GB2312" w:eastAsia="仿宋_GB2312" w:cs="仿宋_GB2312"/>
          <w:b w:val="0"/>
          <w:color w:val="000000"/>
          <w:kern w:val="0"/>
          <w:sz w:val="28"/>
          <w:szCs w:val="28"/>
          <w:highlight w:val="none"/>
          <w:lang w:bidi="ar"/>
        </w:rPr>
        <w:t>乙方应保证该收款账户能够正常使用，因该收款账户异常导致合同费用支付异常或者支付不成功的，乙方自行承担相应责任，</w:t>
      </w:r>
      <w:r>
        <w:rPr>
          <w:rFonts w:hint="eastAsia" w:ascii="仿宋_GB2312" w:hAnsi="仿宋_GB2312" w:eastAsia="仿宋_GB2312" w:cs="仿宋_GB2312"/>
          <w:b w:val="0"/>
          <w:color w:val="000000"/>
          <w:kern w:val="0"/>
          <w:sz w:val="28"/>
          <w:szCs w:val="28"/>
          <w:highlight w:val="none"/>
          <w:lang w:eastAsia="zh-CN" w:bidi="ar"/>
        </w:rPr>
        <w:t>不视为甲方违约</w:t>
      </w:r>
      <w:r>
        <w:rPr>
          <w:rFonts w:hint="eastAsia" w:ascii="仿宋_GB2312" w:hAnsi="仿宋_GB2312" w:eastAsia="仿宋_GB2312" w:cs="仿宋_GB2312"/>
          <w:b w:val="0"/>
          <w:color w:val="000000"/>
          <w:kern w:val="0"/>
          <w:sz w:val="28"/>
          <w:szCs w:val="28"/>
          <w:highlight w:val="none"/>
          <w:lang w:bidi="ar"/>
        </w:rPr>
        <w:t>。</w:t>
      </w:r>
    </w:p>
    <w:p w14:paraId="20F7EF8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4.若乙方未按合同约定或经甲方确认的项目计划及实施方案的内容完成相关工作的，视为乙方根本性违约，</w:t>
      </w:r>
      <w:r>
        <w:rPr>
          <w:rFonts w:hint="eastAsia" w:ascii="仿宋_GB2312" w:hAnsi="仿宋_GB2312" w:eastAsia="仿宋_GB2312" w:cs="仿宋_GB2312"/>
          <w:color w:val="000000"/>
          <w:kern w:val="0"/>
          <w:sz w:val="28"/>
          <w:szCs w:val="28"/>
          <w:highlight w:val="none"/>
          <w:lang w:bidi="ar"/>
        </w:rPr>
        <w:t>甲方有权单方解除合同，并要求</w:t>
      </w:r>
      <w:r>
        <w:rPr>
          <w:rFonts w:hint="eastAsia" w:ascii="仿宋_GB2312" w:hAnsi="仿宋_GB2312" w:eastAsia="仿宋_GB2312" w:cs="仿宋_GB2312"/>
          <w:color w:val="000000"/>
          <w:kern w:val="0"/>
          <w:sz w:val="28"/>
          <w:szCs w:val="28"/>
          <w:highlight w:val="none"/>
          <w:lang w:val="en-US" w:eastAsia="zh-CN" w:bidi="ar"/>
        </w:rPr>
        <w:t>乙方应按项目总经费的10%支付甲方违约金及赔偿甲方损失。</w:t>
      </w:r>
    </w:p>
    <w:p w14:paraId="4B8DD5F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第九条 劳动条件及劳动关系</w:t>
      </w:r>
    </w:p>
    <w:p w14:paraId="0DBEC24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auto"/>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1.甲方应保证乙方项目社工正常的作息时间和休假，合理安排其相</w:t>
      </w:r>
      <w:r>
        <w:rPr>
          <w:rFonts w:hint="eastAsia" w:ascii="仿宋_GB2312" w:hAnsi="仿宋_GB2312" w:eastAsia="仿宋_GB2312" w:cs="仿宋_GB2312"/>
          <w:color w:val="auto"/>
          <w:kern w:val="0"/>
          <w:sz w:val="28"/>
          <w:szCs w:val="28"/>
          <w:highlight w:val="none"/>
          <w:lang w:val="en-US" w:eastAsia="zh-CN" w:bidi="ar"/>
        </w:rPr>
        <w:t>关工作。因社工劳动关系隶属于乙方，工作地点在甲方，原则上其请休假应得到甲、乙双方共同批准。</w:t>
      </w:r>
    </w:p>
    <w:p w14:paraId="0B3B1B5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auto"/>
          <w:kern w:val="0"/>
          <w:sz w:val="28"/>
          <w:szCs w:val="28"/>
          <w:highlight w:val="none"/>
          <w:lang w:val="en-US" w:eastAsia="zh-CN" w:bidi="ar"/>
        </w:rPr>
        <w:t>2.劳动法律法规的特殊缺岗，如产假、病假、工伤等，应提交相应的证明，乙方</w:t>
      </w:r>
      <w:r>
        <w:rPr>
          <w:rFonts w:hint="eastAsia" w:ascii="仿宋_GB2312" w:hAnsi="仿宋_GB2312" w:eastAsia="仿宋_GB2312" w:cs="仿宋_GB2312"/>
          <w:kern w:val="0"/>
          <w:sz w:val="28"/>
          <w:szCs w:val="28"/>
          <w:highlight w:val="none"/>
          <w:lang w:bidi="ar"/>
        </w:rPr>
        <w:t>应按照</w:t>
      </w:r>
      <w:r>
        <w:rPr>
          <w:rFonts w:hint="eastAsia" w:ascii="仿宋_GB2312" w:hAnsi="仿宋_GB2312" w:eastAsia="仿宋_GB2312" w:cs="仿宋_GB2312"/>
          <w:color w:val="auto"/>
          <w:kern w:val="0"/>
          <w:sz w:val="28"/>
          <w:szCs w:val="28"/>
          <w:highlight w:val="none"/>
          <w:lang w:val="en-US" w:eastAsia="zh-CN" w:bidi="ar"/>
        </w:rPr>
        <w:t>甲方工作需要，安排其他工作人员补充岗位直至人员返岗。</w:t>
      </w:r>
      <w:r>
        <w:rPr>
          <w:rFonts w:hint="eastAsia" w:ascii="仿宋_GB2312" w:hAnsi="仿宋_GB2312" w:eastAsia="仿宋_GB2312" w:cs="仿宋_GB2312"/>
          <w:color w:val="0000FF"/>
          <w:kern w:val="0"/>
          <w:sz w:val="28"/>
          <w:szCs w:val="28"/>
          <w:highlight w:val="none"/>
          <w:lang w:val="en-US" w:eastAsia="zh-CN" w:bidi="ar"/>
        </w:rPr>
        <w:br w:type="textWrapping"/>
      </w:r>
      <w:r>
        <w:rPr>
          <w:rFonts w:hint="eastAsia" w:ascii="仿宋_GB2312" w:hAnsi="仿宋_GB2312" w:eastAsia="仿宋_GB2312" w:cs="仿宋_GB2312"/>
          <w:color w:val="0000FF"/>
          <w:kern w:val="0"/>
          <w:sz w:val="28"/>
          <w:szCs w:val="28"/>
          <w:highlight w:val="none"/>
          <w:lang w:val="en-US" w:eastAsia="zh-CN" w:bidi="ar"/>
        </w:rPr>
        <w:t xml:space="preserve">  </w:t>
      </w:r>
      <w:r>
        <w:rPr>
          <w:rFonts w:hint="eastAsia" w:ascii="仿宋_GB2312" w:hAnsi="仿宋_GB2312" w:eastAsia="仿宋_GB2312" w:cs="仿宋_GB2312"/>
          <w:color w:val="auto"/>
          <w:kern w:val="0"/>
          <w:sz w:val="28"/>
          <w:szCs w:val="28"/>
          <w:highlight w:val="none"/>
          <w:lang w:val="en-US" w:eastAsia="zh-CN" w:bidi="ar"/>
        </w:rPr>
        <w:t xml:space="preserve">  3.甲方应明</w:t>
      </w:r>
      <w:r>
        <w:rPr>
          <w:rFonts w:hint="eastAsia" w:ascii="仿宋_GB2312" w:hAnsi="仿宋_GB2312" w:eastAsia="仿宋_GB2312" w:cs="仿宋_GB2312"/>
          <w:color w:val="000000"/>
          <w:kern w:val="0"/>
          <w:sz w:val="28"/>
          <w:szCs w:val="28"/>
          <w:highlight w:val="none"/>
          <w:lang w:val="en-US" w:eastAsia="zh-CN" w:bidi="ar"/>
        </w:rPr>
        <w:t>确社工服务地点，如果需要外派到深圳市以外的地方工作，也需要明确告知该社工需要到异地的具体地点、从事的社会工作服务内容等，并在与乙方协商一致后开展。</w:t>
      </w:r>
    </w:p>
    <w:p w14:paraId="7655220A">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4.乙方保证遵照《关于提升社会工作服务水平的若干措施》相关经费使用要求，其中项目人力成本不少于项目经费的85%,包括项目服务人员工资、个人及单位缴交的社会保险费、公积金（单位缴纳的社会保险及公积金缴交基数和比例等标准按有关规定执行）等项目的支出。项目其他经费不高于项目经费的15%,包括督导经费、业务活动费、服务险、人员培训费、管理费 、税费等。乙方应当依法与其派出的项目服务人员签订劳动合同、购买社会保险、按时发放工资等，遵守劳动法相关规定。</w:t>
      </w:r>
    </w:p>
    <w:p w14:paraId="559A38B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5.乙方保证所派项目服务人员遵守法律法规和社区规章制度，服从街道和社区对其的工作管理。甲方经核实确因乙方项目服务人员导致甲方及其工作人员或第三方遭受人身或财产损失的，乙方须承担相应责任和费用。</w:t>
      </w:r>
    </w:p>
    <w:p w14:paraId="05FC79A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第十条 双方权利和义务 </w:t>
      </w:r>
    </w:p>
    <w:p w14:paraId="1F176D4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1"/>
        <w:rPr>
          <w:rFonts w:hint="eastAsia" w:ascii="仿宋_GB2312" w:hAnsi="仿宋_GB2312" w:eastAsia="仿宋_GB2312" w:cs="仿宋_GB2312"/>
          <w:sz w:val="28"/>
          <w:szCs w:val="28"/>
          <w:highlight w:val="none"/>
        </w:rPr>
      </w:pPr>
      <w:r>
        <w:rPr>
          <w:rFonts w:hint="eastAsia" w:ascii="仿宋_GB2312" w:hAnsi="仿宋_GB2312" w:eastAsia="仿宋_GB2312" w:cs="仿宋_GB2312"/>
          <w:b/>
          <w:color w:val="000000"/>
          <w:kern w:val="0"/>
          <w:sz w:val="28"/>
          <w:szCs w:val="28"/>
          <w:highlight w:val="none"/>
          <w:lang w:val="en-US" w:eastAsia="zh-CN" w:bidi="ar"/>
        </w:rPr>
        <w:t xml:space="preserve">（一）甲方权利和义务 </w:t>
      </w:r>
    </w:p>
    <w:p w14:paraId="7A950B6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1.按照本合同的约定，及时拨付服务费用，若因甲方的原因未能按时拨款，由甲方承担责任</w:t>
      </w:r>
      <w:r>
        <w:rPr>
          <w:rFonts w:hint="eastAsia" w:ascii="仿宋_GB2312" w:hAnsi="仿宋_GB2312" w:eastAsia="仿宋_GB2312" w:cs="仿宋_GB2312"/>
          <w:color w:val="000000"/>
          <w:kern w:val="0"/>
          <w:sz w:val="28"/>
          <w:szCs w:val="28"/>
          <w:highlight w:val="none"/>
          <w:lang w:bidi="ar"/>
        </w:rPr>
        <w:t>，因政府部门核批、财政支付流程等非甲方原因导致付款延迟的，乙方不得因此要求甲方承担违约责任或拒绝、怠于履行合同义务；</w:t>
      </w:r>
      <w:r>
        <w:rPr>
          <w:rFonts w:hint="eastAsia" w:ascii="仿宋_GB2312" w:hAnsi="仿宋_GB2312" w:eastAsia="仿宋_GB2312" w:cs="仿宋_GB2312"/>
          <w:color w:val="000000"/>
          <w:kern w:val="0"/>
          <w:sz w:val="28"/>
          <w:szCs w:val="28"/>
          <w:highlight w:val="none"/>
          <w:lang w:val="en-US" w:eastAsia="zh-CN" w:bidi="ar"/>
        </w:rPr>
        <w:t xml:space="preserve"> </w:t>
      </w:r>
    </w:p>
    <w:p w14:paraId="289F398A">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2.负责指导项目实施工作，对乙方在项目运作过程中各项工作目标的完成情况、项目经费使用及各项机制落实情况进行监督、指导，</w:t>
      </w:r>
      <w:r>
        <w:rPr>
          <w:rFonts w:hint="eastAsia" w:ascii="仿宋_GB2312" w:hAnsi="仿宋_GB2312" w:eastAsia="仿宋_GB2312" w:cs="仿宋_GB2312"/>
          <w:color w:val="000000"/>
          <w:kern w:val="0"/>
          <w:sz w:val="28"/>
          <w:szCs w:val="28"/>
          <w:highlight w:val="none"/>
          <w:lang w:bidi="ar"/>
        </w:rPr>
        <w:t>可随时</w:t>
      </w:r>
      <w:r>
        <w:rPr>
          <w:rFonts w:hint="eastAsia" w:ascii="仿宋_GB2312" w:hAnsi="仿宋_GB2312" w:eastAsia="仿宋_GB2312" w:cs="仿宋_GB2312"/>
          <w:color w:val="000000"/>
          <w:kern w:val="0"/>
          <w:sz w:val="28"/>
          <w:szCs w:val="28"/>
          <w:highlight w:val="none"/>
          <w:lang w:val="en-US" w:eastAsia="zh-CN" w:bidi="ar"/>
        </w:rPr>
        <w:t>提出</w:t>
      </w:r>
      <w:r>
        <w:rPr>
          <w:rFonts w:hint="eastAsia" w:ascii="仿宋_GB2312" w:hAnsi="仿宋_GB2312" w:eastAsia="仿宋_GB2312" w:cs="仿宋_GB2312"/>
          <w:color w:val="000000"/>
          <w:kern w:val="0"/>
          <w:sz w:val="28"/>
          <w:szCs w:val="28"/>
          <w:highlight w:val="none"/>
          <w:lang w:bidi="ar"/>
        </w:rPr>
        <w:t>整改</w:t>
      </w:r>
      <w:r>
        <w:rPr>
          <w:rFonts w:hint="eastAsia" w:ascii="仿宋_GB2312" w:hAnsi="仿宋_GB2312" w:eastAsia="仿宋_GB2312" w:cs="仿宋_GB2312"/>
          <w:color w:val="000000"/>
          <w:kern w:val="0"/>
          <w:sz w:val="28"/>
          <w:szCs w:val="28"/>
          <w:highlight w:val="none"/>
          <w:lang w:val="en-US" w:eastAsia="zh-CN" w:bidi="ar"/>
        </w:rPr>
        <w:t>意见和建议</w:t>
      </w:r>
      <w:r>
        <w:rPr>
          <w:rFonts w:hint="eastAsia" w:ascii="仿宋_GB2312" w:hAnsi="仿宋_GB2312" w:eastAsia="仿宋_GB2312" w:cs="仿宋_GB2312"/>
          <w:color w:val="000000"/>
          <w:kern w:val="0"/>
          <w:sz w:val="28"/>
          <w:szCs w:val="28"/>
          <w:highlight w:val="none"/>
          <w:lang w:bidi="ar"/>
        </w:rPr>
        <w:t>，乙方应及时落实</w:t>
      </w:r>
      <w:r>
        <w:rPr>
          <w:rFonts w:hint="eastAsia" w:ascii="仿宋_GB2312" w:hAnsi="仿宋_GB2312" w:eastAsia="仿宋_GB2312" w:cs="仿宋_GB2312"/>
          <w:color w:val="000000"/>
          <w:kern w:val="0"/>
          <w:sz w:val="28"/>
          <w:szCs w:val="28"/>
          <w:highlight w:val="none"/>
          <w:lang w:eastAsia="zh-CN" w:bidi="ar"/>
        </w:rPr>
        <w:t>；</w:t>
      </w:r>
      <w:r>
        <w:rPr>
          <w:rFonts w:hint="eastAsia" w:ascii="仿宋_GB2312" w:hAnsi="仿宋_GB2312" w:eastAsia="仿宋_GB2312" w:cs="仿宋_GB2312"/>
          <w:color w:val="000000"/>
          <w:kern w:val="0"/>
          <w:sz w:val="28"/>
          <w:szCs w:val="28"/>
          <w:highlight w:val="none"/>
          <w:lang w:val="en-US" w:eastAsia="zh-CN" w:bidi="ar"/>
        </w:rPr>
        <w:t xml:space="preserve"> </w:t>
      </w:r>
    </w:p>
    <w:p w14:paraId="4520884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3.对项目经费使用情况享有知情权和审查权，有权在项目实施过程中对项目实施情况进行检查，项目结束后进行验收； </w:t>
      </w:r>
    </w:p>
    <w:p w14:paraId="265D673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4.协调有关部门，尽力解决项目运作中遇到的问题，为项目实施提供必要的支持和帮助； </w:t>
      </w:r>
    </w:p>
    <w:p w14:paraId="7046552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5.负责组织或委托第三方对项目实施中期和末期评估； </w:t>
      </w:r>
    </w:p>
    <w:p w14:paraId="47110C4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bidi="ar"/>
        </w:rPr>
      </w:pPr>
      <w:r>
        <w:rPr>
          <w:rFonts w:hint="eastAsia" w:ascii="仿宋_GB2312" w:hAnsi="仿宋_GB2312" w:eastAsia="仿宋_GB2312" w:cs="仿宋_GB2312"/>
          <w:color w:val="000000"/>
          <w:kern w:val="0"/>
          <w:sz w:val="28"/>
          <w:szCs w:val="28"/>
          <w:highlight w:val="none"/>
          <w:lang w:val="en-US" w:eastAsia="zh-CN" w:bidi="ar"/>
        </w:rPr>
        <w:t>6.甲方每月度或每季度对乙方提供的社工进行考核。如乙方社工提供的服务未能达到合同标准或不能通过相关工作考核，甲方有权要求乙方予以调换，</w:t>
      </w:r>
      <w:r>
        <w:rPr>
          <w:rFonts w:hint="eastAsia" w:ascii="仿宋_GB2312" w:hAnsi="仿宋_GB2312" w:eastAsia="仿宋_GB2312" w:cs="仿宋_GB2312"/>
          <w:color w:val="000000"/>
          <w:kern w:val="0"/>
          <w:sz w:val="28"/>
          <w:szCs w:val="28"/>
          <w:highlight w:val="none"/>
          <w:lang w:bidi="ar"/>
        </w:rPr>
        <w:t>乙方</w:t>
      </w:r>
      <w:r>
        <w:rPr>
          <w:rFonts w:hint="eastAsia" w:ascii="仿宋_GB2312" w:hAnsi="仿宋_GB2312" w:eastAsia="仿宋_GB2312" w:cs="仿宋_GB2312"/>
          <w:color w:val="000000"/>
          <w:kern w:val="0"/>
          <w:sz w:val="28"/>
          <w:szCs w:val="28"/>
          <w:highlight w:val="none"/>
          <w:lang w:val="en-US" w:eastAsia="zh-CN" w:bidi="ar"/>
        </w:rPr>
        <w:t>须</w:t>
      </w:r>
      <w:r>
        <w:rPr>
          <w:rFonts w:hint="eastAsia" w:ascii="仿宋_GB2312" w:hAnsi="仿宋_GB2312" w:eastAsia="仿宋_GB2312" w:cs="仿宋_GB2312"/>
          <w:color w:val="000000"/>
          <w:kern w:val="0"/>
          <w:sz w:val="28"/>
          <w:szCs w:val="28"/>
          <w:highlight w:val="none"/>
          <w:lang w:bidi="ar"/>
        </w:rPr>
        <w:t>无条件</w:t>
      </w:r>
      <w:r>
        <w:rPr>
          <w:rFonts w:hint="eastAsia" w:ascii="仿宋_GB2312" w:hAnsi="仿宋_GB2312" w:eastAsia="仿宋_GB2312" w:cs="仿宋_GB2312"/>
          <w:color w:val="000000"/>
          <w:kern w:val="0"/>
          <w:sz w:val="28"/>
          <w:szCs w:val="28"/>
          <w:highlight w:val="none"/>
          <w:lang w:eastAsia="zh-CN" w:bidi="ar"/>
        </w:rPr>
        <w:t>在十个工作日内</w:t>
      </w:r>
      <w:r>
        <w:rPr>
          <w:rFonts w:hint="eastAsia" w:ascii="仿宋_GB2312" w:hAnsi="仿宋_GB2312" w:eastAsia="仿宋_GB2312" w:cs="仿宋_GB2312"/>
          <w:color w:val="000000"/>
          <w:kern w:val="0"/>
          <w:sz w:val="28"/>
          <w:szCs w:val="28"/>
          <w:highlight w:val="none"/>
          <w:lang w:bidi="ar"/>
        </w:rPr>
        <w:t>进行调换。</w:t>
      </w:r>
    </w:p>
    <w:p w14:paraId="1C3AC97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7.甲方购买的是社工服务，甲方与乙方派出的项目服务人员之间不存在劳动关系或劳务关系或劳务派遣关系，甲方对乙方违反劳动法等法律法规的行为不承担任何责任，乙方与其项目服务人员之间如产生纠纷，乙方应积极协调解决，自行承担责任，不能影响甲方的正常工作和社会形象。 </w:t>
      </w:r>
    </w:p>
    <w:p w14:paraId="22FF581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1"/>
        <w:rPr>
          <w:rFonts w:hint="eastAsia" w:ascii="仿宋_GB2312" w:hAnsi="仿宋_GB2312" w:eastAsia="仿宋_GB2312" w:cs="仿宋_GB2312"/>
          <w:sz w:val="28"/>
          <w:szCs w:val="28"/>
          <w:highlight w:val="none"/>
        </w:rPr>
      </w:pPr>
      <w:r>
        <w:rPr>
          <w:rFonts w:hint="eastAsia" w:ascii="仿宋_GB2312" w:hAnsi="仿宋_GB2312" w:eastAsia="仿宋_GB2312" w:cs="仿宋_GB2312"/>
          <w:b/>
          <w:color w:val="000000"/>
          <w:kern w:val="0"/>
          <w:sz w:val="28"/>
          <w:szCs w:val="28"/>
          <w:highlight w:val="none"/>
          <w:lang w:val="en-US" w:eastAsia="zh-CN" w:bidi="ar"/>
        </w:rPr>
        <w:t xml:space="preserve">（二）乙方权利和义务 </w:t>
      </w:r>
    </w:p>
    <w:p w14:paraId="610C343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1.乙方应负责项目的策划、计划、具体组织实施及改进等，保证项目进度和工作质量；</w:t>
      </w:r>
    </w:p>
    <w:p w14:paraId="1F4C0825">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2.乙方应按照本项目招标文件、其投标文件、本合同的约定</w:t>
      </w:r>
      <w:r>
        <w:rPr>
          <w:rFonts w:hint="eastAsia" w:ascii="仿宋_GB2312" w:hAnsi="仿宋_GB2312" w:eastAsia="仿宋_GB2312" w:cs="仿宋_GB2312"/>
          <w:color w:val="000000"/>
          <w:kern w:val="0"/>
          <w:sz w:val="28"/>
          <w:szCs w:val="28"/>
          <w:highlight w:val="none"/>
          <w:lang w:bidi="ar"/>
        </w:rPr>
        <w:t>及甲方需求</w:t>
      </w:r>
      <w:r>
        <w:rPr>
          <w:rFonts w:hint="eastAsia" w:ascii="仿宋_GB2312" w:hAnsi="仿宋_GB2312" w:eastAsia="仿宋_GB2312" w:cs="仿宋_GB2312"/>
          <w:color w:val="000000"/>
          <w:kern w:val="0"/>
          <w:sz w:val="28"/>
          <w:szCs w:val="28"/>
          <w:highlight w:val="none"/>
          <w:lang w:val="en-US" w:eastAsia="zh-CN" w:bidi="ar"/>
        </w:rPr>
        <w:t xml:space="preserve">，按时完成本项目全部服务事项； </w:t>
      </w:r>
    </w:p>
    <w:p w14:paraId="28EC47D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3.乙方应接受甲方的监督，及时整理项目执行资料，按照甲方的要求按时完成项目的评估和验收； </w:t>
      </w:r>
    </w:p>
    <w:p w14:paraId="170A920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4.乙方应按照甲方建议、意见和整改要求，及时调整和完善相关服务事项</w:t>
      </w:r>
      <w:r>
        <w:rPr>
          <w:rFonts w:ascii="仿宋_GB2312" w:hAnsi="仿宋_GB2312" w:eastAsia="仿宋_GB2312" w:cs="仿宋_GB2312"/>
          <w:color w:val="000000"/>
          <w:kern w:val="0"/>
          <w:sz w:val="28"/>
          <w:szCs w:val="28"/>
          <w:highlight w:val="none"/>
          <w:lang w:bidi="ar"/>
        </w:rPr>
        <w:t>，</w:t>
      </w:r>
      <w:r>
        <w:rPr>
          <w:rFonts w:hint="eastAsia" w:ascii="仿宋_GB2312" w:hAnsi="仿宋_GB2312" w:eastAsia="仿宋_GB2312" w:cs="仿宋_GB2312"/>
          <w:color w:val="000000"/>
          <w:kern w:val="0"/>
          <w:sz w:val="28"/>
          <w:szCs w:val="28"/>
          <w:highlight w:val="none"/>
          <w:lang w:eastAsia="zh-Hans" w:bidi="ar"/>
        </w:rPr>
        <w:t>直至甲方验收合格</w:t>
      </w:r>
      <w:r>
        <w:rPr>
          <w:rFonts w:hint="eastAsia" w:ascii="仿宋_GB2312" w:hAnsi="仿宋_GB2312" w:eastAsia="仿宋_GB2312" w:cs="仿宋_GB2312"/>
          <w:color w:val="000000"/>
          <w:kern w:val="0"/>
          <w:sz w:val="28"/>
          <w:szCs w:val="28"/>
          <w:highlight w:val="none"/>
          <w:lang w:val="en-US" w:eastAsia="zh-CN" w:bidi="ar"/>
        </w:rPr>
        <w:t xml:space="preserve">； </w:t>
      </w:r>
    </w:p>
    <w:p w14:paraId="479FA38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5.在本合同履行期间及合同终止后，乙方</w:t>
      </w:r>
      <w:r>
        <w:rPr>
          <w:rFonts w:hint="eastAsia" w:ascii="仿宋_GB2312" w:hAnsi="仿宋_GB2312" w:eastAsia="仿宋_GB2312" w:cs="仿宋_GB2312"/>
          <w:color w:val="000000"/>
          <w:kern w:val="0"/>
          <w:sz w:val="28"/>
          <w:szCs w:val="28"/>
          <w:highlight w:val="none"/>
          <w:lang w:val="en-US" w:eastAsia="zh-Hans" w:bidi="ar"/>
        </w:rPr>
        <w:t>及其工作人员</w:t>
      </w:r>
      <w:r>
        <w:rPr>
          <w:rFonts w:hint="eastAsia" w:ascii="仿宋_GB2312" w:hAnsi="仿宋_GB2312" w:eastAsia="仿宋_GB2312" w:cs="仿宋_GB2312"/>
          <w:color w:val="000000"/>
          <w:kern w:val="0"/>
          <w:sz w:val="28"/>
          <w:szCs w:val="28"/>
          <w:highlight w:val="none"/>
          <w:lang w:val="en-US" w:eastAsia="zh-CN" w:bidi="ar"/>
        </w:rPr>
        <w:t>均应严格保密，不得</w:t>
      </w:r>
      <w:r>
        <w:rPr>
          <w:rFonts w:hint="eastAsia" w:ascii="仿宋_GB2312" w:hAnsi="仿宋_GB2312" w:eastAsia="仿宋_GB2312" w:cs="仿宋_GB2312"/>
          <w:color w:val="auto"/>
          <w:kern w:val="0"/>
          <w:sz w:val="28"/>
          <w:szCs w:val="28"/>
          <w:highlight w:val="none"/>
          <w:lang w:val="en-US" w:eastAsia="zh-CN" w:bidi="ar"/>
        </w:rPr>
        <w:t>泄露与本项目业务活动及甲方相关的资料、信息、数据等。否则乙方应按项目总经费的</w:t>
      </w:r>
      <w:r>
        <w:rPr>
          <w:rFonts w:hint="eastAsia" w:ascii="仿宋_GB2312" w:hAnsi="仿宋_GB2312" w:eastAsia="仿宋_GB2312" w:cs="仿宋_GB2312"/>
          <w:color w:val="auto"/>
          <w:sz w:val="28"/>
          <w:szCs w:val="28"/>
          <w:highlight w:val="none"/>
          <w:u w:val="single"/>
          <w:lang w:val="en-US" w:eastAsia="zh-CN"/>
        </w:rPr>
        <w:t xml:space="preserve"> 10 </w:t>
      </w:r>
      <w:r>
        <w:rPr>
          <w:rFonts w:hint="eastAsia" w:ascii="仿宋_GB2312" w:hAnsi="仿宋_GB2312" w:eastAsia="仿宋_GB2312" w:cs="仿宋_GB2312"/>
          <w:color w:val="auto"/>
          <w:kern w:val="0"/>
          <w:sz w:val="28"/>
          <w:szCs w:val="28"/>
          <w:highlight w:val="none"/>
          <w:lang w:val="en-US" w:eastAsia="zh-CN" w:bidi="ar"/>
        </w:rPr>
        <w:t>%支付甲方违约</w:t>
      </w:r>
      <w:r>
        <w:rPr>
          <w:rFonts w:hint="eastAsia" w:ascii="仿宋_GB2312" w:hAnsi="仿宋_GB2312" w:eastAsia="仿宋_GB2312" w:cs="仿宋_GB2312"/>
          <w:color w:val="000000"/>
          <w:kern w:val="0"/>
          <w:sz w:val="28"/>
          <w:szCs w:val="28"/>
          <w:highlight w:val="none"/>
          <w:lang w:val="en-US" w:eastAsia="zh-CN" w:bidi="ar"/>
        </w:rPr>
        <w:t xml:space="preserve">金及赔偿甲方损失； </w:t>
      </w:r>
    </w:p>
    <w:p w14:paraId="41B1891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6.乙方应按照专款专用的原则将项目经费全部用于本项目，按照经甲方</w:t>
      </w:r>
      <w:r>
        <w:rPr>
          <w:rFonts w:hint="eastAsia" w:ascii="仿宋_GB2312" w:hAnsi="仿宋_GB2312" w:eastAsia="仿宋_GB2312" w:cs="仿宋_GB2312"/>
          <w:color w:val="000000"/>
          <w:kern w:val="0"/>
          <w:sz w:val="28"/>
          <w:szCs w:val="28"/>
          <w:highlight w:val="none"/>
          <w:lang w:bidi="ar"/>
        </w:rPr>
        <w:t>书面</w:t>
      </w:r>
      <w:r>
        <w:rPr>
          <w:rFonts w:hint="eastAsia" w:ascii="仿宋_GB2312" w:hAnsi="仿宋_GB2312" w:eastAsia="仿宋_GB2312" w:cs="仿宋_GB2312"/>
          <w:color w:val="000000"/>
          <w:kern w:val="0"/>
          <w:sz w:val="28"/>
          <w:szCs w:val="28"/>
          <w:highlight w:val="none"/>
          <w:lang w:val="en-US" w:eastAsia="zh-CN" w:bidi="ar"/>
        </w:rPr>
        <w:t>确认的资金使用计划合理使用项目经费</w:t>
      </w:r>
      <w:r>
        <w:rPr>
          <w:rFonts w:hint="eastAsia" w:ascii="仿宋_GB2312" w:hAnsi="仿宋_GB2312" w:eastAsia="仿宋_GB2312" w:cs="仿宋_GB2312"/>
          <w:color w:val="000000"/>
          <w:kern w:val="0"/>
          <w:sz w:val="28"/>
          <w:szCs w:val="28"/>
          <w:highlight w:val="none"/>
          <w:lang w:eastAsia="zh-CN" w:bidi="ar"/>
        </w:rPr>
        <w:t>；</w:t>
      </w:r>
      <w:r>
        <w:rPr>
          <w:rFonts w:hint="eastAsia" w:ascii="仿宋_GB2312" w:hAnsi="仿宋_GB2312" w:eastAsia="仿宋_GB2312" w:cs="仿宋_GB2312"/>
          <w:color w:val="000000"/>
          <w:kern w:val="0"/>
          <w:sz w:val="28"/>
          <w:szCs w:val="28"/>
          <w:highlight w:val="none"/>
          <w:lang w:val="en-US" w:eastAsia="zh-CN" w:bidi="ar"/>
        </w:rPr>
        <w:t xml:space="preserve"> </w:t>
      </w:r>
    </w:p>
    <w:p w14:paraId="1A1993B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7.乙方应按照其投标文件中记载的项目负责人及团队安排情况委派本项目工作人员，并保持项目团队成员的稳定性，未经甲方事先书面同意，乙方不得擅自调换项目团队成员</w:t>
      </w:r>
      <w:r>
        <w:rPr>
          <w:rFonts w:hint="eastAsia" w:ascii="仿宋_GB2312" w:hAnsi="仿宋_GB2312" w:eastAsia="仿宋_GB2312" w:cs="仿宋_GB2312"/>
          <w:color w:val="000000"/>
          <w:kern w:val="0"/>
          <w:sz w:val="28"/>
          <w:szCs w:val="28"/>
          <w:highlight w:val="none"/>
          <w:lang w:bidi="ar"/>
        </w:rPr>
        <w:t>，项目团队人员资料应报甲方备案</w:t>
      </w:r>
      <w:r>
        <w:rPr>
          <w:rFonts w:hint="eastAsia" w:ascii="仿宋_GB2312" w:hAnsi="仿宋_GB2312" w:eastAsia="仿宋_GB2312" w:cs="仿宋_GB2312"/>
          <w:color w:val="000000"/>
          <w:kern w:val="0"/>
          <w:sz w:val="28"/>
          <w:szCs w:val="28"/>
          <w:highlight w:val="none"/>
          <w:lang w:val="en-US" w:eastAsia="zh-CN" w:bidi="ar"/>
        </w:rPr>
        <w:t>；</w:t>
      </w:r>
    </w:p>
    <w:p w14:paraId="544FF81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8.乙方应制定人员薪酬费用发放管理办法，经甲方同意后方可执行；</w:t>
      </w:r>
    </w:p>
    <w:p w14:paraId="0824FB3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9.乙方应每半年度将薪酬发放情况报甲方审核。</w:t>
      </w:r>
    </w:p>
    <w:p w14:paraId="0E8CC0C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10.因乙方及其项目服务人员导致甲方及其工作人员或第三方遭受人身或财产损失时，乙方须积极协调处理，并承担所有责任和费用。</w:t>
      </w:r>
    </w:p>
    <w:p w14:paraId="35EEB41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left"/>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第十一条 项目绩效评估 </w:t>
      </w:r>
    </w:p>
    <w:p w14:paraId="751D2FA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乙方承接服务项目后，甲方和社会工作主管部门可对项目实施情况进行全程跟踪和监督，乙方应当积极配合。项目完成后，甲方和社会工作主管部门有权对项目的工作绩效、服务对象受益情况、公众满意度等进行评估并对项目经费使用情况进行审计。</w:t>
      </w:r>
    </w:p>
    <w:p w14:paraId="7AB9EC2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color w:val="000000"/>
          <w:kern w:val="0"/>
          <w:sz w:val="28"/>
          <w:szCs w:val="28"/>
          <w:highlight w:val="none"/>
          <w:lang w:val="en-US" w:eastAsia="zh-CN" w:bidi="ar"/>
        </w:rPr>
      </w:pPr>
      <w:r>
        <w:rPr>
          <w:rFonts w:hint="eastAsia" w:ascii="仿宋_GB2312" w:hAnsi="仿宋_GB2312" w:eastAsia="仿宋_GB2312" w:cs="仿宋_GB2312"/>
          <w:b/>
          <w:bCs/>
          <w:color w:val="000000"/>
          <w:kern w:val="0"/>
          <w:sz w:val="28"/>
          <w:szCs w:val="28"/>
          <w:highlight w:val="none"/>
          <w:lang w:val="en-US" w:eastAsia="zh-CN" w:bidi="ar"/>
        </w:rPr>
        <w:t>第十二条 项目验收</w:t>
      </w:r>
    </w:p>
    <w:p w14:paraId="4AC56D9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甲方在本项目完成后，应组成3人以上验收小组，并明确一名负责人，负责整个采购项目的验收工作。甲方将按照合同约定的服务内容，对乙方的服务进行逐项验收。同时，本项目属于政府向社会公众提供的公共服务项目，验收时将邀请服务对象参与。项目验收后，由甲乙双方共同签署验收报告，受邀请参与验收的服务对象出具书面意见。验收报告内容包括项目的工作绩效、服务对象受益情况、公众满意度</w:t>
      </w:r>
      <w:r>
        <w:rPr>
          <w:rFonts w:hint="eastAsia" w:ascii="仿宋_GB2312" w:hAnsi="仿宋_GB2312" w:eastAsia="仿宋_GB2312" w:cs="仿宋_GB2312"/>
          <w:b w:val="0"/>
          <w:bCs w:val="0"/>
          <w:color w:val="000000"/>
          <w:kern w:val="0"/>
          <w:sz w:val="28"/>
          <w:szCs w:val="28"/>
          <w:highlight w:val="none"/>
          <w:lang w:val="en-US" w:eastAsia="zh-Hans" w:bidi="ar"/>
        </w:rPr>
        <w:t>等</w:t>
      </w:r>
      <w:r>
        <w:rPr>
          <w:rFonts w:hint="eastAsia" w:ascii="仿宋_GB2312" w:hAnsi="仿宋_GB2312" w:eastAsia="仿宋_GB2312" w:cs="仿宋_GB2312"/>
          <w:b w:val="0"/>
          <w:bCs w:val="0"/>
          <w:color w:val="000000"/>
          <w:kern w:val="0"/>
          <w:sz w:val="28"/>
          <w:szCs w:val="28"/>
          <w:highlight w:val="none"/>
          <w:lang w:val="en-US" w:eastAsia="zh-CN" w:bidi="ar"/>
        </w:rPr>
        <w:t>的验收情况及项目总体评价，验收报告将作为甲方向乙方支付服务费尾款的重要依据。</w:t>
      </w:r>
      <w:r>
        <w:rPr>
          <w:rFonts w:hint="eastAsia" w:ascii="仿宋_GB2312" w:hAnsi="仿宋_GB2312" w:eastAsia="仿宋_GB2312" w:cs="仿宋_GB2312"/>
          <w:b w:val="0"/>
          <w:bCs w:val="0"/>
          <w:color w:val="000000"/>
          <w:kern w:val="0"/>
          <w:sz w:val="28"/>
          <w:szCs w:val="28"/>
          <w:highlight w:val="none"/>
          <w:lang w:val="en-US" w:eastAsia="zh-CN" w:bidi="ar"/>
        </w:rPr>
        <w:br w:type="textWrapping"/>
      </w:r>
      <w:r>
        <w:rPr>
          <w:rFonts w:hint="eastAsia" w:ascii="仿宋_GB2312" w:hAnsi="仿宋_GB2312" w:eastAsia="仿宋_GB2312" w:cs="仿宋_GB2312"/>
          <w:b w:val="0"/>
          <w:bCs w:val="0"/>
          <w:color w:val="000000"/>
          <w:kern w:val="0"/>
          <w:sz w:val="28"/>
          <w:szCs w:val="28"/>
          <w:highlight w:val="none"/>
          <w:lang w:val="en-US" w:eastAsia="zh-CN" w:bidi="ar"/>
        </w:rPr>
        <w:t xml:space="preserve">    有以下情形之一的，将视为验收不合格：</w:t>
      </w:r>
    </w:p>
    <w:p w14:paraId="17BF83B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1.每个社区党群服务中心的空岗单次超过30个工作日仍未安排人员面试的；</w:t>
      </w:r>
    </w:p>
    <w:p w14:paraId="5284BF0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left="559" w:leftChars="266" w:firstLine="0" w:firstLineChars="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2.乙方提供的服务收到投诉3次及以上的，经核查属实的；</w:t>
      </w:r>
      <w:r>
        <w:rPr>
          <w:rFonts w:hint="eastAsia" w:ascii="仿宋_GB2312" w:hAnsi="仿宋_GB2312" w:eastAsia="仿宋_GB2312" w:cs="仿宋_GB2312"/>
          <w:b w:val="0"/>
          <w:bCs w:val="0"/>
          <w:color w:val="000000"/>
          <w:kern w:val="0"/>
          <w:sz w:val="28"/>
          <w:szCs w:val="28"/>
          <w:highlight w:val="none"/>
          <w:lang w:val="en-US" w:eastAsia="zh-CN" w:bidi="ar"/>
        </w:rPr>
        <w:br w:type="textWrapping"/>
      </w:r>
      <w:r>
        <w:rPr>
          <w:rFonts w:hint="eastAsia" w:ascii="仿宋_GB2312" w:hAnsi="仿宋_GB2312" w:eastAsia="仿宋_GB2312" w:cs="仿宋_GB2312"/>
          <w:b w:val="0"/>
          <w:bCs w:val="0"/>
          <w:color w:val="000000"/>
          <w:kern w:val="0"/>
          <w:sz w:val="28"/>
          <w:szCs w:val="28"/>
          <w:highlight w:val="none"/>
          <w:lang w:val="en-US" w:eastAsia="zh-CN" w:bidi="ar"/>
        </w:rPr>
        <w:t>3.乙方提供的服务未能达到甲方需要的；</w:t>
      </w:r>
      <w:r>
        <w:rPr>
          <w:rFonts w:hint="eastAsia" w:ascii="仿宋_GB2312" w:hAnsi="仿宋_GB2312" w:eastAsia="仿宋_GB2312" w:cs="仿宋_GB2312"/>
          <w:b w:val="0"/>
          <w:bCs w:val="0"/>
          <w:color w:val="000000"/>
          <w:kern w:val="0"/>
          <w:sz w:val="28"/>
          <w:szCs w:val="28"/>
          <w:highlight w:val="none"/>
          <w:lang w:val="en-US" w:eastAsia="zh-CN" w:bidi="ar"/>
        </w:rPr>
        <w:br w:type="textWrapping"/>
      </w:r>
      <w:r>
        <w:rPr>
          <w:rFonts w:hint="eastAsia" w:ascii="仿宋_GB2312" w:hAnsi="仿宋_GB2312" w:eastAsia="仿宋_GB2312" w:cs="仿宋_GB2312"/>
          <w:b w:val="0"/>
          <w:bCs w:val="0"/>
          <w:color w:val="000000"/>
          <w:kern w:val="0"/>
          <w:sz w:val="28"/>
          <w:szCs w:val="28"/>
          <w:highlight w:val="none"/>
          <w:lang w:val="en-US" w:eastAsia="zh-CN" w:bidi="ar"/>
        </w:rPr>
        <w:t>4.乙方薪酬发放未按照要求执行的；</w:t>
      </w:r>
    </w:p>
    <w:p w14:paraId="4060A141">
      <w:pPr>
        <w:keepNext w:val="0"/>
        <w:keepLines w:val="0"/>
        <w:widowControl w:val="0"/>
        <w:adjustRightInd w:val="0"/>
        <w:snapToGrid w:val="0"/>
        <w:spacing w:line="560" w:lineRule="exact"/>
        <w:ind w:left="559" w:leftChars="266"/>
        <w:outlineLvl w:val="0"/>
        <w:rPr>
          <w:rFonts w:hint="eastAsia" w:ascii="仿宋_GB2312" w:hAnsi="仿宋_GB2312" w:eastAsia="仿宋_GB2312" w:cs="仿宋_GB2312"/>
          <w:color w:val="000000"/>
          <w:kern w:val="0"/>
          <w:sz w:val="28"/>
          <w:szCs w:val="28"/>
          <w:highlight w:val="none"/>
          <w:lang w:eastAsia="zh-Hans" w:bidi="ar"/>
        </w:rPr>
      </w:pPr>
      <w:r>
        <w:rPr>
          <w:rFonts w:hint="eastAsia" w:ascii="仿宋_GB2312" w:hAnsi="仿宋_GB2312" w:eastAsia="仿宋_GB2312" w:cs="仿宋_GB2312"/>
          <w:color w:val="000000"/>
          <w:kern w:val="0"/>
          <w:sz w:val="28"/>
          <w:szCs w:val="28"/>
          <w:highlight w:val="none"/>
          <w:lang w:bidi="ar"/>
        </w:rPr>
        <w:t>6</w:t>
      </w:r>
      <w:r>
        <w:rPr>
          <w:rFonts w:hint="eastAsia" w:ascii="仿宋_GB2312" w:hAnsi="仿宋_GB2312" w:eastAsia="仿宋_GB2312" w:cs="仿宋_GB2312"/>
          <w:color w:val="000000"/>
          <w:kern w:val="0"/>
          <w:sz w:val="28"/>
          <w:szCs w:val="28"/>
          <w:highlight w:val="none"/>
          <w:lang w:eastAsia="zh-Hans" w:bidi="ar"/>
        </w:rPr>
        <w:t>.乙方未按照</w:t>
      </w:r>
      <w:r>
        <w:rPr>
          <w:rFonts w:hint="eastAsia" w:ascii="仿宋_GB2312" w:hAnsi="仿宋_GB2312" w:eastAsia="仿宋_GB2312" w:cs="仿宋_GB2312"/>
          <w:color w:val="000000"/>
          <w:kern w:val="0"/>
          <w:sz w:val="28"/>
          <w:szCs w:val="28"/>
          <w:highlight w:val="none"/>
          <w:lang w:bidi="ar"/>
        </w:rPr>
        <w:t>资金使用计划合理使用项目经费</w:t>
      </w:r>
      <w:r>
        <w:rPr>
          <w:rFonts w:hint="eastAsia" w:ascii="仿宋_GB2312" w:hAnsi="仿宋_GB2312" w:eastAsia="仿宋_GB2312" w:cs="仿宋_GB2312"/>
          <w:color w:val="000000"/>
          <w:kern w:val="0"/>
          <w:sz w:val="28"/>
          <w:szCs w:val="28"/>
          <w:highlight w:val="none"/>
          <w:lang w:eastAsia="zh-Hans" w:bidi="ar"/>
        </w:rPr>
        <w:t>的；</w:t>
      </w:r>
    </w:p>
    <w:p w14:paraId="1F99A02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left="559" w:leftChars="266" w:firstLine="0" w:firstLineChars="0"/>
        <w:jc w:val="both"/>
        <w:textAlignment w:val="auto"/>
        <w:outlineLvl w:val="0"/>
        <w:rPr>
          <w:rFonts w:hint="default"/>
          <w:highlight w:val="none"/>
          <w:lang w:val="en-US" w:eastAsia="zh-CN"/>
        </w:rPr>
      </w:pPr>
      <w:r>
        <w:rPr>
          <w:rFonts w:hint="eastAsia" w:ascii="仿宋_GB2312" w:hAnsi="仿宋_GB2312" w:eastAsia="仿宋_GB2312" w:cs="仿宋_GB2312"/>
          <w:color w:val="000000"/>
          <w:kern w:val="0"/>
          <w:sz w:val="28"/>
          <w:szCs w:val="28"/>
          <w:highlight w:val="none"/>
          <w:lang w:eastAsia="zh-Hans" w:bidi="ar"/>
        </w:rPr>
        <w:t>7.</w:t>
      </w:r>
      <w:r>
        <w:rPr>
          <w:rFonts w:hint="eastAsia" w:ascii="仿宋_GB2312" w:hAnsi="仿宋_GB2312" w:eastAsia="仿宋_GB2312" w:cs="仿宋_GB2312"/>
          <w:color w:val="000000"/>
          <w:kern w:val="0"/>
          <w:sz w:val="28"/>
          <w:szCs w:val="28"/>
          <w:highlight w:val="none"/>
          <w:lang w:bidi="ar"/>
        </w:rPr>
        <w:t>乙方项目服务人员提供的服务未能达到合同标准或不能通过相关工作考核，</w:t>
      </w:r>
      <w:r>
        <w:rPr>
          <w:rFonts w:hint="eastAsia" w:ascii="仿宋_GB2312" w:hAnsi="仿宋_GB2312" w:eastAsia="仿宋_GB2312" w:cs="仿宋_GB2312"/>
          <w:color w:val="000000"/>
          <w:kern w:val="0"/>
          <w:sz w:val="28"/>
          <w:szCs w:val="28"/>
          <w:highlight w:val="none"/>
          <w:lang w:eastAsia="zh-Hans" w:bidi="ar"/>
        </w:rPr>
        <w:t>调换2次以上仍未达到合同标准或通过考核的；</w:t>
      </w:r>
      <w:r>
        <w:rPr>
          <w:rFonts w:hint="eastAsia" w:ascii="仿宋_GB2312" w:hAnsi="仿宋_GB2312" w:eastAsia="仿宋_GB2312" w:cs="仿宋_GB2312"/>
          <w:b w:val="0"/>
          <w:bCs w:val="0"/>
          <w:color w:val="000000"/>
          <w:kern w:val="0"/>
          <w:sz w:val="28"/>
          <w:szCs w:val="28"/>
          <w:highlight w:val="none"/>
          <w:lang w:val="en-US" w:eastAsia="zh-CN" w:bidi="ar"/>
        </w:rPr>
        <w:br w:type="textWrapping"/>
      </w:r>
      <w:r>
        <w:rPr>
          <w:rFonts w:hint="eastAsia" w:ascii="仿宋_GB2312" w:hAnsi="仿宋_GB2312" w:eastAsia="仿宋_GB2312" w:cs="仿宋_GB2312"/>
          <w:b w:val="0"/>
          <w:bCs w:val="0"/>
          <w:color w:val="000000"/>
          <w:kern w:val="0"/>
          <w:sz w:val="28"/>
          <w:szCs w:val="28"/>
          <w:highlight w:val="none"/>
          <w:lang w:val="en-US" w:eastAsia="zh-CN" w:bidi="ar"/>
        </w:rPr>
        <w:t>8.其他甲方认为不符合验收合格标准的情形。</w:t>
      </w:r>
    </w:p>
    <w:p w14:paraId="713EF2E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color w:val="000000"/>
          <w:kern w:val="0"/>
          <w:sz w:val="28"/>
          <w:szCs w:val="28"/>
          <w:highlight w:val="none"/>
          <w:lang w:val="en-US" w:eastAsia="zh-CN" w:bidi="ar"/>
        </w:rPr>
      </w:pPr>
      <w:r>
        <w:rPr>
          <w:rFonts w:hint="eastAsia" w:ascii="仿宋_GB2312" w:hAnsi="仿宋_GB2312" w:eastAsia="仿宋_GB2312" w:cs="仿宋_GB2312"/>
          <w:b/>
          <w:bCs/>
          <w:color w:val="000000"/>
          <w:kern w:val="0"/>
          <w:sz w:val="28"/>
          <w:szCs w:val="28"/>
          <w:highlight w:val="none"/>
          <w:lang w:val="en-US" w:eastAsia="zh-CN" w:bidi="ar"/>
        </w:rPr>
        <w:t>第十三条 保密责任</w:t>
      </w:r>
    </w:p>
    <w:p w14:paraId="18817F3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1.乙方保证对在讨论、签订、执行本合同过程中所获悉的属于甲方的且无法自公开渠道获得的信息、文件及资料（包括商业秘密、商业计划、运营活动、财务信息、技术信息、经营信息及其他商业秘密）予以保密。未经该信息、资料和文件的原提供方同意，乙方不得向任何第三方泄露该商业秘密的全部或部分内容，更不得不正当使用。但法律、法规另有规定或双方另有约定的除外。乙方同时应保证其雇员、代表履行上述保密义务。</w:t>
      </w:r>
    </w:p>
    <w:p w14:paraId="27A4B94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2.上述保密义务长期有效，不因本合同的终止</w:t>
      </w:r>
      <w:r>
        <w:rPr>
          <w:rFonts w:ascii="仿宋_GB2312" w:hAnsi="仿宋_GB2312" w:eastAsia="仿宋_GB2312" w:cs="仿宋_GB2312"/>
          <w:color w:val="000000"/>
          <w:kern w:val="0"/>
          <w:sz w:val="28"/>
          <w:szCs w:val="28"/>
          <w:highlight w:val="none"/>
          <w:lang w:bidi="ar"/>
        </w:rPr>
        <w:t>、</w:t>
      </w:r>
      <w:r>
        <w:rPr>
          <w:rFonts w:hint="eastAsia" w:ascii="仿宋_GB2312" w:hAnsi="仿宋_GB2312" w:eastAsia="仿宋_GB2312" w:cs="仿宋_GB2312"/>
          <w:color w:val="000000"/>
          <w:kern w:val="0"/>
          <w:sz w:val="28"/>
          <w:szCs w:val="28"/>
          <w:highlight w:val="none"/>
          <w:lang w:eastAsia="zh-Hans" w:bidi="ar"/>
        </w:rPr>
        <w:t>无效</w:t>
      </w:r>
      <w:r>
        <w:rPr>
          <w:rFonts w:ascii="仿宋_GB2312" w:hAnsi="仿宋_GB2312" w:eastAsia="仿宋_GB2312" w:cs="仿宋_GB2312"/>
          <w:color w:val="000000"/>
          <w:kern w:val="0"/>
          <w:sz w:val="28"/>
          <w:szCs w:val="28"/>
          <w:highlight w:val="none"/>
          <w:lang w:eastAsia="zh-Hans" w:bidi="ar"/>
        </w:rPr>
        <w:t>、</w:t>
      </w:r>
      <w:r>
        <w:rPr>
          <w:rFonts w:hint="eastAsia" w:ascii="仿宋_GB2312" w:hAnsi="仿宋_GB2312" w:eastAsia="仿宋_GB2312" w:cs="仿宋_GB2312"/>
          <w:color w:val="000000"/>
          <w:kern w:val="0"/>
          <w:sz w:val="28"/>
          <w:szCs w:val="28"/>
          <w:highlight w:val="none"/>
          <w:lang w:eastAsia="zh-Hans" w:bidi="ar"/>
        </w:rPr>
        <w:t>解除</w:t>
      </w:r>
      <w:r>
        <w:rPr>
          <w:rFonts w:hint="eastAsia" w:ascii="仿宋_GB2312" w:hAnsi="仿宋_GB2312" w:eastAsia="仿宋_GB2312" w:cs="仿宋_GB2312"/>
          <w:b w:val="0"/>
          <w:bCs w:val="0"/>
          <w:color w:val="000000"/>
          <w:kern w:val="0"/>
          <w:sz w:val="28"/>
          <w:szCs w:val="28"/>
          <w:highlight w:val="none"/>
          <w:lang w:val="en-US" w:eastAsia="zh-CN" w:bidi="ar"/>
        </w:rPr>
        <w:t>而失效。乙方违反该条款给甲方造成损失的，应当赔偿甲方的损失。该损失包括但是不限于律师费、诉讼费、取证费、差旅费、保全费、担保费、鉴证费、公证费、执行费以及间接损失等。</w:t>
      </w:r>
    </w:p>
    <w:p w14:paraId="52D4124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color w:val="000000"/>
          <w:kern w:val="0"/>
          <w:sz w:val="28"/>
          <w:szCs w:val="28"/>
          <w:highlight w:val="none"/>
          <w:lang w:val="en-US" w:eastAsia="zh-CN" w:bidi="ar"/>
        </w:rPr>
      </w:pPr>
      <w:r>
        <w:rPr>
          <w:rFonts w:hint="eastAsia" w:ascii="仿宋_GB2312" w:hAnsi="仿宋_GB2312" w:eastAsia="仿宋_GB2312" w:cs="仿宋_GB2312"/>
          <w:b/>
          <w:bCs/>
          <w:color w:val="000000"/>
          <w:kern w:val="0"/>
          <w:sz w:val="28"/>
          <w:szCs w:val="28"/>
          <w:highlight w:val="none"/>
          <w:lang w:val="en-US" w:eastAsia="zh-CN" w:bidi="ar"/>
        </w:rPr>
        <w:t>第十四条 廉洁合作</w:t>
      </w:r>
    </w:p>
    <w:p w14:paraId="7209582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1.为确保防范通过政府采购项目拿回扣、职务侵占、商业贿赂等腐败行为，乙方应在合同签订时将《廉洁合作承诺书(企业承诺)》一并递交甲方备案,并在合同签订后与员工签订《廉洁从业承诺书(员工承诺)》,乙方存档备查。</w:t>
      </w:r>
    </w:p>
    <w:p w14:paraId="7EEC18E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outlineLvl w:val="0"/>
        <w:rPr>
          <w:rFonts w:hint="eastAsia" w:ascii="仿宋_GB2312" w:hAnsi="仿宋_GB2312" w:eastAsia="仿宋_GB2312" w:cs="仿宋_GB2312"/>
          <w:b w:val="0"/>
          <w:bCs w:val="0"/>
          <w:color w:val="000000"/>
          <w:kern w:val="0"/>
          <w:sz w:val="28"/>
          <w:szCs w:val="28"/>
          <w:highlight w:val="none"/>
          <w:lang w:val="en-US" w:eastAsia="zh-CN" w:bidi="ar"/>
        </w:rPr>
      </w:pPr>
      <w:r>
        <w:rPr>
          <w:rFonts w:hint="eastAsia" w:ascii="仿宋_GB2312" w:hAnsi="仿宋_GB2312" w:eastAsia="仿宋_GB2312" w:cs="仿宋_GB2312"/>
          <w:b w:val="0"/>
          <w:bCs w:val="0"/>
          <w:color w:val="000000"/>
          <w:kern w:val="0"/>
          <w:sz w:val="28"/>
          <w:szCs w:val="28"/>
          <w:highlight w:val="none"/>
          <w:lang w:val="en-US" w:eastAsia="zh-CN" w:bidi="ar"/>
        </w:rPr>
        <w:t>2.因本项目使用资金为财政资金，乙方应具备健全的财务会计制度，并完整保存本项目相关资料，审计部门等监管机构有权对资金流向实施监管。对不配合监督检查工作的，审计部门等监管机构可以根据相关规定进行处理，并向有关部门提出给予处分的建议。</w:t>
      </w:r>
    </w:p>
    <w:p w14:paraId="2A357C3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kern w:val="0"/>
          <w:sz w:val="28"/>
          <w:szCs w:val="28"/>
          <w:highlight w:val="none"/>
          <w:lang w:val="en-US" w:eastAsia="zh-CN" w:bidi="ar"/>
        </w:rPr>
        <w:t xml:space="preserve">第十五条 违约责任 </w:t>
      </w:r>
    </w:p>
    <w:p w14:paraId="16FBBE9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以下情形之一构成乙方根本性违约： </w:t>
      </w:r>
    </w:p>
    <w:p w14:paraId="4906828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1.因乙方自身原因不能履行本合同的； </w:t>
      </w:r>
    </w:p>
    <w:p w14:paraId="1DB90CFB">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2.未按照项目预算要求或资金使用计划使用项目经费的； </w:t>
      </w:r>
    </w:p>
    <w:p w14:paraId="03A3E9D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3.乙方非因不可抗力拖延项目期限或项目进度的； </w:t>
      </w:r>
    </w:p>
    <w:p w14:paraId="3F949AE9">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4.乙方擅自变更项目内容、降低工作质量、减少服务数量的； </w:t>
      </w:r>
    </w:p>
    <w:p w14:paraId="54C95844">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5.乙方提供的服务不符合招标文件、投标文件或本合同约定的，甲方有权拒绝接受服务并要求乙方整改。若乙方未在</w:t>
      </w:r>
      <w:r>
        <w:rPr>
          <w:rFonts w:hint="eastAsia" w:ascii="仿宋_GB2312" w:hAnsi="仿宋_GB2312" w:eastAsia="仿宋_GB2312" w:cs="仿宋_GB2312"/>
          <w:sz w:val="28"/>
          <w:szCs w:val="28"/>
          <w:highlight w:val="none"/>
          <w:u w:val="single"/>
          <w:lang w:val="en-US" w:eastAsia="zh-CN"/>
        </w:rPr>
        <w:t xml:space="preserve"> 5 </w:t>
      </w:r>
      <w:r>
        <w:rPr>
          <w:rFonts w:hint="eastAsia" w:ascii="仿宋_GB2312" w:hAnsi="仿宋_GB2312" w:eastAsia="仿宋_GB2312" w:cs="仿宋_GB2312"/>
          <w:color w:val="000000"/>
          <w:kern w:val="0"/>
          <w:sz w:val="28"/>
          <w:szCs w:val="28"/>
          <w:highlight w:val="none"/>
          <w:lang w:val="en-US" w:eastAsia="zh-CN" w:bidi="ar"/>
        </w:rPr>
        <w:t>个工作日内完成整改，或经整改后仍不合格的；</w:t>
      </w:r>
    </w:p>
    <w:p w14:paraId="0448090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6.乙方擅自委托其它单位或个人完成本项目服务内容的，或乙方将本项目分包、转包给第三方的； </w:t>
      </w:r>
    </w:p>
    <w:p w14:paraId="74A9E06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7.乙方违反保密义务，泄露与本项目相关的资料、信息、数据的；</w:t>
      </w:r>
    </w:p>
    <w:p w14:paraId="0665804E">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8.乙方存在违法犯罪行为被追究法律责任的；</w:t>
      </w:r>
    </w:p>
    <w:p w14:paraId="5FD060C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kern w:val="0"/>
          <w:sz w:val="28"/>
          <w:szCs w:val="28"/>
          <w:highlight w:val="none"/>
          <w:lang w:val="en-US" w:eastAsia="zh-CN" w:bidi="ar"/>
        </w:rPr>
        <w:t xml:space="preserve">9.乙方原因导致甲方蒙受重大损失或甲方社会形象遭到损害或甲方陷入重大维稳风险的； </w:t>
      </w:r>
    </w:p>
    <w:p w14:paraId="39EBD00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default" w:ascii="仿宋_GB2312" w:hAnsi="仿宋_GB2312" w:eastAsia="仿宋_GB2312" w:cs="仿宋_GB2312"/>
          <w:b w:val="0"/>
          <w:color w:val="000000"/>
          <w:kern w:val="0"/>
          <w:sz w:val="28"/>
          <w:szCs w:val="28"/>
          <w:highlight w:val="none"/>
          <w:lang w:val="en-US" w:eastAsia="zh-CN" w:bidi="ar"/>
        </w:rPr>
      </w:pPr>
      <w:r>
        <w:rPr>
          <w:rFonts w:hint="eastAsia" w:ascii="仿宋_GB2312" w:hAnsi="仿宋_GB2312" w:eastAsia="仿宋_GB2312" w:cs="仿宋_GB2312"/>
          <w:color w:val="000000"/>
          <w:kern w:val="0"/>
          <w:sz w:val="28"/>
          <w:szCs w:val="28"/>
          <w:highlight w:val="none"/>
          <w:lang w:val="en-US" w:eastAsia="zh-CN" w:bidi="ar"/>
        </w:rPr>
        <w:t xml:space="preserve">10.乙方有其他违约行为，导致甲方不能实现合同目的的。 </w:t>
      </w:r>
    </w:p>
    <w:p w14:paraId="00602C31">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highlight w:val="none"/>
          <w:lang w:val="en-US" w:eastAsia="zh-CN" w:bidi="ar"/>
        </w:rPr>
        <w:t>乙方违反以上任一项约定的，甲方有权通知乙方即时终止项目活动，解除本合同，并不再支付剩余经费，乙方应退回甲方已支付的项目经费，并按本合同经费总额的</w:t>
      </w:r>
      <w:r>
        <w:rPr>
          <w:rFonts w:hint="eastAsia" w:ascii="仿宋_GB2312" w:hAnsi="仿宋_GB2312" w:eastAsia="仿宋_GB2312" w:cs="仿宋_GB2312"/>
          <w:sz w:val="28"/>
          <w:szCs w:val="28"/>
          <w:highlight w:val="none"/>
          <w:u w:val="single"/>
          <w:lang w:val="en-US" w:eastAsia="zh-CN"/>
        </w:rPr>
        <w:t xml:space="preserve"> 10 </w:t>
      </w:r>
      <w:r>
        <w:rPr>
          <w:rFonts w:hint="eastAsia" w:ascii="仿宋_GB2312" w:hAnsi="仿宋_GB2312" w:eastAsia="仿宋_GB2312" w:cs="仿宋_GB2312"/>
          <w:color w:val="000000"/>
          <w:kern w:val="0"/>
          <w:sz w:val="28"/>
          <w:szCs w:val="28"/>
          <w:highlight w:val="none"/>
          <w:lang w:val="en-US" w:eastAsia="zh-CN" w:bidi="ar"/>
        </w:rPr>
        <w:t>%支付甲方违约金及赔</w:t>
      </w:r>
      <w:r>
        <w:rPr>
          <w:rFonts w:hint="eastAsia" w:ascii="仿宋_GB2312" w:hAnsi="仿宋_GB2312" w:eastAsia="仿宋_GB2312" w:cs="仿宋_GB2312"/>
          <w:color w:val="000000"/>
          <w:kern w:val="0"/>
          <w:sz w:val="28"/>
          <w:szCs w:val="28"/>
          <w:lang w:val="en-US" w:eastAsia="zh-CN" w:bidi="ar"/>
        </w:rPr>
        <w:t xml:space="preserve">偿给甲方造成的损失。 </w:t>
      </w:r>
    </w:p>
    <w:p w14:paraId="2234035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rPr>
      </w:pPr>
      <w:r>
        <w:rPr>
          <w:rFonts w:hint="eastAsia" w:ascii="仿宋_GB2312" w:hAnsi="仿宋_GB2312" w:eastAsia="仿宋_GB2312" w:cs="仿宋_GB2312"/>
          <w:b/>
          <w:bCs/>
          <w:color w:val="000000"/>
          <w:kern w:val="0"/>
          <w:sz w:val="28"/>
          <w:szCs w:val="28"/>
          <w:lang w:val="en-US" w:eastAsia="zh-CN" w:bidi="ar"/>
        </w:rPr>
        <w:t xml:space="preserve">第十六条 争议的解决 </w:t>
      </w:r>
    </w:p>
    <w:p w14:paraId="511AACC7">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 xml:space="preserve">因本合同引起的或与本合同有关的一切争议，双方应协商解决；协商不成的，均可提交甲方住所地人民法院诉讼解决。 </w:t>
      </w:r>
    </w:p>
    <w:p w14:paraId="2D0ECC5C">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rPr>
      </w:pPr>
      <w:r>
        <w:rPr>
          <w:rFonts w:hint="eastAsia" w:ascii="仿宋_GB2312" w:hAnsi="仿宋_GB2312" w:eastAsia="仿宋_GB2312" w:cs="仿宋_GB2312"/>
          <w:b/>
          <w:bCs/>
          <w:color w:val="000000"/>
          <w:kern w:val="0"/>
          <w:sz w:val="28"/>
          <w:szCs w:val="28"/>
          <w:lang w:val="en-US" w:eastAsia="zh-CN" w:bidi="ar"/>
        </w:rPr>
        <w:t xml:space="preserve">第十七条 不可抗力 </w:t>
      </w:r>
    </w:p>
    <w:p w14:paraId="4552B32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不可抗力是指不能预见、不能避免且不能克服的客观情况。这些情况包括但不限于甲乙双方不能预见、不能避免且不能克服的战争、火灾、洪水、台风、疫情、地震、政策等客观事件。</w:t>
      </w:r>
    </w:p>
    <w:p w14:paraId="3D0EA282">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任何一方由于不可抗力原因不能履行合同时，应在不可抗力事件</w:t>
      </w:r>
      <w:r>
        <w:rPr>
          <w:rFonts w:hint="eastAsia" w:ascii="仿宋_GB2312" w:hAnsi="仿宋_GB2312" w:eastAsia="仿宋_GB2312" w:cs="仿宋_GB2312"/>
          <w:color w:val="000000"/>
          <w:kern w:val="0"/>
          <w:sz w:val="28"/>
          <w:szCs w:val="28"/>
          <w:lang w:bidi="ar"/>
        </w:rPr>
        <w:t>发生后3</w:t>
      </w:r>
      <w:r>
        <w:rPr>
          <w:rFonts w:hint="eastAsia" w:ascii="仿宋_GB2312" w:hAnsi="仿宋_GB2312" w:eastAsia="仿宋_GB2312" w:cs="仿宋_GB2312"/>
          <w:color w:val="000000"/>
          <w:kern w:val="0"/>
          <w:sz w:val="28"/>
          <w:szCs w:val="28"/>
          <w:lang w:val="en-US" w:eastAsia="zh-CN" w:bidi="ar"/>
        </w:rPr>
        <w:t xml:space="preserve">日内向对方通报，并采取有效措施减轻可能给对方造成的损失。同时，遭受不可抗力的一方应在该事件发生后的7日内向对方提供证明文件并说明有关事件的细节和不能履行或部分不能履行或需延迟履行本合同的详细情况，由双方协商确定延期履行、变更合同或解除合同，并根据情况可部分或全部免于承担违约责任。 </w:t>
      </w:r>
    </w:p>
    <w:p w14:paraId="319C9A53">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2" w:firstLineChars="200"/>
        <w:jc w:val="both"/>
        <w:textAlignment w:val="auto"/>
        <w:outlineLvl w:val="0"/>
        <w:rPr>
          <w:rFonts w:hint="eastAsia" w:ascii="仿宋_GB2312" w:hAnsi="仿宋_GB2312" w:eastAsia="仿宋_GB2312" w:cs="仿宋_GB2312"/>
          <w:b/>
          <w:bCs/>
          <w:sz w:val="28"/>
          <w:szCs w:val="28"/>
        </w:rPr>
      </w:pPr>
      <w:r>
        <w:rPr>
          <w:rFonts w:hint="eastAsia" w:ascii="仿宋_GB2312" w:hAnsi="仿宋_GB2312" w:eastAsia="仿宋_GB2312" w:cs="仿宋_GB2312"/>
          <w:b/>
          <w:bCs/>
          <w:color w:val="000000"/>
          <w:kern w:val="0"/>
          <w:sz w:val="28"/>
          <w:szCs w:val="28"/>
          <w:lang w:val="en-US" w:eastAsia="zh-CN" w:bidi="ar"/>
        </w:rPr>
        <w:t xml:space="preserve">第十八条 其他 </w:t>
      </w:r>
    </w:p>
    <w:p w14:paraId="4F1112B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1.下列文件为本合同的组成部分，并构成一个整体，需综合解释、相互补充。如果下列文件内容出现不一致的情形，在保证按照采购文件确定的事项的前提下，组成本合同的多个文件的优先适用顺序如下：</w:t>
      </w:r>
    </w:p>
    <w:p w14:paraId="1379B81A">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（1）本合同及其附件、补充合同、变更协议；</w:t>
      </w:r>
    </w:p>
    <w:p w14:paraId="04257C1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（2）中标通知书；</w:t>
      </w:r>
    </w:p>
    <w:p w14:paraId="79957A8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（3）投标文件（含澄清或者说明文件）；</w:t>
      </w:r>
    </w:p>
    <w:p w14:paraId="67840676">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（4）招标文件（含澄清或者修改文件）；</w:t>
      </w:r>
    </w:p>
    <w:p w14:paraId="3D744968">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 xml:space="preserve">（5）其他相关采购文件。 </w:t>
      </w:r>
    </w:p>
    <w:p w14:paraId="4EAC83DD">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 xml:space="preserve">2.本合同未尽事宜，由甲、乙双方协商解决，可以签订补充合同，补充合同与本合同书具有同等法律效力。 </w:t>
      </w:r>
    </w:p>
    <w:p w14:paraId="28F4CEA0">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 xml:space="preserve">3.在中国境内、外发生的与本合同有关的一切税费均由乙方负担。 </w:t>
      </w:r>
    </w:p>
    <w:p w14:paraId="136658CF">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 xml:space="preserve">4.本合同由甲、乙双方签字盖章后生效，若甲、乙双方签字盖章日期不一致的，以后签字盖章的日期为准。 </w:t>
      </w:r>
    </w:p>
    <w:p w14:paraId="404E8933">
      <w:pPr>
        <w:keepNext w:val="0"/>
        <w:keepLines w:val="0"/>
        <w:pageBreakBefore w:val="0"/>
        <w:widowControl w:val="0"/>
        <w:suppressLineNumbers w:val="0"/>
        <w:kinsoku/>
        <w:wordWrap/>
        <w:overflowPunct/>
        <w:topLinePunct w:val="0"/>
        <w:autoSpaceDE/>
        <w:autoSpaceDN/>
        <w:bidi w:val="0"/>
        <w:adjustRightInd w:val="0"/>
        <w:snapToGrid w:val="0"/>
        <w:spacing w:line="5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5.本合同壹式</w:t>
      </w:r>
      <w:r>
        <w:rPr>
          <w:rFonts w:hint="eastAsia" w:ascii="仿宋_GB2312" w:hAnsi="仿宋_GB2312" w:eastAsia="仿宋_GB2312" w:cs="仿宋_GB2312"/>
          <w:sz w:val="28"/>
          <w:szCs w:val="28"/>
          <w:u w:val="single"/>
          <w:lang w:val="en-US" w:eastAsia="zh-CN"/>
        </w:rPr>
        <w:t xml:space="preserve"> 伍 </w:t>
      </w:r>
      <w:r>
        <w:rPr>
          <w:rFonts w:hint="eastAsia" w:ascii="仿宋_GB2312" w:hAnsi="仿宋_GB2312" w:eastAsia="仿宋_GB2312" w:cs="仿宋_GB2312"/>
          <w:color w:val="000000"/>
          <w:kern w:val="0"/>
          <w:sz w:val="28"/>
          <w:szCs w:val="28"/>
          <w:lang w:val="en-US" w:eastAsia="zh-CN" w:bidi="ar"/>
        </w:rPr>
        <w:t>份，甲方执</w:t>
      </w:r>
      <w:r>
        <w:rPr>
          <w:rFonts w:hint="eastAsia" w:ascii="仿宋_GB2312" w:hAnsi="仿宋_GB2312" w:eastAsia="仿宋_GB2312" w:cs="仿宋_GB2312"/>
          <w:sz w:val="28"/>
          <w:szCs w:val="28"/>
          <w:u w:val="single"/>
          <w:lang w:val="en-US" w:eastAsia="zh-CN"/>
        </w:rPr>
        <w:t xml:space="preserve"> 肆 </w:t>
      </w:r>
      <w:r>
        <w:rPr>
          <w:rFonts w:hint="eastAsia" w:ascii="仿宋_GB2312" w:hAnsi="仿宋_GB2312" w:eastAsia="仿宋_GB2312" w:cs="仿宋_GB2312"/>
          <w:color w:val="000000"/>
          <w:kern w:val="0"/>
          <w:sz w:val="28"/>
          <w:szCs w:val="28"/>
          <w:lang w:val="en-US" w:eastAsia="zh-CN" w:bidi="ar"/>
        </w:rPr>
        <w:t>份，乙方执</w:t>
      </w:r>
      <w:r>
        <w:rPr>
          <w:rFonts w:hint="eastAsia" w:ascii="仿宋_GB2312" w:hAnsi="仿宋_GB2312" w:eastAsia="仿宋_GB2312" w:cs="仿宋_GB2312"/>
          <w:sz w:val="28"/>
          <w:szCs w:val="28"/>
          <w:u w:val="single"/>
          <w:lang w:val="en-US" w:eastAsia="zh-CN"/>
        </w:rPr>
        <w:t xml:space="preserve"> 壹 </w:t>
      </w:r>
      <w:r>
        <w:rPr>
          <w:rFonts w:hint="eastAsia" w:ascii="仿宋_GB2312" w:hAnsi="仿宋_GB2312" w:eastAsia="仿宋_GB2312" w:cs="仿宋_GB2312"/>
          <w:color w:val="000000"/>
          <w:kern w:val="0"/>
          <w:sz w:val="28"/>
          <w:szCs w:val="28"/>
          <w:lang w:val="en-US" w:eastAsia="zh-CN" w:bidi="ar"/>
        </w:rPr>
        <w:t xml:space="preserve">份，具有同等法律效力。 </w:t>
      </w:r>
    </w:p>
    <w:p w14:paraId="0D13D437">
      <w:pPr>
        <w:keepNext w:val="0"/>
        <w:keepLines w:val="0"/>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eastAsia="zh-CN"/>
        </w:rPr>
        <w:t>以下</w:t>
      </w:r>
      <w:r>
        <w:rPr>
          <w:rFonts w:hint="eastAsia" w:ascii="仿宋_GB2312" w:hAnsi="仿宋_GB2312" w:eastAsia="仿宋_GB2312" w:cs="仿宋_GB2312"/>
          <w:b/>
          <w:bCs/>
          <w:sz w:val="28"/>
          <w:szCs w:val="28"/>
        </w:rPr>
        <w:t>无正文）</w:t>
      </w:r>
    </w:p>
    <w:p w14:paraId="00F9FBBB">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p>
    <w:p w14:paraId="01646280">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甲方</w:t>
      </w:r>
      <w:r>
        <w:rPr>
          <w:rFonts w:hint="eastAsia" w:ascii="仿宋_GB2312" w:hAnsi="仿宋_GB2312" w:eastAsia="仿宋_GB2312" w:cs="仿宋_GB2312"/>
          <w:sz w:val="28"/>
          <w:szCs w:val="28"/>
          <w:lang w:eastAsia="zh-Hans"/>
        </w:rPr>
        <w:t>（盖章）</w:t>
      </w:r>
      <w:r>
        <w:rPr>
          <w:rFonts w:hint="eastAsia" w:ascii="仿宋_GB2312" w:hAnsi="仿宋_GB2312" w:eastAsia="仿宋_GB2312" w:cs="仿宋_GB2312"/>
          <w:sz w:val="28"/>
          <w:szCs w:val="28"/>
        </w:rPr>
        <w:t xml:space="preserve">：                                   </w:t>
      </w:r>
    </w:p>
    <w:p w14:paraId="2F1D4AEF">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法定代表人/负责人或授权代表</w:t>
      </w:r>
      <w:r>
        <w:rPr>
          <w:rFonts w:hint="eastAsia" w:ascii="仿宋_GB2312" w:hAnsi="仿宋_GB2312" w:eastAsia="仿宋_GB2312" w:cs="仿宋_GB2312"/>
          <w:sz w:val="28"/>
          <w:szCs w:val="28"/>
          <w:lang w:eastAsia="zh-Hans"/>
        </w:rPr>
        <w:t>（签名）</w:t>
      </w:r>
      <w:r>
        <w:rPr>
          <w:rFonts w:hint="eastAsia" w:ascii="仿宋_GB2312" w:hAnsi="仿宋_GB2312" w:eastAsia="仿宋_GB2312" w:cs="仿宋_GB2312"/>
          <w:sz w:val="28"/>
          <w:szCs w:val="28"/>
        </w:rPr>
        <w:t xml:space="preserve">：  </w:t>
      </w:r>
    </w:p>
    <w:p w14:paraId="632E9BFC">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                </w:t>
      </w:r>
    </w:p>
    <w:p w14:paraId="7306D638">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p>
    <w:p w14:paraId="067CF8D7">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乙方</w:t>
      </w:r>
      <w:r>
        <w:rPr>
          <w:rFonts w:hint="eastAsia" w:ascii="仿宋_GB2312" w:hAnsi="仿宋_GB2312" w:eastAsia="仿宋_GB2312" w:cs="仿宋_GB2312"/>
          <w:sz w:val="28"/>
          <w:szCs w:val="28"/>
          <w:lang w:eastAsia="zh-Hans"/>
        </w:rPr>
        <w:t>（盖章）</w:t>
      </w:r>
      <w:r>
        <w:rPr>
          <w:rFonts w:hint="eastAsia" w:ascii="仿宋_GB2312" w:hAnsi="仿宋_GB2312" w:eastAsia="仿宋_GB2312" w:cs="仿宋_GB2312"/>
          <w:sz w:val="28"/>
          <w:szCs w:val="28"/>
        </w:rPr>
        <w:t>：</w:t>
      </w:r>
    </w:p>
    <w:p w14:paraId="2F446D07">
      <w:pPr>
        <w:keepNext w:val="0"/>
        <w:keepLines w:val="0"/>
        <w:pageBreakBefore w:val="0"/>
        <w:kinsoku/>
        <w:overflowPunct/>
        <w:topLinePunct w:val="0"/>
        <w:autoSpaceDE/>
        <w:autoSpaceDN/>
        <w:bidi w:val="0"/>
        <w:adjustRightInd w:val="0"/>
        <w:snapToGrid w:val="0"/>
        <w:spacing w:beforeAutospacing="0" w:afterAutospacing="0" w:line="560" w:lineRule="exact"/>
        <w:ind w:left="0"/>
        <w:jc w:val="left"/>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法定代表人/负责人或授权代表</w:t>
      </w:r>
      <w:r>
        <w:rPr>
          <w:rFonts w:hint="eastAsia" w:ascii="仿宋_GB2312" w:hAnsi="仿宋_GB2312" w:eastAsia="仿宋_GB2312" w:cs="仿宋_GB2312"/>
          <w:sz w:val="28"/>
          <w:szCs w:val="28"/>
          <w:lang w:eastAsia="zh-Hans"/>
        </w:rPr>
        <w:t>（签名）</w:t>
      </w:r>
      <w:r>
        <w:rPr>
          <w:rFonts w:hint="eastAsia" w:ascii="仿宋_GB2312" w:hAnsi="仿宋_GB2312" w:eastAsia="仿宋_GB2312" w:cs="仿宋_GB2312"/>
          <w:sz w:val="28"/>
          <w:szCs w:val="28"/>
        </w:rPr>
        <w:t xml:space="preserve">：               </w:t>
      </w:r>
    </w:p>
    <w:p w14:paraId="483DC25F">
      <w:pPr>
        <w:keepNext w:val="0"/>
        <w:keepLines w:val="0"/>
        <w:pageBreakBefore w:val="0"/>
        <w:kinsoku/>
        <w:overflowPunct/>
        <w:topLinePunct w:val="0"/>
        <w:autoSpaceDE/>
        <w:autoSpaceDN/>
        <w:bidi w:val="0"/>
        <w:adjustRightInd w:val="0"/>
        <w:snapToGrid w:val="0"/>
        <w:spacing w:beforeAutospacing="0" w:afterAutospacing="0" w:line="560" w:lineRule="exact"/>
        <w:ind w:left="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22652ABC">
      <w:pPr>
        <w:keepNext/>
        <w:keepLines/>
        <w:pageBreakBefore w:val="0"/>
        <w:kinsoku/>
        <w:overflowPunct/>
        <w:topLinePunct w:val="0"/>
        <w:autoSpaceDE/>
        <w:autoSpaceDN/>
        <w:bidi w:val="0"/>
        <w:adjustRightInd w:val="0"/>
        <w:snapToGrid w:val="0"/>
        <w:spacing w:beforeAutospacing="0" w:afterAutospacing="0" w:line="560" w:lineRule="exact"/>
        <w:ind w:left="0" w:firstLine="703" w:firstLineChars="250"/>
        <w:textAlignment w:val="auto"/>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5AF6B2C4">
      <w:pPr>
        <w:pStyle w:val="9"/>
        <w:keepNext/>
        <w:keepLines/>
        <w:pageBreakBefore w:val="0"/>
        <w:widowControl w:val="0"/>
        <w:tabs>
          <w:tab w:val="left" w:pos="7497"/>
        </w:tabs>
        <w:kinsoku/>
        <w:wordWrap/>
        <w:overflowPunct/>
        <w:topLinePunct w:val="0"/>
        <w:autoSpaceDE/>
        <w:autoSpaceDN/>
        <w:bidi w:val="0"/>
        <w:adjustRightInd w:val="0"/>
        <w:snapToGrid w:val="0"/>
        <w:spacing w:beforeAutospacing="0" w:afterAutospacing="0" w:line="560" w:lineRule="exact"/>
        <w:ind w:firstLine="0" w:firstLineChars="0"/>
        <w:jc w:val="center"/>
        <w:textAlignment w:val="auto"/>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 w:val="0"/>
          <w:bCs/>
          <w:color w:val="auto"/>
          <w:sz w:val="44"/>
          <w:szCs w:val="44"/>
        </w:rPr>
        <w:t>廉洁合作承诺书</w:t>
      </w:r>
    </w:p>
    <w:p w14:paraId="25F993D7">
      <w:pPr>
        <w:pStyle w:val="9"/>
        <w:keepNext/>
        <w:keepLines/>
        <w:pageBreakBefore w:val="0"/>
        <w:widowControl w:val="0"/>
        <w:kinsoku/>
        <w:wordWrap/>
        <w:overflowPunct/>
        <w:topLinePunct w:val="0"/>
        <w:autoSpaceDE/>
        <w:autoSpaceDN/>
        <w:bidi w:val="0"/>
        <w:adjustRightInd w:val="0"/>
        <w:snapToGrid w:val="0"/>
        <w:spacing w:beforeAutospacing="0" w:afterAutospacing="0" w:line="560" w:lineRule="exact"/>
        <w:jc w:val="center"/>
        <w:textAlignment w:val="auto"/>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（企业承诺）</w:t>
      </w:r>
    </w:p>
    <w:p w14:paraId="397C519D">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本公司决定参加项目投标。为维护公平竞争的市场秩序，促进企业廉洁从业、诚实守信，特承诺如下：</w:t>
      </w:r>
    </w:p>
    <w:p w14:paraId="09EC8CA2">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一、严格遵守《中华人民共和国招标投标法》、《中华人民共和国政府采购法》等法律法规，决不发生以下行为：</w:t>
      </w:r>
    </w:p>
    <w:p w14:paraId="3FBD2726">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1.以他人名义投标，允许其他单位或个人使用本单位资质投标；</w:t>
      </w:r>
    </w:p>
    <w:p w14:paraId="103360CC">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2.提供虚假材料，或以其他方式弄虚作假骗取中标；</w:t>
      </w:r>
    </w:p>
    <w:p w14:paraId="0E9EFB56">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3.与招标人或者其他投标人相互串通投标；</w:t>
      </w:r>
    </w:p>
    <w:p w14:paraId="3D0D8DC3">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4.中标后将项目转包，或违法分包；</w:t>
      </w:r>
    </w:p>
    <w:p w14:paraId="6AD7A022">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5.中标后与招标人签订背离投标文件及合同实质性内容的私下协议；</w:t>
      </w:r>
    </w:p>
    <w:p w14:paraId="2076CEE9">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6.其他违反招标投标、政府采购等法律法规的行为。</w:t>
      </w:r>
    </w:p>
    <w:p w14:paraId="00FAD12D">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二、不以任何理由给予采购单位、主管部门、相关单位及其工作人员以下好处：</w:t>
      </w:r>
    </w:p>
    <w:p w14:paraId="23F64B00">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1.赠送礼金、有价证券、贵重物品，或给予回扣、感谢费、劳务费等各种名目的经费；</w:t>
      </w:r>
    </w:p>
    <w:p w14:paraId="1040418C">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2.报销应由上述单位或个人支付的费用；</w:t>
      </w:r>
    </w:p>
    <w:p w14:paraId="2D668F6C">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3.赠送或提供通讯工具、交通工具和高档办公用品等；</w:t>
      </w:r>
    </w:p>
    <w:p w14:paraId="6E12BE40">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4.提供宴请、健身、旅游、娱乐等高消费活动； </w:t>
      </w:r>
    </w:p>
    <w:p w14:paraId="2233D934">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5.无偿或明显低于市场价装修住房。</w:t>
      </w:r>
    </w:p>
    <w:p w14:paraId="55E90116">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三、不以任何理由为采购单位、主管部门、相关单位的工作人员及其配偶、子女等亲属的工作安排以及出国（境）等提供方便。</w:t>
      </w:r>
    </w:p>
    <w:p w14:paraId="11D0A530">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四、自觉接受有关部门和派驻廉政监察组等机构的监督，积极配合采购单位开展廉政文化进工程工作，加强廉洁从业环境宣传、项目管理制度建设，多种形式开展廉洁教育。</w:t>
      </w:r>
    </w:p>
    <w:p w14:paraId="75AD9A81">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上述承诺如有违反，愿接受录入诚信档案的处理，构成违纪违法的，由相关部门依纪依法作出处理。</w:t>
      </w:r>
    </w:p>
    <w:p w14:paraId="34BE34C7">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（本承诺书由投标人法定代表人签名，并加盖公章；一式</w:t>
      </w:r>
      <w:r>
        <w:rPr>
          <w:rFonts w:hint="eastAsia" w:ascii="仿宋_GB2312" w:hAnsi="仿宋_GB2312" w:eastAsia="仿宋_GB2312" w:cs="仿宋_GB2312"/>
          <w:color w:val="auto"/>
          <w:sz w:val="28"/>
          <w:szCs w:val="28"/>
          <w:lang w:eastAsia="zh-CN"/>
        </w:rPr>
        <w:t>贰</w:t>
      </w:r>
      <w:r>
        <w:rPr>
          <w:rFonts w:hint="eastAsia" w:ascii="仿宋_GB2312" w:hAnsi="仿宋_GB2312" w:eastAsia="仿宋_GB2312" w:cs="仿宋_GB2312"/>
          <w:color w:val="auto"/>
          <w:sz w:val="28"/>
          <w:szCs w:val="28"/>
        </w:rPr>
        <w:t>份，采购单位与履约供应商各持</w:t>
      </w:r>
      <w:r>
        <w:rPr>
          <w:rFonts w:hint="eastAsia" w:ascii="仿宋_GB2312" w:hAnsi="仿宋_GB2312" w:eastAsia="仿宋_GB2312" w:cs="仿宋_GB2312"/>
          <w:color w:val="auto"/>
          <w:sz w:val="28"/>
          <w:szCs w:val="28"/>
          <w:lang w:eastAsia="zh-CN"/>
        </w:rPr>
        <w:t>壹</w:t>
      </w:r>
      <w:r>
        <w:rPr>
          <w:rFonts w:hint="eastAsia" w:ascii="仿宋_GB2312" w:hAnsi="仿宋_GB2312" w:eastAsia="仿宋_GB2312" w:cs="仿宋_GB2312"/>
          <w:color w:val="auto"/>
          <w:sz w:val="28"/>
          <w:szCs w:val="28"/>
        </w:rPr>
        <w:t>份</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w:t>
      </w:r>
    </w:p>
    <w:p w14:paraId="1A502395">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jc w:val="center"/>
        <w:textAlignment w:val="auto"/>
        <w:rPr>
          <w:rFonts w:hint="eastAsia" w:ascii="仿宋_GB2312" w:hAnsi="仿宋_GB2312" w:eastAsia="仿宋_GB2312" w:cs="仿宋_GB2312"/>
          <w:color w:val="auto"/>
          <w:sz w:val="28"/>
          <w:szCs w:val="28"/>
        </w:rPr>
      </w:pPr>
    </w:p>
    <w:p w14:paraId="265937BE">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jc w:val="center"/>
        <w:textAlignment w:val="auto"/>
        <w:rPr>
          <w:rFonts w:hint="eastAsia" w:ascii="仿宋_GB2312" w:hAnsi="仿宋_GB2312" w:eastAsia="仿宋_GB2312" w:cs="仿宋_GB2312"/>
          <w:color w:val="auto"/>
          <w:sz w:val="28"/>
          <w:szCs w:val="28"/>
        </w:rPr>
      </w:pPr>
    </w:p>
    <w:p w14:paraId="5C1BBEC7">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jc w:val="center"/>
        <w:textAlignment w:val="auto"/>
        <w:rPr>
          <w:rFonts w:hint="eastAsia" w:ascii="仿宋_GB2312" w:hAnsi="仿宋_GB2312" w:eastAsia="仿宋_GB2312" w:cs="仿宋_GB2312"/>
          <w:color w:val="auto"/>
          <w:sz w:val="28"/>
          <w:szCs w:val="28"/>
        </w:rPr>
      </w:pPr>
    </w:p>
    <w:p w14:paraId="5814EA60">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200" w:firstLineChars="15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法定代表人签名：</w:t>
      </w:r>
    </w:p>
    <w:p w14:paraId="14BFD702">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200" w:firstLineChars="15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承诺单位（公章）：</w:t>
      </w:r>
    </w:p>
    <w:p w14:paraId="076DF3BB">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200" w:firstLineChars="15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承诺日期：</w:t>
      </w:r>
    </w:p>
    <w:p w14:paraId="5BD28ABB">
      <w:pPr>
        <w:pStyle w:val="9"/>
        <w:keepNext/>
        <w:keepLines/>
        <w:pageBreakBefore w:val="0"/>
        <w:widowControl w:val="0"/>
        <w:tabs>
          <w:tab w:val="left" w:pos="7497"/>
        </w:tabs>
        <w:kinsoku/>
        <w:wordWrap/>
        <w:overflowPunct/>
        <w:topLinePunct w:val="0"/>
        <w:autoSpaceDE/>
        <w:autoSpaceDN/>
        <w:bidi w:val="0"/>
        <w:adjustRightInd w:val="0"/>
        <w:snapToGrid w:val="0"/>
        <w:spacing w:beforeAutospacing="0" w:afterAutospacing="0" w:line="560" w:lineRule="exact"/>
        <w:ind w:firstLine="0" w:firstLineChars="0"/>
        <w:jc w:val="center"/>
        <w:textAlignment w:val="auto"/>
        <w:rPr>
          <w:rFonts w:hint="eastAsia" w:ascii="方正小标宋_GBK" w:hAnsi="方正小标宋_GBK" w:eastAsia="方正小标宋_GBK" w:cs="方正小标宋_GBK"/>
          <w:b w:val="0"/>
          <w:bCs/>
          <w:color w:val="auto"/>
          <w:sz w:val="44"/>
          <w:szCs w:val="44"/>
        </w:rPr>
      </w:pPr>
      <w:r>
        <w:rPr>
          <w:rFonts w:hint="eastAsia" w:ascii="仿宋_GB2312" w:hAnsi="仿宋_GB2312" w:eastAsia="仿宋_GB2312" w:cs="仿宋_GB2312"/>
          <w:color w:val="auto"/>
          <w:sz w:val="28"/>
          <w:szCs w:val="28"/>
        </w:rPr>
        <w:br w:type="page"/>
      </w:r>
      <w:r>
        <w:rPr>
          <w:rFonts w:hint="eastAsia" w:ascii="方正小标宋_GBK" w:hAnsi="方正小标宋_GBK" w:eastAsia="方正小标宋_GBK" w:cs="方正小标宋_GBK"/>
          <w:b w:val="0"/>
          <w:bCs/>
          <w:color w:val="auto"/>
          <w:sz w:val="44"/>
          <w:szCs w:val="44"/>
        </w:rPr>
        <w:t>廉洁从业承诺书</w:t>
      </w:r>
    </w:p>
    <w:p w14:paraId="53BCB836">
      <w:pPr>
        <w:pStyle w:val="9"/>
        <w:keepNext/>
        <w:keepLines/>
        <w:pageBreakBefore w:val="0"/>
        <w:widowControl w:val="0"/>
        <w:tabs>
          <w:tab w:val="left" w:pos="7497"/>
        </w:tabs>
        <w:kinsoku/>
        <w:wordWrap/>
        <w:overflowPunct/>
        <w:topLinePunct w:val="0"/>
        <w:autoSpaceDE/>
        <w:autoSpaceDN/>
        <w:bidi w:val="0"/>
        <w:adjustRightInd w:val="0"/>
        <w:snapToGrid w:val="0"/>
        <w:spacing w:beforeAutospacing="0" w:afterAutospacing="0" w:line="560" w:lineRule="exact"/>
        <w:ind w:firstLine="0" w:firstLineChars="0"/>
        <w:jc w:val="center"/>
        <w:textAlignment w:val="auto"/>
        <w:rPr>
          <w:rFonts w:hint="eastAsia" w:ascii="仿宋_GB2312" w:hAnsi="仿宋_GB2312" w:eastAsia="仿宋_GB2312" w:cs="仿宋_GB2312"/>
          <w:b/>
          <w:bCs w:val="0"/>
          <w:color w:val="auto"/>
          <w:sz w:val="28"/>
          <w:szCs w:val="28"/>
        </w:rPr>
      </w:pPr>
      <w:r>
        <w:rPr>
          <w:rFonts w:hint="eastAsia" w:ascii="仿宋_GB2312" w:hAnsi="仿宋_GB2312" w:eastAsia="仿宋_GB2312" w:cs="仿宋_GB2312"/>
          <w:b/>
          <w:bCs w:val="0"/>
          <w:color w:val="auto"/>
          <w:sz w:val="28"/>
          <w:szCs w:val="28"/>
        </w:rPr>
        <w:t>（员工承诺）</w:t>
      </w:r>
    </w:p>
    <w:p w14:paraId="64665862">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本人决定自愿参加本项目。为了更好的树立公司对外形象，更好地打造公司的品牌，促进个人廉洁从业、诚实守信，特承诺如下：</w:t>
      </w:r>
    </w:p>
    <w:p w14:paraId="7901FF48">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一、不以任何理由给予采购单位、主管部门、相关单位及其工作人员以下好处：</w:t>
      </w:r>
    </w:p>
    <w:p w14:paraId="61E31DD7">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1.赠送礼金、有价证券、贵重物品，或给予回扣、感谢费、劳务费等各种名目的经费；</w:t>
      </w:r>
    </w:p>
    <w:p w14:paraId="2B8420B5">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2.报销应由上述单位或个人支付的费用；</w:t>
      </w:r>
    </w:p>
    <w:p w14:paraId="025DFBD6">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3.赠送或提供通讯工具、交通工具和高档办公用品等；</w:t>
      </w:r>
    </w:p>
    <w:p w14:paraId="1682B72E">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4.提供宴请、健身、旅游、娱乐等高消费活动；</w:t>
      </w:r>
    </w:p>
    <w:p w14:paraId="021BD43C">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5.无偿或明显低于市场价装修住房。</w:t>
      </w:r>
    </w:p>
    <w:p w14:paraId="571EEE9E">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二、不以任何理由为采购单位、主管部门、相关单位的工作人员及其配偶、子女等亲属的工作安排以及出国（境）等提供方便。</w:t>
      </w:r>
    </w:p>
    <w:p w14:paraId="507C675F">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三、自觉接受有关部门和派驻廉政监察组等机构的监督</w:t>
      </w:r>
      <w:r>
        <w:rPr>
          <w:rFonts w:hint="eastAsia" w:ascii="仿宋_GB2312" w:hAnsi="仿宋_GB2312" w:eastAsia="仿宋_GB2312" w:cs="仿宋_GB2312"/>
          <w:color w:val="auto"/>
          <w:sz w:val="28"/>
          <w:szCs w:val="28"/>
          <w:lang w:eastAsia="zh-CN"/>
        </w:rPr>
        <w:t>。</w:t>
      </w:r>
    </w:p>
    <w:p w14:paraId="7A4B8973">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以上承诺接受公司和广大员工的监督。本人如有违反承诺，自愿承担违诺责任和法律后果。</w:t>
      </w:r>
    </w:p>
    <w:p w14:paraId="210BA3F2">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（本承诺书由项目人员签名，一式</w:t>
      </w:r>
      <w:r>
        <w:rPr>
          <w:rFonts w:hint="eastAsia" w:ascii="仿宋_GB2312" w:hAnsi="仿宋_GB2312" w:eastAsia="仿宋_GB2312" w:cs="仿宋_GB2312"/>
          <w:color w:val="auto"/>
          <w:sz w:val="28"/>
          <w:szCs w:val="28"/>
          <w:lang w:eastAsia="zh-CN"/>
        </w:rPr>
        <w:t>贰</w:t>
      </w:r>
      <w:r>
        <w:rPr>
          <w:rFonts w:hint="eastAsia" w:ascii="仿宋_GB2312" w:hAnsi="仿宋_GB2312" w:eastAsia="仿宋_GB2312" w:cs="仿宋_GB2312"/>
          <w:color w:val="auto"/>
          <w:sz w:val="28"/>
          <w:szCs w:val="28"/>
        </w:rPr>
        <w:t>份。公司与项目人员各持</w:t>
      </w:r>
      <w:r>
        <w:rPr>
          <w:rFonts w:hint="eastAsia" w:ascii="仿宋_GB2312" w:hAnsi="仿宋_GB2312" w:eastAsia="仿宋_GB2312" w:cs="仿宋_GB2312"/>
          <w:color w:val="auto"/>
          <w:sz w:val="28"/>
          <w:szCs w:val="28"/>
          <w:lang w:eastAsia="zh-CN"/>
        </w:rPr>
        <w:t>壹</w:t>
      </w:r>
      <w:r>
        <w:rPr>
          <w:rFonts w:hint="eastAsia" w:ascii="仿宋_GB2312" w:hAnsi="仿宋_GB2312" w:eastAsia="仿宋_GB2312" w:cs="仿宋_GB2312"/>
          <w:color w:val="auto"/>
          <w:sz w:val="28"/>
          <w:szCs w:val="28"/>
        </w:rPr>
        <w:t>份</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w:t>
      </w:r>
    </w:p>
    <w:p w14:paraId="461A7BE3">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760" w:firstLineChars="1700"/>
        <w:jc w:val="both"/>
        <w:textAlignment w:val="auto"/>
        <w:rPr>
          <w:rFonts w:hint="eastAsia" w:ascii="仿宋_GB2312" w:hAnsi="仿宋_GB2312" w:eastAsia="仿宋_GB2312" w:cs="仿宋_GB2312"/>
          <w:color w:val="auto"/>
          <w:sz w:val="28"/>
          <w:szCs w:val="28"/>
        </w:rPr>
      </w:pPr>
    </w:p>
    <w:p w14:paraId="291021C6">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760" w:firstLineChars="17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承诺人：</w:t>
      </w:r>
    </w:p>
    <w:p w14:paraId="25C1EB6D">
      <w:pPr>
        <w:pStyle w:val="9"/>
        <w:keepNext/>
        <w:keepLines/>
        <w:pageBreakBefore w:val="0"/>
        <w:widowControl w:val="0"/>
        <w:kinsoku/>
        <w:wordWrap/>
        <w:overflowPunct/>
        <w:topLinePunct w:val="0"/>
        <w:autoSpaceDE/>
        <w:autoSpaceDN/>
        <w:bidi w:val="0"/>
        <w:adjustRightInd w:val="0"/>
        <w:snapToGrid w:val="0"/>
        <w:spacing w:beforeAutospacing="0" w:afterAutospacing="0" w:line="579" w:lineRule="exact"/>
        <w:ind w:firstLine="4760" w:firstLineChars="1700"/>
        <w:jc w:val="both"/>
        <w:textAlignment w:val="auto"/>
        <w:rPr>
          <w:rFonts w:hint="eastAsia"/>
        </w:rPr>
      </w:pPr>
      <w:r>
        <w:rPr>
          <w:rFonts w:hint="eastAsia" w:ascii="仿宋_GB2312" w:hAnsi="仿宋_GB2312" w:eastAsia="仿宋_GB2312" w:cs="仿宋_GB2312"/>
          <w:color w:val="auto"/>
          <w:sz w:val="28"/>
          <w:szCs w:val="28"/>
        </w:rPr>
        <w:t>承诺日期：</w:t>
      </w:r>
    </w:p>
    <w:bookmarkEnd w:id="0"/>
    <w:sectPr>
      <w:pgSz w:w="11906" w:h="16838"/>
      <w:pgMar w:top="1157" w:right="1576" w:bottom="1157" w:left="1576"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82D2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198EB">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8198EB">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0ZWMzZDMxNzAxNTE2OWI3MjI4NGU1Yzg4YjEzOWQifQ=="/>
  </w:docVars>
  <w:rsids>
    <w:rsidRoot w:val="7E57103E"/>
    <w:rsid w:val="032B5C61"/>
    <w:rsid w:val="197CED48"/>
    <w:rsid w:val="197D460E"/>
    <w:rsid w:val="1AEE4C6B"/>
    <w:rsid w:val="1FFDB741"/>
    <w:rsid w:val="21B278E9"/>
    <w:rsid w:val="27F9EB08"/>
    <w:rsid w:val="32AA4638"/>
    <w:rsid w:val="3B9B0C4D"/>
    <w:rsid w:val="3FF01D7A"/>
    <w:rsid w:val="43C45F28"/>
    <w:rsid w:val="49714D22"/>
    <w:rsid w:val="4A5B0A1B"/>
    <w:rsid w:val="4ADBF790"/>
    <w:rsid w:val="4F415EF8"/>
    <w:rsid w:val="4FFBCF74"/>
    <w:rsid w:val="53DF799C"/>
    <w:rsid w:val="563A7F05"/>
    <w:rsid w:val="56FFD833"/>
    <w:rsid w:val="5E807981"/>
    <w:rsid w:val="5F567BB6"/>
    <w:rsid w:val="67BE5C0D"/>
    <w:rsid w:val="69F3829F"/>
    <w:rsid w:val="6A8C1B05"/>
    <w:rsid w:val="6C4B14AD"/>
    <w:rsid w:val="6DB54725"/>
    <w:rsid w:val="6FFF0D4E"/>
    <w:rsid w:val="702320F1"/>
    <w:rsid w:val="724920A1"/>
    <w:rsid w:val="730EA076"/>
    <w:rsid w:val="73AD3F00"/>
    <w:rsid w:val="779DE648"/>
    <w:rsid w:val="788A4FFA"/>
    <w:rsid w:val="7AF7577A"/>
    <w:rsid w:val="7BCA63FF"/>
    <w:rsid w:val="7E57103E"/>
    <w:rsid w:val="7FFCF7DB"/>
    <w:rsid w:val="93FFEE9F"/>
    <w:rsid w:val="95BED507"/>
    <w:rsid w:val="A8FF15E9"/>
    <w:rsid w:val="BBFBEA28"/>
    <w:rsid w:val="BED56459"/>
    <w:rsid w:val="BF5FCA46"/>
    <w:rsid w:val="BFB7B108"/>
    <w:rsid w:val="CECF885A"/>
    <w:rsid w:val="CF67945A"/>
    <w:rsid w:val="D7CEF850"/>
    <w:rsid w:val="DF574093"/>
    <w:rsid w:val="E65AEC78"/>
    <w:rsid w:val="FBBD6D63"/>
    <w:rsid w:val="FD9B123B"/>
    <w:rsid w:val="FF7754C4"/>
    <w:rsid w:val="FF96CEBF"/>
    <w:rsid w:val="FFE3A66C"/>
    <w:rsid w:val="FFFC9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4"/>
    <w:basedOn w:val="1"/>
    <w:next w:val="1"/>
    <w:unhideWhenUsed/>
    <w:qFormat/>
    <w:uiPriority w:val="0"/>
    <w:pPr>
      <w:keepNext/>
      <w:keepLines/>
      <w:spacing w:before="280" w:after="290" w:line="376" w:lineRule="auto"/>
      <w:outlineLvl w:val="3"/>
    </w:pPr>
    <w:rPr>
      <w:rFonts w:ascii="Calibri Light" w:hAnsi="Calibri Light"/>
      <w:b/>
      <w:bCs/>
      <w:sz w:val="28"/>
      <w:szCs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5">
    <w:name w:val="Normal Indent"/>
    <w:basedOn w:val="1"/>
    <w:unhideWhenUsed/>
    <w:qFormat/>
    <w:uiPriority w:val="99"/>
    <w:pPr>
      <w:ind w:firstLine="630"/>
    </w:pPr>
    <w:rPr>
      <w:rFonts w:eastAsia="仿宋_GB2312"/>
      <w:kern w:val="0"/>
      <w:sz w:val="32"/>
      <w:szCs w:val="20"/>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szCs w:val="2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1641</Words>
  <Characters>1711</Characters>
  <Lines>0</Lines>
  <Paragraphs>0</Paragraphs>
  <TotalTime>831</TotalTime>
  <ScaleCrop>false</ScaleCrop>
  <LinksUpToDate>false</LinksUpToDate>
  <CharactersWithSpaces>1805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2022-05-08T06:03:00Z</dcterms:created>
  <dc:creator>echoliang</dc:creator>
  <cp:lastModifiedBy>辞桑.</cp:lastModifiedBy>
  <dcterms:modified xsi:type="dcterms:W3CDTF">2026-05-21T09:55:10Z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D794D2536E6C4DE28C2EB7901F8DC15F_13</vt:lpwstr>
  </property>
  <property fmtid="{D5CDD505-2E9C-101B-9397-08002B2CF9AE}" pid="4" name="KSOTemplateDocerSaveRecord">
    <vt:lpwstr>eyJoZGlkIjoiODViY2JkMjU3NGYzZTEwMzZmMGFkZWViYmNkYWU3NDIiLCJ1c2VySWQiOiIxNTc1NTU2NDcwIn0=</vt:lpwstr>
  </property>
</Properties>
</file>