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0" w:firstLineChars="0"/>
        <w:rPr>
          <w:color w:val="000000" w:themeColor="text1"/>
          <w:sz w:val="20"/>
          <w:szCs w:val="20"/>
          <w14:textFill>
            <w14:solidFill>
              <w14:schemeClr w14:val="tx1"/>
            </w14:solidFill>
          </w14:textFill>
        </w:rPr>
      </w:pPr>
      <w:bookmarkStart w:id="152" w:name="_GoBack"/>
      <w:bookmarkEnd w:id="152"/>
    </w:p>
    <w:p>
      <w:pPr>
        <w:ind w:firstLine="0" w:firstLineChars="0"/>
        <w:rPr>
          <w:color w:val="000000" w:themeColor="text1"/>
          <w14:textFill>
            <w14:solidFill>
              <w14:schemeClr w14:val="tx1"/>
            </w14:solidFill>
          </w14:textFill>
        </w:rPr>
      </w:pPr>
    </w:p>
    <w:p>
      <w:pPr>
        <w:ind w:firstLine="0" w:firstLineChars="0"/>
        <w:rPr>
          <w:color w:val="000000" w:themeColor="text1"/>
          <w14:textFill>
            <w14:solidFill>
              <w14:schemeClr w14:val="tx1"/>
            </w14:solidFill>
          </w14:textFill>
        </w:rPr>
      </w:pPr>
      <w:bookmarkStart w:id="0" w:name="_Toc69318546"/>
      <w:bookmarkStart w:id="1" w:name="_Toc17994"/>
      <w:bookmarkStart w:id="2" w:name="_Toc109518712"/>
      <w:bookmarkStart w:id="3" w:name="_Toc63604794"/>
      <w:bookmarkStart w:id="4" w:name="_Toc30100"/>
      <w:bookmarkStart w:id="5" w:name="_Toc20344"/>
      <w:bookmarkStart w:id="6" w:name="_Toc109362883"/>
      <w:bookmarkStart w:id="7" w:name="_Toc109286970"/>
      <w:bookmarkStart w:id="8" w:name="_Toc8468"/>
      <w:bookmarkStart w:id="9" w:name="_Toc63605538"/>
      <w:bookmarkStart w:id="10" w:name="_Toc10829"/>
      <w:bookmarkStart w:id="11" w:name="_Toc1810"/>
      <w:bookmarkStart w:id="12" w:name="_Toc109577428"/>
      <w:bookmarkStart w:id="13" w:name="_Toc109593106"/>
      <w:bookmarkStart w:id="14" w:name="_Toc63695912"/>
      <w:bookmarkStart w:id="15" w:name="_Toc18933"/>
      <w:bookmarkStart w:id="16" w:name="_Toc32096"/>
      <w:bookmarkStart w:id="17" w:name="_Toc8567"/>
      <w:bookmarkStart w:id="18" w:name="_Toc6564"/>
      <w:bookmarkStart w:id="19" w:name="_Toc8432"/>
    </w:p>
    <w:p>
      <w:pPr>
        <w:spacing w:after="120"/>
        <w:ind w:left="560" w:leftChars="200" w:firstLine="560"/>
        <w:rPr>
          <w:color w:val="000000" w:themeColor="text1"/>
          <w14:textFill>
            <w14:solidFill>
              <w14:schemeClr w14:val="tx1"/>
            </w14:solidFill>
          </w14:textFill>
        </w:rPr>
      </w:pPr>
    </w:p>
    <w:p>
      <w:pPr>
        <w:spacing w:after="120"/>
        <w:ind w:left="560" w:leftChars="200" w:firstLine="560"/>
        <w:rPr>
          <w:color w:val="000000" w:themeColor="text1"/>
          <w14:textFill>
            <w14:solidFill>
              <w14:schemeClr w14:val="tx1"/>
            </w14:solidFill>
          </w14:textFill>
        </w:rPr>
      </w:pPr>
    </w:p>
    <w:p>
      <w:pPr>
        <w:ind w:firstLine="0" w:firstLineChars="0"/>
        <w:jc w:val="center"/>
        <w:rPr>
          <w:rFonts w:eastAsia="黑体"/>
          <w:color w:val="000000" w:themeColor="text1"/>
          <w:kern w:val="44"/>
          <w:sz w:val="48"/>
          <w:szCs w:val="48"/>
          <w14:textFill>
            <w14:solidFill>
              <w14:schemeClr w14:val="tx1"/>
            </w14:solidFill>
          </w14:textFill>
        </w:rPr>
      </w:pPr>
      <w:r>
        <w:rPr>
          <w:rFonts w:hint="eastAsia" w:eastAsia="黑体"/>
          <w:color w:val="000000" w:themeColor="text1"/>
          <w:kern w:val="44"/>
          <w:sz w:val="48"/>
          <w:szCs w:val="48"/>
          <w14:textFill>
            <w14:solidFill>
              <w14:schemeClr w14:val="tx1"/>
            </w14:solidFill>
          </w14:textFill>
        </w:rPr>
        <w:t>观澜河口调蓄池运营维护项目</w:t>
      </w:r>
    </w:p>
    <w:p>
      <w:pPr>
        <w:ind w:firstLine="0" w:firstLineChars="0"/>
        <w:jc w:val="center"/>
        <w:rPr>
          <w:rFonts w:eastAsia="黑体"/>
          <w:color w:val="000000" w:themeColor="text1"/>
          <w:kern w:val="44"/>
          <w:sz w:val="48"/>
          <w:szCs w:val="48"/>
          <w14:textFill>
            <w14:solidFill>
              <w14:schemeClr w14:val="tx1"/>
            </w14:solidFill>
          </w14:textFill>
        </w:rPr>
      </w:pPr>
      <w:r>
        <w:rPr>
          <w:rFonts w:hint="eastAsia" w:eastAsia="黑体"/>
          <w:color w:val="000000" w:themeColor="text1"/>
          <w:kern w:val="44"/>
          <w:sz w:val="48"/>
          <w:szCs w:val="48"/>
          <w14:textFill>
            <w14:solidFill>
              <w14:schemeClr w14:val="tx1"/>
            </w14:solidFill>
          </w14:textFill>
        </w:rPr>
        <w:t>（2026-2027年度）运营方案</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pPr>
        <w:ind w:firstLine="0" w:firstLineChars="0"/>
        <w:rPr>
          <w:rFonts w:eastAsia="黑体"/>
          <w:color w:val="000000" w:themeColor="text1"/>
          <w:sz w:val="16"/>
          <w:szCs w:val="16"/>
          <w14:textFill>
            <w14:solidFill>
              <w14:schemeClr w14:val="tx1"/>
            </w14:solidFill>
          </w14:textFill>
        </w:rPr>
      </w:pPr>
    </w:p>
    <w:p>
      <w:pPr>
        <w:spacing w:after="120"/>
        <w:ind w:left="560" w:leftChars="200" w:firstLine="320"/>
        <w:rPr>
          <w:rFonts w:eastAsia="黑体"/>
          <w:color w:val="000000" w:themeColor="text1"/>
          <w:sz w:val="16"/>
          <w:szCs w:val="16"/>
          <w14:textFill>
            <w14:solidFill>
              <w14:schemeClr w14:val="tx1"/>
            </w14:solidFill>
          </w14:textFill>
        </w:rPr>
      </w:pPr>
    </w:p>
    <w:p>
      <w:pPr>
        <w:spacing w:after="120"/>
        <w:ind w:left="560" w:leftChars="200" w:firstLine="320"/>
        <w:rPr>
          <w:rFonts w:eastAsia="黑体"/>
          <w:color w:val="000000" w:themeColor="text1"/>
          <w:sz w:val="16"/>
          <w:szCs w:val="16"/>
          <w14:textFill>
            <w14:solidFill>
              <w14:schemeClr w14:val="tx1"/>
            </w14:solidFill>
          </w14:textFill>
        </w:rPr>
      </w:pPr>
    </w:p>
    <w:p>
      <w:pPr>
        <w:spacing w:after="120"/>
        <w:ind w:left="560" w:leftChars="200" w:firstLine="320"/>
        <w:rPr>
          <w:rFonts w:eastAsia="黑体"/>
          <w:color w:val="000000" w:themeColor="text1"/>
          <w:sz w:val="16"/>
          <w:szCs w:val="16"/>
          <w14:textFill>
            <w14:solidFill>
              <w14:schemeClr w14:val="tx1"/>
            </w14:solidFill>
          </w14:textFill>
        </w:rPr>
      </w:pPr>
    </w:p>
    <w:p>
      <w:pPr>
        <w:spacing w:after="120"/>
        <w:ind w:left="560" w:leftChars="200" w:firstLine="560"/>
        <w:rPr>
          <w:color w:val="000000" w:themeColor="text1"/>
          <w14:textFill>
            <w14:solidFill>
              <w14:schemeClr w14:val="tx1"/>
            </w14:solidFill>
          </w14:textFill>
        </w:rPr>
      </w:pPr>
    </w:p>
    <w:p>
      <w:pPr>
        <w:spacing w:after="120"/>
        <w:ind w:left="560" w:leftChars="200" w:firstLine="560"/>
        <w:rPr>
          <w:color w:val="000000" w:themeColor="text1"/>
          <w14:textFill>
            <w14:solidFill>
              <w14:schemeClr w14:val="tx1"/>
            </w14:solidFill>
          </w14:textFill>
        </w:rPr>
      </w:pPr>
    </w:p>
    <w:p>
      <w:pPr>
        <w:spacing w:after="120"/>
        <w:ind w:left="560" w:leftChars="200" w:firstLine="560"/>
        <w:rPr>
          <w:color w:val="000000" w:themeColor="text1"/>
          <w14:textFill>
            <w14:solidFill>
              <w14:schemeClr w14:val="tx1"/>
            </w14:solidFill>
          </w14:textFill>
        </w:rPr>
      </w:pPr>
    </w:p>
    <w:p>
      <w:pPr>
        <w:spacing w:after="120"/>
        <w:ind w:left="560" w:leftChars="200" w:firstLine="560"/>
        <w:rPr>
          <w:color w:val="000000" w:themeColor="text1"/>
          <w14:textFill>
            <w14:solidFill>
              <w14:schemeClr w14:val="tx1"/>
            </w14:solidFill>
          </w14:textFill>
        </w:rPr>
      </w:pPr>
    </w:p>
    <w:p>
      <w:pPr>
        <w:spacing w:after="120"/>
        <w:ind w:left="560" w:leftChars="200" w:firstLine="560"/>
        <w:rPr>
          <w:color w:val="000000" w:themeColor="text1"/>
          <w14:textFill>
            <w14:solidFill>
              <w14:schemeClr w14:val="tx1"/>
            </w14:solidFill>
          </w14:textFill>
        </w:rPr>
      </w:pPr>
    </w:p>
    <w:p>
      <w:pPr>
        <w:ind w:firstLine="0" w:firstLineChars="0"/>
        <w:jc w:val="center"/>
        <w:rPr>
          <w:color w:val="000000" w:themeColor="text1"/>
          <w14:textFill>
            <w14:solidFill>
              <w14:schemeClr w14:val="tx1"/>
            </w14:solidFill>
          </w14:textFill>
        </w:rPr>
      </w:pPr>
    </w:p>
    <w:p>
      <w:pPr>
        <w:ind w:firstLine="0" w:firstLineChars="0"/>
        <w:jc w:val="center"/>
        <w:rPr>
          <w:color w:val="000000" w:themeColor="text1"/>
          <w14:textFill>
            <w14:solidFill>
              <w14:schemeClr w14:val="tx1"/>
            </w14:solidFill>
          </w14:textFill>
        </w:rPr>
      </w:pPr>
    </w:p>
    <w:p>
      <w:pPr>
        <w:ind w:firstLine="0" w:firstLineChars="0"/>
        <w:jc w:val="center"/>
        <w:rPr>
          <w:color w:val="000000" w:themeColor="text1"/>
          <w14:textFill>
            <w14:solidFill>
              <w14:schemeClr w14:val="tx1"/>
            </w14:solidFill>
          </w14:textFill>
        </w:rPr>
      </w:pPr>
    </w:p>
    <w:p>
      <w:pPr>
        <w:ind w:firstLine="0" w:firstLineChars="0"/>
        <w:jc w:val="center"/>
        <w:rPr>
          <w:color w:val="000000" w:themeColor="text1"/>
          <w14:textFill>
            <w14:solidFill>
              <w14:schemeClr w14:val="tx1"/>
            </w14:solidFill>
          </w14:textFill>
        </w:rPr>
      </w:pPr>
      <w:bookmarkStart w:id="20" w:name="_Toc109518713"/>
      <w:bookmarkStart w:id="21" w:name="_Toc2828"/>
      <w:bookmarkStart w:id="22" w:name="_Toc109593107"/>
      <w:bookmarkStart w:id="23" w:name="_Toc109577429"/>
      <w:bookmarkStart w:id="24" w:name="_Toc109362884"/>
    </w:p>
    <w:p>
      <w:pPr>
        <w:ind w:firstLine="0" w:firstLineChars="0"/>
        <w:jc w:val="center"/>
        <w:rPr>
          <w:rFonts w:eastAsia="黑体"/>
          <w:color w:val="000000" w:themeColor="text1"/>
          <w:sz w:val="36"/>
          <w:szCs w:val="16"/>
          <w14:textFill>
            <w14:solidFill>
              <w14:schemeClr w14:val="tx1"/>
            </w14:solidFill>
          </w14:textFill>
        </w:rPr>
      </w:pPr>
      <w:r>
        <w:rPr>
          <w:rFonts w:eastAsia="黑体"/>
          <w:color w:val="000000" w:themeColor="text1"/>
          <w:sz w:val="36"/>
          <w:szCs w:val="16"/>
          <w14:textFill>
            <w14:solidFill>
              <w14:schemeClr w14:val="tx1"/>
            </w14:solidFill>
          </w14:textFill>
        </w:rPr>
        <w:t>深圳市观澜河流域管理中心</w:t>
      </w:r>
      <w:bookmarkEnd w:id="20"/>
      <w:bookmarkEnd w:id="21"/>
      <w:bookmarkEnd w:id="22"/>
      <w:bookmarkEnd w:id="23"/>
      <w:bookmarkEnd w:id="24"/>
    </w:p>
    <w:p>
      <w:pPr>
        <w:ind w:firstLine="0" w:firstLineChars="0"/>
        <w:jc w:val="center"/>
        <w:rPr>
          <w:rFonts w:eastAsia="黑体"/>
          <w:color w:val="000000" w:themeColor="text1"/>
          <w:sz w:val="36"/>
          <w:szCs w:val="16"/>
          <w14:textFill>
            <w14:solidFill>
              <w14:schemeClr w14:val="tx1"/>
            </w14:solidFill>
          </w14:textFill>
        </w:rPr>
      </w:pPr>
      <w:r>
        <w:rPr>
          <w:rFonts w:eastAsia="黑体"/>
          <w:color w:val="000000" w:themeColor="text1"/>
          <w:sz w:val="36"/>
          <w:szCs w:val="16"/>
          <w14:textFill>
            <w14:solidFill>
              <w14:schemeClr w14:val="tx1"/>
            </w14:solidFill>
          </w14:textFill>
        </w:rPr>
        <w:t>二〇二</w:t>
      </w:r>
      <w:r>
        <w:rPr>
          <w:rFonts w:hint="eastAsia" w:eastAsia="黑体"/>
          <w:color w:val="000000" w:themeColor="text1"/>
          <w:sz w:val="36"/>
          <w:szCs w:val="16"/>
          <w14:textFill>
            <w14:solidFill>
              <w14:schemeClr w14:val="tx1"/>
            </w14:solidFill>
          </w14:textFill>
        </w:rPr>
        <w:t>六</w:t>
      </w:r>
      <w:r>
        <w:rPr>
          <w:rFonts w:eastAsia="黑体"/>
          <w:color w:val="000000" w:themeColor="text1"/>
          <w:sz w:val="36"/>
          <w:szCs w:val="16"/>
          <w14:textFill>
            <w14:solidFill>
              <w14:schemeClr w14:val="tx1"/>
            </w14:solidFill>
          </w14:textFill>
        </w:rPr>
        <w:t>年</w:t>
      </w:r>
      <w:r>
        <w:rPr>
          <w:rFonts w:hint="eastAsia" w:eastAsia="黑体"/>
          <w:color w:val="000000" w:themeColor="text1"/>
          <w:sz w:val="36"/>
          <w:szCs w:val="16"/>
          <w:lang w:eastAsia="zh-CN"/>
          <w14:textFill>
            <w14:solidFill>
              <w14:schemeClr w14:val="tx1"/>
            </w14:solidFill>
          </w14:textFill>
        </w:rPr>
        <w:t>四</w:t>
      </w:r>
      <w:r>
        <w:rPr>
          <w:rFonts w:eastAsia="黑体"/>
          <w:color w:val="000000" w:themeColor="text1"/>
          <w:sz w:val="36"/>
          <w:szCs w:val="16"/>
          <w14:textFill>
            <w14:solidFill>
              <w14:schemeClr w14:val="tx1"/>
            </w14:solidFill>
          </w14:textFill>
        </w:rPr>
        <w:t>月</w:t>
      </w:r>
    </w:p>
    <w:p>
      <w:pPr>
        <w:ind w:firstLine="0" w:firstLineChars="0"/>
        <w:jc w:val="center"/>
        <w:rPr>
          <w:rFonts w:eastAsia="黑体"/>
          <w:b/>
          <w:bCs/>
          <w:color w:val="000000" w:themeColor="text1"/>
          <w:sz w:val="36"/>
          <w:szCs w:val="16"/>
          <w14:textFill>
            <w14:solidFill>
              <w14:schemeClr w14:val="tx1"/>
            </w14:solidFill>
          </w14:textFill>
        </w:rPr>
        <w:sectPr>
          <w:headerReference r:id="rId7" w:type="first"/>
          <w:footerReference r:id="rId10" w:type="first"/>
          <w:headerReference r:id="rId5" w:type="default"/>
          <w:footerReference r:id="rId8" w:type="default"/>
          <w:headerReference r:id="rId6" w:type="even"/>
          <w:footerReference r:id="rId9" w:type="even"/>
          <w:pgSz w:w="11906" w:h="16838"/>
          <w:pgMar w:top="1800" w:right="1440" w:bottom="1800" w:left="1440" w:header="851" w:footer="992" w:gutter="0"/>
          <w:cols w:space="1401" w:num="1"/>
          <w:docGrid w:linePitch="312" w:charSpace="0"/>
        </w:sectPr>
      </w:pPr>
    </w:p>
    <w:p>
      <w:pPr>
        <w:pStyle w:val="22"/>
        <w:tabs>
          <w:tab w:val="right" w:leader="dot" w:pos="8296"/>
        </w:tabs>
        <w:jc w:val="center"/>
        <w:rPr>
          <w:rFonts w:hint="eastAsia"/>
          <w:bCs/>
          <w:color w:val="000000" w:themeColor="text1"/>
          <w:szCs w:val="28"/>
          <w14:textFill>
            <w14:solidFill>
              <w14:schemeClr w14:val="tx1"/>
            </w14:solidFill>
          </w14:textFill>
        </w:rPr>
      </w:pPr>
      <w:bookmarkStart w:id="25" w:name="_Toc109593109"/>
      <w:bookmarkStart w:id="26" w:name="_Toc29304"/>
      <w:bookmarkStart w:id="27" w:name="_Toc109518715"/>
      <w:bookmarkStart w:id="28" w:name="_Toc109577431"/>
      <w:bookmarkStart w:id="29" w:name="_Toc109362886"/>
      <w:r>
        <w:rPr>
          <w:bCs/>
          <w:color w:val="000000" w:themeColor="text1"/>
          <w:szCs w:val="28"/>
          <w14:textFill>
            <w14:solidFill>
              <w14:schemeClr w14:val="tx1"/>
            </w14:solidFill>
          </w14:textFill>
        </w:rPr>
        <w:t>目录</w:t>
      </w:r>
      <w:bookmarkEnd w:id="25"/>
      <w:bookmarkEnd w:id="26"/>
      <w:bookmarkEnd w:id="27"/>
      <w:bookmarkEnd w:id="28"/>
      <w:bookmarkEnd w:id="29"/>
    </w:p>
    <w:p>
      <w:pPr>
        <w:pStyle w:val="22"/>
        <w:tabs>
          <w:tab w:val="right" w:leader="dot" w:pos="8306"/>
        </w:tabs>
      </w:pPr>
      <w:r>
        <w:rPr>
          <w:rFonts w:hint="eastAsia"/>
          <w:color w:val="000000" w:themeColor="text1"/>
          <w:szCs w:val="21"/>
          <w14:textFill>
            <w14:solidFill>
              <w14:schemeClr w14:val="tx1"/>
            </w14:solidFill>
          </w14:textFill>
        </w:rPr>
        <w:fldChar w:fldCharType="begin"/>
      </w:r>
      <w:r>
        <w:rPr>
          <w:rFonts w:hint="eastAsia"/>
          <w:color w:val="000000" w:themeColor="text1"/>
          <w:szCs w:val="21"/>
          <w14:textFill>
            <w14:solidFill>
              <w14:schemeClr w14:val="tx1"/>
            </w14:solidFill>
          </w14:textFill>
        </w:rPr>
        <w:instrText xml:space="preserve"> TOC \o "1-4" \h \z \u </w:instrText>
      </w:r>
      <w:r>
        <w:rPr>
          <w:rFonts w:hint="eastAsia"/>
          <w:color w:val="000000" w:themeColor="text1"/>
          <w:szCs w:val="21"/>
          <w14:textFill>
            <w14:solidFill>
              <w14:schemeClr w14:val="tx1"/>
            </w14:solidFill>
          </w14:textFill>
        </w:rPr>
        <w:fldChar w:fldCharType="separate"/>
      </w: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_Toc1442071470 </w:instrText>
      </w:r>
      <w:r>
        <w:rPr>
          <w:rFonts w:hint="eastAsia"/>
          <w:szCs w:val="21"/>
        </w:rPr>
        <w:fldChar w:fldCharType="separate"/>
      </w:r>
      <w:r>
        <w:rPr>
          <w:rFonts w:hint="default" w:ascii="Times New Roman" w:hAnsi="Times New Roman" w:eastAsia="宋体" w:cs="Times New Roman"/>
          <w:szCs w:val="44"/>
          <w:lang w:val="en-US"/>
        </w:rPr>
        <w:t xml:space="preserve">第一章 </w:t>
      </w:r>
      <w:r>
        <w:t>概述</w:t>
      </w:r>
      <w:r>
        <w:tab/>
      </w:r>
      <w:r>
        <w:fldChar w:fldCharType="begin"/>
      </w:r>
      <w:r>
        <w:instrText xml:space="preserve"> PAGEREF _Toc1442071470 \h </w:instrText>
      </w:r>
      <w:r>
        <w:fldChar w:fldCharType="separate"/>
      </w:r>
      <w:r>
        <w:t>3</w:t>
      </w:r>
      <w:r>
        <w:fldChar w:fldCharType="end"/>
      </w:r>
      <w:r>
        <w:rPr>
          <w:rFonts w:hint="eastAsia"/>
          <w:color w:val="000000" w:themeColor="text1"/>
          <w:szCs w:val="21"/>
          <w14:textFill>
            <w14:solidFill>
              <w14:schemeClr w14:val="tx1"/>
            </w14:solidFill>
          </w14:textFill>
        </w:rPr>
        <w:fldChar w:fldCharType="end"/>
      </w:r>
    </w:p>
    <w:p>
      <w:pPr>
        <w:pStyle w:val="25"/>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_Toc684462399 </w:instrText>
      </w:r>
      <w:r>
        <w:rPr>
          <w:rFonts w:hint="eastAsia"/>
          <w:szCs w:val="21"/>
        </w:rPr>
        <w:fldChar w:fldCharType="separate"/>
      </w:r>
      <w:r>
        <w:rPr>
          <w:rFonts w:hint="default" w:eastAsia="宋体"/>
          <w:lang w:val="en-US" w:eastAsia="zh-CN"/>
        </w:rPr>
        <w:t>1.1</w:t>
      </w:r>
      <w:r>
        <w:t>设施建设运营背景</w:t>
      </w:r>
      <w:r>
        <w:tab/>
      </w:r>
      <w:r>
        <w:fldChar w:fldCharType="begin"/>
      </w:r>
      <w:r>
        <w:instrText xml:space="preserve"> PAGEREF _Toc684462399 \h </w:instrText>
      </w:r>
      <w:r>
        <w:fldChar w:fldCharType="separate"/>
      </w:r>
      <w:r>
        <w:t>3</w:t>
      </w:r>
      <w:r>
        <w:fldChar w:fldCharType="end"/>
      </w:r>
      <w:r>
        <w:rPr>
          <w:rFonts w:hint="eastAsia"/>
          <w:color w:val="000000" w:themeColor="text1"/>
          <w:szCs w:val="21"/>
          <w14:textFill>
            <w14:solidFill>
              <w14:schemeClr w14:val="tx1"/>
            </w14:solidFill>
          </w14:textFill>
        </w:rPr>
        <w:fldChar w:fldCharType="end"/>
      </w:r>
    </w:p>
    <w:p>
      <w:pPr>
        <w:pStyle w:val="25"/>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_Toc983620880 </w:instrText>
      </w:r>
      <w:r>
        <w:rPr>
          <w:rFonts w:hint="eastAsia"/>
          <w:szCs w:val="21"/>
        </w:rPr>
        <w:fldChar w:fldCharType="separate"/>
      </w:r>
      <w:r>
        <w:rPr>
          <w:rFonts w:hint="eastAsia"/>
          <w:lang w:val="en-US" w:eastAsia="zh-CN"/>
        </w:rPr>
        <w:t>1.2</w:t>
      </w:r>
      <w:r>
        <w:rPr>
          <w:rFonts w:hint="eastAsia"/>
          <w:lang w:eastAsia="zh-CN"/>
        </w:rPr>
        <w:t>功能定位</w:t>
      </w:r>
      <w:r>
        <w:tab/>
      </w:r>
      <w:r>
        <w:fldChar w:fldCharType="begin"/>
      </w:r>
      <w:r>
        <w:instrText xml:space="preserve"> PAGEREF _Toc983620880 \h </w:instrText>
      </w:r>
      <w:r>
        <w:fldChar w:fldCharType="separate"/>
      </w:r>
      <w:r>
        <w:t>5</w:t>
      </w:r>
      <w:r>
        <w:fldChar w:fldCharType="end"/>
      </w:r>
      <w:r>
        <w:rPr>
          <w:rFonts w:hint="eastAsia"/>
          <w:color w:val="000000" w:themeColor="text1"/>
          <w:szCs w:val="21"/>
          <w14:textFill>
            <w14:solidFill>
              <w14:schemeClr w14:val="tx1"/>
            </w14:solidFill>
          </w14:textFill>
        </w:rPr>
        <w:fldChar w:fldCharType="end"/>
      </w:r>
    </w:p>
    <w:p>
      <w:pPr>
        <w:pStyle w:val="16"/>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_Toc591475987 </w:instrText>
      </w:r>
      <w:r>
        <w:rPr>
          <w:rFonts w:hint="eastAsia"/>
          <w:szCs w:val="21"/>
        </w:rPr>
        <w:fldChar w:fldCharType="separate"/>
      </w:r>
      <w:r>
        <w:rPr>
          <w:rFonts w:hint="eastAsia"/>
          <w:bCs/>
          <w:szCs w:val="44"/>
          <w:lang w:val="en-US" w:eastAsia="zh-CN"/>
        </w:rPr>
        <w:t>1.2.1</w:t>
      </w:r>
      <w:r>
        <w:rPr>
          <w:rFonts w:hint="default"/>
          <w:bCs/>
          <w:szCs w:val="44"/>
        </w:rPr>
        <w:t>设施功能定位</w:t>
      </w:r>
      <w:r>
        <w:tab/>
      </w:r>
      <w:r>
        <w:fldChar w:fldCharType="begin"/>
      </w:r>
      <w:r>
        <w:instrText xml:space="preserve"> PAGEREF _Toc591475987 \h </w:instrText>
      </w:r>
      <w:r>
        <w:fldChar w:fldCharType="separate"/>
      </w:r>
      <w:r>
        <w:t>5</w:t>
      </w:r>
      <w:r>
        <w:fldChar w:fldCharType="end"/>
      </w:r>
      <w:r>
        <w:rPr>
          <w:rFonts w:hint="eastAsia"/>
          <w:color w:val="000000" w:themeColor="text1"/>
          <w:szCs w:val="21"/>
          <w14:textFill>
            <w14:solidFill>
              <w14:schemeClr w14:val="tx1"/>
            </w14:solidFill>
          </w14:textFill>
        </w:rPr>
        <w:fldChar w:fldCharType="end"/>
      </w:r>
    </w:p>
    <w:p>
      <w:pPr>
        <w:pStyle w:val="16"/>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_Toc161308845 </w:instrText>
      </w:r>
      <w:r>
        <w:rPr>
          <w:rFonts w:hint="eastAsia"/>
          <w:szCs w:val="21"/>
        </w:rPr>
        <w:fldChar w:fldCharType="separate"/>
      </w:r>
      <w:r>
        <w:rPr>
          <w:rFonts w:hint="eastAsia"/>
          <w:lang w:val="en-US" w:eastAsia="zh-CN"/>
        </w:rPr>
        <w:t>1.2.2</w:t>
      </w:r>
      <w:r>
        <w:rPr>
          <w:rFonts w:hint="eastAsia"/>
        </w:rPr>
        <w:t>设施运行</w:t>
      </w:r>
      <w:r>
        <w:t>必要性</w:t>
      </w:r>
      <w:r>
        <w:tab/>
      </w:r>
      <w:r>
        <w:fldChar w:fldCharType="begin"/>
      </w:r>
      <w:r>
        <w:instrText xml:space="preserve"> PAGEREF _Toc161308845 \h </w:instrText>
      </w:r>
      <w:r>
        <w:fldChar w:fldCharType="separate"/>
      </w:r>
      <w:r>
        <w:t>5</w:t>
      </w:r>
      <w:r>
        <w:fldChar w:fldCharType="end"/>
      </w:r>
      <w:r>
        <w:rPr>
          <w:rFonts w:hint="eastAsia"/>
          <w:color w:val="000000" w:themeColor="text1"/>
          <w:szCs w:val="21"/>
          <w14:textFill>
            <w14:solidFill>
              <w14:schemeClr w14:val="tx1"/>
            </w14:solidFill>
          </w14:textFill>
        </w:rPr>
        <w:fldChar w:fldCharType="end"/>
      </w:r>
    </w:p>
    <w:p>
      <w:pPr>
        <w:pStyle w:val="25"/>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_Toc210223245 </w:instrText>
      </w:r>
      <w:r>
        <w:rPr>
          <w:rFonts w:hint="eastAsia"/>
          <w:szCs w:val="21"/>
        </w:rPr>
        <w:fldChar w:fldCharType="separate"/>
      </w:r>
      <w:r>
        <w:rPr>
          <w:rFonts w:hint="eastAsia"/>
          <w:lang w:val="en-US" w:eastAsia="zh-CN"/>
        </w:rPr>
        <w:t>1.3</w:t>
      </w:r>
      <w:r>
        <w:rPr>
          <w:rFonts w:hint="eastAsia"/>
        </w:rPr>
        <w:t>运行工况</w:t>
      </w:r>
      <w:r>
        <w:tab/>
      </w:r>
      <w:r>
        <w:fldChar w:fldCharType="begin"/>
      </w:r>
      <w:r>
        <w:instrText xml:space="preserve"> PAGEREF _Toc210223245 \h </w:instrText>
      </w:r>
      <w:r>
        <w:fldChar w:fldCharType="separate"/>
      </w:r>
      <w:r>
        <w:t>5</w:t>
      </w:r>
      <w:r>
        <w:fldChar w:fldCharType="end"/>
      </w:r>
      <w:r>
        <w:rPr>
          <w:rFonts w:hint="eastAsia"/>
          <w:color w:val="000000" w:themeColor="text1"/>
          <w:szCs w:val="21"/>
          <w14:textFill>
            <w14:solidFill>
              <w14:schemeClr w14:val="tx1"/>
            </w14:solidFill>
          </w14:textFill>
        </w:rPr>
        <w:fldChar w:fldCharType="end"/>
      </w:r>
    </w:p>
    <w:p>
      <w:pPr>
        <w:pStyle w:val="16"/>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_Toc90229350 </w:instrText>
      </w:r>
      <w:r>
        <w:rPr>
          <w:rFonts w:hint="eastAsia"/>
          <w:szCs w:val="21"/>
        </w:rPr>
        <w:fldChar w:fldCharType="separate"/>
      </w:r>
      <w:r>
        <w:rPr>
          <w:rFonts w:hint="eastAsia"/>
          <w:lang w:val="en-US" w:eastAsia="zh-CN"/>
        </w:rPr>
        <w:t>1.3.1</w:t>
      </w:r>
      <w:r>
        <w:rPr>
          <w:rFonts w:hint="eastAsia"/>
        </w:rPr>
        <w:t>设施处理规模</w:t>
      </w:r>
      <w:r>
        <w:tab/>
      </w:r>
      <w:r>
        <w:fldChar w:fldCharType="begin"/>
      </w:r>
      <w:r>
        <w:instrText xml:space="preserve"> PAGEREF _Toc90229350 \h </w:instrText>
      </w:r>
      <w:r>
        <w:fldChar w:fldCharType="separate"/>
      </w:r>
      <w:r>
        <w:t>5</w:t>
      </w:r>
      <w:r>
        <w:fldChar w:fldCharType="end"/>
      </w:r>
      <w:r>
        <w:rPr>
          <w:rFonts w:hint="eastAsia"/>
          <w:color w:val="000000" w:themeColor="text1"/>
          <w:szCs w:val="21"/>
          <w14:textFill>
            <w14:solidFill>
              <w14:schemeClr w14:val="tx1"/>
            </w14:solidFill>
          </w14:textFill>
        </w:rPr>
        <w:fldChar w:fldCharType="end"/>
      </w:r>
    </w:p>
    <w:p>
      <w:pPr>
        <w:pStyle w:val="16"/>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_Toc899994926 </w:instrText>
      </w:r>
      <w:r>
        <w:rPr>
          <w:rFonts w:hint="eastAsia"/>
          <w:szCs w:val="21"/>
        </w:rPr>
        <w:fldChar w:fldCharType="separate"/>
      </w:r>
      <w:r>
        <w:rPr>
          <w:rFonts w:hint="eastAsia"/>
          <w:lang w:val="en-US" w:eastAsia="zh-CN"/>
        </w:rPr>
        <w:t>1.3.2</w:t>
      </w:r>
      <w:r>
        <w:rPr>
          <w:rFonts w:hint="eastAsia"/>
        </w:rPr>
        <w:t>设施进出水水水质标准</w:t>
      </w:r>
      <w:r>
        <w:tab/>
      </w:r>
      <w:r>
        <w:fldChar w:fldCharType="begin"/>
      </w:r>
      <w:r>
        <w:instrText xml:space="preserve"> PAGEREF _Toc899994926 \h </w:instrText>
      </w:r>
      <w:r>
        <w:fldChar w:fldCharType="separate"/>
      </w:r>
      <w:r>
        <w:t>6</w:t>
      </w:r>
      <w:r>
        <w:fldChar w:fldCharType="end"/>
      </w:r>
      <w:r>
        <w:rPr>
          <w:rFonts w:hint="eastAsia"/>
          <w:color w:val="000000" w:themeColor="text1"/>
          <w:szCs w:val="21"/>
          <w14:textFill>
            <w14:solidFill>
              <w14:schemeClr w14:val="tx1"/>
            </w14:solidFill>
          </w14:textFill>
        </w:rPr>
        <w:fldChar w:fldCharType="end"/>
      </w:r>
    </w:p>
    <w:p>
      <w:pPr>
        <w:pStyle w:val="22"/>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_Toc984386747 </w:instrText>
      </w:r>
      <w:r>
        <w:rPr>
          <w:rFonts w:hint="eastAsia"/>
          <w:szCs w:val="21"/>
        </w:rPr>
        <w:fldChar w:fldCharType="separate"/>
      </w:r>
      <w:r>
        <w:rPr>
          <w:rFonts w:hint="default" w:ascii="Times New Roman" w:hAnsi="Times New Roman" w:eastAsia="宋体" w:cs="Times New Roman"/>
          <w:szCs w:val="44"/>
          <w:lang w:val="en-US"/>
        </w:rPr>
        <w:t xml:space="preserve">第二章 </w:t>
      </w:r>
      <w:r>
        <w:rPr>
          <w:rFonts w:hint="eastAsia"/>
        </w:rPr>
        <w:t>具体运营方案</w:t>
      </w:r>
      <w:r>
        <w:tab/>
      </w:r>
      <w:r>
        <w:fldChar w:fldCharType="begin"/>
      </w:r>
      <w:r>
        <w:instrText xml:space="preserve"> PAGEREF _Toc984386747 \h </w:instrText>
      </w:r>
      <w:r>
        <w:fldChar w:fldCharType="separate"/>
      </w:r>
      <w:r>
        <w:t>7</w:t>
      </w:r>
      <w:r>
        <w:fldChar w:fldCharType="end"/>
      </w:r>
      <w:r>
        <w:rPr>
          <w:rFonts w:hint="eastAsia"/>
          <w:color w:val="000000" w:themeColor="text1"/>
          <w:szCs w:val="21"/>
          <w14:textFill>
            <w14:solidFill>
              <w14:schemeClr w14:val="tx1"/>
            </w14:solidFill>
          </w14:textFill>
        </w:rPr>
        <w:fldChar w:fldCharType="end"/>
      </w:r>
    </w:p>
    <w:p>
      <w:pPr>
        <w:pStyle w:val="25"/>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_Toc1318090061 </w:instrText>
      </w:r>
      <w:r>
        <w:rPr>
          <w:rFonts w:hint="eastAsia"/>
          <w:szCs w:val="21"/>
        </w:rPr>
        <w:fldChar w:fldCharType="separate"/>
      </w:r>
      <w:r>
        <w:rPr>
          <w:rFonts w:hint="eastAsia"/>
          <w:lang w:val="en-US" w:eastAsia="zh-CN"/>
        </w:rPr>
        <w:t>2.1</w:t>
      </w:r>
      <w:r>
        <w:rPr>
          <w:rFonts w:hint="default"/>
        </w:rPr>
        <w:t>现状运营评估</w:t>
      </w:r>
      <w:r>
        <w:tab/>
      </w:r>
      <w:r>
        <w:fldChar w:fldCharType="begin"/>
      </w:r>
      <w:r>
        <w:instrText xml:space="preserve"> PAGEREF _Toc1318090061 \h </w:instrText>
      </w:r>
      <w:r>
        <w:fldChar w:fldCharType="separate"/>
      </w:r>
      <w:r>
        <w:t>7</w:t>
      </w:r>
      <w:r>
        <w:fldChar w:fldCharType="end"/>
      </w:r>
      <w:r>
        <w:rPr>
          <w:rFonts w:hint="eastAsia"/>
          <w:color w:val="000000" w:themeColor="text1"/>
          <w:szCs w:val="21"/>
          <w14:textFill>
            <w14:solidFill>
              <w14:schemeClr w14:val="tx1"/>
            </w14:solidFill>
          </w14:textFill>
        </w:rPr>
        <w:fldChar w:fldCharType="end"/>
      </w:r>
    </w:p>
    <w:p>
      <w:pPr>
        <w:pStyle w:val="16"/>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_Toc1602897238 </w:instrText>
      </w:r>
      <w:r>
        <w:rPr>
          <w:rFonts w:hint="eastAsia"/>
          <w:szCs w:val="21"/>
        </w:rPr>
        <w:fldChar w:fldCharType="separate"/>
      </w:r>
      <w:r>
        <w:rPr>
          <w:rFonts w:hint="eastAsia"/>
          <w:lang w:val="en-US" w:eastAsia="zh-CN"/>
        </w:rPr>
        <w:t>2.1.1</w:t>
      </w:r>
      <w:r>
        <w:rPr>
          <w:rFonts w:hint="eastAsia"/>
        </w:rPr>
        <w:t>工艺简介</w:t>
      </w:r>
      <w:r>
        <w:tab/>
      </w:r>
      <w:r>
        <w:fldChar w:fldCharType="begin"/>
      </w:r>
      <w:r>
        <w:instrText xml:space="preserve"> PAGEREF _Toc1602897238 \h </w:instrText>
      </w:r>
      <w:r>
        <w:fldChar w:fldCharType="separate"/>
      </w:r>
      <w:r>
        <w:t>7</w:t>
      </w:r>
      <w:r>
        <w:fldChar w:fldCharType="end"/>
      </w:r>
      <w:r>
        <w:rPr>
          <w:rFonts w:hint="eastAsia"/>
          <w:color w:val="000000" w:themeColor="text1"/>
          <w:szCs w:val="21"/>
          <w14:textFill>
            <w14:solidFill>
              <w14:schemeClr w14:val="tx1"/>
            </w14:solidFill>
          </w14:textFill>
        </w:rPr>
        <w:fldChar w:fldCharType="end"/>
      </w:r>
    </w:p>
    <w:p>
      <w:pPr>
        <w:pStyle w:val="16"/>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_Toc1386660250 </w:instrText>
      </w:r>
      <w:r>
        <w:rPr>
          <w:rFonts w:hint="eastAsia"/>
          <w:szCs w:val="21"/>
        </w:rPr>
        <w:fldChar w:fldCharType="separate"/>
      </w:r>
      <w:r>
        <w:rPr>
          <w:rFonts w:hint="eastAsia"/>
          <w:lang w:val="en-US" w:eastAsia="zh-CN"/>
        </w:rPr>
        <w:t>2.1.2</w:t>
      </w:r>
      <w:r>
        <w:rPr>
          <w:rFonts w:hint="eastAsia"/>
        </w:rPr>
        <w:t>设计标准</w:t>
      </w:r>
      <w:r>
        <w:tab/>
      </w:r>
      <w:r>
        <w:fldChar w:fldCharType="begin"/>
      </w:r>
      <w:r>
        <w:instrText xml:space="preserve"> PAGEREF _Toc1386660250 \h </w:instrText>
      </w:r>
      <w:r>
        <w:fldChar w:fldCharType="separate"/>
      </w:r>
      <w:r>
        <w:t>10</w:t>
      </w:r>
      <w:r>
        <w:fldChar w:fldCharType="end"/>
      </w:r>
      <w:r>
        <w:rPr>
          <w:rFonts w:hint="eastAsia"/>
          <w:color w:val="000000" w:themeColor="text1"/>
          <w:szCs w:val="21"/>
          <w14:textFill>
            <w14:solidFill>
              <w14:schemeClr w14:val="tx1"/>
            </w14:solidFill>
          </w14:textFill>
        </w:rPr>
        <w:fldChar w:fldCharType="end"/>
      </w:r>
    </w:p>
    <w:p>
      <w:pPr>
        <w:pStyle w:val="16"/>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_Toc512679456 </w:instrText>
      </w:r>
      <w:r>
        <w:rPr>
          <w:rFonts w:hint="eastAsia"/>
          <w:szCs w:val="21"/>
        </w:rPr>
        <w:fldChar w:fldCharType="separate"/>
      </w:r>
      <w:r>
        <w:rPr>
          <w:rFonts w:hint="eastAsia"/>
          <w:lang w:val="en-US" w:eastAsia="zh-CN"/>
        </w:rPr>
        <w:t>2.1.3</w:t>
      </w:r>
      <w:r>
        <w:rPr>
          <w:rFonts w:hint="eastAsia"/>
        </w:rPr>
        <w:t>现状设施评估</w:t>
      </w:r>
      <w:r>
        <w:tab/>
      </w:r>
      <w:r>
        <w:fldChar w:fldCharType="begin"/>
      </w:r>
      <w:r>
        <w:instrText xml:space="preserve"> PAGEREF _Toc512679456 \h </w:instrText>
      </w:r>
      <w:r>
        <w:fldChar w:fldCharType="separate"/>
      </w:r>
      <w:r>
        <w:t>11</w:t>
      </w:r>
      <w:r>
        <w:fldChar w:fldCharType="end"/>
      </w:r>
      <w:r>
        <w:rPr>
          <w:rFonts w:hint="eastAsia"/>
          <w:color w:val="000000" w:themeColor="text1"/>
          <w:szCs w:val="21"/>
          <w14:textFill>
            <w14:solidFill>
              <w14:schemeClr w14:val="tx1"/>
            </w14:solidFill>
          </w14:textFill>
        </w:rPr>
        <w:fldChar w:fldCharType="end"/>
      </w:r>
    </w:p>
    <w:p>
      <w:pPr>
        <w:pStyle w:val="16"/>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_Toc1883049744 </w:instrText>
      </w:r>
      <w:r>
        <w:rPr>
          <w:rFonts w:hint="eastAsia"/>
          <w:szCs w:val="21"/>
        </w:rPr>
        <w:fldChar w:fldCharType="separate"/>
      </w:r>
      <w:r>
        <w:rPr>
          <w:rFonts w:hint="eastAsia"/>
          <w:lang w:val="en-US" w:eastAsia="zh-CN"/>
        </w:rPr>
        <w:t>2.1.4</w:t>
      </w:r>
      <w:r>
        <w:rPr>
          <w:rFonts w:hint="eastAsia"/>
        </w:rPr>
        <w:t>运营工况评估</w:t>
      </w:r>
      <w:r>
        <w:tab/>
      </w:r>
      <w:r>
        <w:fldChar w:fldCharType="begin"/>
      </w:r>
      <w:r>
        <w:instrText xml:space="preserve"> PAGEREF _Toc1883049744 \h </w:instrText>
      </w:r>
      <w:r>
        <w:fldChar w:fldCharType="separate"/>
      </w:r>
      <w:r>
        <w:t>18</w:t>
      </w:r>
      <w:r>
        <w:fldChar w:fldCharType="end"/>
      </w:r>
      <w:r>
        <w:rPr>
          <w:rFonts w:hint="eastAsia"/>
          <w:color w:val="000000" w:themeColor="text1"/>
          <w:szCs w:val="21"/>
          <w14:textFill>
            <w14:solidFill>
              <w14:schemeClr w14:val="tx1"/>
            </w14:solidFill>
          </w14:textFill>
        </w:rPr>
        <w:fldChar w:fldCharType="end"/>
      </w:r>
    </w:p>
    <w:p>
      <w:pPr>
        <w:pStyle w:val="25"/>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_Toc1825424355 </w:instrText>
      </w:r>
      <w:r>
        <w:rPr>
          <w:rFonts w:hint="eastAsia"/>
          <w:szCs w:val="21"/>
        </w:rPr>
        <w:fldChar w:fldCharType="separate"/>
      </w:r>
      <w:r>
        <w:rPr>
          <w:rFonts w:hint="eastAsia"/>
          <w:lang w:val="en-US" w:eastAsia="zh-CN"/>
        </w:rPr>
        <w:t>2.2</w:t>
      </w:r>
      <w:r>
        <w:rPr>
          <w:rFonts w:hint="eastAsia"/>
        </w:rPr>
        <w:t>继续运营方案</w:t>
      </w:r>
      <w:r>
        <w:tab/>
      </w:r>
      <w:r>
        <w:fldChar w:fldCharType="begin"/>
      </w:r>
      <w:r>
        <w:instrText xml:space="preserve"> PAGEREF _Toc1825424355 \h </w:instrText>
      </w:r>
      <w:r>
        <w:fldChar w:fldCharType="separate"/>
      </w:r>
      <w:r>
        <w:t>19</w:t>
      </w:r>
      <w:r>
        <w:fldChar w:fldCharType="end"/>
      </w:r>
      <w:r>
        <w:rPr>
          <w:rFonts w:hint="eastAsia"/>
          <w:color w:val="000000" w:themeColor="text1"/>
          <w:szCs w:val="21"/>
          <w14:textFill>
            <w14:solidFill>
              <w14:schemeClr w14:val="tx1"/>
            </w14:solidFill>
          </w14:textFill>
        </w:rPr>
        <w:fldChar w:fldCharType="end"/>
      </w:r>
    </w:p>
    <w:p>
      <w:pPr>
        <w:pStyle w:val="16"/>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_Toc1841787532 </w:instrText>
      </w:r>
      <w:r>
        <w:rPr>
          <w:rFonts w:hint="eastAsia"/>
          <w:szCs w:val="21"/>
        </w:rPr>
        <w:fldChar w:fldCharType="separate"/>
      </w:r>
      <w:r>
        <w:rPr>
          <w:rFonts w:hint="eastAsia"/>
          <w:lang w:val="en-US" w:eastAsia="zh-CN"/>
        </w:rPr>
        <w:t>2.2.1</w:t>
      </w:r>
      <w:r>
        <w:rPr>
          <w:rFonts w:hint="eastAsia"/>
        </w:rPr>
        <w:t>水处理方案</w:t>
      </w:r>
      <w:r>
        <w:tab/>
      </w:r>
      <w:r>
        <w:fldChar w:fldCharType="begin"/>
      </w:r>
      <w:r>
        <w:instrText xml:space="preserve"> PAGEREF _Toc1841787532 \h </w:instrText>
      </w:r>
      <w:r>
        <w:fldChar w:fldCharType="separate"/>
      </w:r>
      <w:r>
        <w:t>19</w:t>
      </w:r>
      <w:r>
        <w:fldChar w:fldCharType="end"/>
      </w:r>
      <w:r>
        <w:rPr>
          <w:rFonts w:hint="eastAsia"/>
          <w:color w:val="000000" w:themeColor="text1"/>
          <w:szCs w:val="21"/>
          <w14:textFill>
            <w14:solidFill>
              <w14:schemeClr w14:val="tx1"/>
            </w14:solidFill>
          </w14:textFill>
        </w:rPr>
        <w:fldChar w:fldCharType="end"/>
      </w:r>
    </w:p>
    <w:p>
      <w:pPr>
        <w:pStyle w:val="23"/>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_Toc853659023 </w:instrText>
      </w:r>
      <w:r>
        <w:rPr>
          <w:rFonts w:hint="eastAsia"/>
          <w:szCs w:val="21"/>
        </w:rPr>
        <w:fldChar w:fldCharType="separate"/>
      </w:r>
      <w:r>
        <w:rPr>
          <w:rFonts w:hint="eastAsia"/>
          <w:lang w:val="en-US" w:eastAsia="zh-CN"/>
        </w:rPr>
        <w:t>2.2.1.1</w:t>
      </w:r>
      <w:r>
        <w:rPr>
          <w:rFonts w:hint="eastAsia"/>
        </w:rPr>
        <w:t>预处理运行管理</w:t>
      </w:r>
      <w:r>
        <w:tab/>
      </w:r>
      <w:r>
        <w:fldChar w:fldCharType="begin"/>
      </w:r>
      <w:r>
        <w:instrText xml:space="preserve"> PAGEREF _Toc853659023 \h </w:instrText>
      </w:r>
      <w:r>
        <w:fldChar w:fldCharType="separate"/>
      </w:r>
      <w:r>
        <w:t>19</w:t>
      </w:r>
      <w:r>
        <w:fldChar w:fldCharType="end"/>
      </w:r>
      <w:r>
        <w:rPr>
          <w:rFonts w:hint="eastAsia"/>
          <w:color w:val="000000" w:themeColor="text1"/>
          <w:szCs w:val="21"/>
          <w14:textFill>
            <w14:solidFill>
              <w14:schemeClr w14:val="tx1"/>
            </w14:solidFill>
          </w14:textFill>
        </w:rPr>
        <w:fldChar w:fldCharType="end"/>
      </w:r>
    </w:p>
    <w:p>
      <w:pPr>
        <w:pStyle w:val="23"/>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_Toc1950660498 </w:instrText>
      </w:r>
      <w:r>
        <w:rPr>
          <w:rFonts w:hint="eastAsia"/>
          <w:szCs w:val="21"/>
        </w:rPr>
        <w:fldChar w:fldCharType="separate"/>
      </w:r>
      <w:r>
        <w:rPr>
          <w:rFonts w:hint="eastAsia"/>
          <w:lang w:val="en-US" w:eastAsia="zh-CN"/>
        </w:rPr>
        <w:t>2.2.1.2</w:t>
      </w:r>
      <w:r>
        <w:rPr>
          <w:rFonts w:hint="eastAsia"/>
        </w:rPr>
        <w:t>生物处理运行管理</w:t>
      </w:r>
      <w:r>
        <w:tab/>
      </w:r>
      <w:r>
        <w:fldChar w:fldCharType="begin"/>
      </w:r>
      <w:r>
        <w:instrText xml:space="preserve"> PAGEREF _Toc1950660498 \h </w:instrText>
      </w:r>
      <w:r>
        <w:fldChar w:fldCharType="separate"/>
      </w:r>
      <w:r>
        <w:t>21</w:t>
      </w:r>
      <w:r>
        <w:fldChar w:fldCharType="end"/>
      </w:r>
      <w:r>
        <w:rPr>
          <w:rFonts w:hint="eastAsia"/>
          <w:color w:val="000000" w:themeColor="text1"/>
          <w:szCs w:val="21"/>
          <w14:textFill>
            <w14:solidFill>
              <w14:schemeClr w14:val="tx1"/>
            </w14:solidFill>
          </w14:textFill>
        </w:rPr>
        <w:fldChar w:fldCharType="end"/>
      </w:r>
    </w:p>
    <w:p>
      <w:pPr>
        <w:pStyle w:val="23"/>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_Toc1071513386 </w:instrText>
      </w:r>
      <w:r>
        <w:rPr>
          <w:rFonts w:hint="eastAsia"/>
          <w:szCs w:val="21"/>
        </w:rPr>
        <w:fldChar w:fldCharType="separate"/>
      </w:r>
      <w:r>
        <w:rPr>
          <w:rFonts w:hint="eastAsia"/>
          <w:lang w:val="en-US" w:eastAsia="zh-CN"/>
        </w:rPr>
        <w:t>2.2.1.3</w:t>
      </w:r>
      <w:r>
        <w:rPr>
          <w:rFonts w:hint="eastAsia"/>
        </w:rPr>
        <w:t>深度处理运行管理</w:t>
      </w:r>
      <w:r>
        <w:tab/>
      </w:r>
      <w:r>
        <w:fldChar w:fldCharType="begin"/>
      </w:r>
      <w:r>
        <w:instrText xml:space="preserve"> PAGEREF _Toc1071513386 \h </w:instrText>
      </w:r>
      <w:r>
        <w:fldChar w:fldCharType="separate"/>
      </w:r>
      <w:r>
        <w:t>22</w:t>
      </w:r>
      <w:r>
        <w:fldChar w:fldCharType="end"/>
      </w:r>
      <w:r>
        <w:rPr>
          <w:rFonts w:hint="eastAsia"/>
          <w:color w:val="000000" w:themeColor="text1"/>
          <w:szCs w:val="21"/>
          <w14:textFill>
            <w14:solidFill>
              <w14:schemeClr w14:val="tx1"/>
            </w14:solidFill>
          </w14:textFill>
        </w:rPr>
        <w:fldChar w:fldCharType="end"/>
      </w:r>
    </w:p>
    <w:p>
      <w:pPr>
        <w:pStyle w:val="16"/>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_Toc1336714067 </w:instrText>
      </w:r>
      <w:r>
        <w:rPr>
          <w:rFonts w:hint="eastAsia"/>
          <w:szCs w:val="21"/>
        </w:rPr>
        <w:fldChar w:fldCharType="separate"/>
      </w:r>
      <w:r>
        <w:rPr>
          <w:rFonts w:hint="eastAsia"/>
          <w:lang w:val="en-US" w:eastAsia="zh-CN"/>
        </w:rPr>
        <w:t>2.2.2</w:t>
      </w:r>
      <w:r>
        <w:rPr>
          <w:rFonts w:hint="eastAsia"/>
        </w:rPr>
        <w:t>污泥处理处置方案</w:t>
      </w:r>
      <w:r>
        <w:tab/>
      </w:r>
      <w:r>
        <w:fldChar w:fldCharType="begin"/>
      </w:r>
      <w:r>
        <w:instrText xml:space="preserve"> PAGEREF _Toc1336714067 \h </w:instrText>
      </w:r>
      <w:r>
        <w:fldChar w:fldCharType="separate"/>
      </w:r>
      <w:r>
        <w:t>23</w:t>
      </w:r>
      <w:r>
        <w:fldChar w:fldCharType="end"/>
      </w:r>
      <w:r>
        <w:rPr>
          <w:rFonts w:hint="eastAsia"/>
          <w:color w:val="000000" w:themeColor="text1"/>
          <w:szCs w:val="21"/>
          <w14:textFill>
            <w14:solidFill>
              <w14:schemeClr w14:val="tx1"/>
            </w14:solidFill>
          </w14:textFill>
        </w:rPr>
        <w:fldChar w:fldCharType="end"/>
      </w:r>
    </w:p>
    <w:p>
      <w:pPr>
        <w:pStyle w:val="16"/>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_Toc945660439 </w:instrText>
      </w:r>
      <w:r>
        <w:rPr>
          <w:rFonts w:hint="eastAsia"/>
          <w:szCs w:val="21"/>
        </w:rPr>
        <w:fldChar w:fldCharType="separate"/>
      </w:r>
      <w:r>
        <w:rPr>
          <w:rFonts w:hint="eastAsia"/>
          <w:lang w:val="en-US" w:eastAsia="zh-CN"/>
        </w:rPr>
        <w:t>2.2.3</w:t>
      </w:r>
      <w:r>
        <w:rPr>
          <w:rFonts w:hint="eastAsia"/>
        </w:rPr>
        <w:t>调蓄池及上部厂区日常运行维护方案</w:t>
      </w:r>
      <w:r>
        <w:tab/>
      </w:r>
      <w:r>
        <w:fldChar w:fldCharType="begin"/>
      </w:r>
      <w:r>
        <w:instrText xml:space="preserve"> PAGEREF _Toc945660439 \h </w:instrText>
      </w:r>
      <w:r>
        <w:fldChar w:fldCharType="separate"/>
      </w:r>
      <w:r>
        <w:t>25</w:t>
      </w:r>
      <w:r>
        <w:fldChar w:fldCharType="end"/>
      </w:r>
      <w:r>
        <w:rPr>
          <w:rFonts w:hint="eastAsia"/>
          <w:color w:val="000000" w:themeColor="text1"/>
          <w:szCs w:val="21"/>
          <w14:textFill>
            <w14:solidFill>
              <w14:schemeClr w14:val="tx1"/>
            </w14:solidFill>
          </w14:textFill>
        </w:rPr>
        <w:fldChar w:fldCharType="end"/>
      </w:r>
    </w:p>
    <w:p>
      <w:pPr>
        <w:pStyle w:val="23"/>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_Toc1508834736 </w:instrText>
      </w:r>
      <w:r>
        <w:rPr>
          <w:rFonts w:hint="eastAsia"/>
          <w:szCs w:val="21"/>
        </w:rPr>
        <w:fldChar w:fldCharType="separate"/>
      </w:r>
      <w:r>
        <w:rPr>
          <w:rFonts w:hint="eastAsia"/>
          <w:lang w:val="en-US" w:eastAsia="zh-CN"/>
        </w:rPr>
        <w:t>2.2.3.1</w:t>
      </w:r>
      <w:r>
        <w:rPr>
          <w:rFonts w:hint="eastAsia"/>
        </w:rPr>
        <w:t>项目运行管理制度</w:t>
      </w:r>
      <w:r>
        <w:tab/>
      </w:r>
      <w:r>
        <w:fldChar w:fldCharType="begin"/>
      </w:r>
      <w:r>
        <w:instrText xml:space="preserve"> PAGEREF _Toc1508834736 \h </w:instrText>
      </w:r>
      <w:r>
        <w:fldChar w:fldCharType="separate"/>
      </w:r>
      <w:r>
        <w:t>25</w:t>
      </w:r>
      <w:r>
        <w:fldChar w:fldCharType="end"/>
      </w:r>
      <w:r>
        <w:rPr>
          <w:rFonts w:hint="eastAsia"/>
          <w:color w:val="000000" w:themeColor="text1"/>
          <w:szCs w:val="21"/>
          <w14:textFill>
            <w14:solidFill>
              <w14:schemeClr w14:val="tx1"/>
            </w14:solidFill>
          </w14:textFill>
        </w:rPr>
        <w:fldChar w:fldCharType="end"/>
      </w:r>
    </w:p>
    <w:p>
      <w:pPr>
        <w:pStyle w:val="23"/>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_Toc1544017413 </w:instrText>
      </w:r>
      <w:r>
        <w:rPr>
          <w:rFonts w:hint="eastAsia"/>
          <w:szCs w:val="21"/>
        </w:rPr>
        <w:fldChar w:fldCharType="separate"/>
      </w:r>
      <w:r>
        <w:rPr>
          <w:rFonts w:hint="eastAsia"/>
          <w:lang w:val="en-US" w:eastAsia="zh-CN"/>
        </w:rPr>
        <w:t>2.2.3.2</w:t>
      </w:r>
      <w:r>
        <w:rPr>
          <w:rFonts w:hint="eastAsia"/>
        </w:rPr>
        <w:t>安全生产规范</w:t>
      </w:r>
      <w:r>
        <w:tab/>
      </w:r>
      <w:r>
        <w:fldChar w:fldCharType="begin"/>
      </w:r>
      <w:r>
        <w:instrText xml:space="preserve"> PAGEREF _Toc1544017413 \h </w:instrText>
      </w:r>
      <w:r>
        <w:fldChar w:fldCharType="separate"/>
      </w:r>
      <w:r>
        <w:t>30</w:t>
      </w:r>
      <w:r>
        <w:fldChar w:fldCharType="end"/>
      </w:r>
      <w:r>
        <w:rPr>
          <w:rFonts w:hint="eastAsia"/>
          <w:color w:val="000000" w:themeColor="text1"/>
          <w:szCs w:val="21"/>
          <w14:textFill>
            <w14:solidFill>
              <w14:schemeClr w14:val="tx1"/>
            </w14:solidFill>
          </w14:textFill>
        </w:rPr>
        <w:fldChar w:fldCharType="end"/>
      </w:r>
    </w:p>
    <w:p>
      <w:pPr>
        <w:pStyle w:val="23"/>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_Toc1525208256 </w:instrText>
      </w:r>
      <w:r>
        <w:rPr>
          <w:rFonts w:hint="eastAsia"/>
          <w:szCs w:val="21"/>
        </w:rPr>
        <w:fldChar w:fldCharType="separate"/>
      </w:r>
      <w:r>
        <w:rPr>
          <w:rFonts w:hint="eastAsia"/>
          <w:lang w:val="en-US" w:eastAsia="zh-CN"/>
        </w:rPr>
        <w:t>2.2.3.3</w:t>
      </w:r>
      <w:r>
        <w:rPr>
          <w:rFonts w:hint="eastAsia"/>
        </w:rPr>
        <w:t>安全作业规程</w:t>
      </w:r>
      <w:r>
        <w:tab/>
      </w:r>
      <w:r>
        <w:fldChar w:fldCharType="begin"/>
      </w:r>
      <w:r>
        <w:instrText xml:space="preserve"> PAGEREF _Toc1525208256 \h </w:instrText>
      </w:r>
      <w:r>
        <w:fldChar w:fldCharType="separate"/>
      </w:r>
      <w:r>
        <w:t>37</w:t>
      </w:r>
      <w:r>
        <w:fldChar w:fldCharType="end"/>
      </w:r>
      <w:r>
        <w:rPr>
          <w:rFonts w:hint="eastAsia"/>
          <w:color w:val="000000" w:themeColor="text1"/>
          <w:szCs w:val="21"/>
          <w14:textFill>
            <w14:solidFill>
              <w14:schemeClr w14:val="tx1"/>
            </w14:solidFill>
          </w14:textFill>
        </w:rPr>
        <w:fldChar w:fldCharType="end"/>
      </w:r>
    </w:p>
    <w:p>
      <w:pPr>
        <w:pStyle w:val="23"/>
        <w:tabs>
          <w:tab w:val="right" w:leader="dot" w:pos="8306"/>
        </w:tabs>
      </w:pPr>
      <w:r>
        <w:rPr>
          <w:rFonts w:hint="eastAsia"/>
          <w:color w:val="000000" w:themeColor="text1"/>
          <w:szCs w:val="21"/>
          <w14:textFill>
            <w14:solidFill>
              <w14:schemeClr w14:val="tx1"/>
            </w14:solidFill>
          </w14:textFill>
        </w:rPr>
        <w:fldChar w:fldCharType="begin"/>
      </w:r>
      <w:r>
        <w:rPr>
          <w:rFonts w:hint="eastAsia"/>
          <w:szCs w:val="21"/>
        </w:rPr>
        <w:instrText xml:space="preserve"> HYPERLINK \l _Toc1002359626 </w:instrText>
      </w:r>
      <w:r>
        <w:rPr>
          <w:rFonts w:hint="eastAsia"/>
          <w:szCs w:val="21"/>
        </w:rPr>
        <w:fldChar w:fldCharType="separate"/>
      </w:r>
      <w:r>
        <w:rPr>
          <w:rFonts w:hint="eastAsia"/>
          <w:lang w:val="en-US" w:eastAsia="zh-CN"/>
        </w:rPr>
        <w:t>2.2.3.4</w:t>
      </w:r>
      <w:r>
        <w:rPr>
          <w:rFonts w:hint="eastAsia"/>
        </w:rPr>
        <w:t>应急预案</w:t>
      </w:r>
      <w:r>
        <w:tab/>
      </w:r>
      <w:r>
        <w:fldChar w:fldCharType="begin"/>
      </w:r>
      <w:r>
        <w:instrText xml:space="preserve"> PAGEREF _Toc1002359626 \h </w:instrText>
      </w:r>
      <w:r>
        <w:fldChar w:fldCharType="separate"/>
      </w:r>
      <w:r>
        <w:t>49</w:t>
      </w:r>
      <w:r>
        <w:fldChar w:fldCharType="end"/>
      </w:r>
      <w:r>
        <w:rPr>
          <w:rFonts w:hint="eastAsia"/>
          <w:color w:val="000000" w:themeColor="text1"/>
          <w:szCs w:val="21"/>
          <w14:textFill>
            <w14:solidFill>
              <w14:schemeClr w14:val="tx1"/>
            </w14:solidFill>
          </w14:textFill>
        </w:rPr>
        <w:fldChar w:fldCharType="end"/>
      </w:r>
    </w:p>
    <w:p>
      <w:pPr>
        <w:pStyle w:val="22"/>
        <w:tabs>
          <w:tab w:val="right" w:leader="dot" w:pos="8296"/>
        </w:tabs>
        <w:ind w:firstLine="420"/>
        <w:rPr>
          <w:rFonts w:hint="eastAsia"/>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fldChar w:fldCharType="end"/>
      </w:r>
    </w:p>
    <w:p>
      <w:pPr>
        <w:spacing w:line="300" w:lineRule="atLeast"/>
        <w:ind w:firstLine="420"/>
        <w:rPr>
          <w:rFonts w:eastAsia="黑体"/>
          <w:color w:val="000000" w:themeColor="text1"/>
          <w:sz w:val="21"/>
          <w:szCs w:val="21"/>
          <w14:textFill>
            <w14:solidFill>
              <w14:schemeClr w14:val="tx1"/>
            </w14:solidFill>
          </w14:textFill>
        </w:rPr>
        <w:sectPr>
          <w:footerReference r:id="rId11" w:type="default"/>
          <w:pgSz w:w="11906" w:h="16838"/>
          <w:pgMar w:top="1440" w:right="1800" w:bottom="1440" w:left="1800" w:header="851" w:footer="992" w:gutter="0"/>
          <w:pgNumType w:fmt="upperRoman"/>
          <w:cols w:space="425" w:num="1"/>
          <w:docGrid w:type="lines" w:linePitch="312" w:charSpace="0"/>
        </w:sectPr>
      </w:pPr>
    </w:p>
    <w:p>
      <w:pPr>
        <w:pStyle w:val="37"/>
        <w:spacing w:before="120" w:after="120"/>
        <w:ind w:left="0"/>
        <w:rPr>
          <w:color w:val="000000" w:themeColor="text1"/>
          <w14:textFill>
            <w14:solidFill>
              <w14:schemeClr w14:val="tx1"/>
            </w14:solidFill>
          </w14:textFill>
        </w:rPr>
      </w:pPr>
      <w:bookmarkStart w:id="30" w:name="_Toc994116081"/>
      <w:bookmarkStart w:id="31" w:name="_Toc820347317"/>
      <w:bookmarkStart w:id="32" w:name="_Toc1696246304"/>
      <w:bookmarkStart w:id="33" w:name="_Toc219711414"/>
      <w:bookmarkStart w:id="34" w:name="_Toc1442071470"/>
      <w:r>
        <w:rPr>
          <w:color w:val="000000" w:themeColor="text1"/>
          <w14:textFill>
            <w14:solidFill>
              <w14:schemeClr w14:val="tx1"/>
            </w14:solidFill>
          </w14:textFill>
        </w:rPr>
        <w:t>概述</w:t>
      </w:r>
      <w:bookmarkEnd w:id="30"/>
      <w:bookmarkEnd w:id="31"/>
      <w:bookmarkEnd w:id="32"/>
      <w:bookmarkEnd w:id="33"/>
      <w:bookmarkEnd w:id="34"/>
    </w:p>
    <w:p>
      <w:pPr>
        <w:pStyle w:val="3"/>
        <w:numPr>
          <w:ilvl w:val="-1"/>
          <w:numId w:val="0"/>
        </w:numPr>
        <w:spacing w:before="0" w:after="0"/>
        <w:ind w:left="0" w:firstLine="0"/>
      </w:pPr>
      <w:bookmarkStart w:id="35" w:name="_Toc684462399"/>
      <w:bookmarkStart w:id="36" w:name="_Toc1486743565"/>
      <w:bookmarkStart w:id="37" w:name="_Toc1520850553"/>
      <w:bookmarkStart w:id="38" w:name="_Toc330373639"/>
      <w:bookmarkStart w:id="39" w:name="_Toc219711415"/>
      <w:r>
        <w:rPr>
          <w:rFonts w:hint="default"/>
          <w:lang w:val="en-US" w:eastAsia="zh-CN"/>
        </w:rPr>
        <w:t>1.1</w:t>
      </w:r>
      <w:r>
        <w:t>设施建设运营背景</w:t>
      </w:r>
      <w:bookmarkEnd w:id="35"/>
      <w:bookmarkEnd w:id="36"/>
      <w:bookmarkEnd w:id="37"/>
      <w:bookmarkEnd w:id="38"/>
      <w:bookmarkEnd w:id="39"/>
    </w:p>
    <w:p>
      <w:pPr>
        <w:ind w:firstLine="560"/>
        <w:rPr>
          <w:color w:val="000000" w:themeColor="text1"/>
          <w14:textFill>
            <w14:solidFill>
              <w14:schemeClr w14:val="tx1"/>
            </w14:solidFill>
          </w14:textFill>
        </w:rPr>
      </w:pPr>
      <w:r>
        <w:rPr>
          <w:color w:val="000000" w:themeColor="text1"/>
          <w14:textFill>
            <w14:solidFill>
              <w14:schemeClr w14:val="tx1"/>
            </w14:solidFill>
          </w14:textFill>
        </w:rPr>
        <w:t>2008年7月，原深圳市发改局批复观澜河干流污染治理工程项目建议书，观澜河口调蓄池作为干流设计4座调蓄池之一启动建设立项。2011年5月，观澜河口调蓄池开工建设，2014年8月工程完工投入试运营。依据处理标准和处理规模的不同，观澜河口调蓄池可分为几个不同的运行阶段。</w:t>
      </w:r>
    </w:p>
    <w:p>
      <w:pPr>
        <w:ind w:firstLine="560"/>
        <w:rPr>
          <w:color w:val="000000" w:themeColor="text1"/>
          <w14:textFill>
            <w14:solidFill>
              <w14:schemeClr w14:val="tx1"/>
            </w14:solidFill>
          </w14:textFill>
        </w:rPr>
      </w:pPr>
      <w:r>
        <w:rPr>
          <w:color w:val="000000" w:themeColor="text1"/>
          <w14:textFill>
            <w14:solidFill>
              <w14:schemeClr w14:val="tx1"/>
            </w14:solidFill>
          </w14:textFill>
        </w:rPr>
        <w:t>（1）一级强化运行</w:t>
      </w:r>
    </w:p>
    <w:p>
      <w:pPr>
        <w:ind w:firstLine="560"/>
        <w:rPr>
          <w:color w:val="000000" w:themeColor="text1"/>
          <w14:textFill>
            <w14:solidFill>
              <w14:schemeClr w14:val="tx1"/>
            </w14:solidFill>
          </w14:textFill>
        </w:rPr>
      </w:pPr>
      <w:r>
        <w:rPr>
          <w:color w:val="000000" w:themeColor="text1"/>
          <w14:textFill>
            <w14:solidFill>
              <w14:schemeClr w14:val="tx1"/>
            </w14:solidFill>
          </w14:textFill>
        </w:rPr>
        <w:t>建成之初，观澜河口调蓄池地上为初小雨水一级强化设施，处理规模40万m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/d，出水指标考核COD、TP和SS三项指标，执行三级标准，地下为调蓄池，调蓄规模22万m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w:t>
      </w:r>
    </w:p>
    <w:p>
      <w:pPr>
        <w:ind w:firstLine="560"/>
        <w:rPr>
          <w:color w:val="000000" w:themeColor="text1"/>
          <w14:textFill>
            <w14:solidFill>
              <w14:schemeClr w14:val="tx1"/>
            </w14:solidFill>
          </w14:textFill>
        </w:rPr>
      </w:pPr>
      <w:r>
        <w:rPr>
          <w:color w:val="000000" w:themeColor="text1"/>
          <w14:textFill>
            <w14:solidFill>
              <w14:schemeClr w14:val="tx1"/>
            </w14:solidFill>
          </w14:textFill>
        </w:rPr>
        <w:t>2014年8月工程建成投入试运营，2015年5月，投入正式运营。2017年7月，运行工况由间歇运行调整为连续运行，2018年1月，转入提标改造前过渡期运营，同年7月停产实施提标改造。</w:t>
      </w:r>
    </w:p>
    <w:p>
      <w:pPr>
        <w:ind w:firstLine="560"/>
        <w:rPr>
          <w:color w:val="000000" w:themeColor="text1"/>
          <w14:textFill>
            <w14:solidFill>
              <w14:schemeClr w14:val="tx1"/>
            </w14:solidFill>
          </w14:textFill>
        </w:rPr>
      </w:pPr>
      <w:r>
        <w:rPr>
          <w:color w:val="000000" w:themeColor="text1"/>
          <w14:textFill>
            <w14:solidFill>
              <w14:schemeClr w14:val="tx1"/>
            </w14:solidFill>
          </w14:textFill>
        </w:rPr>
        <w:t>（2）提标改造运行</w:t>
      </w:r>
    </w:p>
    <w:p>
      <w:pPr>
        <w:ind w:firstLine="560"/>
        <w:rPr>
          <w:color w:val="000000" w:themeColor="text1"/>
          <w14:textFill>
            <w14:solidFill>
              <w14:schemeClr w14:val="tx1"/>
            </w14:solidFill>
          </w14:textFill>
        </w:rPr>
      </w:pPr>
      <w:r>
        <w:rPr>
          <w:color w:val="000000" w:themeColor="text1"/>
          <w14:textFill>
            <w14:solidFill>
              <w14:schemeClr w14:val="tx1"/>
            </w14:solidFill>
          </w14:textFill>
        </w:rPr>
        <w:t>2018年7月，观澜河口调蓄池启动提标改造，采用建设-运营模式实施，同年11月27日，提标改造工程完工投入正式运营，运营期三年，于2021年11月26日结束运营。</w:t>
      </w:r>
    </w:p>
    <w:p>
      <w:pPr>
        <w:ind w:firstLine="560"/>
        <w:rPr>
          <w:color w:val="000000" w:themeColor="text1"/>
          <w14:textFill>
            <w14:solidFill>
              <w14:schemeClr w14:val="tx1"/>
            </w14:solidFill>
          </w14:textFill>
        </w:rPr>
      </w:pPr>
      <w:r>
        <w:rPr>
          <w:color w:val="000000" w:themeColor="text1"/>
          <w14:textFill>
            <w14:solidFill>
              <w14:schemeClr w14:val="tx1"/>
            </w14:solidFill>
          </w14:textFill>
        </w:rPr>
        <w:t>经提标改造，观澜河口调蓄池地上变为连续性运行水质净化设施，处理规模旱季15万m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/d、雨季25万m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/d，出水水质主要指标旱季执行地表水IV类（TN除外），雨季执行地表水V类（TN除外），地下仍为调蓄池</w:t>
      </w:r>
      <w:r>
        <w:rPr>
          <w:rFonts w:hint="eastAsia"/>
          <w:color w:val="000000" w:themeColor="text1"/>
          <w14:textFill>
            <w14:solidFill>
              <w14:schemeClr w14:val="tx1"/>
            </w14:solidFill>
          </w14:textFill>
        </w:rPr>
        <w:t>，调蓄容积19.23万</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w:t>
      </w:r>
    </w:p>
    <w:p>
      <w:pPr>
        <w:ind w:firstLine="560"/>
        <w:rPr>
          <w:color w:val="000000" w:themeColor="text1"/>
          <w14:textFill>
            <w14:solidFill>
              <w14:schemeClr w14:val="tx1"/>
            </w14:solidFill>
          </w14:textFill>
        </w:rPr>
      </w:pPr>
      <w:r>
        <w:rPr>
          <w:color w:val="000000" w:themeColor="text1"/>
          <w14:textFill>
            <w14:solidFill>
              <w14:schemeClr w14:val="tx1"/>
            </w14:solidFill>
          </w14:textFill>
        </w:rPr>
        <w:t>（3）委托运行</w:t>
      </w:r>
      <w:r>
        <w:rPr>
          <w:rFonts w:hint="eastAsia"/>
          <w:color w:val="000000" w:themeColor="text1"/>
          <w14:textFill>
            <w14:solidFill>
              <w14:schemeClr w14:val="tx1"/>
            </w14:solidFill>
          </w14:textFill>
        </w:rPr>
        <w:t>（2021-2023年度）</w:t>
      </w:r>
    </w:p>
    <w:p>
      <w:pPr>
        <w:ind w:firstLine="560"/>
        <w:rPr>
          <w:color w:val="000000" w:themeColor="text1"/>
          <w14:textFill>
            <w14:solidFill>
              <w14:schemeClr w14:val="tx1"/>
            </w14:solidFill>
          </w14:textFill>
        </w:rPr>
      </w:pPr>
      <w:r>
        <w:rPr>
          <w:color w:val="000000" w:themeColor="text1"/>
          <w14:textFill>
            <w14:solidFill>
              <w14:schemeClr w14:val="tx1"/>
            </w14:solidFill>
          </w14:textFill>
        </w:rPr>
        <w:t>2021年11月27日，提标改造三年运营期到期，观澜河口调蓄池转入委托运营（项目名称：观澜河口调蓄池运营维护项目）。该项目</w:t>
      </w:r>
      <w:r>
        <w:rPr>
          <w:rFonts w:hint="eastAsia"/>
          <w:color w:val="000000" w:themeColor="text1"/>
          <w14:textFill>
            <w14:solidFill>
              <w14:schemeClr w14:val="tx1"/>
            </w14:solidFill>
          </w14:textFill>
        </w:rPr>
        <w:t>运营期1.5年，于2023年5月26日结束运营</w:t>
      </w:r>
      <w:r>
        <w:rPr>
          <w:color w:val="000000" w:themeColor="text1"/>
          <w14:textFill>
            <w14:solidFill>
              <w14:schemeClr w14:val="tx1"/>
            </w14:solidFill>
          </w14:textFill>
        </w:rPr>
        <w:t>。</w:t>
      </w:r>
    </w:p>
    <w:p>
      <w:pPr>
        <w:ind w:firstLine="560"/>
        <w:rPr>
          <w:color w:val="000000" w:themeColor="text1"/>
          <w14:textFill>
            <w14:solidFill>
              <w14:schemeClr w14:val="tx1"/>
            </w14:solidFill>
          </w14:textFill>
        </w:rPr>
      </w:pPr>
      <w:r>
        <w:rPr>
          <w:color w:val="000000" w:themeColor="text1"/>
          <w14:textFill>
            <w14:solidFill>
              <w14:schemeClr w14:val="tx1"/>
            </w14:solidFill>
          </w14:textFill>
        </w:rPr>
        <w:t>委托运营处理水量和出水标准重新调整，处理规模按旱季12万m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/d、雨季20万m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/d核定，出水水质主要指标调整为全年执行地表水IV类标准（TN除外）。</w:t>
      </w:r>
      <w:r>
        <w:rPr>
          <w:rFonts w:hint="eastAsia"/>
          <w:color w:val="000000" w:themeColor="text1"/>
          <w14:textFill>
            <w14:solidFill>
              <w14:schemeClr w14:val="tx1"/>
            </w14:solidFill>
          </w14:textFill>
        </w:rPr>
        <w:t>同时，</w:t>
      </w:r>
      <w:r>
        <w:rPr>
          <w:color w:val="000000" w:themeColor="text1"/>
          <w14:textFill>
            <w14:solidFill>
              <w14:schemeClr w14:val="tx1"/>
            </w14:solidFill>
          </w14:textFill>
        </w:rPr>
        <w:t>地下容积</w:t>
      </w:r>
      <w:r>
        <w:rPr>
          <w:rFonts w:hint="eastAsia"/>
          <w:color w:val="000000" w:themeColor="text1"/>
          <w14:textFill>
            <w14:solidFill>
              <w14:schemeClr w14:val="tx1"/>
            </w14:solidFill>
          </w14:textFill>
        </w:rPr>
        <w:t>也保持稳定</w:t>
      </w:r>
      <w:r>
        <w:rPr>
          <w:color w:val="000000" w:themeColor="text1"/>
          <w14:textFill>
            <w14:solidFill>
              <w14:schemeClr w14:val="tx1"/>
            </w14:solidFill>
          </w14:textFill>
        </w:rPr>
        <w:t>，仍为</w:t>
      </w:r>
      <w:r>
        <w:rPr>
          <w:rFonts w:hint="eastAsia"/>
          <w:color w:val="000000" w:themeColor="text1"/>
          <w14:textFill>
            <w14:solidFill>
              <w14:schemeClr w14:val="tx1"/>
            </w14:solidFill>
          </w14:textFill>
        </w:rPr>
        <w:t>19.23</w:t>
      </w:r>
      <w:r>
        <w:rPr>
          <w:color w:val="000000" w:themeColor="text1"/>
          <w14:textFill>
            <w14:solidFill>
              <w14:schemeClr w14:val="tx1"/>
            </w14:solidFill>
          </w14:textFill>
        </w:rPr>
        <w:t>万m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w:t>
      </w:r>
    </w:p>
    <w:p>
      <w:pPr>
        <w:ind w:firstLine="56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4</w:t>
      </w:r>
      <w:r>
        <w:rPr>
          <w:color w:val="000000" w:themeColor="text1"/>
          <w14:textFill>
            <w14:solidFill>
              <w14:schemeClr w14:val="tx1"/>
            </w14:solidFill>
          </w14:textFill>
        </w:rPr>
        <w:t>）委托运行</w:t>
      </w:r>
      <w:r>
        <w:rPr>
          <w:rFonts w:hint="eastAsia"/>
          <w:color w:val="000000" w:themeColor="text1"/>
          <w14:textFill>
            <w14:solidFill>
              <w14:schemeClr w14:val="tx1"/>
            </w14:solidFill>
          </w14:textFill>
        </w:rPr>
        <w:t>（2023-2026年度）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2023年5月27日，</w:t>
      </w:r>
      <w:r>
        <w:rPr>
          <w:color w:val="000000" w:themeColor="text1"/>
          <w14:textFill>
            <w14:solidFill>
              <w14:schemeClr w14:val="tx1"/>
            </w14:solidFill>
          </w14:textFill>
        </w:rPr>
        <w:t>观澜河口调蓄池运营维护项目</w:t>
      </w:r>
      <w:r>
        <w:rPr>
          <w:rFonts w:hint="eastAsia"/>
          <w:color w:val="000000" w:themeColor="text1"/>
          <w14:textFill>
            <w14:solidFill>
              <w14:schemeClr w14:val="tx1"/>
            </w14:solidFill>
          </w14:textFill>
        </w:rPr>
        <w:t>合同期满后，继续实施委托运营。该项目为长期服务项目，合同期满可以续签，合同履行期限最长不得超过三十六个月。</w:t>
      </w:r>
    </w:p>
    <w:p>
      <w:pPr>
        <w:ind w:firstLine="560"/>
        <w:rPr>
          <w:color w:val="000000" w:themeColor="text1"/>
          <w14:textFill>
            <w14:solidFill>
              <w14:schemeClr w14:val="tx1"/>
            </w14:solidFill>
          </w14:textFill>
        </w:rPr>
      </w:pPr>
      <w:r>
        <w:rPr>
          <w:color w:val="000000" w:themeColor="text1"/>
          <w14:textFill>
            <w14:solidFill>
              <w14:schemeClr w14:val="tx1"/>
            </w14:solidFill>
          </w14:textFill>
        </w:rPr>
        <w:t>委托运营处理水量重新调整，处理规模按旱季1</w:t>
      </w:r>
      <w:r>
        <w:rPr>
          <w:rFonts w:hint="eastAsia"/>
          <w:color w:val="000000" w:themeColor="text1"/>
          <w14:textFill>
            <w14:solidFill>
              <w14:schemeClr w14:val="tx1"/>
            </w14:solidFill>
          </w14:textFill>
        </w:rPr>
        <w:t>0</w:t>
      </w:r>
      <w:r>
        <w:rPr>
          <w:color w:val="000000" w:themeColor="text1"/>
          <w14:textFill>
            <w14:solidFill>
              <w14:schemeClr w14:val="tx1"/>
            </w14:solidFill>
          </w14:textFill>
        </w:rPr>
        <w:t>万m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/d、雨季</w:t>
      </w:r>
      <w:r>
        <w:rPr>
          <w:rFonts w:hint="eastAsia"/>
          <w:color w:val="000000" w:themeColor="text1"/>
          <w14:textFill>
            <w14:solidFill>
              <w14:schemeClr w14:val="tx1"/>
            </w14:solidFill>
          </w14:textFill>
        </w:rPr>
        <w:t>13</w:t>
      </w:r>
      <w:r>
        <w:rPr>
          <w:color w:val="000000" w:themeColor="text1"/>
          <w14:textFill>
            <w14:solidFill>
              <w14:schemeClr w14:val="tx1"/>
            </w14:solidFill>
          </w14:textFill>
        </w:rPr>
        <w:t>万m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/d核定</w:t>
      </w:r>
      <w:r>
        <w:rPr>
          <w:rFonts w:hint="eastAsia"/>
          <w:color w:val="000000" w:themeColor="text1"/>
          <w14:textFill>
            <w14:solidFill>
              <w14:schemeClr w14:val="tx1"/>
            </w14:solidFill>
          </w14:textFill>
        </w:rPr>
        <w:t>。进水水质指标调整，</w:t>
      </w:r>
      <w:r>
        <w:rPr>
          <w:color w:val="000000" w:themeColor="text1"/>
          <w14:textFill>
            <w14:solidFill>
              <w14:schemeClr w14:val="tx1"/>
            </w14:solidFill>
          </w14:textFill>
        </w:rPr>
        <w:t>出水水质主要指标</w:t>
      </w:r>
      <w:r>
        <w:rPr>
          <w:rFonts w:hint="eastAsia"/>
          <w:color w:val="000000" w:themeColor="text1"/>
          <w14:textFill>
            <w14:solidFill>
              <w14:schemeClr w14:val="tx1"/>
            </w14:solidFill>
          </w14:textFill>
        </w:rPr>
        <w:t>维持不变，持续</w:t>
      </w:r>
      <w:r>
        <w:rPr>
          <w:color w:val="000000" w:themeColor="text1"/>
          <w14:textFill>
            <w14:solidFill>
              <w14:schemeClr w14:val="tx1"/>
            </w14:solidFill>
          </w14:textFill>
        </w:rPr>
        <w:t>全年执行地表水IV类标准（TN除外）</w:t>
      </w:r>
      <w:r>
        <w:rPr>
          <w:rFonts w:hint="eastAsia"/>
          <w:color w:val="000000" w:themeColor="text1"/>
          <w14:textFill>
            <w14:solidFill>
              <w14:schemeClr w14:val="tx1"/>
            </w14:solidFill>
          </w14:textFill>
        </w:rPr>
        <w:t>。调蓄规模维持19.23</w:t>
      </w:r>
      <w:r>
        <w:rPr>
          <w:color w:val="000000" w:themeColor="text1"/>
          <w14:textFill>
            <w14:solidFill>
              <w14:schemeClr w14:val="tx1"/>
            </w14:solidFill>
          </w14:textFill>
        </w:rPr>
        <w:t>万m</w:t>
      </w:r>
      <w:r>
        <w:rPr>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w:t>
      </w:r>
    </w:p>
    <w:p>
      <w:pPr>
        <w:spacing w:line="240" w:lineRule="auto"/>
        <w:ind w:firstLine="0" w:firstLineChars="0"/>
        <w:jc w:val="center"/>
        <w:rPr>
          <w:b/>
          <w:bCs/>
          <w:color w:val="000000" w:themeColor="text1"/>
          <w:spacing w:val="2"/>
          <w:szCs w:val="28"/>
          <w14:textFill>
            <w14:solidFill>
              <w14:schemeClr w14:val="tx1"/>
            </w14:solidFill>
          </w14:textFill>
        </w:rPr>
      </w:pPr>
      <w:r>
        <w:rPr>
          <w:b/>
          <w:bCs/>
          <w:color w:val="000000" w:themeColor="text1"/>
          <w:spacing w:val="2"/>
          <w:szCs w:val="28"/>
          <w14:textFill>
            <w14:solidFill>
              <w14:schemeClr w14:val="tx1"/>
            </w14:solidFill>
          </w14:textFill>
        </w:rPr>
        <w:t>表1.1-1 观澜河口调蓄池不同阶段规模及进出水质一览表</w:t>
      </w:r>
    </w:p>
    <w:tbl>
      <w:tblPr>
        <w:tblStyle w:val="30"/>
        <w:tblW w:w="90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4"/>
        <w:gridCol w:w="789"/>
        <w:gridCol w:w="789"/>
        <w:gridCol w:w="886"/>
        <w:gridCol w:w="886"/>
        <w:gridCol w:w="886"/>
        <w:gridCol w:w="891"/>
        <w:gridCol w:w="753"/>
        <w:gridCol w:w="852"/>
        <w:gridCol w:w="850"/>
        <w:gridCol w:w="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blHeader/>
          <w:jc w:val="center"/>
        </w:trPr>
        <w:tc>
          <w:tcPr>
            <w:tcW w:w="494" w:type="dxa"/>
            <w:vAlign w:val="center"/>
          </w:tcPr>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序号</w:t>
            </w:r>
          </w:p>
        </w:tc>
        <w:tc>
          <w:tcPr>
            <w:tcW w:w="789" w:type="dxa"/>
            <w:vAlign w:val="center"/>
          </w:tcPr>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阶段</w:t>
            </w:r>
          </w:p>
        </w:tc>
        <w:tc>
          <w:tcPr>
            <w:tcW w:w="789" w:type="dxa"/>
            <w:vAlign w:val="center"/>
          </w:tcPr>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规模</w:t>
            </w:r>
          </w:p>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万m</w:t>
            </w:r>
            <w:r>
              <w:rPr>
                <w:b/>
                <w:bCs/>
                <w:color w:val="000000" w:themeColor="text1"/>
                <w:sz w:val="21"/>
                <w:szCs w:val="21"/>
                <w:vertAlign w:val="superscript"/>
                <w14:textFill>
                  <w14:solidFill>
                    <w14:schemeClr w14:val="tx1"/>
                  </w14:solidFill>
                </w14:textFill>
              </w:rPr>
              <w:t>3</w:t>
            </w:r>
            <w:r>
              <w:rPr>
                <w:b/>
                <w:bCs/>
                <w:color w:val="000000" w:themeColor="text1"/>
                <w:sz w:val="21"/>
                <w:szCs w:val="21"/>
                <w14:textFill>
                  <w14:solidFill>
                    <w14:schemeClr w14:val="tx1"/>
                  </w14:solidFill>
                </w14:textFill>
              </w:rPr>
              <w:t>/d</w:t>
            </w:r>
          </w:p>
        </w:tc>
        <w:tc>
          <w:tcPr>
            <w:tcW w:w="886" w:type="dxa"/>
            <w:vAlign w:val="center"/>
          </w:tcPr>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水质指标</w:t>
            </w:r>
          </w:p>
        </w:tc>
        <w:tc>
          <w:tcPr>
            <w:tcW w:w="886" w:type="dxa"/>
            <w:vAlign w:val="center"/>
          </w:tcPr>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BOD</w:t>
            </w:r>
            <w:r>
              <w:rPr>
                <w:b/>
                <w:bCs/>
                <w:color w:val="000000" w:themeColor="text1"/>
                <w:sz w:val="21"/>
                <w:szCs w:val="21"/>
                <w:vertAlign w:val="subscript"/>
                <w14:textFill>
                  <w14:solidFill>
                    <w14:schemeClr w14:val="tx1"/>
                  </w14:solidFill>
                </w14:textFill>
              </w:rPr>
              <w:t>5</w:t>
            </w:r>
          </w:p>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mg/L</w:t>
            </w:r>
          </w:p>
        </w:tc>
        <w:tc>
          <w:tcPr>
            <w:tcW w:w="886" w:type="dxa"/>
            <w:vAlign w:val="center"/>
          </w:tcPr>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COD</w:t>
            </w:r>
            <w:r>
              <w:rPr>
                <w:b/>
                <w:bCs/>
                <w:color w:val="000000" w:themeColor="text1"/>
                <w:sz w:val="21"/>
                <w:szCs w:val="21"/>
                <w:vertAlign w:val="subscript"/>
                <w14:textFill>
                  <w14:solidFill>
                    <w14:schemeClr w14:val="tx1"/>
                  </w14:solidFill>
                </w14:textFill>
              </w:rPr>
              <w:t>cr</w:t>
            </w:r>
          </w:p>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mg/L</w:t>
            </w:r>
          </w:p>
        </w:tc>
        <w:tc>
          <w:tcPr>
            <w:tcW w:w="891" w:type="dxa"/>
            <w:vAlign w:val="center"/>
          </w:tcPr>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SS</w:t>
            </w:r>
          </w:p>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mg/L</w:t>
            </w:r>
          </w:p>
        </w:tc>
        <w:tc>
          <w:tcPr>
            <w:tcW w:w="753" w:type="dxa"/>
            <w:vAlign w:val="center"/>
          </w:tcPr>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NH</w:t>
            </w:r>
            <w:r>
              <w:rPr>
                <w:b/>
                <w:bCs/>
                <w:color w:val="000000" w:themeColor="text1"/>
                <w:sz w:val="21"/>
                <w:szCs w:val="21"/>
                <w:vertAlign w:val="subscript"/>
                <w14:textFill>
                  <w14:solidFill>
                    <w14:schemeClr w14:val="tx1"/>
                  </w14:solidFill>
                </w14:textFill>
              </w:rPr>
              <w:t>3</w:t>
            </w:r>
            <w:r>
              <w:rPr>
                <w:b/>
                <w:bCs/>
                <w:color w:val="000000" w:themeColor="text1"/>
                <w:sz w:val="21"/>
                <w:szCs w:val="21"/>
                <w14:textFill>
                  <w14:solidFill>
                    <w14:schemeClr w14:val="tx1"/>
                  </w14:solidFill>
                </w14:textFill>
              </w:rPr>
              <w:t>-N</w:t>
            </w:r>
          </w:p>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mg/L</w:t>
            </w:r>
          </w:p>
        </w:tc>
        <w:tc>
          <w:tcPr>
            <w:tcW w:w="852" w:type="dxa"/>
            <w:vAlign w:val="center"/>
          </w:tcPr>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TP</w:t>
            </w:r>
          </w:p>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mg/L</w:t>
            </w:r>
          </w:p>
        </w:tc>
        <w:tc>
          <w:tcPr>
            <w:tcW w:w="850" w:type="dxa"/>
            <w:vAlign w:val="center"/>
          </w:tcPr>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粪大肠菌群数</w:t>
            </w:r>
          </w:p>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个/L</w:t>
            </w:r>
          </w:p>
        </w:tc>
        <w:tc>
          <w:tcPr>
            <w:tcW w:w="929" w:type="dxa"/>
            <w:vAlign w:val="center"/>
          </w:tcPr>
          <w:p>
            <w:pPr>
              <w:autoSpaceDE w:val="0"/>
              <w:spacing w:line="300" w:lineRule="exact"/>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494" w:type="dxa"/>
            <w:vMerge w:val="restart"/>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w:t>
            </w:r>
          </w:p>
        </w:tc>
        <w:tc>
          <w:tcPr>
            <w:tcW w:w="789" w:type="dxa"/>
            <w:vMerge w:val="restart"/>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一级强化运</w:t>
            </w:r>
            <w:r>
              <w:rPr>
                <w:rFonts w:hint="eastAsia"/>
                <w:color w:val="000000" w:themeColor="text1"/>
                <w:sz w:val="21"/>
                <w:szCs w:val="21"/>
                <w14:textFill>
                  <w14:solidFill>
                    <w14:schemeClr w14:val="tx1"/>
                  </w14:solidFill>
                </w14:textFill>
              </w:rPr>
              <w:t>行</w:t>
            </w:r>
          </w:p>
        </w:tc>
        <w:tc>
          <w:tcPr>
            <w:tcW w:w="789" w:type="dxa"/>
            <w:vMerge w:val="restart"/>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40</w:t>
            </w:r>
          </w:p>
        </w:tc>
        <w:tc>
          <w:tcPr>
            <w:tcW w:w="886" w:type="dxa"/>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进水</w:t>
            </w:r>
          </w:p>
        </w:tc>
        <w:tc>
          <w:tcPr>
            <w:tcW w:w="2663" w:type="dxa"/>
            <w:gridSpan w:val="3"/>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120＜COD</w:t>
            </w:r>
            <w:r>
              <w:rPr>
                <w:color w:val="000000" w:themeColor="text1"/>
                <w:sz w:val="21"/>
                <w:szCs w:val="21"/>
                <w:vertAlign w:val="subscript"/>
                <w14:textFill>
                  <w14:solidFill>
                    <w14:schemeClr w14:val="tx1"/>
                  </w14:solidFill>
                </w14:textFill>
              </w:rPr>
              <w:t>cr</w:t>
            </w:r>
            <w:r>
              <w:rPr>
                <w:color w:val="000000" w:themeColor="text1"/>
                <w:sz w:val="21"/>
                <w:szCs w:val="21"/>
                <w14:textFill>
                  <w14:solidFill>
                    <w14:schemeClr w14:val="tx1"/>
                  </w14:solidFill>
                </w14:textFill>
              </w:rPr>
              <w:t>＜350</w:t>
            </w:r>
          </w:p>
        </w:tc>
        <w:tc>
          <w:tcPr>
            <w:tcW w:w="2455" w:type="dxa"/>
            <w:gridSpan w:val="3"/>
            <w:vMerge w:val="restart"/>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929" w:type="dxa"/>
            <w:vMerge w:val="restart"/>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三级标准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494"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789"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789"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886" w:type="dxa"/>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出水</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＜60</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＜120</w:t>
            </w:r>
          </w:p>
        </w:tc>
        <w:tc>
          <w:tcPr>
            <w:tcW w:w="891"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＜50</w:t>
            </w:r>
          </w:p>
        </w:tc>
        <w:tc>
          <w:tcPr>
            <w:tcW w:w="2455" w:type="dxa"/>
            <w:gridSpan w:val="3"/>
            <w:vMerge w:val="continue"/>
            <w:vAlign w:val="center"/>
          </w:tcPr>
          <w:p>
            <w:pPr>
              <w:spacing w:line="300" w:lineRule="exact"/>
              <w:ind w:firstLine="0" w:firstLineChars="0"/>
              <w:jc w:val="center"/>
              <w:rPr>
                <w:color w:val="000000" w:themeColor="text1"/>
                <w:sz w:val="21"/>
                <w:szCs w:val="21"/>
                <w14:textFill>
                  <w14:solidFill>
                    <w14:schemeClr w14:val="tx1"/>
                  </w14:solidFill>
                </w14:textFill>
              </w:rPr>
            </w:pPr>
          </w:p>
        </w:tc>
        <w:tc>
          <w:tcPr>
            <w:tcW w:w="929" w:type="dxa"/>
            <w:vMerge w:val="continue"/>
            <w:vAlign w:val="center"/>
          </w:tcPr>
          <w:p>
            <w:pPr>
              <w:spacing w:line="300" w:lineRule="exact"/>
              <w:ind w:firstLine="0" w:firstLineChars="0"/>
              <w:jc w:val="center"/>
              <w:rPr>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94" w:type="dxa"/>
            <w:vMerge w:val="restart"/>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789" w:type="dxa"/>
            <w:vMerge w:val="restart"/>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提标改造</w:t>
            </w:r>
          </w:p>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运</w:t>
            </w:r>
            <w:r>
              <w:rPr>
                <w:rFonts w:hint="eastAsia"/>
                <w:color w:val="000000" w:themeColor="text1"/>
                <w:sz w:val="21"/>
                <w:szCs w:val="21"/>
                <w14:textFill>
                  <w14:solidFill>
                    <w14:schemeClr w14:val="tx1"/>
                  </w14:solidFill>
                </w14:textFill>
              </w:rPr>
              <w:t>行</w:t>
            </w:r>
          </w:p>
        </w:tc>
        <w:tc>
          <w:tcPr>
            <w:tcW w:w="789" w:type="dxa"/>
            <w:vMerge w:val="restart"/>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旱季15</w:t>
            </w:r>
          </w:p>
        </w:tc>
        <w:tc>
          <w:tcPr>
            <w:tcW w:w="886" w:type="dxa"/>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进水</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≤180</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≤300</w:t>
            </w:r>
          </w:p>
        </w:tc>
        <w:tc>
          <w:tcPr>
            <w:tcW w:w="891"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≤250</w:t>
            </w:r>
          </w:p>
        </w:tc>
        <w:tc>
          <w:tcPr>
            <w:tcW w:w="753"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≤40</w:t>
            </w:r>
          </w:p>
        </w:tc>
        <w:tc>
          <w:tcPr>
            <w:tcW w:w="852"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≤8</w:t>
            </w:r>
          </w:p>
        </w:tc>
        <w:tc>
          <w:tcPr>
            <w:tcW w:w="850"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929" w:type="dxa"/>
            <w:vMerge w:val="restart"/>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地表准</w:t>
            </w:r>
          </w:p>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IV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94"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789"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789"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886" w:type="dxa"/>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出水</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≤6</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≤30</w:t>
            </w:r>
          </w:p>
        </w:tc>
        <w:tc>
          <w:tcPr>
            <w:tcW w:w="891"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≤10</w:t>
            </w:r>
          </w:p>
        </w:tc>
        <w:tc>
          <w:tcPr>
            <w:tcW w:w="753"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≤1.5</w:t>
            </w:r>
          </w:p>
        </w:tc>
        <w:tc>
          <w:tcPr>
            <w:tcW w:w="852"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≤0.3</w:t>
            </w:r>
          </w:p>
        </w:tc>
        <w:tc>
          <w:tcPr>
            <w:tcW w:w="850" w:type="dxa"/>
            <w:vAlign w:val="center"/>
          </w:tcPr>
          <w:p>
            <w:pPr>
              <w:spacing w:line="300" w:lineRule="exact"/>
              <w:ind w:firstLine="0" w:firstLineChars="0"/>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≤1000</w:t>
            </w:r>
          </w:p>
        </w:tc>
        <w:tc>
          <w:tcPr>
            <w:tcW w:w="929" w:type="dxa"/>
            <w:vMerge w:val="continue"/>
            <w:vAlign w:val="center"/>
          </w:tcPr>
          <w:p>
            <w:pPr>
              <w:spacing w:line="300" w:lineRule="exact"/>
              <w:ind w:firstLine="0" w:firstLineChars="0"/>
              <w:rPr>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94"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789"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789" w:type="dxa"/>
            <w:vMerge w:val="restart"/>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雨季25</w:t>
            </w:r>
          </w:p>
        </w:tc>
        <w:tc>
          <w:tcPr>
            <w:tcW w:w="886" w:type="dxa"/>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进水</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≤180</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≤300</w:t>
            </w:r>
          </w:p>
        </w:tc>
        <w:tc>
          <w:tcPr>
            <w:tcW w:w="891"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≤250</w:t>
            </w:r>
          </w:p>
        </w:tc>
        <w:tc>
          <w:tcPr>
            <w:tcW w:w="753"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≤40</w:t>
            </w:r>
          </w:p>
        </w:tc>
        <w:tc>
          <w:tcPr>
            <w:tcW w:w="852"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≤8</w:t>
            </w:r>
          </w:p>
        </w:tc>
        <w:tc>
          <w:tcPr>
            <w:tcW w:w="850"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929" w:type="dxa"/>
            <w:vMerge w:val="restart"/>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地表准</w:t>
            </w:r>
          </w:p>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94"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789"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789"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886" w:type="dxa"/>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出水</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≤10</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≤40</w:t>
            </w:r>
          </w:p>
        </w:tc>
        <w:tc>
          <w:tcPr>
            <w:tcW w:w="891"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≤10</w:t>
            </w:r>
          </w:p>
        </w:tc>
        <w:tc>
          <w:tcPr>
            <w:tcW w:w="753"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≤2.0</w:t>
            </w:r>
          </w:p>
        </w:tc>
        <w:tc>
          <w:tcPr>
            <w:tcW w:w="852"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≤0.4</w:t>
            </w:r>
          </w:p>
        </w:tc>
        <w:tc>
          <w:tcPr>
            <w:tcW w:w="850"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≤1000</w:t>
            </w:r>
          </w:p>
        </w:tc>
        <w:tc>
          <w:tcPr>
            <w:tcW w:w="929" w:type="dxa"/>
            <w:vMerge w:val="continue"/>
            <w:vAlign w:val="center"/>
          </w:tcPr>
          <w:p>
            <w:pPr>
              <w:spacing w:line="300" w:lineRule="exact"/>
              <w:ind w:firstLine="0" w:firstLineChars="0"/>
              <w:jc w:val="center"/>
              <w:rPr>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494" w:type="dxa"/>
            <w:vMerge w:val="restart"/>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3</w:t>
            </w:r>
          </w:p>
        </w:tc>
        <w:tc>
          <w:tcPr>
            <w:tcW w:w="789" w:type="dxa"/>
            <w:vMerge w:val="restart"/>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委托运</w:t>
            </w:r>
            <w:r>
              <w:rPr>
                <w:rFonts w:hint="eastAsia"/>
                <w:color w:val="000000" w:themeColor="text1"/>
                <w:sz w:val="21"/>
                <w:szCs w:val="21"/>
                <w14:textFill>
                  <w14:solidFill>
                    <w14:schemeClr w14:val="tx1"/>
                  </w14:solidFill>
                </w14:textFill>
              </w:rPr>
              <w:t>行</w:t>
            </w:r>
          </w:p>
        </w:tc>
        <w:tc>
          <w:tcPr>
            <w:tcW w:w="789" w:type="dxa"/>
            <w:vMerge w:val="restart"/>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旱季12</w:t>
            </w:r>
          </w:p>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雨季20</w:t>
            </w:r>
          </w:p>
        </w:tc>
        <w:tc>
          <w:tcPr>
            <w:tcW w:w="886" w:type="dxa"/>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进水</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≤180</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≤300</w:t>
            </w:r>
          </w:p>
        </w:tc>
        <w:tc>
          <w:tcPr>
            <w:tcW w:w="891"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≤250</w:t>
            </w:r>
          </w:p>
        </w:tc>
        <w:tc>
          <w:tcPr>
            <w:tcW w:w="753"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≤40</w:t>
            </w:r>
          </w:p>
        </w:tc>
        <w:tc>
          <w:tcPr>
            <w:tcW w:w="852"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≤8</w:t>
            </w:r>
          </w:p>
        </w:tc>
        <w:tc>
          <w:tcPr>
            <w:tcW w:w="850"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929" w:type="dxa"/>
            <w:vMerge w:val="restart"/>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地表准</w:t>
            </w:r>
          </w:p>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IV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494"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789"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789"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886" w:type="dxa"/>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出水</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≤6</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≤30</w:t>
            </w:r>
          </w:p>
        </w:tc>
        <w:tc>
          <w:tcPr>
            <w:tcW w:w="891"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≤10</w:t>
            </w:r>
          </w:p>
        </w:tc>
        <w:tc>
          <w:tcPr>
            <w:tcW w:w="753"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≤1.5</w:t>
            </w:r>
          </w:p>
        </w:tc>
        <w:tc>
          <w:tcPr>
            <w:tcW w:w="852"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≤0.3</w:t>
            </w:r>
          </w:p>
        </w:tc>
        <w:tc>
          <w:tcPr>
            <w:tcW w:w="850" w:type="dxa"/>
            <w:vAlign w:val="center"/>
          </w:tcPr>
          <w:p>
            <w:pPr>
              <w:spacing w:line="300" w:lineRule="exact"/>
              <w:ind w:firstLine="0" w:firstLineChars="0"/>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≤1000</w:t>
            </w:r>
          </w:p>
        </w:tc>
        <w:tc>
          <w:tcPr>
            <w:tcW w:w="929" w:type="dxa"/>
            <w:vMerge w:val="continue"/>
            <w:vAlign w:val="center"/>
          </w:tcPr>
          <w:p>
            <w:pPr>
              <w:spacing w:line="300" w:lineRule="exact"/>
              <w:ind w:firstLine="0" w:firstLineChars="0"/>
              <w:rPr>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494" w:type="dxa"/>
            <w:vMerge w:val="restart"/>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4</w:t>
            </w:r>
          </w:p>
        </w:tc>
        <w:tc>
          <w:tcPr>
            <w:tcW w:w="789" w:type="dxa"/>
            <w:vMerge w:val="restart"/>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委托运</w:t>
            </w:r>
            <w:r>
              <w:rPr>
                <w:rFonts w:hint="eastAsia"/>
                <w:color w:val="000000" w:themeColor="text1"/>
                <w:sz w:val="21"/>
                <w:szCs w:val="21"/>
                <w14:textFill>
                  <w14:solidFill>
                    <w14:schemeClr w14:val="tx1"/>
                  </w14:solidFill>
                </w14:textFill>
              </w:rPr>
              <w:t>行</w:t>
            </w:r>
          </w:p>
        </w:tc>
        <w:tc>
          <w:tcPr>
            <w:tcW w:w="789" w:type="dxa"/>
            <w:vMerge w:val="restart"/>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旱季1</w:t>
            </w:r>
            <w:r>
              <w:rPr>
                <w:rFonts w:hint="eastAsia"/>
                <w:color w:val="000000" w:themeColor="text1"/>
                <w:sz w:val="21"/>
                <w:szCs w:val="21"/>
                <w14:textFill>
                  <w14:solidFill>
                    <w14:schemeClr w14:val="tx1"/>
                  </w14:solidFill>
                </w14:textFill>
              </w:rPr>
              <w:t>0</w:t>
            </w:r>
          </w:p>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雨季</w:t>
            </w:r>
            <w:r>
              <w:rPr>
                <w:rFonts w:hint="eastAsia"/>
                <w:color w:val="000000" w:themeColor="text1"/>
                <w:sz w:val="21"/>
                <w:szCs w:val="21"/>
                <w14:textFill>
                  <w14:solidFill>
                    <w14:schemeClr w14:val="tx1"/>
                  </w14:solidFill>
                </w14:textFill>
              </w:rPr>
              <w:t>13</w:t>
            </w:r>
          </w:p>
        </w:tc>
        <w:tc>
          <w:tcPr>
            <w:tcW w:w="886" w:type="dxa"/>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进水</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w:t>
            </w:r>
            <w:r>
              <w:rPr>
                <w:rFonts w:hint="eastAsia"/>
                <w:color w:val="000000" w:themeColor="text1"/>
                <w:sz w:val="21"/>
                <w:szCs w:val="21"/>
                <w14:textFill>
                  <w14:solidFill>
                    <w14:schemeClr w14:val="tx1"/>
                  </w14:solidFill>
                </w14:textFill>
              </w:rPr>
              <w:t>1</w:t>
            </w:r>
            <w:r>
              <w:rPr>
                <w:color w:val="000000" w:themeColor="text1"/>
                <w:sz w:val="21"/>
                <w:szCs w:val="21"/>
                <w14:textFill>
                  <w14:solidFill>
                    <w14:schemeClr w14:val="tx1"/>
                  </w14:solidFill>
                </w14:textFill>
              </w:rPr>
              <w:t>0</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r>
              <w:rPr>
                <w:rFonts w:hint="eastAsia"/>
                <w:color w:val="000000" w:themeColor="text1"/>
                <w:sz w:val="21"/>
                <w:szCs w:val="21"/>
                <w14:textFill>
                  <w14:solidFill>
                    <w14:schemeClr w14:val="tx1"/>
                  </w14:solidFill>
                </w14:textFill>
              </w:rPr>
              <w:t>250</w:t>
            </w:r>
          </w:p>
        </w:tc>
        <w:tc>
          <w:tcPr>
            <w:tcW w:w="891"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r>
              <w:rPr>
                <w:rFonts w:hint="eastAsia"/>
                <w:color w:val="000000" w:themeColor="text1"/>
                <w:sz w:val="21"/>
                <w:szCs w:val="21"/>
                <w14:textFill>
                  <w14:solidFill>
                    <w14:schemeClr w14:val="tx1"/>
                  </w14:solidFill>
                </w14:textFill>
              </w:rPr>
              <w:t>350</w:t>
            </w:r>
          </w:p>
        </w:tc>
        <w:tc>
          <w:tcPr>
            <w:tcW w:w="753"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r>
              <w:rPr>
                <w:rFonts w:hint="eastAsia"/>
                <w:color w:val="000000" w:themeColor="text1"/>
                <w:sz w:val="21"/>
                <w:szCs w:val="21"/>
                <w14:textFill>
                  <w14:solidFill>
                    <w14:schemeClr w14:val="tx1"/>
                  </w14:solidFill>
                </w14:textFill>
              </w:rPr>
              <w:t>35</w:t>
            </w:r>
          </w:p>
        </w:tc>
        <w:tc>
          <w:tcPr>
            <w:tcW w:w="852"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r>
              <w:rPr>
                <w:rFonts w:hint="eastAsia"/>
                <w:color w:val="000000" w:themeColor="text1"/>
                <w:sz w:val="21"/>
                <w:szCs w:val="21"/>
                <w14:textFill>
                  <w14:solidFill>
                    <w14:schemeClr w14:val="tx1"/>
                  </w14:solidFill>
                </w14:textFill>
              </w:rPr>
              <w:t>6</w:t>
            </w:r>
          </w:p>
        </w:tc>
        <w:tc>
          <w:tcPr>
            <w:tcW w:w="850"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929" w:type="dxa"/>
            <w:vMerge w:val="restart"/>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地表准</w:t>
            </w:r>
          </w:p>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IV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494"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789"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789" w:type="dxa"/>
            <w:vMerge w:val="continue"/>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p>
        </w:tc>
        <w:tc>
          <w:tcPr>
            <w:tcW w:w="886" w:type="dxa"/>
            <w:vAlign w:val="center"/>
          </w:tcPr>
          <w:p>
            <w:pPr>
              <w:autoSpaceDE w:val="0"/>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出水</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≤6</w:t>
            </w:r>
          </w:p>
        </w:tc>
        <w:tc>
          <w:tcPr>
            <w:tcW w:w="886"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≤30</w:t>
            </w:r>
          </w:p>
        </w:tc>
        <w:tc>
          <w:tcPr>
            <w:tcW w:w="891"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≤10</w:t>
            </w:r>
          </w:p>
        </w:tc>
        <w:tc>
          <w:tcPr>
            <w:tcW w:w="753"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≤1.5</w:t>
            </w:r>
          </w:p>
        </w:tc>
        <w:tc>
          <w:tcPr>
            <w:tcW w:w="852"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≤0.3</w:t>
            </w:r>
          </w:p>
        </w:tc>
        <w:tc>
          <w:tcPr>
            <w:tcW w:w="850" w:type="dxa"/>
            <w:vAlign w:val="center"/>
          </w:tcPr>
          <w:p>
            <w:pPr>
              <w:spacing w:line="300" w:lineRule="exact"/>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≤1000</w:t>
            </w:r>
          </w:p>
        </w:tc>
        <w:tc>
          <w:tcPr>
            <w:tcW w:w="929" w:type="dxa"/>
            <w:vMerge w:val="continue"/>
            <w:vAlign w:val="center"/>
          </w:tcPr>
          <w:p>
            <w:pPr>
              <w:spacing w:line="300" w:lineRule="exact"/>
              <w:ind w:firstLine="0" w:firstLineChars="0"/>
              <w:rPr>
                <w:color w:val="000000" w:themeColor="text1"/>
                <w:sz w:val="21"/>
                <w:szCs w:val="21"/>
                <w14:textFill>
                  <w14:solidFill>
                    <w14:schemeClr w14:val="tx1"/>
                  </w14:solidFill>
                </w14:textFill>
              </w:rPr>
            </w:pPr>
          </w:p>
        </w:tc>
      </w:tr>
    </w:tbl>
    <w:p>
      <w:pPr>
        <w:ind w:firstLine="420"/>
        <w:rPr>
          <w:color w:val="000000" w:themeColor="text1"/>
          <w14:textFill>
            <w14:solidFill>
              <w14:schemeClr w14:val="tx1"/>
            </w14:solidFill>
          </w14:textFill>
        </w:rPr>
      </w:pPr>
      <w:r>
        <w:rPr>
          <w:color w:val="000000" w:themeColor="text1"/>
          <w:sz w:val="21"/>
          <w:szCs w:val="21"/>
          <w14:textFill>
            <w14:solidFill>
              <w14:schemeClr w14:val="tx1"/>
            </w14:solidFill>
          </w14:textFill>
        </w:rPr>
        <w:t>备注：进水水质超标时可按去除率考核，暂未在表中列出；旱季指1月1日至3月31日，11月1日至12月31日；雨季指4月1日至10月31日。</w:t>
      </w:r>
    </w:p>
    <w:p>
      <w:pPr>
        <w:pStyle w:val="3"/>
        <w:numPr>
          <w:ilvl w:val="-1"/>
          <w:numId w:val="0"/>
        </w:numPr>
        <w:spacing w:before="120" w:after="120"/>
        <w:ind w:left="0" w:firstLine="0"/>
        <w:rPr>
          <w:color w:val="000000" w:themeColor="text1"/>
          <w14:textFill>
            <w14:solidFill>
              <w14:schemeClr w14:val="tx1"/>
            </w14:solidFill>
          </w14:textFill>
        </w:rPr>
      </w:pPr>
      <w:bookmarkStart w:id="40" w:name="_Toc1023331309"/>
      <w:bookmarkStart w:id="41" w:name="_Toc1022279095"/>
      <w:bookmarkStart w:id="42" w:name="_Toc2011405759"/>
      <w:bookmarkStart w:id="43" w:name="_Toc983620880"/>
      <w:bookmarkStart w:id="44" w:name="_Toc219711416"/>
      <w:r>
        <w:rPr>
          <w:rFonts w:hint="eastAsia"/>
          <w:color w:val="000000" w:themeColor="text1"/>
          <w:lang w:val="en-US" w:eastAsia="zh-CN"/>
          <w14:textFill>
            <w14:solidFill>
              <w14:schemeClr w14:val="tx1"/>
            </w14:solidFill>
          </w14:textFill>
        </w:rPr>
        <w:t>1.2</w:t>
      </w:r>
      <w:r>
        <w:rPr>
          <w:rFonts w:hint="eastAsia"/>
          <w:color w:val="000000" w:themeColor="text1"/>
          <w:lang w:eastAsia="zh-CN"/>
          <w14:textFill>
            <w14:solidFill>
              <w14:schemeClr w14:val="tx1"/>
            </w14:solidFill>
          </w14:textFill>
        </w:rPr>
        <w:t>功能定位</w:t>
      </w:r>
      <w:bookmarkEnd w:id="40"/>
      <w:bookmarkEnd w:id="41"/>
      <w:bookmarkEnd w:id="42"/>
      <w:bookmarkEnd w:id="43"/>
    </w:p>
    <w:p>
      <w:pPr>
        <w:pStyle w:val="4"/>
        <w:numPr>
          <w:ilvl w:val="-1"/>
          <w:numId w:val="0"/>
        </w:numPr>
        <w:ind w:left="0" w:firstLine="0"/>
      </w:pPr>
      <w:bookmarkStart w:id="45" w:name="_Toc1605223093"/>
      <w:bookmarkStart w:id="46" w:name="_Toc591475987"/>
      <w:bookmarkStart w:id="47" w:name="_Toc763069479"/>
      <w:bookmarkStart w:id="48" w:name="_Toc905007482"/>
      <w:r>
        <w:rPr>
          <w:rFonts w:hint="eastAsia"/>
          <w:b/>
          <w:bCs/>
          <w:szCs w:val="44"/>
          <w:lang w:val="en-US" w:eastAsia="zh-CN"/>
        </w:rPr>
        <w:t>1.2.1</w:t>
      </w:r>
      <w:r>
        <w:rPr>
          <w:rFonts w:hint="default"/>
          <w:b/>
          <w:bCs/>
          <w:szCs w:val="44"/>
        </w:rPr>
        <w:t>设施功能定位</w:t>
      </w:r>
      <w:bookmarkEnd w:id="45"/>
      <w:bookmarkEnd w:id="46"/>
      <w:bookmarkEnd w:id="47"/>
      <w:bookmarkEnd w:id="48"/>
    </w:p>
    <w:bookmarkEnd w:id="44"/>
    <w:p>
      <w:pPr>
        <w:pStyle w:val="13"/>
        <w:ind w:firstLine="562"/>
        <w:rPr>
          <w:rFonts w:hint="eastAsia" w:ascii="Times New Roman" w:hAnsi="Times New Roman"/>
          <w:color w:val="000000" w:themeColor="text1"/>
          <w14:textFill>
            <w14:solidFill>
              <w14:schemeClr w14:val="tx1"/>
            </w14:solidFill>
          </w14:textFill>
        </w:rPr>
      </w:pPr>
      <w:bookmarkStart w:id="49" w:name="_Hlk113140004"/>
      <w:r>
        <w:rPr>
          <w:rFonts w:hint="eastAsia" w:ascii="Times New Roman" w:hAnsi="Times New Roman"/>
          <w:color w:val="000000" w:themeColor="text1"/>
          <w14:textFill>
            <w14:solidFill>
              <w14:schemeClr w14:val="tx1"/>
            </w14:solidFill>
          </w14:textFill>
        </w:rPr>
        <w:t>目前晴天观澜河干流箱涵仍有约127399.68m</w:t>
      </w:r>
      <w:r>
        <w:rPr>
          <w:rFonts w:hint="eastAsia" w:ascii="Times New Roman" w:hAnsi="Times New Roman"/>
          <w:color w:val="000000" w:themeColor="text1"/>
          <w:vertAlign w:val="baseline"/>
          <w14:textFill>
            <w14:solidFill>
              <w14:schemeClr w14:val="tx1"/>
            </w14:solidFill>
          </w14:textFill>
        </w:rPr>
        <w:t>3</w:t>
      </w:r>
      <w:r>
        <w:rPr>
          <w:rFonts w:hint="eastAsia" w:ascii="Times New Roman" w:hAnsi="Times New Roman"/>
          <w:color w:val="000000" w:themeColor="text1"/>
          <w14:textFill>
            <w14:solidFill>
              <w14:schemeClr w14:val="tx1"/>
            </w14:solidFill>
          </w14:textFill>
        </w:rPr>
        <w:t>/日的污水，预计2026年干流箱涵暂无法实现初雨水通道功能。同时，根据（2024.1.26）《市生态环境及水务项目指挥部会议纪要》，原则同意观澜河口调蓄池推迟开展初雨调蓄处理试点工作，继续保留污水处理功能。因此，观澜河口调蓄池2026年-2027年度运行，</w:t>
      </w:r>
      <w:r>
        <w:rPr>
          <w:rFonts w:hint="eastAsia" w:ascii="Times New Roman" w:hAnsi="Times New Roman"/>
          <w:b/>
          <w:bCs/>
          <w:color w:val="000000" w:themeColor="text1"/>
          <w14:textFill>
            <w14:solidFill>
              <w14:schemeClr w14:val="tx1"/>
            </w14:solidFill>
          </w14:textFill>
        </w:rPr>
        <w:t>设施定位仍维持“调蓄+连续性运行污水处理设施”。</w:t>
      </w:r>
    </w:p>
    <w:p>
      <w:pPr>
        <w:pStyle w:val="4"/>
        <w:numPr>
          <w:ilvl w:val="-1"/>
          <w:numId w:val="0"/>
        </w:numPr>
        <w:ind w:left="0" w:firstLine="0"/>
      </w:pPr>
      <w:bookmarkStart w:id="50" w:name="_Toc161308845"/>
      <w:bookmarkStart w:id="51" w:name="_Toc521375542"/>
      <w:bookmarkStart w:id="52" w:name="_Toc1938598771"/>
      <w:bookmarkStart w:id="53" w:name="_Toc1735334014"/>
      <w:r>
        <w:rPr>
          <w:rFonts w:hint="eastAsia"/>
          <w:lang w:val="en-US" w:eastAsia="zh-CN"/>
        </w:rPr>
        <w:t>1.2.2</w:t>
      </w:r>
      <w:r>
        <w:rPr>
          <w:rFonts w:hint="eastAsia"/>
        </w:rPr>
        <w:t>设施运行</w:t>
      </w:r>
      <w:r>
        <w:t>必要性</w:t>
      </w:r>
      <w:bookmarkEnd w:id="50"/>
      <w:bookmarkEnd w:id="51"/>
      <w:bookmarkEnd w:id="52"/>
      <w:bookmarkEnd w:id="53"/>
    </w:p>
    <w:p>
      <w:pPr>
        <w:pStyle w:val="13"/>
        <w:ind w:firstLine="562"/>
        <w:rPr>
          <w:rFonts w:ascii="Times New Roman" w:hAnsi="Times New Roman"/>
          <w:color w:val="000000" w:themeColor="text1"/>
          <w14:textFill>
            <w14:solidFill>
              <w14:schemeClr w14:val="tx1"/>
            </w14:solidFill>
          </w14:textFill>
        </w:rPr>
      </w:pPr>
      <w:r>
        <w:rPr>
          <w:rFonts w:hint="eastAsia" w:ascii="Times New Roman" w:hAnsi="Times New Roman"/>
          <w:b/>
          <w:bCs/>
          <w:color w:val="000000" w:themeColor="text1"/>
          <w14:textFill>
            <w14:solidFill>
              <w14:schemeClr w14:val="tx1"/>
            </w14:solidFill>
          </w14:textFill>
        </w:rPr>
        <w:t>污水处理需求</w:t>
      </w:r>
      <w:r>
        <w:rPr>
          <w:rFonts w:hint="eastAsia" w:ascii="Times New Roman" w:hAnsi="Times New Roman"/>
          <w:color w:val="000000" w:themeColor="text1"/>
          <w14:textFill>
            <w14:solidFill>
              <w14:schemeClr w14:val="tx1"/>
            </w14:solidFill>
          </w14:textFill>
        </w:rPr>
        <w:t>：降雨高峰期提升处理水量最大程度削减污染物，助力企坪断面汛期污染强度控制。</w:t>
      </w:r>
    </w:p>
    <w:p>
      <w:pPr>
        <w:pStyle w:val="13"/>
        <w:ind w:firstLine="562"/>
        <w:rPr>
          <w:rFonts w:ascii="Times New Roman" w:hAnsi="Times New Roman"/>
          <w:color w:val="000000" w:themeColor="text1"/>
          <w14:textFill>
            <w14:solidFill>
              <w14:schemeClr w14:val="tx1"/>
            </w14:solidFill>
          </w14:textFill>
        </w:rPr>
      </w:pPr>
      <w:r>
        <w:rPr>
          <w:rFonts w:hint="eastAsia" w:ascii="Times New Roman" w:hAnsi="Times New Roman"/>
          <w:b/>
          <w:bCs/>
          <w:color w:val="000000" w:themeColor="text1"/>
          <w14:textFill>
            <w14:solidFill>
              <w14:schemeClr w14:val="tx1"/>
            </w14:solidFill>
          </w14:textFill>
        </w:rPr>
        <w:t>污水应急保障需求</w:t>
      </w:r>
      <w:r>
        <w:rPr>
          <w:rFonts w:hint="eastAsia" w:ascii="Times New Roman" w:hAnsi="Times New Roman"/>
          <w:color w:val="000000" w:themeColor="text1"/>
          <w14:textFill>
            <w14:solidFill>
              <w14:schemeClr w14:val="tx1"/>
            </w14:solidFill>
          </w14:textFill>
        </w:rPr>
        <w:t>：设施提供最大25万吨/日的应急污水处理能力保障，消纳上游设施检修或事故等应急工况的转输污水。</w:t>
      </w:r>
    </w:p>
    <w:p>
      <w:pPr>
        <w:pStyle w:val="13"/>
        <w:ind w:firstLine="562"/>
        <w:rPr>
          <w:rFonts w:ascii="Times New Roman" w:hAnsi="Times New Roman"/>
          <w:color w:val="000000" w:themeColor="text1"/>
          <w14:textFill>
            <w14:solidFill>
              <w14:schemeClr w14:val="tx1"/>
            </w14:solidFill>
          </w14:textFill>
        </w:rPr>
      </w:pPr>
      <w:r>
        <w:rPr>
          <w:rFonts w:hint="eastAsia" w:ascii="Times New Roman" w:hAnsi="Times New Roman"/>
          <w:b/>
          <w:bCs/>
          <w:color w:val="000000" w:themeColor="text1"/>
          <w14:textFill>
            <w14:solidFill>
              <w14:schemeClr w14:val="tx1"/>
            </w14:solidFill>
          </w14:textFill>
        </w:rPr>
        <w:t>断面达标保障需求</w:t>
      </w:r>
      <w:r>
        <w:rPr>
          <w:rFonts w:hint="eastAsia" w:ascii="Times New Roman" w:hAnsi="Times New Roman"/>
          <w:color w:val="000000" w:themeColor="text1"/>
          <w14:textFill>
            <w14:solidFill>
              <w14:schemeClr w14:val="tx1"/>
            </w14:solidFill>
          </w14:textFill>
        </w:rPr>
        <w:t>：设施出水优于地表水</w:t>
      </w:r>
      <w:r>
        <w:rPr>
          <w:rFonts w:hint="eastAsia"/>
          <w:color w:val="000000" w:themeColor="text1"/>
          <w14:textFill>
            <w14:solidFill>
              <w14:schemeClr w14:val="tx1"/>
            </w14:solidFill>
          </w14:textFill>
        </w:rPr>
        <w:t>Ⅲ</w:t>
      </w:r>
      <w:r>
        <w:rPr>
          <w:rFonts w:hint="eastAsia" w:ascii="Times New Roman" w:hAnsi="Times New Roman"/>
          <w:color w:val="000000" w:themeColor="text1"/>
          <w14:textFill>
            <w14:solidFill>
              <w14:schemeClr w14:val="tx1"/>
            </w14:solidFill>
          </w14:textFill>
        </w:rPr>
        <w:t>类标准，提供断面稳定达标保障作用。</w:t>
      </w:r>
    </w:p>
    <w:p>
      <w:pPr>
        <w:pStyle w:val="3"/>
        <w:numPr>
          <w:ilvl w:val="-1"/>
          <w:numId w:val="0"/>
        </w:numPr>
        <w:ind w:left="0" w:firstLine="0"/>
        <w:rPr>
          <w:rFonts w:hint="eastAsia"/>
        </w:rPr>
      </w:pPr>
      <w:bookmarkStart w:id="54" w:name="_Toc1038963712"/>
      <w:bookmarkStart w:id="55" w:name="_Toc1393026952"/>
      <w:bookmarkStart w:id="56" w:name="_Toc219711420"/>
      <w:bookmarkStart w:id="57" w:name="_Toc2099498357"/>
      <w:bookmarkStart w:id="58" w:name="_Toc210223245"/>
      <w:r>
        <w:rPr>
          <w:rFonts w:hint="eastAsia"/>
          <w:lang w:val="en-US" w:eastAsia="zh-CN"/>
        </w:rPr>
        <w:t>1.3</w:t>
      </w:r>
      <w:r>
        <w:rPr>
          <w:rFonts w:hint="eastAsia"/>
        </w:rPr>
        <w:t>运行工况</w:t>
      </w:r>
      <w:bookmarkEnd w:id="54"/>
      <w:bookmarkEnd w:id="55"/>
      <w:bookmarkEnd w:id="56"/>
      <w:bookmarkEnd w:id="57"/>
      <w:bookmarkEnd w:id="58"/>
    </w:p>
    <w:p>
      <w:pPr>
        <w:pStyle w:val="4"/>
        <w:numPr>
          <w:ilvl w:val="-1"/>
          <w:numId w:val="0"/>
        </w:numPr>
        <w:ind w:left="0" w:firstLine="0"/>
      </w:pPr>
      <w:bookmarkStart w:id="59" w:name="_Toc1560742734"/>
      <w:bookmarkStart w:id="60" w:name="_Toc1687627087"/>
      <w:bookmarkStart w:id="61" w:name="_Toc981653091"/>
      <w:bookmarkStart w:id="62" w:name="_Toc90229350"/>
      <w:r>
        <w:rPr>
          <w:rFonts w:hint="eastAsia"/>
          <w:lang w:val="en-US" w:eastAsia="zh-CN"/>
        </w:rPr>
        <w:t>1.3.1</w:t>
      </w:r>
      <w:r>
        <w:rPr>
          <w:rFonts w:hint="eastAsia"/>
        </w:rPr>
        <w:t>设施处理规模</w:t>
      </w:r>
      <w:bookmarkEnd w:id="59"/>
      <w:bookmarkEnd w:id="60"/>
      <w:bookmarkEnd w:id="61"/>
      <w:bookmarkEnd w:id="62"/>
    </w:p>
    <w:p>
      <w:pPr>
        <w:ind w:firstLine="56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运行规模：</w:t>
      </w:r>
      <w:r>
        <w:rPr>
          <w:rFonts w:hint="eastAsia"/>
          <w:color w:val="000000" w:themeColor="text1"/>
          <w14:textFill>
            <w14:solidFill>
              <w14:schemeClr w14:val="tx1"/>
            </w14:solidFill>
          </w14:textFill>
        </w:rPr>
        <w:t>小雨及以下5万m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/d，中雨15万m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/d ，大雨及以上20万m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/d</w:t>
      </w:r>
      <w:r>
        <w:rPr>
          <w:rFonts w:hint="eastAsia"/>
          <w:b/>
          <w:bCs/>
          <w:color w:val="000000" w:themeColor="text1"/>
          <w14:textFill>
            <w14:solidFill>
              <w14:schemeClr w14:val="tx1"/>
            </w14:solidFill>
          </w14:textFill>
        </w:rPr>
        <w:t>。（应急污水处理</w:t>
      </w:r>
      <w:r>
        <w:rPr>
          <w:rFonts w:hint="eastAsia"/>
          <w:color w:val="000000" w:themeColor="text1"/>
          <w14:textFill>
            <w14:solidFill>
              <w14:schemeClr w14:val="tx1"/>
            </w14:solidFill>
          </w14:textFill>
        </w:rPr>
        <w:t>：上游设施发生检修或故障时，按流域污水统筹调度规模运行。</w:t>
      </w:r>
      <w:r>
        <w:rPr>
          <w:rFonts w:hint="eastAsia"/>
          <w:b/>
          <w:bCs/>
          <w:color w:val="000000" w:themeColor="text1"/>
          <w14:textFill>
            <w14:solidFill>
              <w14:schemeClr w14:val="tx1"/>
            </w14:solidFill>
          </w14:textFill>
        </w:rPr>
        <w:t>）</w:t>
      </w:r>
    </w:p>
    <w:p>
      <w:pPr>
        <w:ind w:firstLine="56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总处理规模：</w:t>
      </w:r>
      <w:r>
        <w:rPr>
          <w:rFonts w:hint="eastAsia"/>
          <w:color w:val="000000" w:themeColor="text1"/>
          <w:lang w:val="en-US" w:eastAsia="zh-CN"/>
          <w14:textFill>
            <w14:solidFill>
              <w14:schemeClr w14:val="tx1"/>
            </w14:solidFill>
          </w14:textFill>
        </w:rPr>
        <w:t>2755</w:t>
      </w:r>
      <w:r>
        <w:rPr>
          <w:rFonts w:hint="eastAsia"/>
          <w:color w:val="000000" w:themeColor="text1"/>
          <w14:textFill>
            <w14:solidFill>
              <w14:schemeClr w14:val="tx1"/>
            </w14:solidFill>
          </w14:textFill>
        </w:rPr>
        <w:t>万m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 xml:space="preserve"> ，日均规模为7.</w:t>
      </w:r>
      <w:r>
        <w:rPr>
          <w:rFonts w:hint="eastAsia"/>
          <w:color w:val="000000" w:themeColor="text1"/>
          <w:lang w:val="en-US" w:eastAsia="zh-CN"/>
          <w14:textFill>
            <w14:solidFill>
              <w14:schemeClr w14:val="tx1"/>
            </w14:solidFill>
          </w14:textFill>
        </w:rPr>
        <w:t>55</w:t>
      </w:r>
      <w:r>
        <w:rPr>
          <w:rFonts w:hint="eastAsia"/>
          <w:color w:val="000000" w:themeColor="text1"/>
          <w14:textFill>
            <w14:solidFill>
              <w14:schemeClr w14:val="tx1"/>
            </w14:solidFill>
          </w14:textFill>
        </w:rPr>
        <w:t>万m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/d</w:t>
      </w:r>
      <w:r>
        <w:rPr>
          <w:rFonts w:hint="eastAsia"/>
          <w:b/>
          <w:bCs/>
          <w:color w:val="000000" w:themeColor="text1"/>
          <w14:textFill>
            <w14:solidFill>
              <w14:schemeClr w14:val="tx1"/>
            </w14:solidFill>
          </w14:textFill>
        </w:rPr>
        <w:t>。</w:t>
      </w:r>
    </w:p>
    <w:p>
      <w:pPr>
        <w:pStyle w:val="4"/>
        <w:numPr>
          <w:ilvl w:val="-1"/>
          <w:numId w:val="0"/>
        </w:numPr>
        <w:ind w:left="0" w:firstLine="0"/>
      </w:pPr>
      <w:bookmarkStart w:id="63" w:name="_Toc106388926"/>
      <w:bookmarkStart w:id="64" w:name="_Toc355960459"/>
      <w:bookmarkStart w:id="65" w:name="_Toc39014020"/>
      <w:bookmarkStart w:id="66" w:name="_Toc899994926"/>
      <w:r>
        <w:rPr>
          <w:rFonts w:hint="eastAsia"/>
          <w:lang w:val="en-US" w:eastAsia="zh-CN"/>
        </w:rPr>
        <w:t>1.3.2</w:t>
      </w:r>
      <w:r>
        <w:rPr>
          <w:rFonts w:hint="eastAsia"/>
        </w:rPr>
        <w:t>设施进出水水水质标准</w:t>
      </w:r>
      <w:bookmarkEnd w:id="63"/>
      <w:bookmarkEnd w:id="64"/>
      <w:bookmarkEnd w:id="65"/>
      <w:bookmarkEnd w:id="66"/>
    </w:p>
    <w:p>
      <w:pPr>
        <w:spacing w:line="336" w:lineRule="auto"/>
        <w:ind w:firstLine="560"/>
        <w:rPr>
          <w:color w:val="000000" w:themeColor="text1"/>
          <w:kern w:val="0"/>
          <w:szCs w:val="28"/>
          <w14:textFill>
            <w14:solidFill>
              <w14:schemeClr w14:val="tx1"/>
            </w14:solidFill>
          </w14:textFill>
        </w:rPr>
      </w:pPr>
      <w:r>
        <w:rPr>
          <w:rFonts w:hint="eastAsia"/>
          <w:color w:val="000000" w:themeColor="text1"/>
          <w:szCs w:val="20"/>
          <w14:textFill>
            <w14:solidFill>
              <w14:schemeClr w14:val="tx1"/>
            </w14:solidFill>
          </w14:textFill>
        </w:rPr>
        <w:t>以近一年统计时段，设施进水水质在线监测数据（因在线无BOD数据，BOD取每日实测值）作保障率频率分析，参照污水处理设计进水标准确定方法，按90%保障率确定进水水质标准</w:t>
      </w:r>
      <w:r>
        <w:rPr>
          <w:rFonts w:hint="eastAsia"/>
          <w:color w:val="000000" w:themeColor="text1"/>
          <w:kern w:val="0"/>
          <w:szCs w:val="28"/>
          <w14:textFill>
            <w14:solidFill>
              <w14:schemeClr w14:val="tx1"/>
            </w14:solidFill>
          </w14:textFill>
        </w:rPr>
        <w:t>。近一年统计时段的90%保障率数值与现行设计进水标准数值比较接近，</w:t>
      </w:r>
      <w:r>
        <w:rPr>
          <w:rFonts w:hint="eastAsia"/>
          <w:b/>
          <w:bCs/>
          <w:color w:val="000000" w:themeColor="text1"/>
          <w:kern w:val="0"/>
          <w:szCs w:val="28"/>
          <w14:textFill>
            <w14:solidFill>
              <w14:schemeClr w14:val="tx1"/>
            </w14:solidFill>
          </w14:textFill>
        </w:rPr>
        <w:t>建议进水水质仍执行现行标准，具体指标如下表</w:t>
      </w:r>
      <w:r>
        <w:rPr>
          <w:rFonts w:hint="eastAsia"/>
          <w:color w:val="000000" w:themeColor="text1"/>
          <w:kern w:val="0"/>
          <w:szCs w:val="28"/>
          <w14:textFill>
            <w14:solidFill>
              <w14:schemeClr w14:val="tx1"/>
            </w14:solidFill>
          </w14:textFill>
        </w:rPr>
        <w:t>。</w:t>
      </w:r>
    </w:p>
    <w:p>
      <w:pPr>
        <w:ind w:firstLine="0" w:firstLineChars="0"/>
        <w:jc w:val="center"/>
        <w:rPr>
          <w:color w:val="000000" w:themeColor="text1"/>
          <w14:textFill>
            <w14:solidFill>
              <w14:schemeClr w14:val="tx1"/>
            </w14:solidFill>
          </w14:textFill>
        </w:rPr>
      </w:pPr>
      <w:r>
        <w:rPr>
          <w:color w:val="000000" w:themeColor="text1"/>
          <w14:textFill>
            <w14:solidFill>
              <w14:schemeClr w14:val="tx1"/>
            </w14:solidFill>
          </w14:textFill>
        </w:rPr>
        <w:t>表</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1.4</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SEQ 表 \* ARABIC \s 2</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 xml:space="preserve"> 设施进水水质标准（mg/L）</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7"/>
        <w:gridCol w:w="1396"/>
        <w:gridCol w:w="1571"/>
        <w:gridCol w:w="1288"/>
        <w:gridCol w:w="1585"/>
        <w:gridCol w:w="13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水质指标</w:t>
            </w:r>
          </w:p>
        </w:tc>
        <w:tc>
          <w:tcPr>
            <w:tcW w:w="1134"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BOD</w:t>
            </w:r>
            <w:r>
              <w:rPr>
                <w:rFonts w:hint="eastAsia"/>
                <w:color w:val="000000" w:themeColor="text1"/>
                <w:sz w:val="24"/>
                <w:vertAlign w:val="subscript"/>
                <w14:textFill>
                  <w14:solidFill>
                    <w14:schemeClr w14:val="tx1"/>
                  </w14:solidFill>
                </w14:textFill>
              </w:rPr>
              <w:t>5</w:t>
            </w:r>
          </w:p>
        </w:tc>
        <w:tc>
          <w:tcPr>
            <w:tcW w:w="1276"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COD</w:t>
            </w:r>
            <w:r>
              <w:rPr>
                <w:rFonts w:hint="eastAsia"/>
                <w:color w:val="000000" w:themeColor="text1"/>
                <w:sz w:val="24"/>
                <w:vertAlign w:val="subscript"/>
                <w14:textFill>
                  <w14:solidFill>
                    <w14:schemeClr w14:val="tx1"/>
                  </w14:solidFill>
                </w14:textFill>
              </w:rPr>
              <w:t>Cr</w:t>
            </w:r>
          </w:p>
        </w:tc>
        <w:tc>
          <w:tcPr>
            <w:tcW w:w="1046"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SS</w:t>
            </w:r>
          </w:p>
        </w:tc>
        <w:tc>
          <w:tcPr>
            <w:tcW w:w="1288"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NH</w:t>
            </w:r>
            <w:r>
              <w:rPr>
                <w:rFonts w:hint="eastAsia"/>
                <w:color w:val="000000" w:themeColor="text1"/>
                <w:sz w:val="24"/>
                <w:vertAlign w:val="subscript"/>
                <w14:textFill>
                  <w14:solidFill>
                    <w14:schemeClr w14:val="tx1"/>
                  </w14:solidFill>
                </w14:textFill>
              </w:rPr>
              <w:t>3</w:t>
            </w:r>
            <w:r>
              <w:rPr>
                <w:rFonts w:hint="eastAsia"/>
                <w:color w:val="000000" w:themeColor="text1"/>
                <w:sz w:val="24"/>
                <w14:textFill>
                  <w14:solidFill>
                    <w14:schemeClr w14:val="tx1"/>
                  </w14:solidFill>
                </w14:textFill>
              </w:rPr>
              <w:t>-N</w:t>
            </w:r>
          </w:p>
        </w:tc>
        <w:tc>
          <w:tcPr>
            <w:tcW w:w="1068"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进水水质标准</w:t>
            </w:r>
          </w:p>
        </w:tc>
        <w:tc>
          <w:tcPr>
            <w:tcW w:w="1134"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≤110</w:t>
            </w:r>
          </w:p>
        </w:tc>
        <w:tc>
          <w:tcPr>
            <w:tcW w:w="1276"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≤250</w:t>
            </w:r>
          </w:p>
        </w:tc>
        <w:tc>
          <w:tcPr>
            <w:tcW w:w="1046"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≤350</w:t>
            </w:r>
          </w:p>
        </w:tc>
        <w:tc>
          <w:tcPr>
            <w:tcW w:w="1288"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≤35</w:t>
            </w:r>
          </w:p>
        </w:tc>
        <w:tc>
          <w:tcPr>
            <w:tcW w:w="1068"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≤6</w:t>
            </w:r>
          </w:p>
        </w:tc>
      </w:tr>
    </w:tbl>
    <w:p>
      <w:pPr>
        <w:pStyle w:val="13"/>
        <w:spacing w:line="336" w:lineRule="auto"/>
        <w:rPr>
          <w:rFonts w:hint="eastAsia"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基于企坪断面水质考核目标要求，作为距离企坪断面最近的水处理设施，设计出水水质标准设为地表准IV类是合理的。</w:t>
      </w:r>
      <w:r>
        <w:rPr>
          <w:rFonts w:hint="eastAsia" w:ascii="Times New Roman" w:hAnsi="Times New Roman"/>
          <w:color w:val="000000" w:themeColor="text1"/>
          <w14:textFill>
            <w14:solidFill>
              <w14:schemeClr w14:val="tx1"/>
            </w14:solidFill>
          </w14:textFill>
        </w:rPr>
        <w:t>高出水标准不但更能保障断面达标，也更能够发挥设施最大的削减污染物作用。</w:t>
      </w:r>
      <w:r>
        <w:rPr>
          <w:rFonts w:hint="eastAsia" w:ascii="Times New Roman" w:hAnsi="Times New Roman"/>
          <w:b/>
          <w:bCs/>
          <w:color w:val="000000" w:themeColor="text1"/>
          <w14:textFill>
            <w14:solidFill>
              <w14:schemeClr w14:val="tx1"/>
            </w14:solidFill>
          </w14:textFill>
        </w:rPr>
        <w:t>建议出水水质仍执行地表准IV类标准，具体指标如下表</w:t>
      </w:r>
      <w:r>
        <w:rPr>
          <w:rFonts w:hint="eastAsia" w:ascii="Times New Roman" w:hAnsi="Times New Roman"/>
          <w:color w:val="000000" w:themeColor="text1"/>
          <w14:textFill>
            <w14:solidFill>
              <w14:schemeClr w14:val="tx1"/>
            </w14:solidFill>
          </w14:textFill>
        </w:rPr>
        <w:t>。</w:t>
      </w:r>
    </w:p>
    <w:p>
      <w:pPr>
        <w:ind w:firstLine="0" w:firstLineChars="0"/>
        <w:jc w:val="center"/>
        <w:rPr>
          <w:rFonts w:hint="eastAsia"/>
          <w:color w:val="000000" w:themeColor="text1"/>
          <w14:textFill>
            <w14:solidFill>
              <w14:schemeClr w14:val="tx1"/>
            </w14:solidFill>
          </w14:textFill>
        </w:rPr>
      </w:pPr>
      <w:r>
        <w:rPr>
          <w:color w:val="000000" w:themeColor="text1"/>
          <w14:textFill>
            <w14:solidFill>
              <w14:schemeClr w14:val="tx1"/>
            </w14:solidFill>
          </w14:textFill>
        </w:rPr>
        <w:t>表</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1.4</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SEQ 表 \* ARABIC \s 2</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w:t>
      </w:r>
      <w:r>
        <w:rPr>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 xml:space="preserve"> 设施出水水质标准（mg/L）</w:t>
      </w:r>
    </w:p>
    <w:tbl>
      <w:tblPr>
        <w:tblStyle w:val="31"/>
        <w:tblpPr w:leftFromText="180" w:rightFromText="180" w:vertAnchor="text" w:horzAnchor="page" w:tblpX="1331" w:tblpY="1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862"/>
        <w:gridCol w:w="1037"/>
        <w:gridCol w:w="750"/>
        <w:gridCol w:w="938"/>
        <w:gridCol w:w="812"/>
        <w:gridCol w:w="30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水质指标</w:t>
            </w:r>
          </w:p>
        </w:tc>
        <w:tc>
          <w:tcPr>
            <w:tcW w:w="862"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BOD</w:t>
            </w:r>
            <w:r>
              <w:rPr>
                <w:rFonts w:hint="eastAsia"/>
                <w:color w:val="000000" w:themeColor="text1"/>
                <w:sz w:val="24"/>
                <w:vertAlign w:val="subscript"/>
                <w14:textFill>
                  <w14:solidFill>
                    <w14:schemeClr w14:val="tx1"/>
                  </w14:solidFill>
                </w14:textFill>
              </w:rPr>
              <w:t>5</w:t>
            </w:r>
          </w:p>
        </w:tc>
        <w:tc>
          <w:tcPr>
            <w:tcW w:w="1037"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COD</w:t>
            </w:r>
            <w:r>
              <w:rPr>
                <w:rFonts w:hint="eastAsia"/>
                <w:color w:val="000000" w:themeColor="text1"/>
                <w:sz w:val="24"/>
                <w:vertAlign w:val="subscript"/>
                <w14:textFill>
                  <w14:solidFill>
                    <w14:schemeClr w14:val="tx1"/>
                  </w14:solidFill>
                </w14:textFill>
              </w:rPr>
              <w:t>Cr</w:t>
            </w:r>
          </w:p>
        </w:tc>
        <w:tc>
          <w:tcPr>
            <w:tcW w:w="750"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SS</w:t>
            </w:r>
          </w:p>
        </w:tc>
        <w:tc>
          <w:tcPr>
            <w:tcW w:w="938"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NH</w:t>
            </w:r>
            <w:r>
              <w:rPr>
                <w:rFonts w:hint="eastAsia"/>
                <w:color w:val="000000" w:themeColor="text1"/>
                <w:sz w:val="24"/>
                <w:vertAlign w:val="subscript"/>
                <w14:textFill>
                  <w14:solidFill>
                    <w14:schemeClr w14:val="tx1"/>
                  </w14:solidFill>
                </w14:textFill>
              </w:rPr>
              <w:t>3</w:t>
            </w:r>
            <w:r>
              <w:rPr>
                <w:rFonts w:hint="eastAsia"/>
                <w:color w:val="000000" w:themeColor="text1"/>
                <w:sz w:val="24"/>
                <w14:textFill>
                  <w14:solidFill>
                    <w14:schemeClr w14:val="tx1"/>
                  </w14:solidFill>
                </w14:textFill>
              </w:rPr>
              <w:t>-N</w:t>
            </w:r>
          </w:p>
        </w:tc>
        <w:tc>
          <w:tcPr>
            <w:tcW w:w="812"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TP</w:t>
            </w:r>
          </w:p>
        </w:tc>
        <w:tc>
          <w:tcPr>
            <w:tcW w:w="3063" w:type="dxa"/>
            <w:vAlign w:val="center"/>
          </w:tcPr>
          <w:p>
            <w:pPr>
              <w:ind w:firstLine="0" w:firstLineChars="0"/>
              <w:jc w:val="center"/>
              <w:rPr>
                <w:rFonts w:hint="eastAsia" w:eastAsia="宋体"/>
                <w:color w:val="000000" w:themeColor="text1"/>
                <w:sz w:val="24"/>
                <w:lang w:eastAsia="zh-CN"/>
                <w14:textFill>
                  <w14:solidFill>
                    <w14:schemeClr w14:val="tx1"/>
                  </w14:solidFill>
                </w14:textFill>
              </w:rPr>
            </w:pPr>
            <w:r>
              <w:rPr>
                <w:rFonts w:hint="eastAsia"/>
                <w:color w:val="000000" w:themeColor="text1"/>
                <w:sz w:val="24"/>
                <w:lang w:val="en-US" w:eastAsia="zh-CN"/>
                <w14:textFill>
                  <w14:solidFill>
                    <w14:schemeClr w14:val="tx1"/>
                  </w14:solidFill>
                </w14:textFill>
              </w:rPr>
              <w:t>粪</w:t>
            </w:r>
            <w:r>
              <w:rPr>
                <w:rFonts w:hint="eastAsia"/>
                <w:color w:val="000000" w:themeColor="text1"/>
                <w:sz w:val="24"/>
                <w14:textFill>
                  <w14:solidFill>
                    <w14:schemeClr w14:val="tx1"/>
                  </w14:solidFill>
                </w14:textFill>
              </w:rPr>
              <w:t>大肠菌群</w:t>
            </w:r>
            <w:r>
              <w:rPr>
                <w:rFonts w:hint="eastAsia"/>
                <w:color w:val="000000" w:themeColor="text1"/>
                <w:sz w:val="24"/>
                <w:lang w:eastAsia="zh-CN"/>
                <w14:textFill>
                  <w14:solidFill>
                    <w14:schemeClr w14:val="tx1"/>
                  </w14:solidFill>
                </w14:textFill>
              </w:rPr>
              <w:t>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lang w:eastAsia="zh-CN"/>
                <w14:textFill>
                  <w14:solidFill>
                    <w14:schemeClr w14:val="tx1"/>
                  </w14:solidFill>
                </w14:textFill>
              </w:rPr>
              <w:t>出</w:t>
            </w:r>
            <w:r>
              <w:rPr>
                <w:rFonts w:hint="eastAsia"/>
                <w:color w:val="000000" w:themeColor="text1"/>
                <w:sz w:val="24"/>
                <w14:textFill>
                  <w14:solidFill>
                    <w14:schemeClr w14:val="tx1"/>
                  </w14:solidFill>
                </w14:textFill>
              </w:rPr>
              <w:t>水水质标准</w:t>
            </w:r>
          </w:p>
        </w:tc>
        <w:tc>
          <w:tcPr>
            <w:tcW w:w="862"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≤6</w:t>
            </w:r>
          </w:p>
        </w:tc>
        <w:tc>
          <w:tcPr>
            <w:tcW w:w="1037"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≤30</w:t>
            </w:r>
          </w:p>
        </w:tc>
        <w:tc>
          <w:tcPr>
            <w:tcW w:w="750"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≤10</w:t>
            </w:r>
          </w:p>
        </w:tc>
        <w:tc>
          <w:tcPr>
            <w:tcW w:w="938"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≤1.5</w:t>
            </w:r>
          </w:p>
        </w:tc>
        <w:tc>
          <w:tcPr>
            <w:tcW w:w="812"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≤0.3</w:t>
            </w:r>
          </w:p>
        </w:tc>
        <w:tc>
          <w:tcPr>
            <w:tcW w:w="3063" w:type="dxa"/>
            <w:vAlign w:val="center"/>
          </w:tcPr>
          <w:p>
            <w:pPr>
              <w:ind w:firstLine="0" w:firstLineChars="0"/>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≤1000</w:t>
            </w:r>
            <w:r>
              <w:rPr>
                <w:rFonts w:hint="eastAsia"/>
                <w:color w:val="000000" w:themeColor="text1"/>
                <w:sz w:val="24"/>
                <w:lang w:val="en-US" w:eastAsia="zh-CN"/>
                <w14:textFill>
                  <w14:solidFill>
                    <w14:schemeClr w14:val="tx1"/>
                  </w14:solidFill>
                </w14:textFill>
              </w:rPr>
              <w:t>0</w:t>
            </w:r>
            <w:r>
              <w:rPr>
                <w:rFonts w:hint="eastAsia" w:eastAsiaTheme="majorEastAsia"/>
                <w:color w:val="000000" w:themeColor="text1"/>
                <w:sz w:val="24"/>
                <w:lang w:val="en-US" w:eastAsia="zh-CN"/>
                <w14:textFill>
                  <w14:solidFill>
                    <w14:schemeClr w14:val="tx1"/>
                  </w14:solidFill>
                </w14:textFill>
              </w:rPr>
              <w:t>MPN</w:t>
            </w:r>
            <w:r>
              <w:rPr>
                <w:rFonts w:hint="eastAsia"/>
                <w:color w:val="000000" w:themeColor="text1"/>
                <w:sz w:val="24"/>
                <w14:textFill>
                  <w14:solidFill>
                    <w14:schemeClr w14:val="tx1"/>
                  </w14:solidFill>
                </w14:textFill>
              </w:rPr>
              <w:t>/L</w:t>
            </w:r>
          </w:p>
        </w:tc>
      </w:tr>
    </w:tbl>
    <w:p>
      <w:pPr>
        <w:ind w:firstLine="560" w:firstLineChars="200"/>
        <w:jc w:val="both"/>
        <w:rPr>
          <w:rFonts w:hint="eastAsia" w:eastAsia="宋体"/>
          <w:color w:val="000000" w:themeColor="text1"/>
          <w:lang w:val="en-US" w:eastAsia="zh-CN"/>
          <w14:textFill>
            <w14:solidFill>
              <w14:schemeClr w14:val="tx1"/>
            </w14:solidFill>
          </w14:textFill>
        </w:rPr>
      </w:pPr>
      <w:r>
        <w:rPr>
          <w:rFonts w:hint="eastAsia"/>
          <w:color w:val="000000" w:themeColor="text1"/>
          <w:lang w:eastAsia="zh-CN"/>
          <w14:textFill>
            <w14:solidFill>
              <w14:schemeClr w14:val="tx1"/>
            </w14:solidFill>
          </w14:textFill>
        </w:rPr>
        <w:t>注：据《关于发布</w:t>
      </w:r>
      <w:r>
        <w:rPr>
          <w:rFonts w:hint="eastAsia" w:ascii="宋体" w:hAnsi="宋体" w:eastAsia="宋体" w:cs="宋体"/>
          <w:color w:val="000000" w:themeColor="text1"/>
          <w:lang w:eastAsia="zh-CN"/>
          <w14:textFill>
            <w14:solidFill>
              <w14:schemeClr w14:val="tx1"/>
            </w14:solidFill>
          </w14:textFill>
        </w:rPr>
        <w:t>&lt;</w:t>
      </w:r>
      <w:r>
        <w:rPr>
          <w:rFonts w:hint="eastAsia"/>
          <w:color w:val="000000" w:themeColor="text1"/>
          <w:lang w:eastAsia="zh-CN"/>
          <w14:textFill>
            <w14:solidFill>
              <w14:schemeClr w14:val="tx1"/>
            </w14:solidFill>
          </w14:textFill>
        </w:rPr>
        <w:t>城镇污水处理厂污染物排放标准</w:t>
      </w:r>
      <w:r>
        <w:rPr>
          <w:rFonts w:hint="eastAsia" w:ascii="宋体" w:hAnsi="宋体" w:eastAsia="宋体" w:cs="宋体"/>
          <w:color w:val="000000" w:themeColor="text1"/>
          <w:lang w:eastAsia="zh-CN"/>
          <w14:textFill>
            <w14:solidFill>
              <w14:schemeClr w14:val="tx1"/>
            </w14:solidFill>
          </w14:textFill>
        </w:rPr>
        <w:t>&gt;</w:t>
      </w:r>
      <w:r>
        <w:rPr>
          <w:rFonts w:hint="eastAsia"/>
          <w:color w:val="000000" w:themeColor="text1"/>
          <w:lang w:eastAsia="zh-CN"/>
          <w14:textFill>
            <w14:solidFill>
              <w14:schemeClr w14:val="tx1"/>
            </w14:solidFill>
          </w14:textFill>
        </w:rPr>
        <w:t>( GB 18918-2002 )修改单的公告》，</w:t>
      </w:r>
      <w:r>
        <w:rPr>
          <w:rFonts w:hint="eastAsia"/>
          <w:color w:val="000000" w:themeColor="text1"/>
          <w:sz w:val="28"/>
          <w:lang w:val="en-US" w:eastAsia="zh-CN"/>
          <w14:textFill>
            <w14:solidFill>
              <w14:schemeClr w14:val="tx1"/>
            </w14:solidFill>
          </w14:textFill>
        </w:rPr>
        <w:t>粪</w:t>
      </w:r>
      <w:r>
        <w:rPr>
          <w:rFonts w:hint="eastAsia"/>
          <w:color w:val="000000" w:themeColor="text1"/>
          <w:sz w:val="28"/>
          <w14:textFill>
            <w14:solidFill>
              <w14:schemeClr w14:val="tx1"/>
            </w14:solidFill>
          </w14:textFill>
        </w:rPr>
        <w:t>大肠菌群</w:t>
      </w:r>
      <w:r>
        <w:rPr>
          <w:rFonts w:hint="eastAsia"/>
          <w:color w:val="000000" w:themeColor="text1"/>
          <w:sz w:val="28"/>
          <w:lang w:eastAsia="zh-CN"/>
          <w14:textFill>
            <w14:solidFill>
              <w14:schemeClr w14:val="tx1"/>
            </w14:solidFill>
          </w14:textFill>
        </w:rPr>
        <w:t>数出水水质执行标准由</w:t>
      </w:r>
      <w:r>
        <w:rPr>
          <w:rFonts w:hint="eastAsia"/>
          <w:color w:val="000000" w:themeColor="text1"/>
          <w:sz w:val="24"/>
          <w14:textFill>
            <w14:solidFill>
              <w14:schemeClr w14:val="tx1"/>
            </w14:solidFill>
          </w14:textFill>
        </w:rPr>
        <w:t>≤</w:t>
      </w:r>
      <w:r>
        <w:rPr>
          <w:rFonts w:hint="eastAsia"/>
          <w:color w:val="000000" w:themeColor="text1"/>
          <w:sz w:val="28"/>
          <w:lang w:val="en-US" w:eastAsia="zh-CN"/>
          <w14:textFill>
            <w14:solidFill>
              <w14:schemeClr w14:val="tx1"/>
            </w14:solidFill>
          </w14:textFill>
        </w:rPr>
        <w:t>1000个/L调整为</w:t>
      </w:r>
      <w:r>
        <w:rPr>
          <w:rFonts w:hint="eastAsia"/>
          <w:color w:val="000000" w:themeColor="text1"/>
          <w:sz w:val="24"/>
          <w14:textFill>
            <w14:solidFill>
              <w14:schemeClr w14:val="tx1"/>
            </w14:solidFill>
          </w14:textFill>
        </w:rPr>
        <w:t>≤1000</w:t>
      </w:r>
      <w:r>
        <w:rPr>
          <w:rFonts w:hint="eastAsia"/>
          <w:color w:val="000000" w:themeColor="text1"/>
          <w:sz w:val="24"/>
          <w:lang w:val="en-US" w:eastAsia="zh-CN"/>
          <w14:textFill>
            <w14:solidFill>
              <w14:schemeClr w14:val="tx1"/>
            </w14:solidFill>
          </w14:textFill>
        </w:rPr>
        <w:t>0</w:t>
      </w:r>
      <w:r>
        <w:rPr>
          <w:rFonts w:hint="eastAsia" w:eastAsiaTheme="majorEastAsia"/>
          <w:color w:val="000000" w:themeColor="text1"/>
          <w:sz w:val="24"/>
          <w:lang w:val="en-US" w:eastAsia="zh-CN"/>
          <w14:textFill>
            <w14:solidFill>
              <w14:schemeClr w14:val="tx1"/>
            </w14:solidFill>
          </w14:textFill>
        </w:rPr>
        <w:t>MPN</w:t>
      </w:r>
      <w:r>
        <w:rPr>
          <w:rFonts w:hint="eastAsia"/>
          <w:color w:val="000000" w:themeColor="text1"/>
          <w:sz w:val="24"/>
          <w14:textFill>
            <w14:solidFill>
              <w14:schemeClr w14:val="tx1"/>
            </w14:solidFill>
          </w14:textFill>
        </w:rPr>
        <w:t>/L</w:t>
      </w:r>
      <w:r>
        <w:rPr>
          <w:rFonts w:hint="eastAsia"/>
          <w:color w:val="000000" w:themeColor="text1"/>
          <w:sz w:val="24"/>
          <w:lang w:eastAsia="zh-CN"/>
          <w14:textFill>
            <w14:solidFill>
              <w14:schemeClr w14:val="tx1"/>
            </w14:solidFill>
          </w14:textFill>
        </w:rPr>
        <w:t>。</w:t>
      </w:r>
    </w:p>
    <w:p>
      <w:pPr>
        <w:ind w:firstLine="0" w:firstLineChars="0"/>
        <w:jc w:val="center"/>
        <w:rPr>
          <w:rFonts w:hint="eastAsia"/>
          <w:color w:val="000000" w:themeColor="text1"/>
          <w14:textFill>
            <w14:solidFill>
              <w14:schemeClr w14:val="tx1"/>
            </w14:solidFill>
          </w14:textFill>
        </w:rPr>
      </w:pPr>
    </w:p>
    <w:p>
      <w:pPr>
        <w:ind w:firstLine="0" w:firstLineChars="0"/>
        <w:jc w:val="center"/>
        <w:rPr>
          <w:rFonts w:hint="eastAsia"/>
          <w:color w:val="000000" w:themeColor="text1"/>
          <w14:textFill>
            <w14:solidFill>
              <w14:schemeClr w14:val="tx1"/>
            </w14:solidFill>
          </w14:textFill>
        </w:rPr>
      </w:pPr>
    </w:p>
    <w:p>
      <w:pPr>
        <w:ind w:firstLine="0" w:firstLineChars="0"/>
        <w:jc w:val="center"/>
        <w:rPr>
          <w:rFonts w:hint="eastAsia"/>
          <w:color w:val="000000" w:themeColor="text1"/>
          <w14:textFill>
            <w14:solidFill>
              <w14:schemeClr w14:val="tx1"/>
            </w14:solidFill>
          </w14:textFill>
        </w:rPr>
      </w:pPr>
    </w:p>
    <w:p>
      <w:pPr>
        <w:ind w:firstLine="0" w:firstLineChars="0"/>
        <w:jc w:val="center"/>
        <w:rPr>
          <w:rFonts w:hint="eastAsia"/>
          <w:color w:val="000000" w:themeColor="text1"/>
          <w14:textFill>
            <w14:solidFill>
              <w14:schemeClr w14:val="tx1"/>
            </w14:solidFill>
          </w14:textFill>
        </w:rPr>
      </w:pPr>
    </w:p>
    <w:p>
      <w:pPr>
        <w:ind w:firstLine="0" w:firstLineChars="0"/>
        <w:jc w:val="center"/>
        <w:rPr>
          <w:rFonts w:hint="eastAsia"/>
          <w:color w:val="000000" w:themeColor="text1"/>
          <w14:textFill>
            <w14:solidFill>
              <w14:schemeClr w14:val="tx1"/>
            </w14:solidFill>
          </w14:textFill>
        </w:rPr>
      </w:pPr>
    </w:p>
    <w:p>
      <w:pPr>
        <w:ind w:firstLine="0" w:firstLineChars="0"/>
        <w:jc w:val="center"/>
        <w:rPr>
          <w:rFonts w:hint="eastAsia"/>
          <w:color w:val="000000" w:themeColor="text1"/>
          <w14:textFill>
            <w14:solidFill>
              <w14:schemeClr w14:val="tx1"/>
            </w14:solidFill>
          </w14:textFill>
        </w:rPr>
      </w:pPr>
    </w:p>
    <w:bookmarkEnd w:id="49"/>
    <w:p>
      <w:pPr>
        <w:pStyle w:val="37"/>
        <w:ind w:left="0"/>
        <w:rPr>
          <w:color w:val="000000" w:themeColor="text1"/>
          <w:highlight w:val="none"/>
          <w14:textFill>
            <w14:solidFill>
              <w14:schemeClr w14:val="tx1"/>
            </w14:solidFill>
          </w14:textFill>
        </w:rPr>
      </w:pPr>
      <w:bookmarkStart w:id="67" w:name="_Toc1746675720"/>
      <w:bookmarkStart w:id="68" w:name="_Toc1639311208"/>
      <w:bookmarkStart w:id="69" w:name="_Toc219711475"/>
      <w:bookmarkStart w:id="70" w:name="_Toc1977939527"/>
      <w:bookmarkStart w:id="71" w:name="_Toc984386747"/>
      <w:r>
        <w:rPr>
          <w:rFonts w:hint="eastAsia"/>
          <w:color w:val="000000" w:themeColor="text1"/>
          <w:highlight w:val="none"/>
          <w14:textFill>
            <w14:solidFill>
              <w14:schemeClr w14:val="tx1"/>
            </w14:solidFill>
          </w14:textFill>
        </w:rPr>
        <w:t>具体运营方案</w:t>
      </w:r>
      <w:bookmarkEnd w:id="67"/>
      <w:bookmarkEnd w:id="68"/>
      <w:bookmarkEnd w:id="69"/>
      <w:bookmarkEnd w:id="70"/>
      <w:bookmarkEnd w:id="71"/>
    </w:p>
    <w:p>
      <w:pPr>
        <w:pStyle w:val="3"/>
        <w:numPr>
          <w:ilvl w:val="-1"/>
          <w:numId w:val="0"/>
        </w:numPr>
        <w:spacing w:before="156" w:after="156"/>
        <w:ind w:left="0" w:firstLine="0"/>
        <w:rPr>
          <w:color w:val="auto"/>
          <w:highlight w:val="none"/>
        </w:rPr>
      </w:pPr>
      <w:bookmarkStart w:id="72" w:name="_Toc1414363527"/>
      <w:bookmarkStart w:id="73" w:name="_Toc1177836873"/>
      <w:bookmarkStart w:id="74" w:name="_Toc219711476"/>
      <w:bookmarkStart w:id="75" w:name="_Toc79497412"/>
      <w:bookmarkStart w:id="76" w:name="_Toc1318090061"/>
      <w:r>
        <w:rPr>
          <w:rFonts w:hint="eastAsia"/>
          <w:highlight w:val="none"/>
          <w:lang w:val="en-US" w:eastAsia="zh-CN"/>
        </w:rPr>
        <w:t>2.1</w:t>
      </w:r>
      <w:r>
        <w:rPr>
          <w:rFonts w:hint="default"/>
          <w:color w:val="auto"/>
          <w:highlight w:val="none"/>
        </w:rPr>
        <w:t>现状运营评估</w:t>
      </w:r>
      <w:bookmarkEnd w:id="72"/>
      <w:bookmarkEnd w:id="73"/>
      <w:bookmarkEnd w:id="74"/>
      <w:bookmarkEnd w:id="75"/>
      <w:bookmarkEnd w:id="76"/>
    </w:p>
    <w:p>
      <w:pPr>
        <w:ind w:firstLine="56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观澜河口调蓄池位于龙华区观澜街道沙湖大道东侧，占地面积2.99万平方米，厂区工艺布置为上下结构，下部为调蓄池，上部为污水处理工艺，处理流程为预处理+快速生化+加磁高效沉淀，出水执行《地表水环境质量标准》（GB3838-2002）IV类标准（建议总氮除外）。</w:t>
      </w:r>
    </w:p>
    <w:p>
      <w:pPr>
        <w:pStyle w:val="43"/>
        <w:numPr>
          <w:ilvl w:val="-1"/>
          <w:numId w:val="0"/>
        </w:numPr>
        <w:spacing w:before="156" w:after="156"/>
        <w:rPr>
          <w:color w:val="000000" w:themeColor="text1"/>
          <w14:textFill>
            <w14:solidFill>
              <w14:schemeClr w14:val="tx1"/>
            </w14:solidFill>
          </w14:textFill>
        </w:rPr>
      </w:pPr>
      <w:bookmarkStart w:id="77" w:name="_Toc211815871"/>
      <w:bookmarkStart w:id="78" w:name="_Toc219711477"/>
      <w:bookmarkStart w:id="79" w:name="_Toc1931355047"/>
      <w:bookmarkStart w:id="80" w:name="_Toc777447594"/>
      <w:bookmarkStart w:id="81" w:name="_Toc1602897238"/>
      <w:r>
        <w:rPr>
          <w:rFonts w:hint="eastAsia"/>
          <w:color w:val="000000" w:themeColor="text1"/>
          <w:lang w:val="en-US" w:eastAsia="zh-CN"/>
          <w14:textFill>
            <w14:solidFill>
              <w14:schemeClr w14:val="tx1"/>
            </w14:solidFill>
          </w14:textFill>
        </w:rPr>
        <w:t>2.1.1</w:t>
      </w:r>
      <w:r>
        <w:rPr>
          <w:rFonts w:hint="eastAsia"/>
          <w:color w:val="000000" w:themeColor="text1"/>
          <w14:textFill>
            <w14:solidFill>
              <w14:schemeClr w14:val="tx1"/>
            </w14:solidFill>
          </w14:textFill>
        </w:rPr>
        <w:t>工艺简介</w:t>
      </w:r>
      <w:bookmarkEnd w:id="77"/>
      <w:bookmarkEnd w:id="78"/>
      <w:bookmarkEnd w:id="79"/>
      <w:bookmarkEnd w:id="80"/>
      <w:bookmarkEnd w:id="81"/>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（1）进出水水质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该项目进水为观澜河干流截污箱涵来水，截污箱涵为初雨水截流设施，旱季以混流污水为主，雨季以初雨水为主，项目设计进出水水质如下。</w:t>
      </w:r>
    </w:p>
    <w:p>
      <w:pPr>
        <w:ind w:firstLine="0" w:firstLineChars="0"/>
        <w:jc w:val="center"/>
        <w:rPr>
          <w:rFonts w:eastAsiaTheme="majorEastAsia"/>
          <w:b/>
          <w:bCs/>
          <w:color w:val="000000" w:themeColor="text1"/>
          <w:szCs w:val="32"/>
          <w14:textFill>
            <w14:solidFill>
              <w14:schemeClr w14:val="tx1"/>
            </w14:solidFill>
          </w14:textFill>
        </w:rPr>
      </w:pPr>
      <w:r>
        <w:rPr>
          <w:rFonts w:eastAsiaTheme="majorEastAsia"/>
          <w:b/>
          <w:bCs/>
          <w:color w:val="000000" w:themeColor="text1"/>
          <w:szCs w:val="32"/>
          <w14:textFill>
            <w14:solidFill>
              <w14:schemeClr w14:val="tx1"/>
            </w14:solidFill>
          </w14:textFill>
        </w:rPr>
        <w:t>表</w:t>
      </w:r>
      <w:r>
        <w:rPr>
          <w:rFonts w:eastAsiaTheme="majorEastAsia"/>
          <w:b/>
          <w:bCs/>
          <w:color w:val="000000" w:themeColor="text1"/>
          <w:szCs w:val="32"/>
          <w14:textFill>
            <w14:solidFill>
              <w14:schemeClr w14:val="tx1"/>
            </w14:solidFill>
          </w14:textFill>
        </w:rPr>
        <w:fldChar w:fldCharType="begin"/>
      </w:r>
      <w:r>
        <w:rPr>
          <w:rFonts w:eastAsiaTheme="majorEastAsia"/>
          <w:b/>
          <w:bCs/>
          <w:color w:val="000000" w:themeColor="text1"/>
          <w:szCs w:val="32"/>
          <w14:textFill>
            <w14:solidFill>
              <w14:schemeClr w14:val="tx1"/>
            </w14:solidFill>
          </w14:textFill>
        </w:rPr>
        <w:instrText xml:space="preserve"> </w:instrText>
      </w:r>
      <w:r>
        <w:rPr>
          <w:rFonts w:hint="eastAsia" w:eastAsiaTheme="majorEastAsia"/>
          <w:b/>
          <w:bCs/>
          <w:color w:val="000000" w:themeColor="text1"/>
          <w:szCs w:val="32"/>
          <w14:textFill>
            <w14:solidFill>
              <w14:schemeClr w14:val="tx1"/>
            </w14:solidFill>
          </w14:textFill>
        </w:rPr>
        <w:instrText xml:space="preserve">STYLEREF 2 \s</w:instrText>
      </w:r>
      <w:r>
        <w:rPr>
          <w:rFonts w:eastAsiaTheme="majorEastAsia"/>
          <w:b/>
          <w:bCs/>
          <w:color w:val="000000" w:themeColor="text1"/>
          <w:szCs w:val="32"/>
          <w14:textFill>
            <w14:solidFill>
              <w14:schemeClr w14:val="tx1"/>
            </w14:solidFill>
          </w14:textFill>
        </w:rPr>
        <w:instrText xml:space="preserve"> </w:instrText>
      </w:r>
      <w:r>
        <w:rPr>
          <w:rFonts w:eastAsiaTheme="majorEastAsia"/>
          <w:b/>
          <w:bCs/>
          <w:color w:val="000000" w:themeColor="text1"/>
          <w:szCs w:val="32"/>
          <w14:textFill>
            <w14:solidFill>
              <w14:schemeClr w14:val="tx1"/>
            </w14:solidFill>
          </w14:textFill>
        </w:rPr>
        <w:fldChar w:fldCharType="separate"/>
      </w:r>
      <w:r>
        <w:rPr>
          <w:rFonts w:eastAsiaTheme="majorEastAsia"/>
          <w:b/>
          <w:bCs/>
          <w:color w:val="000000" w:themeColor="text1"/>
          <w:szCs w:val="32"/>
          <w14:textFill>
            <w14:solidFill>
              <w14:schemeClr w14:val="tx1"/>
            </w14:solidFill>
          </w14:textFill>
        </w:rPr>
        <w:t>5.1</w:t>
      </w:r>
      <w:r>
        <w:rPr>
          <w:rFonts w:eastAsiaTheme="majorEastAsia"/>
          <w:b/>
          <w:bCs/>
          <w:color w:val="000000" w:themeColor="text1"/>
          <w:szCs w:val="32"/>
          <w14:textFill>
            <w14:solidFill>
              <w14:schemeClr w14:val="tx1"/>
            </w14:solidFill>
          </w14:textFill>
        </w:rPr>
        <w:fldChar w:fldCharType="end"/>
      </w:r>
      <w:r>
        <w:rPr>
          <w:rFonts w:eastAsiaTheme="majorEastAsia"/>
          <w:b/>
          <w:bCs/>
          <w:color w:val="000000" w:themeColor="text1"/>
          <w:szCs w:val="32"/>
          <w14:textFill>
            <w14:solidFill>
              <w14:schemeClr w14:val="tx1"/>
            </w14:solidFill>
          </w14:textFill>
        </w:rPr>
        <w:noBreakHyphen/>
      </w:r>
      <w:r>
        <w:rPr>
          <w:rFonts w:eastAsiaTheme="majorEastAsia"/>
          <w:b/>
          <w:bCs/>
          <w:color w:val="000000" w:themeColor="text1"/>
          <w:szCs w:val="32"/>
          <w14:textFill>
            <w14:solidFill>
              <w14:schemeClr w14:val="tx1"/>
            </w14:solidFill>
          </w14:textFill>
        </w:rPr>
        <w:fldChar w:fldCharType="begin"/>
      </w:r>
      <w:r>
        <w:rPr>
          <w:rFonts w:eastAsiaTheme="majorEastAsia"/>
          <w:b/>
          <w:bCs/>
          <w:color w:val="000000" w:themeColor="text1"/>
          <w:szCs w:val="32"/>
          <w14:textFill>
            <w14:solidFill>
              <w14:schemeClr w14:val="tx1"/>
            </w14:solidFill>
          </w14:textFill>
        </w:rPr>
        <w:instrText xml:space="preserve"> </w:instrText>
      </w:r>
      <w:r>
        <w:rPr>
          <w:rFonts w:hint="eastAsia" w:eastAsiaTheme="majorEastAsia"/>
          <w:b/>
          <w:bCs/>
          <w:color w:val="000000" w:themeColor="text1"/>
          <w:szCs w:val="32"/>
          <w14:textFill>
            <w14:solidFill>
              <w14:schemeClr w14:val="tx1"/>
            </w14:solidFill>
          </w14:textFill>
        </w:rPr>
        <w:instrText xml:space="preserve">SEQ 表 \* ARABIC \s 2</w:instrText>
      </w:r>
      <w:r>
        <w:rPr>
          <w:rFonts w:eastAsiaTheme="majorEastAsia"/>
          <w:b/>
          <w:bCs/>
          <w:color w:val="000000" w:themeColor="text1"/>
          <w:szCs w:val="32"/>
          <w14:textFill>
            <w14:solidFill>
              <w14:schemeClr w14:val="tx1"/>
            </w14:solidFill>
          </w14:textFill>
        </w:rPr>
        <w:instrText xml:space="preserve"> </w:instrText>
      </w:r>
      <w:r>
        <w:rPr>
          <w:rFonts w:eastAsiaTheme="majorEastAsia"/>
          <w:b/>
          <w:bCs/>
          <w:color w:val="000000" w:themeColor="text1"/>
          <w:szCs w:val="32"/>
          <w14:textFill>
            <w14:solidFill>
              <w14:schemeClr w14:val="tx1"/>
            </w14:solidFill>
          </w14:textFill>
        </w:rPr>
        <w:fldChar w:fldCharType="separate"/>
      </w:r>
      <w:r>
        <w:rPr>
          <w:rFonts w:eastAsiaTheme="majorEastAsia"/>
          <w:b/>
          <w:bCs/>
          <w:color w:val="000000" w:themeColor="text1"/>
          <w:szCs w:val="32"/>
          <w14:textFill>
            <w14:solidFill>
              <w14:schemeClr w14:val="tx1"/>
            </w14:solidFill>
          </w14:textFill>
        </w:rPr>
        <w:t>1</w:t>
      </w:r>
      <w:r>
        <w:rPr>
          <w:rFonts w:eastAsiaTheme="majorEastAsia"/>
          <w:b/>
          <w:bCs/>
          <w:color w:val="000000" w:themeColor="text1"/>
          <w:szCs w:val="32"/>
          <w14:textFill>
            <w14:solidFill>
              <w14:schemeClr w14:val="tx1"/>
            </w14:solidFill>
          </w14:textFill>
        </w:rPr>
        <w:fldChar w:fldCharType="end"/>
      </w:r>
      <w:r>
        <w:rPr>
          <w:rFonts w:hint="eastAsia" w:eastAsiaTheme="majorEastAsia"/>
          <w:b/>
          <w:bCs/>
          <w:color w:val="000000" w:themeColor="text1"/>
          <w:szCs w:val="32"/>
          <w14:textFill>
            <w14:solidFill>
              <w14:schemeClr w14:val="tx1"/>
            </w14:solidFill>
          </w14:textFill>
        </w:rPr>
        <w:t xml:space="preserve"> 设计进出水水质标准</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7"/>
        <w:gridCol w:w="1308"/>
        <w:gridCol w:w="1308"/>
        <w:gridCol w:w="1308"/>
        <w:gridCol w:w="1307"/>
        <w:gridCol w:w="1308"/>
        <w:gridCol w:w="15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29" w:type="dxa"/>
            <w:noWrap/>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hint="eastAsia" w:eastAsiaTheme="majorEastAsia"/>
                <w:color w:val="000000" w:themeColor="text1"/>
                <w:kern w:val="0"/>
                <w:sz w:val="24"/>
                <w14:textFill>
                  <w14:solidFill>
                    <w14:schemeClr w14:val="tx1"/>
                  </w14:solidFill>
                </w14:textFill>
              </w:rPr>
              <w:t>水质</w:t>
            </w:r>
          </w:p>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hint="eastAsia" w:eastAsiaTheme="majorEastAsia"/>
                <w:color w:val="000000" w:themeColor="text1"/>
                <w:kern w:val="0"/>
                <w:sz w:val="24"/>
                <w14:textFill>
                  <w14:solidFill>
                    <w14:schemeClr w14:val="tx1"/>
                  </w14:solidFill>
                </w14:textFill>
              </w:rPr>
              <w:t>指标</w:t>
            </w:r>
          </w:p>
        </w:tc>
        <w:tc>
          <w:tcPr>
            <w:tcW w:w="1276"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eastAsiaTheme="majorEastAsia"/>
                <w:color w:val="000000" w:themeColor="text1"/>
                <w:kern w:val="0"/>
                <w:sz w:val="24"/>
                <w14:textFill>
                  <w14:solidFill>
                    <w14:schemeClr w14:val="tx1"/>
                  </w14:solidFill>
                </w14:textFill>
              </w:rPr>
              <w:t>COD</w:t>
            </w:r>
            <w:r>
              <w:rPr>
                <w:rFonts w:hint="eastAsia" w:eastAsiaTheme="majorEastAsia"/>
                <w:color w:val="000000" w:themeColor="text1"/>
                <w:kern w:val="0"/>
                <w:sz w:val="24"/>
                <w:vertAlign w:val="subscript"/>
                <w14:textFill>
                  <w14:solidFill>
                    <w14:schemeClr w14:val="tx1"/>
                  </w14:solidFill>
                </w14:textFill>
              </w:rPr>
              <w:t>Cr</w:t>
            </w:r>
            <w:r>
              <w:rPr>
                <w:rFonts w:eastAsiaTheme="majorEastAsia"/>
                <w:color w:val="000000" w:themeColor="text1"/>
                <w:kern w:val="0"/>
                <w:sz w:val="24"/>
                <w14:textFill>
                  <w14:solidFill>
                    <w14:schemeClr w14:val="tx1"/>
                  </w14:solidFill>
                </w14:textFill>
              </w:rPr>
              <w:t>（mg/L）</w:t>
            </w:r>
          </w:p>
        </w:tc>
        <w:tc>
          <w:tcPr>
            <w:tcW w:w="1276"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eastAsiaTheme="majorEastAsia"/>
                <w:color w:val="000000" w:themeColor="text1"/>
                <w:kern w:val="0"/>
                <w:sz w:val="24"/>
                <w14:textFill>
                  <w14:solidFill>
                    <w14:schemeClr w14:val="tx1"/>
                  </w14:solidFill>
                </w14:textFill>
              </w:rPr>
              <w:t>BOD</w:t>
            </w:r>
            <w:r>
              <w:rPr>
                <w:rFonts w:eastAsiaTheme="majorEastAsia"/>
                <w:color w:val="000000" w:themeColor="text1"/>
                <w:kern w:val="0"/>
                <w:sz w:val="24"/>
                <w:vertAlign w:val="subscript"/>
                <w14:textFill>
                  <w14:solidFill>
                    <w14:schemeClr w14:val="tx1"/>
                  </w14:solidFill>
                </w14:textFill>
              </w:rPr>
              <w:t>5</w:t>
            </w:r>
            <w:r>
              <w:rPr>
                <w:rFonts w:eastAsiaTheme="majorEastAsia"/>
                <w:color w:val="000000" w:themeColor="text1"/>
                <w:kern w:val="0"/>
                <w:sz w:val="24"/>
                <w14:textFill>
                  <w14:solidFill>
                    <w14:schemeClr w14:val="tx1"/>
                  </w14:solidFill>
                </w14:textFill>
              </w:rPr>
              <w:t>（mg/L）</w:t>
            </w:r>
          </w:p>
        </w:tc>
        <w:tc>
          <w:tcPr>
            <w:tcW w:w="1276"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eastAsiaTheme="majorEastAsia"/>
                <w:color w:val="000000" w:themeColor="text1"/>
                <w:kern w:val="0"/>
                <w:sz w:val="24"/>
                <w14:textFill>
                  <w14:solidFill>
                    <w14:schemeClr w14:val="tx1"/>
                  </w14:solidFill>
                </w14:textFill>
              </w:rPr>
              <w:t>SS（mg/L）</w:t>
            </w:r>
          </w:p>
        </w:tc>
        <w:tc>
          <w:tcPr>
            <w:tcW w:w="1275"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eastAsiaTheme="majorEastAsia"/>
                <w:color w:val="000000" w:themeColor="text1"/>
                <w:kern w:val="0"/>
                <w:sz w:val="24"/>
                <w14:textFill>
                  <w14:solidFill>
                    <w14:schemeClr w14:val="tx1"/>
                  </w14:solidFill>
                </w14:textFill>
              </w:rPr>
              <w:t>氨氮（mg/L）</w:t>
            </w:r>
          </w:p>
        </w:tc>
        <w:tc>
          <w:tcPr>
            <w:tcW w:w="1276"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eastAsiaTheme="majorEastAsia"/>
                <w:color w:val="000000" w:themeColor="text1"/>
                <w:kern w:val="0"/>
                <w:sz w:val="24"/>
                <w14:textFill>
                  <w14:solidFill>
                    <w14:schemeClr w14:val="tx1"/>
                  </w14:solidFill>
                </w14:textFill>
              </w:rPr>
              <w:t>TP（mg/L）</w:t>
            </w:r>
          </w:p>
        </w:tc>
        <w:tc>
          <w:tcPr>
            <w:tcW w:w="1508" w:type="dxa"/>
          </w:tcPr>
          <w:p>
            <w:pPr>
              <w:spacing w:line="300" w:lineRule="exact"/>
              <w:ind w:firstLine="0" w:firstLineChars="0"/>
              <w:jc w:val="center"/>
              <w:rPr>
                <w:rFonts w:hint="eastAsia" w:eastAsiaTheme="majorEastAsia"/>
                <w:color w:val="000000" w:themeColor="text1"/>
                <w:kern w:val="0"/>
                <w:sz w:val="24"/>
                <w:lang w:eastAsia="zh-CN"/>
                <w14:textFill>
                  <w14:solidFill>
                    <w14:schemeClr w14:val="tx1"/>
                  </w14:solidFill>
                </w14:textFill>
              </w:rPr>
            </w:pPr>
            <w:r>
              <w:rPr>
                <w:rFonts w:hint="eastAsia" w:eastAsiaTheme="majorEastAsia"/>
                <w:color w:val="000000" w:themeColor="text1"/>
                <w:kern w:val="0"/>
                <w:sz w:val="24"/>
                <w:lang w:eastAsia="zh-CN"/>
                <w14:textFill>
                  <w14:solidFill>
                    <w14:schemeClr w14:val="tx1"/>
                  </w14:solidFill>
                </w14:textFill>
              </w:rPr>
              <w:t>粪</w:t>
            </w:r>
            <w:r>
              <w:rPr>
                <w:rFonts w:hint="eastAsia" w:eastAsiaTheme="majorEastAsia"/>
                <w:color w:val="000000" w:themeColor="text1"/>
                <w:kern w:val="0"/>
                <w:sz w:val="24"/>
                <w14:textFill>
                  <w14:solidFill>
                    <w14:schemeClr w14:val="tx1"/>
                  </w14:solidFill>
                </w14:textFill>
              </w:rPr>
              <w:t>大肠菌群数</w:t>
            </w:r>
            <w:r>
              <w:rPr>
                <w:rFonts w:hint="eastAsia" w:eastAsiaTheme="majorEastAsia"/>
                <w:color w:val="000000" w:themeColor="text1"/>
                <w:kern w:val="0"/>
                <w:sz w:val="24"/>
                <w:lang w:eastAsia="zh-CN"/>
                <w14:textFill>
                  <w14:solidFill>
                    <w14:schemeClr w14:val="tx1"/>
                  </w14:solidFill>
                </w14:textFill>
              </w:rPr>
              <w:t>（</w:t>
            </w:r>
            <w:r>
              <w:rPr>
                <w:rFonts w:hint="eastAsia" w:eastAsiaTheme="majorEastAsia"/>
                <w:color w:val="000000" w:themeColor="text1"/>
                <w:sz w:val="24"/>
                <w:lang w:val="en-US" w:eastAsia="zh-CN"/>
                <w14:textFill>
                  <w14:solidFill>
                    <w14:schemeClr w14:val="tx1"/>
                  </w14:solidFill>
                </w14:textFill>
              </w:rPr>
              <w:t>MPN</w:t>
            </w:r>
            <w:r>
              <w:rPr>
                <w:rFonts w:hint="eastAsia"/>
                <w:color w:val="000000" w:themeColor="text1"/>
                <w:sz w:val="24"/>
                <w14:textFill>
                  <w14:solidFill>
                    <w14:schemeClr w14:val="tx1"/>
                  </w14:solidFill>
                </w14:textFill>
              </w:rPr>
              <w:t>/L</w:t>
            </w:r>
            <w:r>
              <w:rPr>
                <w:rFonts w:hint="eastAsia" w:eastAsiaTheme="majorEastAsia"/>
                <w:color w:val="000000" w:themeColor="text1"/>
                <w:kern w:val="0"/>
                <w:sz w:val="24"/>
                <w:lang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29" w:type="dxa"/>
            <w:noWrap/>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hint="eastAsia" w:eastAsiaTheme="majorEastAsia"/>
                <w:color w:val="000000" w:themeColor="text1"/>
                <w:kern w:val="0"/>
                <w:sz w:val="24"/>
                <w14:textFill>
                  <w14:solidFill>
                    <w14:schemeClr w14:val="tx1"/>
                  </w14:solidFill>
                </w14:textFill>
              </w:rPr>
              <w:t>进水水质标准</w:t>
            </w:r>
          </w:p>
        </w:tc>
        <w:tc>
          <w:tcPr>
            <w:tcW w:w="1276"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hint="eastAsia"/>
                <w:color w:val="000000" w:themeColor="text1"/>
                <w:sz w:val="24"/>
                <w14:textFill>
                  <w14:solidFill>
                    <w14:schemeClr w14:val="tx1"/>
                  </w14:solidFill>
                </w14:textFill>
              </w:rPr>
              <w:t>≤</w:t>
            </w:r>
            <w:r>
              <w:rPr>
                <w:rFonts w:eastAsiaTheme="majorEastAsia"/>
                <w:color w:val="000000" w:themeColor="text1"/>
                <w:kern w:val="0"/>
                <w:sz w:val="24"/>
                <w14:textFill>
                  <w14:solidFill>
                    <w14:schemeClr w14:val="tx1"/>
                  </w14:solidFill>
                </w14:textFill>
              </w:rPr>
              <w:t>250</w:t>
            </w:r>
          </w:p>
        </w:tc>
        <w:tc>
          <w:tcPr>
            <w:tcW w:w="1276"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hint="eastAsia"/>
                <w:color w:val="000000" w:themeColor="text1"/>
                <w:sz w:val="24"/>
                <w14:textFill>
                  <w14:solidFill>
                    <w14:schemeClr w14:val="tx1"/>
                  </w14:solidFill>
                </w14:textFill>
              </w:rPr>
              <w:t>≤</w:t>
            </w:r>
            <w:r>
              <w:rPr>
                <w:rFonts w:eastAsiaTheme="majorEastAsia"/>
                <w:color w:val="000000" w:themeColor="text1"/>
                <w:kern w:val="0"/>
                <w:sz w:val="24"/>
                <w14:textFill>
                  <w14:solidFill>
                    <w14:schemeClr w14:val="tx1"/>
                  </w14:solidFill>
                </w14:textFill>
              </w:rPr>
              <w:t>110</w:t>
            </w:r>
          </w:p>
        </w:tc>
        <w:tc>
          <w:tcPr>
            <w:tcW w:w="1276"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hint="eastAsia"/>
                <w:color w:val="000000" w:themeColor="text1"/>
                <w:sz w:val="24"/>
                <w14:textFill>
                  <w14:solidFill>
                    <w14:schemeClr w14:val="tx1"/>
                  </w14:solidFill>
                </w14:textFill>
              </w:rPr>
              <w:t>≤</w:t>
            </w:r>
            <w:r>
              <w:rPr>
                <w:rFonts w:eastAsiaTheme="majorEastAsia"/>
                <w:color w:val="000000" w:themeColor="text1"/>
                <w:kern w:val="0"/>
                <w:sz w:val="24"/>
                <w14:textFill>
                  <w14:solidFill>
                    <w14:schemeClr w14:val="tx1"/>
                  </w14:solidFill>
                </w14:textFill>
              </w:rPr>
              <w:t>350</w:t>
            </w:r>
          </w:p>
        </w:tc>
        <w:tc>
          <w:tcPr>
            <w:tcW w:w="1275"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hint="eastAsia"/>
                <w:color w:val="000000" w:themeColor="text1"/>
                <w:sz w:val="24"/>
                <w14:textFill>
                  <w14:solidFill>
                    <w14:schemeClr w14:val="tx1"/>
                  </w14:solidFill>
                </w14:textFill>
              </w:rPr>
              <w:t>≤</w:t>
            </w:r>
            <w:r>
              <w:rPr>
                <w:rFonts w:eastAsiaTheme="majorEastAsia"/>
                <w:color w:val="000000" w:themeColor="text1"/>
                <w:kern w:val="0"/>
                <w:sz w:val="24"/>
                <w14:textFill>
                  <w14:solidFill>
                    <w14:schemeClr w14:val="tx1"/>
                  </w14:solidFill>
                </w14:textFill>
              </w:rPr>
              <w:t>35</w:t>
            </w:r>
          </w:p>
        </w:tc>
        <w:tc>
          <w:tcPr>
            <w:tcW w:w="1276"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hint="eastAsia"/>
                <w:color w:val="000000" w:themeColor="text1"/>
                <w:sz w:val="24"/>
                <w14:textFill>
                  <w14:solidFill>
                    <w14:schemeClr w14:val="tx1"/>
                  </w14:solidFill>
                </w14:textFill>
              </w:rPr>
              <w:t>≤</w:t>
            </w:r>
            <w:r>
              <w:rPr>
                <w:rFonts w:eastAsiaTheme="majorEastAsia"/>
                <w:color w:val="000000" w:themeColor="text1"/>
                <w:kern w:val="0"/>
                <w:sz w:val="24"/>
                <w14:textFill>
                  <w14:solidFill>
                    <w14:schemeClr w14:val="tx1"/>
                  </w14:solidFill>
                </w14:textFill>
              </w:rPr>
              <w:t>6</w:t>
            </w:r>
          </w:p>
        </w:tc>
        <w:tc>
          <w:tcPr>
            <w:tcW w:w="1508"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hint="eastAsia" w:eastAsiaTheme="majorEastAsia"/>
                <w:color w:val="000000" w:themeColor="text1"/>
                <w:kern w:val="0"/>
                <w:sz w:val="24"/>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29" w:type="dxa"/>
            <w:noWrap/>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hint="eastAsia" w:eastAsiaTheme="majorEastAsia"/>
                <w:color w:val="000000" w:themeColor="text1"/>
                <w:kern w:val="0"/>
                <w:sz w:val="24"/>
                <w14:textFill>
                  <w14:solidFill>
                    <w14:schemeClr w14:val="tx1"/>
                  </w14:solidFill>
                </w14:textFill>
              </w:rPr>
              <w:t>出水水质标准</w:t>
            </w:r>
          </w:p>
        </w:tc>
        <w:tc>
          <w:tcPr>
            <w:tcW w:w="1276"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hint="eastAsia"/>
                <w:color w:val="000000" w:themeColor="text1"/>
                <w:sz w:val="24"/>
                <w14:textFill>
                  <w14:solidFill>
                    <w14:schemeClr w14:val="tx1"/>
                  </w14:solidFill>
                </w14:textFill>
              </w:rPr>
              <w:t>≤30</w:t>
            </w:r>
          </w:p>
        </w:tc>
        <w:tc>
          <w:tcPr>
            <w:tcW w:w="1276"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hint="eastAsia"/>
                <w:color w:val="000000" w:themeColor="text1"/>
                <w:sz w:val="24"/>
                <w14:textFill>
                  <w14:solidFill>
                    <w14:schemeClr w14:val="tx1"/>
                  </w14:solidFill>
                </w14:textFill>
              </w:rPr>
              <w:t>≤6</w:t>
            </w:r>
          </w:p>
        </w:tc>
        <w:tc>
          <w:tcPr>
            <w:tcW w:w="1276"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hint="eastAsia"/>
                <w:color w:val="000000" w:themeColor="text1"/>
                <w:sz w:val="24"/>
                <w14:textFill>
                  <w14:solidFill>
                    <w14:schemeClr w14:val="tx1"/>
                  </w14:solidFill>
                </w14:textFill>
              </w:rPr>
              <w:t>≤10</w:t>
            </w:r>
          </w:p>
        </w:tc>
        <w:tc>
          <w:tcPr>
            <w:tcW w:w="1275"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hint="eastAsia"/>
                <w:color w:val="000000" w:themeColor="text1"/>
                <w:sz w:val="24"/>
                <w14:textFill>
                  <w14:solidFill>
                    <w14:schemeClr w14:val="tx1"/>
                  </w14:solidFill>
                </w14:textFill>
              </w:rPr>
              <w:t>≤1.5</w:t>
            </w:r>
          </w:p>
        </w:tc>
        <w:tc>
          <w:tcPr>
            <w:tcW w:w="1276"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hint="eastAsia"/>
                <w:color w:val="000000" w:themeColor="text1"/>
                <w:sz w:val="24"/>
                <w14:textFill>
                  <w14:solidFill>
                    <w14:schemeClr w14:val="tx1"/>
                  </w14:solidFill>
                </w14:textFill>
              </w:rPr>
              <w:t>≤0.3</w:t>
            </w:r>
          </w:p>
        </w:tc>
        <w:tc>
          <w:tcPr>
            <w:tcW w:w="1508" w:type="dxa"/>
            <w:vAlign w:val="center"/>
          </w:tcPr>
          <w:p>
            <w:pPr>
              <w:spacing w:line="300" w:lineRule="exact"/>
              <w:ind w:firstLine="0" w:firstLineChars="0"/>
              <w:jc w:val="center"/>
              <w:rPr>
                <w:rFonts w:eastAsiaTheme="majorEastAsia"/>
                <w:color w:val="000000" w:themeColor="text1"/>
                <w:kern w:val="0"/>
                <w:sz w:val="24"/>
                <w14:textFill>
                  <w14:solidFill>
                    <w14:schemeClr w14:val="tx1"/>
                  </w14:solidFill>
                </w14:textFill>
              </w:rPr>
            </w:pPr>
            <w:r>
              <w:rPr>
                <w:rFonts w:hint="eastAsia"/>
                <w:color w:val="000000" w:themeColor="text1"/>
                <w:sz w:val="24"/>
                <w14:textFill>
                  <w14:solidFill>
                    <w14:schemeClr w14:val="tx1"/>
                  </w14:solidFill>
                </w14:textFill>
              </w:rPr>
              <w:t>≤1000</w:t>
            </w:r>
            <w:r>
              <w:rPr>
                <w:rFonts w:hint="eastAsia"/>
                <w:color w:val="000000" w:themeColor="text1"/>
                <w:sz w:val="24"/>
                <w:lang w:val="en-US" w:eastAsia="zh-CN"/>
                <w14:textFill>
                  <w14:solidFill>
                    <w14:schemeClr w14:val="tx1"/>
                  </w14:solidFill>
                </w14:textFill>
              </w:rPr>
              <w:t>0</w:t>
            </w:r>
          </w:p>
        </w:tc>
      </w:tr>
    </w:tbl>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（2）污水处理工艺</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该项目进水为箱涵来水，箱涵内截流污水通过闸门控制，重力自流经粗格栅、沉砂池去除大块垃圾漂浮物、砂粒后，由提升泵房提升至上部处理设施，经细格栅进一步去除细微毛絮、渣滓后，进入快速生化池处理，经生化反应后，COD、BOD、氨氮、TP等主要污染物大部分被去除，快速生化池出水经加磁高效沉淀池深度处理、紫外消毒池消毒处理后，出水排入河道，达到改善下游河段水质的目的。</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处理设施主要产泥工序为快速生化池产生的剩余污泥以及加磁高效沉淀池产生的物化污泥，污泥先进入污泥浓缩池进行重力浓缩；经浓缩后被污泥泵送至脱水车间进行脱水；脱水后泥饼交由具有相关资质的污泥处置单位外运进行合法处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处理设施主要产臭气工序在预处理及污泥脱水阶段，两阶段通过密封防止臭气逸散，产生的臭气通过臭气管，输送至除臭装置，进行生物除臭。</w:t>
      </w:r>
    </w:p>
    <w:p>
      <w:pPr>
        <w:ind w:firstLine="0" w:firstLineChars="0"/>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c">
            <w:drawing>
              <wp:inline distT="0" distB="0" distL="114300" distR="114300">
                <wp:extent cx="5419725" cy="3810000"/>
                <wp:effectExtent l="4445" t="4445" r="5080" b="14605"/>
                <wp:docPr id="399346421" name="画布 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solidFill>
                            <a:srgbClr val="000000"/>
                          </a:solidFill>
                          <a:prstDash val="solid"/>
                          <a:miter/>
                          <a:headEnd type="none" w="med" len="med"/>
                          <a:tailEnd type="none" w="med" len="med"/>
                        </a:ln>
                      </wpc:whole>
                      <wps:wsp>
                        <wps:cNvPr id="561548690" name="AutoShape 4"/>
                        <wps:cNvCnPr/>
                        <wps:spPr>
                          <a:xfrm>
                            <a:off x="521902" y="1280100"/>
                            <a:ext cx="216601" cy="1900"/>
                          </a:xfrm>
                          <a:prstGeom prst="straightConnector1">
                            <a:avLst/>
                          </a:prstGeom>
                          <a:ln w="15875" cap="flat" cmpd="sng">
                            <a:solidFill>
                              <a:srgbClr val="00B050"/>
                            </a:solidFill>
                            <a:prstDash val="solid"/>
                            <a:headEnd type="none" w="med" len="med"/>
                            <a:tailEnd type="triangle" w="med" len="med"/>
                          </a:ln>
                        </wps:spPr>
                        <wps:bodyPr/>
                      </wps:wsp>
                      <wps:wsp>
                        <wps:cNvPr id="555406398" name="Text Box 5"/>
                        <wps:cNvSpPr txBox="1"/>
                        <wps:spPr>
                          <a:xfrm>
                            <a:off x="1299806" y="631800"/>
                            <a:ext cx="287701" cy="1296000"/>
                          </a:xfrm>
                          <a:prstGeom prst="rect">
                            <a:avLst/>
                          </a:prstGeom>
                          <a:solidFill>
                            <a:srgbClr val="D6E3BC"/>
                          </a:solidFill>
                          <a:ln w="15875" cap="flat" cmpd="sng">
                            <a:solidFill>
                              <a:srgbClr val="00B050"/>
                            </a:solidFill>
                            <a:prstDash val="solid"/>
                            <a:miter/>
                            <a:headEnd type="none" w="med" len="med"/>
                            <a:tailEnd type="none" w="med" len="med"/>
                          </a:ln>
                        </wps:spPr>
                        <wps:txbx>
                          <w:txbxContent>
                            <w:p>
                              <w:pPr>
                                <w:spacing w:line="240" w:lineRule="auto"/>
                                <w:ind w:firstLine="0" w:firstLineChars="0"/>
                                <w:jc w:val="center"/>
                                <w:rPr>
                                  <w:rFonts w:hint="eastAsia" w:ascii="黑体" w:hAnsi="黑体" w:eastAsia="黑体"/>
                                  <w:sz w:val="22"/>
                                  <w:szCs w:val="21"/>
                                </w:rPr>
                              </w:pPr>
                              <w:r>
                                <w:rPr>
                                  <w:rFonts w:hint="eastAsia" w:ascii="黑体" w:hAnsi="黑体" w:eastAsia="黑体"/>
                                  <w:sz w:val="22"/>
                                  <w:szCs w:val="21"/>
                                </w:rPr>
                                <w:t>回转式粗格栅</w:t>
                              </w:r>
                            </w:p>
                            <w:p>
                              <w:pPr>
                                <w:ind w:firstLine="440"/>
                                <w:jc w:val="center"/>
                                <w:rPr>
                                  <w:rFonts w:hint="eastAsia" w:ascii="黑体" w:hAnsi="黑体" w:eastAsia="黑体"/>
                                  <w:sz w:val="22"/>
                                  <w:szCs w:val="21"/>
                                </w:rPr>
                              </w:pPr>
                            </w:p>
                          </w:txbxContent>
                        </wps:txbx>
                        <wps:bodyPr lIns="18000" tIns="108000" rIns="18000" bIns="108000" upright="1"/>
                      </wps:wsp>
                      <wps:wsp>
                        <wps:cNvPr id="727070933" name="AutoShape 6"/>
                        <wps:cNvCnPr/>
                        <wps:spPr>
                          <a:xfrm>
                            <a:off x="1595107" y="1275000"/>
                            <a:ext cx="215901" cy="2600"/>
                          </a:xfrm>
                          <a:prstGeom prst="straightConnector1">
                            <a:avLst/>
                          </a:prstGeom>
                          <a:ln w="15875" cap="flat" cmpd="sng">
                            <a:solidFill>
                              <a:srgbClr val="00B050"/>
                            </a:solidFill>
                            <a:prstDash val="solid"/>
                            <a:headEnd type="none" w="med" len="med"/>
                            <a:tailEnd type="triangle" w="med" len="med"/>
                          </a:ln>
                        </wps:spPr>
                        <wps:bodyPr/>
                      </wps:wsp>
                      <wps:wsp>
                        <wps:cNvPr id="1586104542" name="Text Box 7"/>
                        <wps:cNvSpPr txBox="1"/>
                        <wps:spPr>
                          <a:xfrm>
                            <a:off x="2353911" y="635000"/>
                            <a:ext cx="288301" cy="1296000"/>
                          </a:xfrm>
                          <a:prstGeom prst="rect">
                            <a:avLst/>
                          </a:prstGeom>
                          <a:solidFill>
                            <a:srgbClr val="D6E3BC"/>
                          </a:solidFill>
                          <a:ln w="15875" cap="flat" cmpd="sng">
                            <a:solidFill>
                              <a:srgbClr val="00B050"/>
                            </a:solidFill>
                            <a:prstDash val="solid"/>
                            <a:miter/>
                            <a:headEnd type="none" w="med" len="med"/>
                            <a:tailEnd type="none" w="med" len="med"/>
                          </a:ln>
                        </wps:spPr>
                        <wps:txbx>
                          <w:txbxContent>
                            <w:p>
                              <w:pPr>
                                <w:spacing w:line="384" w:lineRule="auto"/>
                                <w:ind w:firstLine="0" w:firstLineChars="0"/>
                                <w:jc w:val="center"/>
                                <w:rPr>
                                  <w:rFonts w:hint="eastAsia" w:ascii="黑体" w:hAnsi="黑体" w:eastAsia="黑体"/>
                                  <w:sz w:val="22"/>
                                  <w:szCs w:val="21"/>
                                </w:rPr>
                              </w:pPr>
                              <w:r>
                                <w:rPr>
                                  <w:rFonts w:hint="eastAsia" w:ascii="黑体" w:hAnsi="黑体" w:eastAsia="黑体"/>
                                  <w:sz w:val="22"/>
                                  <w:szCs w:val="21"/>
                                </w:rPr>
                                <w:t>提升泵房</w:t>
                              </w:r>
                            </w:p>
                            <w:p>
                              <w:pPr>
                                <w:ind w:firstLine="440"/>
                                <w:jc w:val="center"/>
                                <w:rPr>
                                  <w:rFonts w:hint="eastAsia" w:ascii="黑体" w:hAnsi="黑体" w:eastAsia="黑体"/>
                                  <w:sz w:val="22"/>
                                  <w:szCs w:val="21"/>
                                </w:rPr>
                              </w:pPr>
                            </w:p>
                          </w:txbxContent>
                        </wps:txbx>
                        <wps:bodyPr lIns="18000" tIns="108000" rIns="18000" bIns="108000" upright="1"/>
                      </wps:wsp>
                      <wps:wsp>
                        <wps:cNvPr id="891943019" name="AutoShape 8"/>
                        <wps:cNvCnPr/>
                        <wps:spPr>
                          <a:xfrm>
                            <a:off x="2650412" y="1275700"/>
                            <a:ext cx="215901" cy="1200"/>
                          </a:xfrm>
                          <a:prstGeom prst="straightConnector1">
                            <a:avLst/>
                          </a:prstGeom>
                          <a:ln w="15875" cap="flat" cmpd="sng">
                            <a:solidFill>
                              <a:srgbClr val="00B050"/>
                            </a:solidFill>
                            <a:prstDash val="solid"/>
                            <a:headEnd type="none" w="med" len="med"/>
                            <a:tailEnd type="triangle" w="med" len="med"/>
                          </a:ln>
                        </wps:spPr>
                        <wps:bodyPr/>
                      </wps:wsp>
                      <wps:wsp>
                        <wps:cNvPr id="1115672447" name="AutoShape 9"/>
                        <wps:cNvCnPr/>
                        <wps:spPr>
                          <a:xfrm>
                            <a:off x="3193415" y="1275000"/>
                            <a:ext cx="215901" cy="700"/>
                          </a:xfrm>
                          <a:prstGeom prst="straightConnector1">
                            <a:avLst/>
                          </a:prstGeom>
                          <a:ln w="15875" cap="flat" cmpd="sng">
                            <a:solidFill>
                              <a:srgbClr val="00B050"/>
                            </a:solidFill>
                            <a:prstDash val="solid"/>
                            <a:headEnd type="none" w="med" len="med"/>
                            <a:tailEnd type="triangle" w="med" len="med"/>
                          </a:ln>
                        </wps:spPr>
                        <wps:bodyPr/>
                      </wps:wsp>
                      <wps:wsp>
                        <wps:cNvPr id="1981836134" name="Text Box 10"/>
                        <wps:cNvSpPr txBox="1"/>
                        <wps:spPr>
                          <a:xfrm>
                            <a:off x="3424516" y="627300"/>
                            <a:ext cx="288301" cy="1296700"/>
                          </a:xfrm>
                          <a:prstGeom prst="rect">
                            <a:avLst/>
                          </a:prstGeom>
                          <a:solidFill>
                            <a:srgbClr val="FFFF00"/>
                          </a:solidFill>
                          <a:ln w="15875" cap="flat" cmpd="sng">
                            <a:solidFill>
                              <a:srgbClr val="00B050"/>
                            </a:solidFill>
                            <a:prstDash val="solid"/>
                            <a:miter/>
                            <a:headEnd type="none" w="med" len="med"/>
                            <a:tailEnd type="none" w="med" len="med"/>
                          </a:ln>
                        </wps:spPr>
                        <wps:txbx>
                          <w:txbxContent>
                            <w:p>
                              <w:pPr>
                                <w:spacing w:line="288" w:lineRule="auto"/>
                                <w:ind w:firstLine="0" w:firstLineChars="0"/>
                                <w:jc w:val="center"/>
                                <w:rPr>
                                  <w:rFonts w:hint="eastAsia" w:ascii="黑体" w:hAnsi="黑体" w:eastAsia="黑体"/>
                                  <w:sz w:val="22"/>
                                  <w:szCs w:val="21"/>
                                </w:rPr>
                              </w:pPr>
                              <w:r>
                                <w:rPr>
                                  <w:rFonts w:hint="eastAsia" w:ascii="黑体" w:hAnsi="黑体" w:eastAsia="黑体"/>
                                  <w:sz w:val="22"/>
                                  <w:szCs w:val="21"/>
                                </w:rPr>
                                <w:t>快速生化池</w:t>
                              </w:r>
                            </w:p>
                            <w:p>
                              <w:pPr>
                                <w:pStyle w:val="27"/>
                                <w:snapToGrid w:val="0"/>
                                <w:spacing w:before="62" w:after="62" w:line="600" w:lineRule="auto"/>
                                <w:ind w:firstLine="440"/>
                                <w:jc w:val="center"/>
                                <w:rPr>
                                  <w:rFonts w:hint="eastAsia" w:ascii="黑体" w:hAnsi="黑体" w:eastAsia="黑体"/>
                                  <w:sz w:val="22"/>
                                  <w:szCs w:val="21"/>
                                </w:rPr>
                              </w:pPr>
                            </w:p>
                          </w:txbxContent>
                        </wps:txbx>
                        <wps:bodyPr lIns="18000" tIns="108000" rIns="18000" bIns="108000" upright="1"/>
                      </wps:wsp>
                      <wps:wsp>
                        <wps:cNvPr id="1090938983" name="AutoShape 11"/>
                        <wps:cNvCnPr/>
                        <wps:spPr>
                          <a:xfrm>
                            <a:off x="3716617" y="1275000"/>
                            <a:ext cx="215901" cy="700"/>
                          </a:xfrm>
                          <a:prstGeom prst="straightConnector1">
                            <a:avLst/>
                          </a:prstGeom>
                          <a:ln w="15875" cap="flat" cmpd="sng">
                            <a:solidFill>
                              <a:srgbClr val="00B050"/>
                            </a:solidFill>
                            <a:prstDash val="solid"/>
                            <a:headEnd type="none" w="med" len="med"/>
                            <a:tailEnd type="triangle" w="med" len="med"/>
                          </a:ln>
                        </wps:spPr>
                        <wps:bodyPr/>
                      </wps:wsp>
                      <wps:wsp>
                        <wps:cNvPr id="1124527288" name="AutoShape 12"/>
                        <wps:cNvCnPr/>
                        <wps:spPr>
                          <a:xfrm>
                            <a:off x="4253820" y="1274400"/>
                            <a:ext cx="215901" cy="600"/>
                          </a:xfrm>
                          <a:prstGeom prst="straightConnector1">
                            <a:avLst/>
                          </a:prstGeom>
                          <a:ln w="15875" cap="flat" cmpd="sng">
                            <a:solidFill>
                              <a:srgbClr val="00B050"/>
                            </a:solidFill>
                            <a:prstDash val="solid"/>
                            <a:headEnd type="none" w="med" len="med"/>
                            <a:tailEnd type="triangle" w="med" len="med"/>
                          </a:ln>
                        </wps:spPr>
                        <wps:bodyPr/>
                      </wps:wsp>
                      <wps:wsp>
                        <wps:cNvPr id="29737088" name="AutoShape 15"/>
                        <wps:cNvCnPr/>
                        <wps:spPr>
                          <a:xfrm>
                            <a:off x="4786622" y="1273800"/>
                            <a:ext cx="215901" cy="600"/>
                          </a:xfrm>
                          <a:prstGeom prst="straightConnector1">
                            <a:avLst/>
                          </a:prstGeom>
                          <a:ln w="15875" cap="flat" cmpd="sng">
                            <a:solidFill>
                              <a:srgbClr val="00B050"/>
                            </a:solidFill>
                            <a:prstDash val="solid"/>
                            <a:headEnd type="none" w="med" len="med"/>
                            <a:tailEnd type="triangle" w="med" len="med"/>
                          </a:ln>
                        </wps:spPr>
                        <wps:bodyPr/>
                      </wps:wsp>
                      <wps:wsp>
                        <wps:cNvPr id="1358007399" name="AutoShape 16"/>
                        <wps:cNvCnPr/>
                        <wps:spPr>
                          <a:xfrm>
                            <a:off x="4095119" y="401300"/>
                            <a:ext cx="600" cy="220300"/>
                          </a:xfrm>
                          <a:prstGeom prst="straightConnector1">
                            <a:avLst/>
                          </a:prstGeom>
                          <a:ln w="15875" cap="flat" cmpd="sng">
                            <a:solidFill>
                              <a:srgbClr val="00B050"/>
                            </a:solidFill>
                            <a:prstDash val="solid"/>
                            <a:headEnd type="none" w="med" len="med"/>
                            <a:tailEnd type="triangle" w="med" len="med"/>
                          </a:ln>
                        </wps:spPr>
                        <wps:bodyPr/>
                      </wps:wsp>
                      <wps:wsp>
                        <wps:cNvPr id="599919734" name="AutoShape 17"/>
                        <wps:cNvCnPr/>
                        <wps:spPr>
                          <a:xfrm flipH="1">
                            <a:off x="3039114" y="1947500"/>
                            <a:ext cx="1200" cy="219700"/>
                          </a:xfrm>
                          <a:prstGeom prst="straightConnector1">
                            <a:avLst/>
                          </a:prstGeom>
                          <a:ln w="15875" cap="flat" cmpd="sng">
                            <a:solidFill>
                              <a:srgbClr val="00B050"/>
                            </a:solidFill>
                            <a:prstDash val="solid"/>
                            <a:headEnd type="none" w="med" len="med"/>
                            <a:tailEnd type="triangle" w="med" len="med"/>
                          </a:ln>
                        </wps:spPr>
                        <wps:bodyPr/>
                      </wps:wsp>
                      <wps:wsp>
                        <wps:cNvPr id="1585751674" name="Text Box 18"/>
                        <wps:cNvSpPr txBox="1"/>
                        <wps:spPr>
                          <a:xfrm>
                            <a:off x="2862513" y="2154500"/>
                            <a:ext cx="354402" cy="207000"/>
                          </a:xfrm>
                          <a:prstGeom prst="rect">
                            <a:avLst/>
                          </a:prstGeom>
                          <a:solidFill>
                            <a:srgbClr val="FFFFFF"/>
                          </a:solidFill>
                          <a:ln>
                            <a:noFill/>
                          </a:ln>
                        </wps:spPr>
                        <wps:txbx>
                          <w:txbxContent>
                            <w:p>
                              <w:pPr>
                                <w:ind w:firstLine="0" w:firstLineChars="0"/>
                                <w:jc w:val="center"/>
                                <w:rPr>
                                  <w:rFonts w:hint="eastAsia" w:ascii="黑体" w:hAnsi="黑体" w:eastAsia="黑体"/>
                                  <w:sz w:val="21"/>
                                  <w:szCs w:val="21"/>
                                </w:rPr>
                              </w:pPr>
                              <w:r>
                                <w:rPr>
                                  <w:rFonts w:hint="eastAsia" w:ascii="黑体" w:hAnsi="黑体" w:eastAsia="黑体"/>
                                  <w:sz w:val="21"/>
                                  <w:szCs w:val="21"/>
                                </w:rPr>
                                <w:t>排渣</w:t>
                              </w:r>
                            </w:p>
                          </w:txbxContent>
                        </wps:txbx>
                        <wps:bodyPr lIns="0" tIns="0" rIns="0" bIns="0" upright="1"/>
                      </wps:wsp>
                      <wps:wsp>
                        <wps:cNvPr id="54754864" name="Text Box 19"/>
                        <wps:cNvSpPr txBox="1"/>
                        <wps:spPr>
                          <a:xfrm>
                            <a:off x="3959218" y="629900"/>
                            <a:ext cx="288301" cy="1296600"/>
                          </a:xfrm>
                          <a:prstGeom prst="rect">
                            <a:avLst/>
                          </a:prstGeom>
                          <a:solidFill>
                            <a:srgbClr val="FFFF00"/>
                          </a:solidFill>
                          <a:ln w="15875" cap="flat" cmpd="sng">
                            <a:solidFill>
                              <a:srgbClr val="00B050"/>
                            </a:solidFill>
                            <a:prstDash val="solid"/>
                            <a:miter/>
                            <a:headEnd type="none" w="med" len="med"/>
                            <a:tailEnd type="none" w="med" len="med"/>
                          </a:ln>
                        </wps:spPr>
                        <wps:txbx>
                          <w:txbxContent>
                            <w:p>
                              <w:pPr>
                                <w:spacing w:line="240" w:lineRule="exact"/>
                                <w:ind w:firstLine="0" w:firstLineChars="0"/>
                                <w:jc w:val="center"/>
                                <w:rPr>
                                  <w:rFonts w:hint="eastAsia" w:ascii="黑体" w:hAnsi="黑体" w:eastAsia="黑体"/>
                                  <w:sz w:val="22"/>
                                  <w:szCs w:val="21"/>
                                </w:rPr>
                              </w:pPr>
                              <w:r>
                                <w:rPr>
                                  <w:rFonts w:hint="eastAsia" w:ascii="黑体" w:hAnsi="黑体" w:eastAsia="黑体"/>
                                  <w:sz w:val="22"/>
                                  <w:szCs w:val="21"/>
                                </w:rPr>
                                <w:t>加磁高效沉淀池</w:t>
                              </w:r>
                            </w:p>
                            <w:p>
                              <w:pPr>
                                <w:ind w:firstLine="440"/>
                                <w:jc w:val="center"/>
                                <w:rPr>
                                  <w:rFonts w:hint="eastAsia" w:ascii="黑体" w:hAnsi="黑体" w:eastAsia="黑体"/>
                                  <w:sz w:val="22"/>
                                  <w:szCs w:val="21"/>
                                </w:rPr>
                              </w:pPr>
                            </w:p>
                          </w:txbxContent>
                        </wps:txbx>
                        <wps:bodyPr lIns="18000" tIns="108000" rIns="18000" bIns="108000" upright="1"/>
                      </wps:wsp>
                      <wps:wsp>
                        <wps:cNvPr id="961166988" name="Text Box 20"/>
                        <wps:cNvSpPr txBox="1"/>
                        <wps:spPr>
                          <a:xfrm>
                            <a:off x="1272506" y="2153900"/>
                            <a:ext cx="354302" cy="207600"/>
                          </a:xfrm>
                          <a:prstGeom prst="rect">
                            <a:avLst/>
                          </a:prstGeom>
                          <a:solidFill>
                            <a:srgbClr val="FFFFFF"/>
                          </a:solidFill>
                          <a:ln>
                            <a:noFill/>
                          </a:ln>
                        </wps:spPr>
                        <wps:txbx>
                          <w:txbxContent>
                            <w:p>
                              <w:pPr>
                                <w:ind w:firstLine="0" w:firstLineChars="0"/>
                                <w:jc w:val="center"/>
                                <w:rPr>
                                  <w:rFonts w:hint="eastAsia" w:ascii="黑体" w:hAnsi="黑体" w:eastAsia="黑体"/>
                                  <w:sz w:val="21"/>
                                  <w:szCs w:val="21"/>
                                </w:rPr>
                              </w:pPr>
                              <w:r>
                                <w:rPr>
                                  <w:rFonts w:hint="eastAsia" w:ascii="黑体" w:hAnsi="黑体" w:eastAsia="黑体"/>
                                  <w:sz w:val="21"/>
                                  <w:szCs w:val="21"/>
                                </w:rPr>
                                <w:t>排渣</w:t>
                              </w:r>
                            </w:p>
                          </w:txbxContent>
                        </wps:txbx>
                        <wps:bodyPr lIns="0" tIns="0" rIns="0" bIns="0" upright="1"/>
                      </wps:wsp>
                      <wps:wsp>
                        <wps:cNvPr id="1466980713" name="AutoShape 21"/>
                        <wps:cNvCnPr/>
                        <wps:spPr>
                          <a:xfrm flipH="1">
                            <a:off x="1450307" y="1937300"/>
                            <a:ext cx="1300" cy="219700"/>
                          </a:xfrm>
                          <a:prstGeom prst="straightConnector1">
                            <a:avLst/>
                          </a:prstGeom>
                          <a:ln w="15875" cap="flat" cmpd="sng">
                            <a:solidFill>
                              <a:srgbClr val="00B050"/>
                            </a:solidFill>
                            <a:prstDash val="solid"/>
                            <a:headEnd type="none" w="med" len="med"/>
                            <a:tailEnd type="triangle" w="med" len="med"/>
                          </a:ln>
                        </wps:spPr>
                        <wps:bodyPr/>
                      </wps:wsp>
                      <wps:wsp>
                        <wps:cNvPr id="1997831642" name="AutoShape 22"/>
                        <wps:cNvCnPr/>
                        <wps:spPr>
                          <a:xfrm>
                            <a:off x="3562916" y="405100"/>
                            <a:ext cx="700" cy="215900"/>
                          </a:xfrm>
                          <a:prstGeom prst="straightConnector1">
                            <a:avLst/>
                          </a:prstGeom>
                          <a:ln w="15875" cap="flat" cmpd="sng">
                            <a:solidFill>
                              <a:srgbClr val="00B050"/>
                            </a:solidFill>
                            <a:prstDash val="solid"/>
                            <a:headEnd type="none" w="med" len="med"/>
                            <a:tailEnd type="triangle" w="med" len="med"/>
                          </a:ln>
                        </wps:spPr>
                        <wps:bodyPr/>
                      </wps:wsp>
                      <wps:wsp>
                        <wps:cNvPr id="2041530905" name="Text Box 23"/>
                        <wps:cNvSpPr txBox="1"/>
                        <wps:spPr>
                          <a:xfrm>
                            <a:off x="4498321" y="631100"/>
                            <a:ext cx="288301" cy="1296700"/>
                          </a:xfrm>
                          <a:prstGeom prst="rect">
                            <a:avLst/>
                          </a:prstGeom>
                          <a:solidFill>
                            <a:srgbClr val="D6E3BC"/>
                          </a:solidFill>
                          <a:ln w="15875" cap="flat" cmpd="sng">
                            <a:solidFill>
                              <a:srgbClr val="00B050"/>
                            </a:solidFill>
                            <a:prstDash val="solid"/>
                            <a:miter/>
                            <a:headEnd type="none" w="med" len="med"/>
                            <a:tailEnd type="none" w="med" len="med"/>
                          </a:ln>
                        </wps:spPr>
                        <wps:txbx>
                          <w:txbxContent>
                            <w:p>
                              <w:pPr>
                                <w:spacing w:line="288" w:lineRule="auto"/>
                                <w:ind w:firstLine="0" w:firstLineChars="0"/>
                                <w:jc w:val="center"/>
                                <w:rPr>
                                  <w:rFonts w:hint="eastAsia" w:ascii="黑体" w:hAnsi="黑体" w:eastAsia="黑体"/>
                                  <w:sz w:val="22"/>
                                  <w:szCs w:val="21"/>
                                </w:rPr>
                              </w:pPr>
                              <w:r>
                                <w:rPr>
                                  <w:rFonts w:hint="eastAsia" w:ascii="黑体" w:hAnsi="黑体" w:eastAsia="黑体"/>
                                  <w:sz w:val="22"/>
                                  <w:szCs w:val="21"/>
                                </w:rPr>
                                <w:t>紫外消毒渠</w:t>
                              </w:r>
                            </w:p>
                          </w:txbxContent>
                        </wps:txbx>
                        <wps:bodyPr lIns="18000" tIns="108000" rIns="18000" bIns="108000" upright="1"/>
                      </wps:wsp>
                      <wps:wsp>
                        <wps:cNvPr id="974535586" name="Text Box 25"/>
                        <wps:cNvSpPr txBox="1"/>
                        <wps:spPr>
                          <a:xfrm>
                            <a:off x="2894313" y="633000"/>
                            <a:ext cx="288301" cy="1296100"/>
                          </a:xfrm>
                          <a:prstGeom prst="rect">
                            <a:avLst/>
                          </a:prstGeom>
                          <a:solidFill>
                            <a:srgbClr val="D6E3BC"/>
                          </a:solidFill>
                          <a:ln w="15875" cap="flat" cmpd="sng">
                            <a:solidFill>
                              <a:srgbClr val="00B050"/>
                            </a:solidFill>
                            <a:prstDash val="solid"/>
                            <a:miter/>
                            <a:headEnd type="none" w="med" len="med"/>
                            <a:tailEnd type="none" w="med" len="med"/>
                          </a:ln>
                        </wps:spPr>
                        <wps:txbx>
                          <w:txbxContent>
                            <w:p>
                              <w:pPr>
                                <w:spacing w:line="240" w:lineRule="auto"/>
                                <w:ind w:firstLine="0" w:firstLineChars="0"/>
                                <w:jc w:val="center"/>
                                <w:rPr>
                                  <w:rFonts w:hint="eastAsia" w:ascii="黑体" w:hAnsi="黑体" w:eastAsia="黑体"/>
                                  <w:sz w:val="22"/>
                                  <w:szCs w:val="21"/>
                                </w:rPr>
                              </w:pPr>
                              <w:r>
                                <w:rPr>
                                  <w:rFonts w:hint="eastAsia" w:ascii="黑体" w:hAnsi="黑体" w:eastAsia="黑体"/>
                                  <w:sz w:val="22"/>
                                  <w:szCs w:val="21"/>
                                </w:rPr>
                                <w:t>转鼓式细格栅</w:t>
                              </w:r>
                            </w:p>
                            <w:p>
                              <w:pPr>
                                <w:ind w:firstLine="440"/>
                                <w:jc w:val="center"/>
                                <w:rPr>
                                  <w:rFonts w:hint="eastAsia" w:ascii="黑体" w:hAnsi="黑体" w:eastAsia="黑体"/>
                                  <w:sz w:val="22"/>
                                  <w:szCs w:val="21"/>
                                </w:rPr>
                              </w:pPr>
                            </w:p>
                          </w:txbxContent>
                        </wps:txbx>
                        <wps:bodyPr lIns="18000" tIns="108000" rIns="18000" bIns="108000" upright="1"/>
                      </wps:wsp>
                      <wps:wsp>
                        <wps:cNvPr id="83131626" name="Text Box 26"/>
                        <wps:cNvSpPr txBox="1"/>
                        <wps:spPr>
                          <a:xfrm>
                            <a:off x="3663917" y="203300"/>
                            <a:ext cx="1357006" cy="201800"/>
                          </a:xfrm>
                          <a:prstGeom prst="rect">
                            <a:avLst/>
                          </a:prstGeom>
                          <a:noFill/>
                          <a:ln>
                            <a:noFill/>
                          </a:ln>
                        </wps:spPr>
                        <wps:txbx>
                          <w:txbxContent>
                            <w:p>
                              <w:pPr>
                                <w:ind w:firstLine="0" w:firstLineChars="0"/>
                                <w:jc w:val="center"/>
                                <w:rPr>
                                  <w:rFonts w:hint="eastAsia" w:ascii="黑体" w:hAnsi="黑体" w:eastAsia="黑体"/>
                                  <w:sz w:val="21"/>
                                  <w:szCs w:val="21"/>
                                </w:rPr>
                              </w:pPr>
                              <w:r>
                                <w:rPr>
                                  <w:rFonts w:hint="eastAsia" w:ascii="黑体" w:hAnsi="黑体" w:eastAsia="黑体"/>
                                  <w:sz w:val="21"/>
                                  <w:szCs w:val="21"/>
                                </w:rPr>
                                <w:t>PAM、PAC、磁粉</w:t>
                              </w:r>
                            </w:p>
                          </w:txbxContent>
                        </wps:txbx>
                        <wps:bodyPr lIns="0" tIns="0" rIns="0" bIns="0" upright="1"/>
                      </wps:wsp>
                      <wps:wsp>
                        <wps:cNvPr id="1538844831" name="Text Box 27"/>
                        <wps:cNvSpPr txBox="1"/>
                        <wps:spPr>
                          <a:xfrm>
                            <a:off x="769604" y="633000"/>
                            <a:ext cx="287601" cy="1296100"/>
                          </a:xfrm>
                          <a:prstGeom prst="rect">
                            <a:avLst/>
                          </a:prstGeom>
                          <a:solidFill>
                            <a:srgbClr val="D6E3BC"/>
                          </a:solidFill>
                          <a:ln w="15875" cap="flat" cmpd="sng">
                            <a:solidFill>
                              <a:srgbClr val="00B050"/>
                            </a:solidFill>
                            <a:prstDash val="solid"/>
                            <a:miter/>
                            <a:headEnd type="none" w="med" len="med"/>
                            <a:tailEnd type="none" w="med" len="med"/>
                          </a:ln>
                        </wps:spPr>
                        <wps:txbx>
                          <w:txbxContent>
                            <w:p>
                              <w:pPr>
                                <w:spacing w:line="240" w:lineRule="auto"/>
                                <w:ind w:firstLine="0" w:firstLineChars="0"/>
                                <w:jc w:val="center"/>
                                <w:rPr>
                                  <w:rFonts w:hint="eastAsia" w:ascii="黑体" w:hAnsi="黑体" w:eastAsia="黑体"/>
                                  <w:sz w:val="22"/>
                                  <w:szCs w:val="21"/>
                                </w:rPr>
                              </w:pPr>
                              <w:r>
                                <w:rPr>
                                  <w:rFonts w:hint="eastAsia" w:ascii="黑体" w:hAnsi="黑体" w:eastAsia="黑体"/>
                                  <w:sz w:val="22"/>
                                  <w:szCs w:val="21"/>
                                </w:rPr>
                                <w:t>抓斗式粗格栅</w:t>
                              </w:r>
                            </w:p>
                            <w:p>
                              <w:pPr>
                                <w:ind w:firstLine="440"/>
                                <w:jc w:val="center"/>
                                <w:rPr>
                                  <w:rFonts w:hint="eastAsia" w:ascii="黑体" w:hAnsi="黑体" w:eastAsia="黑体"/>
                                  <w:sz w:val="22"/>
                                  <w:szCs w:val="21"/>
                                </w:rPr>
                              </w:pPr>
                            </w:p>
                          </w:txbxContent>
                        </wps:txbx>
                        <wps:bodyPr lIns="18000" tIns="108000" rIns="18000" bIns="108000" upright="1"/>
                      </wps:wsp>
                      <wps:wsp>
                        <wps:cNvPr id="1286606687" name="Text Box 28"/>
                        <wps:cNvSpPr txBox="1"/>
                        <wps:spPr>
                          <a:xfrm>
                            <a:off x="736603" y="2164000"/>
                            <a:ext cx="354302" cy="207000"/>
                          </a:xfrm>
                          <a:prstGeom prst="rect">
                            <a:avLst/>
                          </a:prstGeom>
                          <a:solidFill>
                            <a:srgbClr val="FFFFFF"/>
                          </a:solidFill>
                          <a:ln>
                            <a:noFill/>
                          </a:ln>
                        </wps:spPr>
                        <wps:txbx>
                          <w:txbxContent>
                            <w:p>
                              <w:pPr>
                                <w:ind w:firstLine="0" w:firstLineChars="0"/>
                                <w:jc w:val="center"/>
                                <w:rPr>
                                  <w:rFonts w:hint="eastAsia" w:ascii="黑体" w:hAnsi="黑体" w:eastAsia="黑体"/>
                                  <w:sz w:val="21"/>
                                  <w:szCs w:val="21"/>
                                </w:rPr>
                              </w:pPr>
                              <w:r>
                                <w:rPr>
                                  <w:rFonts w:hint="eastAsia" w:ascii="黑体" w:hAnsi="黑体" w:eastAsia="黑体"/>
                                  <w:sz w:val="21"/>
                                  <w:szCs w:val="21"/>
                                </w:rPr>
                                <w:t>排渣</w:t>
                              </w:r>
                            </w:p>
                          </w:txbxContent>
                        </wps:txbx>
                        <wps:bodyPr lIns="0" tIns="0" rIns="0" bIns="0" upright="1"/>
                      </wps:wsp>
                      <wps:wsp>
                        <wps:cNvPr id="2135446758" name="AutoShape 29"/>
                        <wps:cNvCnPr/>
                        <wps:spPr>
                          <a:xfrm flipH="1">
                            <a:off x="911204" y="1938600"/>
                            <a:ext cx="1200" cy="219700"/>
                          </a:xfrm>
                          <a:prstGeom prst="straightConnector1">
                            <a:avLst/>
                          </a:prstGeom>
                          <a:ln w="15875" cap="flat" cmpd="sng">
                            <a:solidFill>
                              <a:srgbClr val="00B050"/>
                            </a:solidFill>
                            <a:prstDash val="solid"/>
                            <a:headEnd type="none" w="med" len="med"/>
                            <a:tailEnd type="triangle" w="med" len="med"/>
                          </a:ln>
                        </wps:spPr>
                        <wps:bodyPr/>
                      </wps:wsp>
                      <wps:wsp>
                        <wps:cNvPr id="340336126" name="AutoShape 30"/>
                        <wps:cNvCnPr/>
                        <wps:spPr>
                          <a:xfrm>
                            <a:off x="1069305" y="1281400"/>
                            <a:ext cx="216501" cy="2500"/>
                          </a:xfrm>
                          <a:prstGeom prst="straightConnector1">
                            <a:avLst/>
                          </a:prstGeom>
                          <a:ln w="15875" cap="flat" cmpd="sng">
                            <a:solidFill>
                              <a:srgbClr val="00B050"/>
                            </a:solidFill>
                            <a:prstDash val="solid"/>
                            <a:headEnd type="none" w="med" len="med"/>
                            <a:tailEnd type="triangle" w="med" len="med"/>
                          </a:ln>
                        </wps:spPr>
                        <wps:bodyPr/>
                      </wps:wsp>
                      <wps:wsp>
                        <wps:cNvPr id="935963382" name="Text Box 33"/>
                        <wps:cNvSpPr txBox="1"/>
                        <wps:spPr>
                          <a:xfrm>
                            <a:off x="3663917" y="2156400"/>
                            <a:ext cx="353102" cy="344200"/>
                          </a:xfrm>
                          <a:prstGeom prst="rect">
                            <a:avLst/>
                          </a:prstGeom>
                          <a:solidFill>
                            <a:srgbClr val="FFFFFF"/>
                          </a:solidFill>
                          <a:ln>
                            <a:noFill/>
                          </a:ln>
                        </wps:spPr>
                        <wps:txbx>
                          <w:txbxContent>
                            <w:p>
                              <w:pPr>
                                <w:ind w:firstLine="0" w:firstLineChars="0"/>
                                <w:jc w:val="center"/>
                                <w:rPr>
                                  <w:rFonts w:hint="eastAsia" w:ascii="黑体" w:hAnsi="黑体" w:eastAsia="黑体"/>
                                  <w:sz w:val="21"/>
                                  <w:szCs w:val="21"/>
                                </w:rPr>
                              </w:pPr>
                              <w:r>
                                <w:rPr>
                                  <w:rFonts w:hint="eastAsia" w:ascii="黑体" w:hAnsi="黑体" w:eastAsia="黑体"/>
                                  <w:sz w:val="21"/>
                                  <w:szCs w:val="21"/>
                                </w:rPr>
                                <w:t>排泥</w:t>
                              </w:r>
                            </w:p>
                          </w:txbxContent>
                        </wps:txbx>
                        <wps:bodyPr lIns="0" tIns="0" rIns="0" bIns="0" upright="1"/>
                      </wps:wsp>
                      <wps:wsp>
                        <wps:cNvPr id="1833306710" name="Text Box 3823"/>
                        <wps:cNvSpPr txBox="1"/>
                        <wps:spPr>
                          <a:xfrm>
                            <a:off x="2371011" y="2473300"/>
                            <a:ext cx="287701" cy="1296600"/>
                          </a:xfrm>
                          <a:prstGeom prst="rect">
                            <a:avLst/>
                          </a:prstGeom>
                          <a:solidFill>
                            <a:srgbClr val="FFFF00"/>
                          </a:solidFill>
                          <a:ln w="15875" cap="flat" cmpd="sng">
                            <a:solidFill>
                              <a:srgbClr val="E36C0A"/>
                            </a:solidFill>
                            <a:prstDash val="solid"/>
                            <a:miter/>
                            <a:headEnd type="none" w="med" len="med"/>
                            <a:tailEnd type="none" w="med" len="med"/>
                          </a:ln>
                        </wps:spPr>
                        <wps:txbx>
                          <w:txbxContent>
                            <w:p>
                              <w:pPr>
                                <w:spacing w:line="240" w:lineRule="auto"/>
                                <w:ind w:firstLine="0" w:firstLineChars="0"/>
                                <w:jc w:val="center"/>
                                <w:rPr>
                                  <w:rFonts w:hint="eastAsia" w:ascii="黑体" w:hAnsi="黑体" w:eastAsia="黑体"/>
                                  <w:sz w:val="22"/>
                                  <w:szCs w:val="21"/>
                                </w:rPr>
                              </w:pPr>
                              <w:r>
                                <w:rPr>
                                  <w:rFonts w:hint="eastAsia" w:ascii="黑体" w:hAnsi="黑体" w:eastAsia="黑体"/>
                                  <w:sz w:val="22"/>
                                  <w:szCs w:val="21"/>
                                </w:rPr>
                                <w:t>污泥脱水机房</w:t>
                              </w:r>
                            </w:p>
                          </w:txbxContent>
                        </wps:txbx>
                        <wps:bodyPr lIns="18000" tIns="108000" rIns="18000" bIns="18000" upright="1"/>
                      </wps:wsp>
                      <wps:wsp>
                        <wps:cNvPr id="2125543600" name="Text Box 3825"/>
                        <wps:cNvSpPr txBox="1"/>
                        <wps:spPr>
                          <a:xfrm>
                            <a:off x="2900013" y="2473300"/>
                            <a:ext cx="288301" cy="1296600"/>
                          </a:xfrm>
                          <a:prstGeom prst="rect">
                            <a:avLst/>
                          </a:prstGeom>
                          <a:solidFill>
                            <a:srgbClr val="FBD4B4"/>
                          </a:solidFill>
                          <a:ln w="15875" cap="flat" cmpd="sng">
                            <a:solidFill>
                              <a:srgbClr val="E36C0A"/>
                            </a:solidFill>
                            <a:prstDash val="solid"/>
                            <a:miter/>
                            <a:headEnd type="none" w="med" len="med"/>
                            <a:tailEnd type="none" w="med" len="med"/>
                          </a:ln>
                        </wps:spPr>
                        <wps:txbx>
                          <w:txbxContent>
                            <w:p>
                              <w:pPr>
                                <w:spacing w:line="576" w:lineRule="auto"/>
                                <w:ind w:firstLine="0" w:firstLineChars="0"/>
                                <w:jc w:val="center"/>
                                <w:rPr>
                                  <w:rFonts w:hint="eastAsia" w:ascii="黑体" w:hAnsi="黑体" w:eastAsia="黑体"/>
                                  <w:sz w:val="22"/>
                                  <w:szCs w:val="21"/>
                                </w:rPr>
                              </w:pPr>
                              <w:r>
                                <w:rPr>
                                  <w:rFonts w:hint="eastAsia" w:ascii="黑体" w:hAnsi="黑体" w:eastAsia="黑体"/>
                                  <w:sz w:val="22"/>
                                  <w:szCs w:val="21"/>
                                </w:rPr>
                                <w:t>污泥泵</w:t>
                              </w:r>
                            </w:p>
                          </w:txbxContent>
                        </wps:txbx>
                        <wps:bodyPr lIns="18000" tIns="108000" rIns="18000" bIns="108000" upright="1"/>
                      </wps:wsp>
                      <wps:wsp>
                        <wps:cNvPr id="1288690314" name="AutoShape 3827"/>
                        <wps:cNvCnPr/>
                        <wps:spPr>
                          <a:xfrm flipH="1">
                            <a:off x="2675812" y="3121600"/>
                            <a:ext cx="215901" cy="0"/>
                          </a:xfrm>
                          <a:prstGeom prst="straightConnector1">
                            <a:avLst/>
                          </a:prstGeom>
                          <a:ln w="15875" cap="flat" cmpd="sng">
                            <a:solidFill>
                              <a:srgbClr val="943634"/>
                            </a:solidFill>
                            <a:prstDash val="solid"/>
                            <a:headEnd type="none" w="med" len="med"/>
                            <a:tailEnd type="triangle" w="med" len="med"/>
                          </a:ln>
                        </wps:spPr>
                        <wps:bodyPr/>
                      </wps:wsp>
                      <wps:wsp>
                        <wps:cNvPr id="1321131986" name="AutoShape 3827"/>
                        <wps:cNvCnPr/>
                        <wps:spPr>
                          <a:xfrm flipH="1">
                            <a:off x="2135510" y="3122200"/>
                            <a:ext cx="215901" cy="700"/>
                          </a:xfrm>
                          <a:prstGeom prst="straightConnector1">
                            <a:avLst/>
                          </a:prstGeom>
                          <a:ln w="15875" cap="flat" cmpd="sng">
                            <a:solidFill>
                              <a:srgbClr val="943634"/>
                            </a:solidFill>
                            <a:prstDash val="solid"/>
                            <a:headEnd type="none" w="med" len="med"/>
                            <a:tailEnd type="triangle" w="med" len="med"/>
                          </a:ln>
                        </wps:spPr>
                        <wps:bodyPr/>
                      </wps:wsp>
                      <wps:wsp>
                        <wps:cNvPr id="109949298" name="Text Box 31"/>
                        <wps:cNvSpPr txBox="1"/>
                        <wps:spPr>
                          <a:xfrm>
                            <a:off x="1602707" y="2752700"/>
                            <a:ext cx="642003" cy="320700"/>
                          </a:xfrm>
                          <a:prstGeom prst="rect">
                            <a:avLst/>
                          </a:prstGeom>
                          <a:noFill/>
                          <a:ln>
                            <a:noFill/>
                          </a:ln>
                        </wps:spPr>
                        <wps:txbx>
                          <w:txbxContent>
                            <w:p>
                              <w:pPr>
                                <w:ind w:firstLine="0" w:firstLineChars="0"/>
                                <w:jc w:val="center"/>
                                <w:rPr>
                                  <w:rFonts w:hint="eastAsia" w:ascii="黑体" w:hAnsi="黑体" w:eastAsia="黑体"/>
                                  <w:sz w:val="21"/>
                                  <w:szCs w:val="21"/>
                                </w:rPr>
                              </w:pPr>
                              <w:r>
                                <w:rPr>
                                  <w:rFonts w:hint="eastAsia" w:ascii="黑体" w:hAnsi="黑体" w:eastAsia="黑体"/>
                                  <w:sz w:val="21"/>
                                  <w:szCs w:val="21"/>
                                </w:rPr>
                                <w:t>外运处置</w:t>
                              </w:r>
                            </w:p>
                          </w:txbxContent>
                        </wps:txbx>
                        <wps:bodyPr lIns="0" tIns="0" rIns="0" bIns="0" upright="1"/>
                      </wps:wsp>
                      <wps:wsp>
                        <wps:cNvPr id="1454667935" name="Text Box 7"/>
                        <wps:cNvSpPr txBox="1"/>
                        <wps:spPr>
                          <a:xfrm>
                            <a:off x="3425116" y="2473300"/>
                            <a:ext cx="288301" cy="1296600"/>
                          </a:xfrm>
                          <a:prstGeom prst="rect">
                            <a:avLst/>
                          </a:prstGeom>
                          <a:solidFill>
                            <a:srgbClr val="FBD4B4"/>
                          </a:solidFill>
                          <a:ln w="15875" cap="flat" cmpd="sng">
                            <a:solidFill>
                              <a:srgbClr val="E36C0A"/>
                            </a:solidFill>
                            <a:prstDash val="solid"/>
                            <a:miter/>
                            <a:headEnd type="none" w="med" len="med"/>
                            <a:tailEnd type="none" w="med" len="med"/>
                          </a:ln>
                        </wps:spPr>
                        <wps:txbx>
                          <w:txbxContent>
                            <w:p>
                              <w:pPr>
                                <w:spacing w:line="288" w:lineRule="auto"/>
                                <w:ind w:firstLine="0" w:firstLineChars="0"/>
                                <w:jc w:val="center"/>
                                <w:rPr>
                                  <w:rFonts w:hint="eastAsia" w:ascii="黑体" w:hAnsi="黑体" w:eastAsia="黑体"/>
                                  <w:sz w:val="22"/>
                                  <w:szCs w:val="21"/>
                                </w:rPr>
                              </w:pPr>
                              <w:r>
                                <w:rPr>
                                  <w:rFonts w:hint="eastAsia" w:ascii="黑体" w:hAnsi="黑体" w:eastAsia="黑体"/>
                                  <w:sz w:val="22"/>
                                  <w:szCs w:val="21"/>
                                </w:rPr>
                                <w:t>污泥浓缩池</w:t>
                              </w:r>
                            </w:p>
                          </w:txbxContent>
                        </wps:txbx>
                        <wps:bodyPr lIns="18000" tIns="108000" rIns="18000" bIns="108000" upright="1"/>
                      </wps:wsp>
                      <wps:wsp>
                        <wps:cNvPr id="150910834" name="AutoShape 36"/>
                        <wps:cNvCnPr/>
                        <wps:spPr>
                          <a:xfrm>
                            <a:off x="3568716" y="1931600"/>
                            <a:ext cx="0" cy="518800"/>
                          </a:xfrm>
                          <a:prstGeom prst="straightConnector1">
                            <a:avLst/>
                          </a:prstGeom>
                          <a:ln w="19050" cap="flat" cmpd="sng">
                            <a:solidFill>
                              <a:srgbClr val="943634"/>
                            </a:solidFill>
                            <a:prstDash val="solid"/>
                            <a:headEnd type="none" w="med" len="med"/>
                            <a:tailEnd type="triangle" w="med" len="med"/>
                          </a:ln>
                        </wps:spPr>
                        <wps:bodyPr/>
                      </wps:wsp>
                      <wps:wsp>
                        <wps:cNvPr id="1037184416" name="AutoShape 37"/>
                        <wps:cNvCnPr/>
                        <wps:spPr>
                          <a:xfrm rot="5400000">
                            <a:off x="3840418" y="2195800"/>
                            <a:ext cx="523902" cy="1300"/>
                          </a:xfrm>
                          <a:prstGeom prst="bentConnector3">
                            <a:avLst>
                              <a:gd name="adj1" fmla="val 49213"/>
                            </a:avLst>
                          </a:prstGeom>
                          <a:ln w="19050" cap="flat" cmpd="sng">
                            <a:solidFill>
                              <a:srgbClr val="943634"/>
                            </a:solidFill>
                            <a:prstDash val="solid"/>
                            <a:miter/>
                            <a:headEnd type="none" w="med" len="med"/>
                            <a:tailEnd type="triangle" w="med" len="med"/>
                          </a:ln>
                        </wps:spPr>
                        <wps:bodyPr/>
                      </wps:wsp>
                      <wps:wsp>
                        <wps:cNvPr id="392952540" name="Text Box 18"/>
                        <wps:cNvSpPr txBox="1"/>
                        <wps:spPr>
                          <a:xfrm>
                            <a:off x="3113914" y="193900"/>
                            <a:ext cx="715103" cy="211200"/>
                          </a:xfrm>
                          <a:prstGeom prst="rect">
                            <a:avLst/>
                          </a:prstGeom>
                          <a:noFill/>
                          <a:ln>
                            <a:noFill/>
                          </a:ln>
                        </wps:spPr>
                        <wps:txbx>
                          <w:txbxContent>
                            <w:p>
                              <w:pPr>
                                <w:ind w:firstLine="0" w:firstLineChars="0"/>
                                <w:jc w:val="center"/>
                                <w:rPr>
                                  <w:rFonts w:hint="eastAsia" w:ascii="黑体" w:hAnsi="黑体" w:eastAsia="黑体"/>
                                  <w:sz w:val="21"/>
                                  <w:szCs w:val="21"/>
                                </w:rPr>
                              </w:pPr>
                              <w:r>
                                <w:rPr>
                                  <w:rFonts w:hint="eastAsia" w:ascii="黑体" w:hAnsi="黑体" w:eastAsia="黑体"/>
                                  <w:sz w:val="21"/>
                                  <w:szCs w:val="21"/>
                                </w:rPr>
                                <w:t>曝气</w:t>
                              </w:r>
                            </w:p>
                          </w:txbxContent>
                        </wps:txbx>
                        <wps:bodyPr lIns="0" tIns="0" rIns="0" bIns="0" upright="1"/>
                      </wps:wsp>
                      <wps:wsp>
                        <wps:cNvPr id="1130589519" name="Text Box 7"/>
                        <wps:cNvSpPr txBox="1"/>
                        <wps:spPr>
                          <a:xfrm>
                            <a:off x="226001" y="640700"/>
                            <a:ext cx="288301" cy="1296000"/>
                          </a:xfrm>
                          <a:prstGeom prst="rect">
                            <a:avLst/>
                          </a:prstGeom>
                          <a:solidFill>
                            <a:srgbClr val="D6E3BC"/>
                          </a:solidFill>
                          <a:ln w="15875" cap="flat" cmpd="sng">
                            <a:solidFill>
                              <a:srgbClr val="00B050"/>
                            </a:solidFill>
                            <a:prstDash val="solid"/>
                            <a:miter/>
                            <a:headEnd type="none" w="med" len="med"/>
                            <a:tailEnd type="none" w="med" len="med"/>
                          </a:ln>
                        </wps:spPr>
                        <wps:txbx>
                          <w:txbxContent>
                            <w:p>
                              <w:pPr>
                                <w:ind w:firstLine="0" w:firstLineChars="0"/>
                                <w:jc w:val="center"/>
                                <w:rPr>
                                  <w:rFonts w:hint="eastAsia" w:ascii="黑体" w:hAnsi="黑体" w:eastAsia="黑体"/>
                                  <w:sz w:val="22"/>
                                  <w:szCs w:val="21"/>
                                </w:rPr>
                              </w:pPr>
                              <w:r>
                                <w:rPr>
                                  <w:rFonts w:hint="eastAsia" w:ascii="黑体" w:hAnsi="黑体" w:eastAsia="黑体"/>
                                  <w:sz w:val="22"/>
                                  <w:szCs w:val="21"/>
                                </w:rPr>
                                <w:t>箱涵污水</w:t>
                              </w:r>
                            </w:p>
                          </w:txbxContent>
                        </wps:txbx>
                        <wps:bodyPr lIns="18000" tIns="108000" rIns="18000" bIns="108000" upright="1"/>
                      </wps:wsp>
                      <wps:wsp>
                        <wps:cNvPr id="1990149109" name="Text Box 7"/>
                        <wps:cNvSpPr txBox="1"/>
                        <wps:spPr>
                          <a:xfrm>
                            <a:off x="3954118" y="2482200"/>
                            <a:ext cx="288301" cy="1296600"/>
                          </a:xfrm>
                          <a:prstGeom prst="rect">
                            <a:avLst/>
                          </a:prstGeom>
                          <a:solidFill>
                            <a:srgbClr val="FBD4B4"/>
                          </a:solidFill>
                          <a:ln w="15875" cap="flat" cmpd="sng">
                            <a:solidFill>
                              <a:srgbClr val="E36C0A"/>
                            </a:solidFill>
                            <a:prstDash val="solid"/>
                            <a:miter/>
                            <a:headEnd type="none" w="med" len="med"/>
                            <a:tailEnd type="none" w="med" len="med"/>
                          </a:ln>
                        </wps:spPr>
                        <wps:txbx>
                          <w:txbxContent>
                            <w:p>
                              <w:pPr>
                                <w:spacing w:line="384" w:lineRule="auto"/>
                                <w:ind w:firstLine="0" w:firstLineChars="0"/>
                                <w:jc w:val="center"/>
                                <w:rPr>
                                  <w:rFonts w:hint="eastAsia" w:ascii="黑体" w:hAnsi="黑体" w:eastAsia="黑体"/>
                                  <w:sz w:val="22"/>
                                  <w:szCs w:val="21"/>
                                </w:rPr>
                              </w:pPr>
                              <w:r>
                                <w:rPr>
                                  <w:rFonts w:hint="eastAsia" w:ascii="黑体" w:hAnsi="黑体" w:eastAsia="黑体"/>
                                  <w:sz w:val="22"/>
                                  <w:szCs w:val="21"/>
                                </w:rPr>
                                <w:t>污泥储池</w:t>
                              </w:r>
                            </w:p>
                            <w:p>
                              <w:pPr>
                                <w:ind w:firstLine="0" w:firstLineChars="0"/>
                                <w:jc w:val="center"/>
                                <w:rPr>
                                  <w:rFonts w:hint="eastAsia" w:ascii="黑体" w:hAnsi="黑体" w:eastAsia="黑体"/>
                                  <w:sz w:val="22"/>
                                  <w:szCs w:val="21"/>
                                </w:rPr>
                              </w:pPr>
                            </w:p>
                          </w:txbxContent>
                        </wps:txbx>
                        <wps:bodyPr lIns="18000" tIns="108000" rIns="18000" bIns="108000" upright="1"/>
                      </wps:wsp>
                      <wps:wsp>
                        <wps:cNvPr id="159108594" name="AutoShape 3827"/>
                        <wps:cNvCnPr/>
                        <wps:spPr>
                          <a:xfrm flipH="1">
                            <a:off x="3200415" y="3121600"/>
                            <a:ext cx="215901" cy="600"/>
                          </a:xfrm>
                          <a:prstGeom prst="straightConnector1">
                            <a:avLst/>
                          </a:prstGeom>
                          <a:ln w="15875" cap="flat" cmpd="sng">
                            <a:solidFill>
                              <a:srgbClr val="943634"/>
                            </a:solidFill>
                            <a:prstDash val="solid"/>
                            <a:headEnd type="none" w="med" len="med"/>
                            <a:tailEnd type="triangle" w="med" len="med"/>
                          </a:ln>
                        </wps:spPr>
                        <wps:bodyPr/>
                      </wps:wsp>
                      <wps:wsp>
                        <wps:cNvPr id="197790121" name="AutoShape 3827"/>
                        <wps:cNvCnPr/>
                        <wps:spPr>
                          <a:xfrm flipH="1">
                            <a:off x="3723617" y="3121000"/>
                            <a:ext cx="215901" cy="600"/>
                          </a:xfrm>
                          <a:prstGeom prst="straightConnector1">
                            <a:avLst/>
                          </a:prstGeom>
                          <a:ln w="15875" cap="flat" cmpd="sng">
                            <a:solidFill>
                              <a:srgbClr val="943634"/>
                            </a:solidFill>
                            <a:prstDash val="solid"/>
                            <a:headEnd type="none" w="med" len="med"/>
                            <a:tailEnd type="triangle" w="med" len="med"/>
                          </a:ln>
                        </wps:spPr>
                        <wps:bodyPr/>
                      </wps:wsp>
                      <wps:wsp>
                        <wps:cNvPr id="1451751798" name="Text Box 23"/>
                        <wps:cNvSpPr txBox="1"/>
                        <wps:spPr>
                          <a:xfrm>
                            <a:off x="5020923" y="629900"/>
                            <a:ext cx="288301" cy="1296600"/>
                          </a:xfrm>
                          <a:prstGeom prst="rect">
                            <a:avLst/>
                          </a:prstGeom>
                          <a:solidFill>
                            <a:srgbClr val="D6E3BC"/>
                          </a:solidFill>
                          <a:ln w="15875" cap="flat" cmpd="sng">
                            <a:solidFill>
                              <a:srgbClr val="00B050"/>
                            </a:solidFill>
                            <a:prstDash val="solid"/>
                            <a:miter/>
                            <a:headEnd type="none" w="med" len="med"/>
                            <a:tailEnd type="none" w="med" len="med"/>
                          </a:ln>
                        </wps:spPr>
                        <wps:txbx>
                          <w:txbxContent>
                            <w:p>
                              <w:pPr>
                                <w:spacing w:line="384" w:lineRule="auto"/>
                                <w:ind w:firstLine="0" w:firstLineChars="0"/>
                                <w:jc w:val="center"/>
                                <w:rPr>
                                  <w:rFonts w:hint="eastAsia" w:ascii="黑体" w:hAnsi="黑体" w:eastAsia="黑体"/>
                                  <w:sz w:val="22"/>
                                  <w:szCs w:val="21"/>
                                </w:rPr>
                              </w:pPr>
                              <w:r>
                                <w:rPr>
                                  <w:rFonts w:hint="eastAsia" w:ascii="黑体" w:hAnsi="黑体" w:eastAsia="黑体"/>
                                  <w:sz w:val="22"/>
                                  <w:szCs w:val="21"/>
                                </w:rPr>
                                <w:t>排入河道</w:t>
                              </w:r>
                            </w:p>
                          </w:txbxContent>
                        </wps:txbx>
                        <wps:bodyPr lIns="18000" tIns="108000" rIns="18000" bIns="108000" upright="1"/>
                      </wps:wsp>
                      <wps:wsp>
                        <wps:cNvPr id="1462464086" name="Text Box 7"/>
                        <wps:cNvSpPr txBox="1"/>
                        <wps:spPr>
                          <a:xfrm>
                            <a:off x="1826808" y="635000"/>
                            <a:ext cx="287701" cy="1296600"/>
                          </a:xfrm>
                          <a:prstGeom prst="rect">
                            <a:avLst/>
                          </a:prstGeom>
                          <a:solidFill>
                            <a:srgbClr val="D6E3BC"/>
                          </a:solidFill>
                          <a:ln w="15875" cap="flat" cmpd="sng">
                            <a:solidFill>
                              <a:srgbClr val="00B050"/>
                            </a:solidFill>
                            <a:prstDash val="solid"/>
                            <a:miter/>
                            <a:headEnd type="none" w="med" len="med"/>
                            <a:tailEnd type="none" w="med" len="med"/>
                          </a:ln>
                        </wps:spPr>
                        <wps:txbx>
                          <w:txbxContent>
                            <w:p>
                              <w:pPr>
                                <w:pStyle w:val="27"/>
                                <w:snapToGrid w:val="0"/>
                                <w:spacing w:line="600" w:lineRule="auto"/>
                                <w:jc w:val="center"/>
                                <w:rPr>
                                  <w:rFonts w:hint="eastAsia" w:ascii="黑体" w:hAnsi="黑体" w:eastAsia="黑体"/>
                                  <w:sz w:val="22"/>
                                  <w:szCs w:val="21"/>
                                </w:rPr>
                              </w:pPr>
                              <w:r>
                                <w:rPr>
                                  <w:rFonts w:hint="eastAsia" w:ascii="黑体" w:hAnsi="黑体" w:eastAsia="黑体"/>
                                  <w:sz w:val="22"/>
                                  <w:szCs w:val="21"/>
                                </w:rPr>
                                <w:t>沉砂池</w:t>
                              </w:r>
                            </w:p>
                          </w:txbxContent>
                        </wps:txbx>
                        <wps:bodyPr lIns="18000" tIns="108000" rIns="18000" bIns="108000" upright="1"/>
                      </wps:wsp>
                      <wps:wsp>
                        <wps:cNvPr id="225423722" name="AutoShape 6"/>
                        <wps:cNvCnPr/>
                        <wps:spPr>
                          <a:xfrm>
                            <a:off x="2113910" y="1278800"/>
                            <a:ext cx="215901" cy="2600"/>
                          </a:xfrm>
                          <a:prstGeom prst="straightConnector1">
                            <a:avLst/>
                          </a:prstGeom>
                          <a:ln w="15875" cap="flat" cmpd="sng">
                            <a:solidFill>
                              <a:srgbClr val="00B050"/>
                            </a:solidFill>
                            <a:prstDash val="solid"/>
                            <a:headEnd type="none" w="med" len="med"/>
                            <a:tailEnd type="triangle" w="med" len="med"/>
                          </a:ln>
                        </wps:spPr>
                        <wps:bodyPr/>
                      </wps:wsp>
                      <wps:wsp>
                        <wps:cNvPr id="1785347647" name="Text Box 20"/>
                        <wps:cNvSpPr txBox="1"/>
                        <wps:spPr>
                          <a:xfrm>
                            <a:off x="1795708" y="2121500"/>
                            <a:ext cx="353102" cy="207000"/>
                          </a:xfrm>
                          <a:prstGeom prst="rect">
                            <a:avLst/>
                          </a:prstGeom>
                          <a:solidFill>
                            <a:srgbClr val="FFFFFF"/>
                          </a:solidFill>
                          <a:ln>
                            <a:noFill/>
                          </a:ln>
                        </wps:spPr>
                        <wps:txbx>
                          <w:txbxContent>
                            <w:p>
                              <w:pPr>
                                <w:pStyle w:val="27"/>
                                <w:snapToGrid w:val="0"/>
                                <w:jc w:val="center"/>
                                <w:rPr>
                                  <w:rFonts w:hint="eastAsia"/>
                                </w:rPr>
                              </w:pPr>
                              <w:r>
                                <w:rPr>
                                  <w:rFonts w:hint="eastAsia" w:hAnsi="黑体" w:eastAsia="黑体"/>
                                  <w:sz w:val="21"/>
                                  <w:szCs w:val="21"/>
                                </w:rPr>
                                <w:t>排砂</w:t>
                              </w:r>
                            </w:p>
                          </w:txbxContent>
                        </wps:txbx>
                        <wps:bodyPr lIns="0" tIns="0" rIns="0" bIns="0" upright="1"/>
                      </wps:wsp>
                      <wps:wsp>
                        <wps:cNvPr id="652559145" name="AutoShape 21"/>
                        <wps:cNvCnPr/>
                        <wps:spPr>
                          <a:xfrm flipH="1">
                            <a:off x="1958909" y="1932900"/>
                            <a:ext cx="1300" cy="219700"/>
                          </a:xfrm>
                          <a:prstGeom prst="straightConnector1">
                            <a:avLst/>
                          </a:prstGeom>
                          <a:ln w="15875" cap="flat" cmpd="sng">
                            <a:solidFill>
                              <a:srgbClr val="00B050"/>
                            </a:solidFill>
                            <a:prstDash val="solid"/>
                            <a:headEnd type="none" w="med" len="med"/>
                            <a:tailEnd type="triangle" w="med" len="med"/>
                          </a:ln>
                        </wps:spPr>
                        <wps:bodyPr/>
                      </wps:wsp>
                    </wpc:wpc>
                  </a:graphicData>
                </a:graphic>
              </wp:inline>
            </w:drawing>
          </mc:Choice>
          <mc:Fallback>
            <w:pict>
              <v:group id="画布 126" o:spid="_x0000_s1026" o:spt="203" style="height:300pt;width:426.75pt;" coordsize="5419725,3810000" editas="canvas" o:gfxdata="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">
                <o:lock v:ext="edit" aspectratio="f"/>
                <v:shape id="画布 126" o:spid="_x0000_s1026" style="position:absolute;left:0;top:0;height:3810000;width:5419725;" filled="f" stroked="t" coordsize="21600,21600" o:gfxdata="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">
                  <v:fill on="f" focussize="0,0"/>
                  <v:stroke color="#000000" joinstyle="miter"/>
                  <v:imagedata o:title=""/>
                  <o:lock v:ext="edit" aspectratio="t"/>
                </v:shape>
                <v:shape id="AutoShape 4" o:spid="_x0000_s1026" o:spt="32" type="#_x0000_t32" style="position:absolute;left:521902;top:1280100;height:1900;width:216601;" filled="f" stroked="t" coordsize="21600,21600" o:gfxdata="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yvXBjNIAAAAFAQAADwAAAAAAAAABACAAAAA4&#10;AAAAZHJzL2Rvd25yZXYueG1sUEsBAhQAFAAAAAgAh07iQBRHE7T6AQAA+gMAAA4AAAAAAAAAAQAg&#10;AAAANwEAAGRycy9lMm9Eb2MueG1sUEsFBgAAAAAGAAYAWQEAAKMFAAAAAA==&#10;">
                  <v:fill on="f" focussize="0,0"/>
                  <v:stroke weight="1.25pt" color="#00B050" joinstyle="round" endarrow="block"/>
                  <v:imagedata o:title=""/>
                  <o:lock v:ext="edit" aspectratio="f"/>
                </v:shape>
                <v:shape id="Text Box 5" o:spid="_x0000_s1026" o:spt="202" type="#_x0000_t202" style="position:absolute;left:1299806;top:631800;height:1296000;width:287701;" fillcolor="#D6E3BC" filled="t" stroked="t" coordsize="21600,21600" o:gfxdata="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W&#10;AAAAZHJzL1BLAQIUABQAAAAIAIdO4kBNEKlM1wAAAAUBAAAPAAAAAAAAAAEAIAAAADgAAABkcnMv&#10;ZG93bnJldi54bWxQSwECFAAUAAAACACHTuJAXUbdgScCAAB/BAAADgAAAAAAAAABACAAAAA8AQAA&#10;ZHJzL2Uyb0RvYy54bWxQSwUGAAAAAAYABgBZAQAA1QUAAAAA&#10;">
                  <v:fill on="t" focussize="0,0"/>
                  <v:stroke weight="1.25pt" color="#00B050" joinstyle="miter"/>
                  <v:imagedata o:title=""/>
                  <o:lock v:ext="edit" aspectratio="f"/>
                  <v:textbox inset="0.5mm,3mm,0.5mm,3mm">
                    <w:txbxContent>
                      <w:p>
                        <w:pPr>
                          <w:spacing w:line="240" w:lineRule="auto"/>
                          <w:ind w:firstLine="0" w:firstLineChars="0"/>
                          <w:jc w:val="center"/>
                          <w:rPr>
                            <w:rFonts w:hint="eastAsia" w:ascii="黑体" w:hAnsi="黑体" w:eastAsia="黑体"/>
                            <w:sz w:val="22"/>
                            <w:szCs w:val="21"/>
                          </w:rPr>
                        </w:pPr>
                        <w:r>
                          <w:rPr>
                            <w:rFonts w:hint="eastAsia" w:ascii="黑体" w:hAnsi="黑体" w:eastAsia="黑体"/>
                            <w:sz w:val="22"/>
                            <w:szCs w:val="21"/>
                          </w:rPr>
                          <w:t>回转式粗格栅</w:t>
                        </w:r>
                      </w:p>
                      <w:p>
                        <w:pPr>
                          <w:ind w:firstLine="440"/>
                          <w:jc w:val="center"/>
                          <w:rPr>
                            <w:rFonts w:hint="eastAsia" w:ascii="黑体" w:hAnsi="黑体" w:eastAsia="黑体"/>
                            <w:sz w:val="22"/>
                            <w:szCs w:val="21"/>
                          </w:rPr>
                        </w:pPr>
                      </w:p>
                    </w:txbxContent>
                  </v:textbox>
                </v:shape>
                <v:shape id="AutoShape 6" o:spid="_x0000_s1026" o:spt="32" type="#_x0000_t32" style="position:absolute;left:1595107;top:1275000;height:2600;width:215901;" filled="f" stroked="t" coordsize="21600,21600" o:gfxdata="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Mr1wYzSAAAABQEAAA8AAAAAAAAAAQAgAAAA&#10;OAAAAGRycy9kb3ducmV2LnhtbFBLAQIUABQAAAAIAIdO4kBvUNEl+wEAAPsDAAAOAAAAAAAAAAEA&#10;IAAAADcBAABkcnMvZTJvRG9jLnhtbFBLBQYAAAAABgAGAFkBAACkBQAAAAA=&#10;">
                  <v:fill on="f" focussize="0,0"/>
                  <v:stroke weight="1.25pt" color="#00B050" joinstyle="round" endarrow="block"/>
                  <v:imagedata o:title=""/>
                  <o:lock v:ext="edit" aspectratio="f"/>
                </v:shape>
                <v:shape id="Text Box 7" o:spid="_x0000_s1026" o:spt="202" type="#_x0000_t202" style="position:absolute;left:2353911;top:635000;height:1296000;width:288301;" fillcolor="#D6E3BC" filled="t" stroked="t" coordsize="21600,21600" o:gfxdata="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W&#10;AAAAZHJzL1BLAQIUABQAAAAIAIdO4kBNEKlM1wAAAAUBAAAPAAAAAAAAAAEAIAAAADgAAABkcnMv&#10;ZG93bnJldi54bWxQSwECFAAUAAAACACHTuJArJyHLCcCAACABAAADgAAAAAAAAABACAAAAA8AQAA&#10;ZHJzL2Uyb0RvYy54bWxQSwUGAAAAAAYABgBZAQAA1QUAAAAA&#10;">
                  <v:fill on="t" focussize="0,0"/>
                  <v:stroke weight="1.25pt" color="#00B050" joinstyle="miter"/>
                  <v:imagedata o:title=""/>
                  <o:lock v:ext="edit" aspectratio="f"/>
                  <v:textbox inset="0.5mm,3mm,0.5mm,3mm">
                    <w:txbxContent>
                      <w:p>
                        <w:pPr>
                          <w:spacing w:line="384" w:lineRule="auto"/>
                          <w:ind w:firstLine="0" w:firstLineChars="0"/>
                          <w:jc w:val="center"/>
                          <w:rPr>
                            <w:rFonts w:hint="eastAsia" w:ascii="黑体" w:hAnsi="黑体" w:eastAsia="黑体"/>
                            <w:sz w:val="22"/>
                            <w:szCs w:val="21"/>
                          </w:rPr>
                        </w:pPr>
                        <w:r>
                          <w:rPr>
                            <w:rFonts w:hint="eastAsia" w:ascii="黑体" w:hAnsi="黑体" w:eastAsia="黑体"/>
                            <w:sz w:val="22"/>
                            <w:szCs w:val="21"/>
                          </w:rPr>
                          <w:t>提升泵房</w:t>
                        </w:r>
                      </w:p>
                      <w:p>
                        <w:pPr>
                          <w:ind w:firstLine="440"/>
                          <w:jc w:val="center"/>
                          <w:rPr>
                            <w:rFonts w:hint="eastAsia" w:ascii="黑体" w:hAnsi="黑体" w:eastAsia="黑体"/>
                            <w:sz w:val="22"/>
                            <w:szCs w:val="21"/>
                          </w:rPr>
                        </w:pPr>
                      </w:p>
                    </w:txbxContent>
                  </v:textbox>
                </v:shape>
                <v:shape id="AutoShape 8" o:spid="_x0000_s1026" o:spt="32" type="#_x0000_t32" style="position:absolute;left:2650412;top:1275700;height:1200;width:215901;" filled="f" stroked="t" coordsize="21600,21600" o:gfxdata="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WAAAAZHJzL1BLAQIUABQAAAAIAIdO4kDK9cGM0gAAAAUBAAAPAAAAAAAAAAEAIAAA&#10;ADgAAABkcnMvZG93bnJldi54bWxQSwECFAAUAAAACACHTuJAL+uQ7/wBAAD7AwAADgAAAAAAAAAB&#10;ACAAAAA3AQAAZHJzL2Uyb0RvYy54bWxQSwUGAAAAAAYABgBZAQAApQUAAAAA&#10;">
                  <v:fill on="f" focussize="0,0"/>
                  <v:stroke weight="1.25pt" color="#00B050" joinstyle="round" endarrow="block"/>
                  <v:imagedata o:title=""/>
                  <o:lock v:ext="edit" aspectratio="f"/>
                </v:shape>
                <v:shape id="AutoShape 9" o:spid="_x0000_s1026" o:spt="32" type="#_x0000_t32" style="position:absolute;left:3193415;top:1275000;height:700;width:215901;" filled="f" stroked="t" coordsize="21600,21600" o:gfxdata="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Mr1wYzSAAAABQEAAA8AAAAAAAAAAQAg&#10;AAAAOAAAAGRycy9kb3ducmV2LnhtbFBLAQIUABQAAAAIAIdO4kBqduny/gEAAPsDAAAOAAAAAAAA&#10;AAEAIAAAADcBAABkcnMvZTJvRG9jLnhtbFBLBQYAAAAABgAGAFkBAACnBQAAAAA=&#10;">
                  <v:fill on="f" focussize="0,0"/>
                  <v:stroke weight="1.25pt" color="#00B050" joinstyle="round" endarrow="block"/>
                  <v:imagedata o:title=""/>
                  <o:lock v:ext="edit" aspectratio="f"/>
                </v:shape>
                <v:shape id="Text Box 10" o:spid="_x0000_s1026" o:spt="202" type="#_x0000_t202" style="position:absolute;left:3424516;top:627300;height:1296700;width:288301;" fillcolor="#FFFF00" filled="t" stroked="t" coordsize="21600,21600" o:gfxdata="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WAAAA&#10;ZHJzL1BLAQIUABQAAAAIAIdO4kAqtN3u1AAAAAUBAAAPAAAAAAAAAAEAIAAAADgAAABkcnMvZG93&#10;bnJldi54bWxQSwECFAAUAAAACACHTuJAT0xc2ScCAACBBAAADgAAAAAAAAABACAAAAA5AQAAZHJz&#10;L2Uyb0RvYy54bWxQSwUGAAAAAAYABgBZAQAA0gUAAAAA&#10;">
                  <v:fill on="t" focussize="0,0"/>
                  <v:stroke weight="1.25pt" color="#00B050" joinstyle="miter"/>
                  <v:imagedata o:title=""/>
                  <o:lock v:ext="edit" aspectratio="f"/>
                  <v:textbox inset="0.5mm,3mm,0.5mm,3mm">
                    <w:txbxContent>
                      <w:p>
                        <w:pPr>
                          <w:spacing w:line="288" w:lineRule="auto"/>
                          <w:ind w:firstLine="0" w:firstLineChars="0"/>
                          <w:jc w:val="center"/>
                          <w:rPr>
                            <w:rFonts w:hint="eastAsia" w:ascii="黑体" w:hAnsi="黑体" w:eastAsia="黑体"/>
                            <w:sz w:val="22"/>
                            <w:szCs w:val="21"/>
                          </w:rPr>
                        </w:pPr>
                        <w:r>
                          <w:rPr>
                            <w:rFonts w:hint="eastAsia" w:ascii="黑体" w:hAnsi="黑体" w:eastAsia="黑体"/>
                            <w:sz w:val="22"/>
                            <w:szCs w:val="21"/>
                          </w:rPr>
                          <w:t>快速生化池</w:t>
                        </w:r>
                      </w:p>
                      <w:p>
                        <w:pPr>
                          <w:pStyle w:val="27"/>
                          <w:snapToGrid w:val="0"/>
                          <w:spacing w:before="62" w:after="62" w:line="600" w:lineRule="auto"/>
                          <w:ind w:firstLine="440"/>
                          <w:jc w:val="center"/>
                          <w:rPr>
                            <w:rFonts w:hint="eastAsia" w:ascii="黑体" w:hAnsi="黑体" w:eastAsia="黑体"/>
                            <w:sz w:val="22"/>
                            <w:szCs w:val="21"/>
                          </w:rPr>
                        </w:pPr>
                      </w:p>
                    </w:txbxContent>
                  </v:textbox>
                </v:shape>
                <v:shape id="AutoShape 11" o:spid="_x0000_s1026" o:spt="32" type="#_x0000_t32" style="position:absolute;left:3716617;top:1275000;height:700;width:215901;" filled="f" stroked="t" coordsize="21600,21600" o:gfxdata="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yvXBjNIAAAAFAQAADwAAAAAAAAABACAA&#10;AAA4AAAAZHJzL2Rvd25yZXYueG1sUEsBAhQAFAAAAAgAh07iQPe0fM79AQAA/AMAAA4AAAAAAAAA&#10;AQAgAAAANwEAAGRycy9lMm9Eb2MueG1sUEsFBgAAAAAGAAYAWQEAAKYFAAAAAA==&#10;">
                  <v:fill on="f" focussize="0,0"/>
                  <v:stroke weight="1.25pt" color="#00B050" joinstyle="round" endarrow="block"/>
                  <v:imagedata o:title=""/>
                  <o:lock v:ext="edit" aspectratio="f"/>
                </v:shape>
                <v:shape id="AutoShape 12" o:spid="_x0000_s1026" o:spt="32" type="#_x0000_t32" style="position:absolute;left:4253820;top:1274400;height:600;width:215901;" filled="f" stroked="t" coordsize="21600,21600" o:gfxdata="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yvXBjNIAAAAFAQAADwAAAAAAAAABACAA&#10;AAA4AAAAZHJzL2Rvd25yZXYueG1sUEsBAhQAFAAAAAgAh07iQLm/Hvv9AQAA/AMAAA4AAAAAAAAA&#10;AQAgAAAANwEAAGRycy9lMm9Eb2MueG1sUEsFBgAAAAAGAAYAWQEAAKYFAAAAAA==&#10;">
                  <v:fill on="f" focussize="0,0"/>
                  <v:stroke weight="1.25pt" color="#00B050" joinstyle="round" endarrow="block"/>
                  <v:imagedata o:title=""/>
                  <o:lock v:ext="edit" aspectratio="f"/>
                </v:shape>
                <v:shape id="AutoShape 15" o:spid="_x0000_s1026" o:spt="32" type="#_x0000_t32" style="position:absolute;left:4786622;top:1273800;height:600;width:215901;" filled="f" stroked="t" coordsize="21600,21600" o:gfxdata="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yvXBjNIAAAAFAQAADwAAAAAAAAABACAA&#10;AAA4AAAAZHJzL2Rvd25yZXYueG1sUEsBAhQAFAAAAAgAh07iQMmkzTb9AQAA+gMAAA4AAAAAAAAA&#10;AQAgAAAANwEAAGRycy9lMm9Eb2MueG1sUEsFBgAAAAAGAAYAWQEAAKYFAAAAAA==&#10;">
                  <v:fill on="f" focussize="0,0"/>
                  <v:stroke weight="1.25pt" color="#00B050" joinstyle="round" endarrow="block"/>
                  <v:imagedata o:title=""/>
                  <o:lock v:ext="edit" aspectratio="f"/>
                </v:shape>
                <v:shape id="AutoShape 16" o:spid="_x0000_s1026" o:spt="32" type="#_x0000_t32" style="position:absolute;left:4095119;top:401300;height:220300;width:600;" filled="f" stroked="t" coordsize="21600,21600" o:gfxdata="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Mr1wYzSAAAABQEAAA8AAAAAAAAAAQAgAAAA&#10;OAAAAGRycy9kb3ducmV2LnhtbFBLAQIUABQAAAAIAIdO4kA6ambT+wEAAPsDAAAOAAAAAAAAAAEA&#10;IAAAADcBAABkcnMvZTJvRG9jLnhtbFBLBQYAAAAABgAGAFkBAACkBQAAAAA=&#10;">
                  <v:fill on="f" focussize="0,0"/>
                  <v:stroke weight="1.25pt" color="#00B050" joinstyle="round" endarrow="block"/>
                  <v:imagedata o:title=""/>
                  <o:lock v:ext="edit" aspectratio="f"/>
                </v:shape>
                <v:shape id="AutoShape 17" o:spid="_x0000_s1026" o:spt="32" type="#_x0000_t32" style="position:absolute;left:3039114;top:1947500;flip:x;height:219700;width:1200;" filled="f" stroked="t" coordsize="21600,21600" o:gfxdata="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BYAAABkcnMvUEsBAhQAFAAAAAgAh07iQDyq9oPSAAAABQEAAA8AAAAA&#10;AAAAAQAgAAAAOAAAAGRycy9kb3ducmV2LnhtbFBLAQIUABQAAAAIAIdO4kA04VB/BAIAAAYEAAAO&#10;AAAAAAAAAAEAIAAAADcBAABkcnMvZTJvRG9jLnhtbFBLBQYAAAAABgAGAFkBAACtBQAAAAA=&#10;">
                  <v:fill on="f" focussize="0,0"/>
                  <v:stroke weight="1.25pt" color="#00B050" joinstyle="round" endarrow="block"/>
                  <v:imagedata o:title=""/>
                  <o:lock v:ext="edit" aspectratio="f"/>
                </v:shape>
                <v:shape id="Text Box 18" o:spid="_x0000_s1026" o:spt="202" type="#_x0000_t202" style="position:absolute;left:2862513;top:2154500;height:207000;width:354402;" fillcolor="#FFFFFF" filled="t" stroked="f" coordsize="21600,21600" o:gfxdata="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BYAAABkcnMvUEsBAhQAFAAAAAgAh07iQL18TpTUAAAA&#10;BQEAAA8AAAAAAAAAAQAgAAAAOAAAAGRycy9kb3ducmV2LnhtbFBLAQIUABQAAAAIAIdO4kCly2oH&#10;0gEAAK8DAAAOAAAAAAAAAAEAIAAAADkBAABkcnMvZTJvRG9jLnhtbFBLBQYAAAAABgAGAFkBAAB9&#10;BQAAAAA=&#10;">
                  <v:fill on="t" focussize="0,0"/>
                  <v:stroke on="f"/>
                  <v:imagedata o:title=""/>
                  <o:lock v:ext="edit" aspectratio="f"/>
                  <v:textbox inset="0mm,0mm,0mm,0mm">
                    <w:txbxContent>
                      <w:p>
                        <w:pPr>
                          <w:ind w:firstLine="0" w:firstLineChars="0"/>
                          <w:jc w:val="center"/>
                          <w:rPr>
                            <w:rFonts w:hint="eastAsia" w:ascii="黑体" w:hAnsi="黑体" w:eastAsia="黑体"/>
                            <w:sz w:val="21"/>
                            <w:szCs w:val="21"/>
                          </w:rPr>
                        </w:pPr>
                        <w:r>
                          <w:rPr>
                            <w:rFonts w:hint="eastAsia" w:ascii="黑体" w:hAnsi="黑体" w:eastAsia="黑体"/>
                            <w:sz w:val="21"/>
                            <w:szCs w:val="21"/>
                          </w:rPr>
                          <w:t>排渣</w:t>
                        </w:r>
                      </w:p>
                    </w:txbxContent>
                  </v:textbox>
                </v:shape>
                <v:shape id="Text Box 19" o:spid="_x0000_s1026" o:spt="202" type="#_x0000_t202" style="position:absolute;left:3959218;top:629900;height:1296600;width:288301;" fillcolor="#FFFF00" filled="t" stroked="t" coordsize="21600,21600" o:gfxdata="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FgAA&#10;AGRycy9QSwECFAAUAAAACACHTuJAKrTd7tQAAAAFAQAADwAAAAAAAAABACAAAAA4AAAAZHJzL2Rv&#10;d25yZXYueG1sUEsBAhQAFAAAAAgAh07iQF/sJeQoAgAAfwQAAA4AAAAAAAAAAQAgAAAAOQEAAGRy&#10;cy9lMm9Eb2MueG1sUEsFBgAAAAAGAAYAWQEAANMFAAAAAA==&#10;">
                  <v:fill on="t" focussize="0,0"/>
                  <v:stroke weight="1.25pt" color="#00B050" joinstyle="miter"/>
                  <v:imagedata o:title=""/>
                  <o:lock v:ext="edit" aspectratio="f"/>
                  <v:textbox inset="0.5mm,3mm,0.5mm,3mm">
                    <w:txbxContent>
                      <w:p>
                        <w:pPr>
                          <w:spacing w:line="240" w:lineRule="exact"/>
                          <w:ind w:firstLine="0" w:firstLineChars="0"/>
                          <w:jc w:val="center"/>
                          <w:rPr>
                            <w:rFonts w:hint="eastAsia" w:ascii="黑体" w:hAnsi="黑体" w:eastAsia="黑体"/>
                            <w:sz w:val="22"/>
                            <w:szCs w:val="21"/>
                          </w:rPr>
                        </w:pPr>
                        <w:r>
                          <w:rPr>
                            <w:rFonts w:hint="eastAsia" w:ascii="黑体" w:hAnsi="黑体" w:eastAsia="黑体"/>
                            <w:sz w:val="22"/>
                            <w:szCs w:val="21"/>
                          </w:rPr>
                          <w:t>加磁高效沉淀池</w:t>
                        </w:r>
                      </w:p>
                      <w:p>
                        <w:pPr>
                          <w:ind w:firstLine="440"/>
                          <w:jc w:val="center"/>
                          <w:rPr>
                            <w:rFonts w:hint="eastAsia" w:ascii="黑体" w:hAnsi="黑体" w:eastAsia="黑体"/>
                            <w:sz w:val="22"/>
                            <w:szCs w:val="21"/>
                          </w:rPr>
                        </w:pPr>
                      </w:p>
                    </w:txbxContent>
                  </v:textbox>
                </v:shape>
                <v:shape id="Text Box 20" o:spid="_x0000_s1026" o:spt="202" type="#_x0000_t202" style="position:absolute;left:1272506;top:2153900;height:207600;width:354302;" fillcolor="#FFFFFF" filled="t" stroked="f" coordsize="21600,21600" o:gfxdata="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FgAAAGRycy9QSwECFAAUAAAACACHTuJAvXxOlNQAAAAF&#10;AQAADwAAAAAAAAABACAAAAA4AAAAZHJzL2Rvd25yZXYueG1sUEsBAhQAFAAAAAgAh07iQLnmjgLR&#10;AQAArgMAAA4AAAAAAAAAAQAgAAAAOQEAAGRycy9lMm9Eb2MueG1sUEsFBgAAAAAGAAYAWQEAAHwF&#10;AAAAAA==&#10;">
                  <v:fill on="t" focussize="0,0"/>
                  <v:stroke on="f"/>
                  <v:imagedata o:title=""/>
                  <o:lock v:ext="edit" aspectratio="f"/>
                  <v:textbox inset="0mm,0mm,0mm,0mm">
                    <w:txbxContent>
                      <w:p>
                        <w:pPr>
                          <w:ind w:firstLine="0" w:firstLineChars="0"/>
                          <w:jc w:val="center"/>
                          <w:rPr>
                            <w:rFonts w:hint="eastAsia" w:ascii="黑体" w:hAnsi="黑体" w:eastAsia="黑体"/>
                            <w:sz w:val="21"/>
                            <w:szCs w:val="21"/>
                          </w:rPr>
                        </w:pPr>
                        <w:r>
                          <w:rPr>
                            <w:rFonts w:hint="eastAsia" w:ascii="黑体" w:hAnsi="黑体" w:eastAsia="黑体"/>
                            <w:sz w:val="21"/>
                            <w:szCs w:val="21"/>
                          </w:rPr>
                          <w:t>排渣</w:t>
                        </w:r>
                      </w:p>
                    </w:txbxContent>
                  </v:textbox>
                </v:shape>
                <v:shape id="AutoShape 21" o:spid="_x0000_s1026" o:spt="32" type="#_x0000_t32" style="position:absolute;left:1450307;top:1937300;flip:x;height:219700;width:1300;" filled="f" stroked="t" coordsize="21600,21600" o:gfxdata="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WAAAAZHJzL1BLAQIUABQAAAAIAIdO4kA8qvaD0gAAAAUBAAAPAAAAAAAA&#10;AAEAIAAAADgAAABkcnMvZG93bnJldi54bWxQSwECFAAUAAAACACHTuJAiuC4rgICAAAHBAAADgAA&#10;AAAAAAABACAAAAA3AQAAZHJzL2Uyb0RvYy54bWxQSwUGAAAAAAYABgBZAQAAqwUAAAAA&#10;">
                  <v:fill on="f" focussize="0,0"/>
                  <v:stroke weight="1.25pt" color="#00B050" joinstyle="round" endarrow="block"/>
                  <v:imagedata o:title=""/>
                  <o:lock v:ext="edit" aspectratio="f"/>
                </v:shape>
                <v:shape id="AutoShape 22" o:spid="_x0000_s1026" o:spt="32" type="#_x0000_t32" style="position:absolute;left:3562916;top:405100;height:215900;width:700;" filled="f" stroked="t" coordsize="21600,21600" o:gfxdata="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Mr1wYzSAAAABQEAAA8AAAAAAAAAAQAg&#10;AAAAOAAAAGRycy9kb3ducmV2LnhtbFBLAQIUABQAAAAIAIdO4kBAgQlN/gEAAPsDAAAOAAAAAAAA&#10;AAEAIAAAADcBAABkcnMvZTJvRG9jLnhtbFBLBQYAAAAABgAGAFkBAACnBQAAAAA=&#10;">
                  <v:fill on="f" focussize="0,0"/>
                  <v:stroke weight="1.25pt" color="#00B050" joinstyle="round" endarrow="block"/>
                  <v:imagedata o:title=""/>
                  <o:lock v:ext="edit" aspectratio="f"/>
                </v:shape>
                <v:shape id="Text Box 23" o:spid="_x0000_s1026" o:spt="202" type="#_x0000_t202" style="position:absolute;left:4498321;top:631100;height:1296700;width:288301;" fillcolor="#D6E3BC" filled="t" stroked="t" coordsize="21600,21600" o:gfxdata="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TRCpTNcAAAAFAQAADwAAAAAAAAABACAAAAA4AAAA&#10;ZHJzL2Rvd25yZXYueG1sUEsBAhQAFAAAAAgAh07iQKIJSUYrAgAAgQQAAA4AAAAAAAAAAQAgAAAA&#10;PAEAAGRycy9lMm9Eb2MueG1sUEsFBgAAAAAGAAYAWQEAANkFAAAAAA==&#10;">
                  <v:fill on="t" focussize="0,0"/>
                  <v:stroke weight="1.25pt" color="#00B050" joinstyle="miter"/>
                  <v:imagedata o:title=""/>
                  <o:lock v:ext="edit" aspectratio="f"/>
                  <v:textbox inset="0.5mm,3mm,0.5mm,3mm">
                    <w:txbxContent>
                      <w:p>
                        <w:pPr>
                          <w:spacing w:line="288" w:lineRule="auto"/>
                          <w:ind w:firstLine="0" w:firstLineChars="0"/>
                          <w:jc w:val="center"/>
                          <w:rPr>
                            <w:rFonts w:hint="eastAsia" w:ascii="黑体" w:hAnsi="黑体" w:eastAsia="黑体"/>
                            <w:sz w:val="22"/>
                            <w:szCs w:val="21"/>
                          </w:rPr>
                        </w:pPr>
                        <w:r>
                          <w:rPr>
                            <w:rFonts w:hint="eastAsia" w:ascii="黑体" w:hAnsi="黑体" w:eastAsia="黑体"/>
                            <w:sz w:val="22"/>
                            <w:szCs w:val="21"/>
                          </w:rPr>
                          <w:t>紫外消毒渠</w:t>
                        </w:r>
                      </w:p>
                    </w:txbxContent>
                  </v:textbox>
                </v:shape>
                <v:shape id="Text Box 25" o:spid="_x0000_s1026" o:spt="202" type="#_x0000_t202" style="position:absolute;left:2894313;top:633000;height:1296100;width:288301;" fillcolor="#D6E3BC" filled="t" stroked="t" coordsize="21600,21600" o:gfxdata="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WAAAAZHJzL1BLAQIUABQAAAAIAIdO4kBNEKlM1wAAAAUBAAAPAAAAAAAAAAEAIAAAADgAAABk&#10;cnMvZG93bnJldi54bWxQSwECFAAUAAAACACHTuJAV89/LioCAACABAAADgAAAAAAAAABACAAAAA8&#10;AQAAZHJzL2Uyb0RvYy54bWxQSwUGAAAAAAYABgBZAQAA2AUAAAAA&#10;">
                  <v:fill on="t" focussize="0,0"/>
                  <v:stroke weight="1.25pt" color="#00B050" joinstyle="miter"/>
                  <v:imagedata o:title=""/>
                  <o:lock v:ext="edit" aspectratio="f"/>
                  <v:textbox inset="0.5mm,3mm,0.5mm,3mm">
                    <w:txbxContent>
                      <w:p>
                        <w:pPr>
                          <w:spacing w:line="240" w:lineRule="auto"/>
                          <w:ind w:firstLine="0" w:firstLineChars="0"/>
                          <w:jc w:val="center"/>
                          <w:rPr>
                            <w:rFonts w:hint="eastAsia" w:ascii="黑体" w:hAnsi="黑体" w:eastAsia="黑体"/>
                            <w:sz w:val="22"/>
                            <w:szCs w:val="21"/>
                          </w:rPr>
                        </w:pPr>
                        <w:r>
                          <w:rPr>
                            <w:rFonts w:hint="eastAsia" w:ascii="黑体" w:hAnsi="黑体" w:eastAsia="黑体"/>
                            <w:sz w:val="22"/>
                            <w:szCs w:val="21"/>
                          </w:rPr>
                          <w:t>转鼓式细格栅</w:t>
                        </w:r>
                      </w:p>
                      <w:p>
                        <w:pPr>
                          <w:ind w:firstLine="440"/>
                          <w:jc w:val="center"/>
                          <w:rPr>
                            <w:rFonts w:hint="eastAsia" w:ascii="黑体" w:hAnsi="黑体" w:eastAsia="黑体"/>
                            <w:sz w:val="22"/>
                            <w:szCs w:val="21"/>
                          </w:rPr>
                        </w:pPr>
                      </w:p>
                    </w:txbxContent>
                  </v:textbox>
                </v:shape>
                <v:shape id="Text Box 26" o:spid="_x0000_s1026" o:spt="202" type="#_x0000_t202" style="position:absolute;left:3663917;top:203300;height:201800;width:1357006;" filled="f" stroked="f" coordsize="21600,21600" o:gfxdata="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&#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BYAAABkcnMvUEsBAhQAFAAAAAgAh07iQDmprTfVAAAABQEAAA8AAAAAAAAAAQAgAAAAOAAAAGRy&#10;cy9kb3ducmV2LnhtbFBLAQIUABQAAAAIAIdO4kBWiBJLuQEAAIQDAAAOAAAAAAAAAAEAIAAAADoB&#10;AABkcnMvZTJvRG9jLnhtbFBLBQYAAAAABgAGAFkBAABlBQAAAAA=&#10;">
                  <v:fill on="f" focussize="0,0"/>
                  <v:stroke on="f"/>
                  <v:imagedata o:title=""/>
                  <o:lock v:ext="edit" aspectratio="f"/>
                  <v:textbox inset="0mm,0mm,0mm,0mm">
                    <w:txbxContent>
                      <w:p>
                        <w:pPr>
                          <w:ind w:firstLine="0" w:firstLineChars="0"/>
                          <w:jc w:val="center"/>
                          <w:rPr>
                            <w:rFonts w:hint="eastAsia" w:ascii="黑体" w:hAnsi="黑体" w:eastAsia="黑体"/>
                            <w:sz w:val="21"/>
                            <w:szCs w:val="21"/>
                          </w:rPr>
                        </w:pPr>
                        <w:r>
                          <w:rPr>
                            <w:rFonts w:hint="eastAsia" w:ascii="黑体" w:hAnsi="黑体" w:eastAsia="黑体"/>
                            <w:sz w:val="21"/>
                            <w:szCs w:val="21"/>
                          </w:rPr>
                          <w:t>PAM、PAC、磁粉</w:t>
                        </w:r>
                      </w:p>
                    </w:txbxContent>
                  </v:textbox>
                </v:shape>
                <v:shape id="Text Box 27" o:spid="_x0000_s1026" o:spt="202" type="#_x0000_t202" style="position:absolute;left:769604;top:633000;height:1296100;width:287601;" fillcolor="#D6E3BC" filled="t" stroked="t" coordsize="21600,21600" o:gfxdata="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WAAAAZHJzL1BLAQIUABQAAAAIAIdO4kBNEKlM1wAAAAUBAAAPAAAAAAAAAAEAIAAAADgAAABk&#10;cnMvZG93bnJldi54bWxQSwECFAAUAAAACACHTuJAvEE4zCoCAACABAAADgAAAAAAAAABACAAAAA8&#10;AQAAZHJzL2Uyb0RvYy54bWxQSwUGAAAAAAYABgBZAQAA2AUAAAAA&#10;">
                  <v:fill on="t" focussize="0,0"/>
                  <v:stroke weight="1.25pt" color="#00B050" joinstyle="miter"/>
                  <v:imagedata o:title=""/>
                  <o:lock v:ext="edit" aspectratio="f"/>
                  <v:textbox inset="0.5mm,3mm,0.5mm,3mm">
                    <w:txbxContent>
                      <w:p>
                        <w:pPr>
                          <w:spacing w:line="240" w:lineRule="auto"/>
                          <w:ind w:firstLine="0" w:firstLineChars="0"/>
                          <w:jc w:val="center"/>
                          <w:rPr>
                            <w:rFonts w:hint="eastAsia" w:ascii="黑体" w:hAnsi="黑体" w:eastAsia="黑体"/>
                            <w:sz w:val="22"/>
                            <w:szCs w:val="21"/>
                          </w:rPr>
                        </w:pPr>
                        <w:r>
                          <w:rPr>
                            <w:rFonts w:hint="eastAsia" w:ascii="黑体" w:hAnsi="黑体" w:eastAsia="黑体"/>
                            <w:sz w:val="22"/>
                            <w:szCs w:val="21"/>
                          </w:rPr>
                          <w:t>抓斗式粗格栅</w:t>
                        </w:r>
                      </w:p>
                      <w:p>
                        <w:pPr>
                          <w:ind w:firstLine="440"/>
                          <w:jc w:val="center"/>
                          <w:rPr>
                            <w:rFonts w:hint="eastAsia" w:ascii="黑体" w:hAnsi="黑体" w:eastAsia="黑体"/>
                            <w:sz w:val="22"/>
                            <w:szCs w:val="21"/>
                          </w:rPr>
                        </w:pPr>
                      </w:p>
                    </w:txbxContent>
                  </v:textbox>
                </v:shape>
                <v:shape id="Text Box 28" o:spid="_x0000_s1026" o:spt="202" type="#_x0000_t202" style="position:absolute;left:736603;top:2164000;height:207000;width:354302;" fillcolor="#FFFFFF" filled="t" stroked="f" coordsize="21600,21600" o:gfxdata="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WAAAAZHJzL1BLAQIUABQAAAAIAIdO4kC9fE6U1AAAAAUB&#10;AAAPAAAAAAAAAAEAIAAAADgAAABkcnMvZG93bnJldi54bWxQSwECFAAUAAAACACHTuJAFcTLC9AB&#10;AACuAwAADgAAAAAAAAABACAAAAA5AQAAZHJzL2Uyb0RvYy54bWxQSwUGAAAAAAYABgBZAQAAewUA&#10;AAAA&#10;">
                  <v:fill on="t" focussize="0,0"/>
                  <v:stroke on="f"/>
                  <v:imagedata o:title=""/>
                  <o:lock v:ext="edit" aspectratio="f"/>
                  <v:textbox inset="0mm,0mm,0mm,0mm">
                    <w:txbxContent>
                      <w:p>
                        <w:pPr>
                          <w:ind w:firstLine="0" w:firstLineChars="0"/>
                          <w:jc w:val="center"/>
                          <w:rPr>
                            <w:rFonts w:hint="eastAsia" w:ascii="黑体" w:hAnsi="黑体" w:eastAsia="黑体"/>
                            <w:sz w:val="21"/>
                            <w:szCs w:val="21"/>
                          </w:rPr>
                        </w:pPr>
                        <w:r>
                          <w:rPr>
                            <w:rFonts w:hint="eastAsia" w:ascii="黑体" w:hAnsi="黑体" w:eastAsia="黑体"/>
                            <w:sz w:val="21"/>
                            <w:szCs w:val="21"/>
                          </w:rPr>
                          <w:t>排渣</w:t>
                        </w:r>
                      </w:p>
                    </w:txbxContent>
                  </v:textbox>
                </v:shape>
                <v:shape id="AutoShape 29" o:spid="_x0000_s1026" o:spt="32" type="#_x0000_t32" style="position:absolute;left:911204;top:1938600;flip:x;height:219700;width:1200;" filled="f" stroked="t" coordsize="21600,21600" o:gfxdata="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BYAAABkcnMvUEsBAhQAFAAAAAgAh07iQDyq9oPSAAAABQEAAA8AAAAA&#10;AAAAAQAgAAAAOAAAAGRycy9kb3ducmV2LnhtbFBLAQIUABQAAAAIAIdO4kAU3qe6BAIAAAYEAAAO&#10;AAAAAAAAAAEAIAAAADcBAABkcnMvZTJvRG9jLnhtbFBLBQYAAAAABgAGAFkBAACtBQAAAAA=&#10;">
                  <v:fill on="f" focussize="0,0"/>
                  <v:stroke weight="1.25pt" color="#00B050" joinstyle="round" endarrow="block"/>
                  <v:imagedata o:title=""/>
                  <o:lock v:ext="edit" aspectratio="f"/>
                </v:shape>
                <v:shape id="AutoShape 30" o:spid="_x0000_s1026" o:spt="32" type="#_x0000_t32" style="position:absolute;left:1069305;top:1281400;height:2500;width:216501;" filled="f" stroked="t" coordsize="21600,21600" o:gfxdata="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WAAAAZHJzL1BLAQIUABQAAAAIAIdO4kDK9cGM0gAAAAUBAAAPAAAAAAAAAAEAIAAA&#10;ADgAAABkcnMvZG93bnJldi54bWxQSwECFAAUAAAACACHTuJAcATAzfwBAAD8AwAADgAAAAAAAAAB&#10;ACAAAAA3AQAAZHJzL2Uyb0RvYy54bWxQSwUGAAAAAAYABgBZAQAApQUAAAAA&#10;">
                  <v:fill on="f" focussize="0,0"/>
                  <v:stroke weight="1.25pt" color="#00B050" joinstyle="round" endarrow="block"/>
                  <v:imagedata o:title=""/>
                  <o:lock v:ext="edit" aspectratio="f"/>
                </v:shape>
                <v:shape id="Text Box 33" o:spid="_x0000_s1026" o:spt="202" type="#_x0000_t202" style="position:absolute;left:3663917;top:2156400;height:344200;width:353102;" fillcolor="#FFFFFF" filled="t" stroked="f" coordsize="21600,21600" o:gfxdata="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FgAAAGRycy9QSwECFAAUAAAACACHTuJAvXxOlNQAAAAF&#10;AQAADwAAAAAAAAABACAAAAA4AAAAZHJzL2Rvd25yZXYueG1sUEsBAhQAFAAAAAgAh07iQMDLWD3R&#10;AQAArgMAAA4AAAAAAAAAAQAgAAAAOQEAAGRycy9lMm9Eb2MueG1sUEsFBgAAAAAGAAYAWQEAAHwF&#10;AAAAAA==&#10;">
                  <v:fill on="t" focussize="0,0"/>
                  <v:stroke on="f"/>
                  <v:imagedata o:title=""/>
                  <o:lock v:ext="edit" aspectratio="f"/>
                  <v:textbox inset="0mm,0mm,0mm,0mm">
                    <w:txbxContent>
                      <w:p>
                        <w:pPr>
                          <w:ind w:firstLine="0" w:firstLineChars="0"/>
                          <w:jc w:val="center"/>
                          <w:rPr>
                            <w:rFonts w:hint="eastAsia" w:ascii="黑体" w:hAnsi="黑体" w:eastAsia="黑体"/>
                            <w:sz w:val="21"/>
                            <w:szCs w:val="21"/>
                          </w:rPr>
                        </w:pPr>
                        <w:r>
                          <w:rPr>
                            <w:rFonts w:hint="eastAsia" w:ascii="黑体" w:hAnsi="黑体" w:eastAsia="黑体"/>
                            <w:sz w:val="21"/>
                            <w:szCs w:val="21"/>
                          </w:rPr>
                          <w:t>排泥</w:t>
                        </w:r>
                      </w:p>
                    </w:txbxContent>
                  </v:textbox>
                </v:shape>
                <v:shape id="Text Box 3823" o:spid="_x0000_s1026" o:spt="202" type="#_x0000_t202" style="position:absolute;left:2371011;top:2473300;height:1296600;width:287701;" fillcolor="#FFFF00" filled="t" stroked="t" coordsize="21600,21600" o:gfxdata="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W&#10;AAAAZHJzL1BLAQIUABQAAAAIAIdO4kCo+jis1gAAAAUBAAAPAAAAAAAAAAEAIAAAADgAAABkcnMv&#10;ZG93bnJldi54bWxQSwECFAAUAAAACACHTuJAfZ4qUygCAACDBAAADgAAAAAAAAABACAAAAA7AQAA&#10;ZHJzL2Uyb0RvYy54bWxQSwUGAAAAAAYABgBZAQAA1QUAAAAA&#10;">
                  <v:fill on="t" focussize="0,0"/>
                  <v:stroke weight="1.25pt" color="#E36C0A" joinstyle="miter"/>
                  <v:imagedata o:title=""/>
                  <o:lock v:ext="edit" aspectratio="f"/>
                  <v:textbox inset="0.5mm,3mm,0.5mm,0.5mm">
                    <w:txbxContent>
                      <w:p>
                        <w:pPr>
                          <w:spacing w:line="240" w:lineRule="auto"/>
                          <w:ind w:firstLine="0" w:firstLineChars="0"/>
                          <w:jc w:val="center"/>
                          <w:rPr>
                            <w:rFonts w:hint="eastAsia" w:ascii="黑体" w:hAnsi="黑体" w:eastAsia="黑体"/>
                            <w:sz w:val="22"/>
                            <w:szCs w:val="21"/>
                          </w:rPr>
                        </w:pPr>
                        <w:r>
                          <w:rPr>
                            <w:rFonts w:hint="eastAsia" w:ascii="黑体" w:hAnsi="黑体" w:eastAsia="黑体"/>
                            <w:sz w:val="22"/>
                            <w:szCs w:val="21"/>
                          </w:rPr>
                          <w:t>污泥脱水机房</w:t>
                        </w:r>
                      </w:p>
                    </w:txbxContent>
                  </v:textbox>
                </v:shape>
                <v:shape id="Text Box 3825" o:spid="_x0000_s1026" o:spt="202" type="#_x0000_t202" style="position:absolute;left:2900013;top:2473300;height:1296600;width:288301;" fillcolor="#FBD4B4" filled="t" stroked="t" coordsize="21600,21600" o:gfxdata="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W&#10;AAAAZHJzL1BLAQIUABQAAAAIAIdO4kAYRWBU0wAAAAUBAAAPAAAAAAAAAAEAIAAAADgAAABkcnMv&#10;ZG93bnJldi54bWxQSwECFAAUAAAACACHTuJAM0S8hisCAACEBAAADgAAAAAAAAABACAAAAA4AQAA&#10;ZHJzL2Uyb0RvYy54bWxQSwUGAAAAAAYABgBZAQAA1QUAAAAA&#10;">
                  <v:fill on="t" focussize="0,0"/>
                  <v:stroke weight="1.25pt" color="#E36C0A" joinstyle="miter"/>
                  <v:imagedata o:title=""/>
                  <o:lock v:ext="edit" aspectratio="f"/>
                  <v:textbox inset="0.5mm,3mm,0.5mm,3mm">
                    <w:txbxContent>
                      <w:p>
                        <w:pPr>
                          <w:spacing w:line="576" w:lineRule="auto"/>
                          <w:ind w:firstLine="0" w:firstLineChars="0"/>
                          <w:jc w:val="center"/>
                          <w:rPr>
                            <w:rFonts w:hint="eastAsia" w:ascii="黑体" w:hAnsi="黑体" w:eastAsia="黑体"/>
                            <w:sz w:val="22"/>
                            <w:szCs w:val="21"/>
                          </w:rPr>
                        </w:pPr>
                        <w:r>
                          <w:rPr>
                            <w:rFonts w:hint="eastAsia" w:ascii="黑体" w:hAnsi="黑体" w:eastAsia="黑体"/>
                            <w:sz w:val="22"/>
                            <w:szCs w:val="21"/>
                          </w:rPr>
                          <w:t>污泥泵</w:t>
                        </w:r>
                      </w:p>
                    </w:txbxContent>
                  </v:textbox>
                </v:shape>
                <v:shape id="AutoShape 3827" o:spid="_x0000_s1026" o:spt="32" type="#_x0000_t32" style="position:absolute;left:2675812;top:3121600;flip:x;height:0;width:215901;" filled="f" stroked="t" coordsize="21600,21600" o:gfxdata="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FgAAAGRycy9QSwECFAAUAAAACACHTuJAx2MSctYAAAAF&#10;AQAADwAAAAAAAAABACAAAAA4AAAAZHJzL2Rvd25yZXYueG1sUEsBAhQAFAAAAAgAh07iQL+/zysI&#10;AgAABgQAAA4AAAAAAAAAAQAgAAAAOwEAAGRycy9lMm9Eb2MueG1sUEsFBgAAAAAGAAYAWQEAALUF&#10;AAAAAA==&#10;">
                  <v:fill on="f" focussize="0,0"/>
                  <v:stroke weight="1.25pt" color="#943634" joinstyle="round" endarrow="block"/>
                  <v:imagedata o:title=""/>
                  <o:lock v:ext="edit" aspectratio="f"/>
                </v:shape>
                <v:shape id="AutoShape 3827" o:spid="_x0000_s1026" o:spt="32" type="#_x0000_t32" style="position:absolute;left:2135510;top:3122200;flip:x;height:700;width:215901;" filled="f" stroked="t" coordsize="21600,21600" o:gfxdata="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FgAAAGRycy9QSwECFAAUAAAACACHTuJAx2MSctYAAAAF&#10;AQAADwAAAAAAAAABACAAAAA4AAAAZHJzL2Rvd25yZXYueG1sUEsBAhQAFAAAAAgAh07iQAMbq14I&#10;AgAACAQAAA4AAAAAAAAAAQAgAAAAOwEAAGRycy9lMm9Eb2MueG1sUEsFBgAAAAAGAAYAWQEAALUF&#10;AAAAAA==&#10;">
                  <v:fill on="f" focussize="0,0"/>
                  <v:stroke weight="1.25pt" color="#943634" joinstyle="round" endarrow="block"/>
                  <v:imagedata o:title=""/>
                  <o:lock v:ext="edit" aspectratio="f"/>
                </v:shape>
                <v:shape id="Text Box 31" o:spid="_x0000_s1026" o:spt="202" type="#_x0000_t202" style="position:absolute;left:1602707;top:2752700;height:320700;width:642003;" filled="f" stroked="f" coordsize="21600,21600" o:gfxdata="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WAAAAZHJzL1BLAQIUABQAAAAIAIdO4kA5qa031QAAAAUBAAAPAAAAAAAAAAEAIAAAADgAAABk&#10;cnMvZG93bnJldi54bWxQSwECFAAUAAAACACHTuJApFDw47oBAACFAwAADgAAAAAAAAABACAAAAA6&#10;AQAAZHJzL2Uyb0RvYy54bWxQSwUGAAAAAAYABgBZAQAAZgUAAAAA&#10;">
                  <v:fill on="f" focussize="0,0"/>
                  <v:stroke on="f"/>
                  <v:imagedata o:title=""/>
                  <o:lock v:ext="edit" aspectratio="f"/>
                  <v:textbox inset="0mm,0mm,0mm,0mm">
                    <w:txbxContent>
                      <w:p>
                        <w:pPr>
                          <w:ind w:firstLine="0" w:firstLineChars="0"/>
                          <w:jc w:val="center"/>
                          <w:rPr>
                            <w:rFonts w:hint="eastAsia" w:ascii="黑体" w:hAnsi="黑体" w:eastAsia="黑体"/>
                            <w:sz w:val="21"/>
                            <w:szCs w:val="21"/>
                          </w:rPr>
                        </w:pPr>
                        <w:r>
                          <w:rPr>
                            <w:rFonts w:hint="eastAsia" w:ascii="黑体" w:hAnsi="黑体" w:eastAsia="黑体"/>
                            <w:sz w:val="21"/>
                            <w:szCs w:val="21"/>
                          </w:rPr>
                          <w:t>外运处置</w:t>
                        </w:r>
                      </w:p>
                    </w:txbxContent>
                  </v:textbox>
                </v:shape>
                <v:shape id="Text Box 7" o:spid="_x0000_s1026" o:spt="202" type="#_x0000_t202" style="position:absolute;left:3425116;top:2473300;height:1296600;width:288301;" fillcolor="#FBD4B4" filled="t" stroked="t" coordsize="21600,21600" o:gfxdata="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FgAAAGRycy9QSwECFAAUAAAACACHTuJAGEVgVNMAAAAFAQAADwAAAAAAAAABACAAAAA4AAAAZHJz&#10;L2Rvd25yZXYueG1sUEsBAhQAFAAAAAgAh07iQOY3axwsAgAAgQQAAA4AAAAAAAAAAQAgAAAAOAEA&#10;AGRycy9lMm9Eb2MueG1sUEsFBgAAAAAGAAYAWQEAANYFAAAAAA==&#10;">
                  <v:fill on="t" focussize="0,0"/>
                  <v:stroke weight="1.25pt" color="#E36C0A" joinstyle="miter"/>
                  <v:imagedata o:title=""/>
                  <o:lock v:ext="edit" aspectratio="f"/>
                  <v:textbox inset="0.5mm,3mm,0.5mm,3mm">
                    <w:txbxContent>
                      <w:p>
                        <w:pPr>
                          <w:spacing w:line="288" w:lineRule="auto"/>
                          <w:ind w:firstLine="0" w:firstLineChars="0"/>
                          <w:jc w:val="center"/>
                          <w:rPr>
                            <w:rFonts w:hint="eastAsia" w:ascii="黑体" w:hAnsi="黑体" w:eastAsia="黑体"/>
                            <w:sz w:val="22"/>
                            <w:szCs w:val="21"/>
                          </w:rPr>
                        </w:pPr>
                        <w:r>
                          <w:rPr>
                            <w:rFonts w:hint="eastAsia" w:ascii="黑体" w:hAnsi="黑体" w:eastAsia="黑体"/>
                            <w:sz w:val="22"/>
                            <w:szCs w:val="21"/>
                          </w:rPr>
                          <w:t>污泥浓缩池</w:t>
                        </w:r>
                      </w:p>
                    </w:txbxContent>
                  </v:textbox>
                </v:shape>
                <v:shape id="AutoShape 36" o:spid="_x0000_s1026" o:spt="32" type="#_x0000_t32" style="position:absolute;left:3568716;top:1931600;height:518800;width:0;" filled="f" stroked="t" coordsize="21600,21600" o:gfxdata="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Ep8QydEAAAAFAQAADwAAAAAAAAABACAAAAA4&#10;AAAAZHJzL2Rvd25yZXYueG1sUEsBAhQAFAAAAAgAh07iQFfgNuP7AQAA+QMAAA4AAAAAAAAAAQAg&#10;AAAANgEAAGRycy9lMm9Eb2MueG1sUEsFBgAAAAAGAAYAWQEAAKMFAAAAAA==&#10;">
                  <v:fill on="f" focussize="0,0"/>
                  <v:stroke weight="1.5pt" color="#943634" joinstyle="round" endarrow="block"/>
                  <v:imagedata o:title=""/>
                  <o:lock v:ext="edit" aspectratio="f"/>
                </v:shape>
                <v:shape id="AutoShape 37" o:spid="_x0000_s1026" o:spt="34" type="#_x0000_t34" style="position:absolute;left:3840418;top:2195800;height:1300;width:523902;rotation:5898240f;" filled="f" stroked="t" coordsize="21600,21600" o:gfxdata="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FgAAAGRy&#10;cy9QSwECFAAUAAAACACHTuJA7ZTMANcAAAAFAQAADwAAAAAAAAABACAAAAA4AAAAZHJzL2Rvd25y&#10;ZXYueG1sUEsBAhQAFAAAAAgAh07iQC8+1TciAgAAPgQAAA4AAAAAAAAAAQAgAAAAPAEAAGRycy9l&#10;Mm9Eb2MueG1sUEsFBgAAAAAGAAYAWQEAANAFAAAAAA==&#10;" adj="10630">
                  <v:fill on="f" focussize="0,0"/>
                  <v:stroke weight="1.5pt" color="#943634" joinstyle="miter" endarrow="block"/>
                  <v:imagedata o:title=""/>
                  <o:lock v:ext="edit" aspectratio="f"/>
                </v:shape>
                <v:shape id="Text Box 18" o:spid="_x0000_s1026" o:spt="202" type="#_x0000_t202" style="position:absolute;left:3113914;top:193900;height:211200;width:715103;" filled="f" stroked="f" coordsize="21600,21600" o:gfxdata="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FgAAAGRycy9QSwECFAAUAAAACACHTuJAOamtN9UAAAAFAQAADwAAAAAAAAABACAAAAA4AAAA&#10;ZHJzL2Rvd25yZXYueG1sUEsBAhQAFAAAAAgAh07iQLLoQ8e7AQAAhAMAAA4AAAAAAAAAAQAgAAAA&#10;OgEAAGRycy9lMm9Eb2MueG1sUEsFBgAAAAAGAAYAWQEAAGcFAAAAAA==&#10;">
                  <v:fill on="f" focussize="0,0"/>
                  <v:stroke on="f"/>
                  <v:imagedata o:title=""/>
                  <o:lock v:ext="edit" aspectratio="f"/>
                  <v:textbox inset="0mm,0mm,0mm,0mm">
                    <w:txbxContent>
                      <w:p>
                        <w:pPr>
                          <w:ind w:firstLine="0" w:firstLineChars="0"/>
                          <w:jc w:val="center"/>
                          <w:rPr>
                            <w:rFonts w:hint="eastAsia" w:ascii="黑体" w:hAnsi="黑体" w:eastAsia="黑体"/>
                            <w:sz w:val="21"/>
                            <w:szCs w:val="21"/>
                          </w:rPr>
                        </w:pPr>
                        <w:r>
                          <w:rPr>
                            <w:rFonts w:hint="eastAsia" w:ascii="黑体" w:hAnsi="黑体" w:eastAsia="黑体"/>
                            <w:sz w:val="21"/>
                            <w:szCs w:val="21"/>
                          </w:rPr>
                          <w:t>曝气</w:t>
                        </w:r>
                      </w:p>
                    </w:txbxContent>
                  </v:textbox>
                </v:shape>
                <v:shape id="Text Box 7" o:spid="_x0000_s1026" o:spt="202" type="#_x0000_t202" style="position:absolute;left:226001;top:640700;height:1296000;width:288301;" fillcolor="#D6E3BC" filled="t" stroked="t" coordsize="21600,21600" o:gfxdata="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W&#10;AAAAZHJzL1BLAQIUABQAAAAIAIdO4kBNEKlM1wAAAAUBAAAPAAAAAAAAAAEAIAAAADgAAABkcnMv&#10;ZG93bnJldi54bWxQSwECFAAUAAAACACHTuJAxxbhdicCAAB/BAAADgAAAAAAAAABACAAAAA8AQAA&#10;ZHJzL2Uyb0RvYy54bWxQSwUGAAAAAAYABgBZAQAA1QUAAAAA&#10;">
                  <v:fill on="t" focussize="0,0"/>
                  <v:stroke weight="1.25pt" color="#00B050" joinstyle="miter"/>
                  <v:imagedata o:title=""/>
                  <o:lock v:ext="edit" aspectratio="f"/>
                  <v:textbox inset="0.5mm,3mm,0.5mm,3mm">
                    <w:txbxContent>
                      <w:p>
                        <w:pPr>
                          <w:ind w:firstLine="0" w:firstLineChars="0"/>
                          <w:jc w:val="center"/>
                          <w:rPr>
                            <w:rFonts w:hint="eastAsia" w:ascii="黑体" w:hAnsi="黑体" w:eastAsia="黑体"/>
                            <w:sz w:val="22"/>
                            <w:szCs w:val="21"/>
                          </w:rPr>
                        </w:pPr>
                        <w:r>
                          <w:rPr>
                            <w:rFonts w:hint="eastAsia" w:ascii="黑体" w:hAnsi="黑体" w:eastAsia="黑体"/>
                            <w:sz w:val="22"/>
                            <w:szCs w:val="21"/>
                          </w:rPr>
                          <w:t>箱涵污水</w:t>
                        </w:r>
                      </w:p>
                    </w:txbxContent>
                  </v:textbox>
                </v:shape>
                <v:shape id="Text Box 7" o:spid="_x0000_s1026" o:spt="202" type="#_x0000_t202" style="position:absolute;left:3954118;top:2482200;height:1296600;width:288301;" fillcolor="#FBD4B4" filled="t" stroked="t" coordsize="21600,21600" o:gfxdata="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FgAAAGRycy9QSwECFAAUAAAACACHTuJAGEVgVNMAAAAFAQAADwAAAAAAAAABACAAAAA4AAAAZHJz&#10;L2Rvd25yZXYueG1sUEsBAhQAFAAAAAgAh07iQHxSIf0sAgAAgQQAAA4AAAAAAAAAAQAgAAAAOAEA&#10;AGRycy9lMm9Eb2MueG1sUEsFBgAAAAAGAAYAWQEAANYFAAAAAA==&#10;">
                  <v:fill on="t" focussize="0,0"/>
                  <v:stroke weight="1.25pt" color="#E36C0A" joinstyle="miter"/>
                  <v:imagedata o:title=""/>
                  <o:lock v:ext="edit" aspectratio="f"/>
                  <v:textbox inset="0.5mm,3mm,0.5mm,3mm">
                    <w:txbxContent>
                      <w:p>
                        <w:pPr>
                          <w:spacing w:line="384" w:lineRule="auto"/>
                          <w:ind w:firstLine="0" w:firstLineChars="0"/>
                          <w:jc w:val="center"/>
                          <w:rPr>
                            <w:rFonts w:hint="eastAsia" w:ascii="黑体" w:hAnsi="黑体" w:eastAsia="黑体"/>
                            <w:sz w:val="22"/>
                            <w:szCs w:val="21"/>
                          </w:rPr>
                        </w:pPr>
                        <w:r>
                          <w:rPr>
                            <w:rFonts w:hint="eastAsia" w:ascii="黑体" w:hAnsi="黑体" w:eastAsia="黑体"/>
                            <w:sz w:val="22"/>
                            <w:szCs w:val="21"/>
                          </w:rPr>
                          <w:t>污泥储池</w:t>
                        </w:r>
                      </w:p>
                      <w:p>
                        <w:pPr>
                          <w:ind w:firstLine="0" w:firstLineChars="0"/>
                          <w:jc w:val="center"/>
                          <w:rPr>
                            <w:rFonts w:hint="eastAsia" w:ascii="黑体" w:hAnsi="黑体" w:eastAsia="黑体"/>
                            <w:sz w:val="22"/>
                            <w:szCs w:val="21"/>
                          </w:rPr>
                        </w:pPr>
                      </w:p>
                    </w:txbxContent>
                  </v:textbox>
                </v:shape>
                <v:shape id="AutoShape 3827" o:spid="_x0000_s1026" o:spt="32" type="#_x0000_t32" style="position:absolute;left:3200415;top:3121600;flip:x;height:600;width:215901;" filled="f" stroked="t" coordsize="21600,21600" o:gfxdata="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BYAAABkcnMvUEsBAhQAFAAAAAgAh07iQMdjEnLWAAAABQEA&#10;AA8AAAAAAAAAAQAgAAAAOAAAAGRycy9kb3ducmV2LnhtbFBLAQIUABQAAAAIAIdO4kDCsCQrBgIA&#10;AAcEAAAOAAAAAAAAAAEAIAAAADsBAABkcnMvZTJvRG9jLnhtbFBLBQYAAAAABgAGAFkBAACzBQAA&#10;AAA=&#10;">
                  <v:fill on="f" focussize="0,0"/>
                  <v:stroke weight="1.25pt" color="#943634" joinstyle="round" endarrow="block"/>
                  <v:imagedata o:title=""/>
                  <o:lock v:ext="edit" aspectratio="f"/>
                </v:shape>
                <v:shape id="AutoShape 3827" o:spid="_x0000_s1026" o:spt="32" type="#_x0000_t32" style="position:absolute;left:3723617;top:3121000;flip:x;height:600;width:215901;" filled="f" stroked="t" coordsize="21600,21600" o:gfxdata="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WAAAAZHJzL1BLAQIUABQAAAAIAIdO4kDHYxJy1gAAAAUB&#10;AAAPAAAAAAAAAAEAIAAAADgAAABkcnMvZG93bnJldi54bWxQSwECFAAUAAAACACHTuJAB+8fuQcC&#10;AAAHBAAADgAAAAAAAAABACAAAAA7AQAAZHJzL2Uyb0RvYy54bWxQSwUGAAAAAAYABgBZAQAAtAUA&#10;AAAA&#10;">
                  <v:fill on="f" focussize="0,0"/>
                  <v:stroke weight="1.25pt" color="#943634" joinstyle="round" endarrow="block"/>
                  <v:imagedata o:title=""/>
                  <o:lock v:ext="edit" aspectratio="f"/>
                </v:shape>
                <v:shape id="Text Box 23" o:spid="_x0000_s1026" o:spt="202" type="#_x0000_t202" style="position:absolute;left:5020923;top:629900;height:1296600;width:288301;" fillcolor="#D6E3BC" filled="t" stroked="t" coordsize="21600,21600" o:gfxdata="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TRCpTNcAAAAFAQAADwAAAAAAAAABACAAAAA4AAAA&#10;ZHJzL2Rvd25yZXYueG1sUEsBAhQAFAAAAAgAh07iQFNMq3grAgAAgQQAAA4AAAAAAAAAAQAgAAAA&#10;PAEAAGRycy9lMm9Eb2MueG1sUEsFBgAAAAAGAAYAWQEAANkFAAAAAA==&#10;">
                  <v:fill on="t" focussize="0,0"/>
                  <v:stroke weight="1.25pt" color="#00B050" joinstyle="miter"/>
                  <v:imagedata o:title=""/>
                  <o:lock v:ext="edit" aspectratio="f"/>
                  <v:textbox inset="0.5mm,3mm,0.5mm,3mm">
                    <w:txbxContent>
                      <w:p>
                        <w:pPr>
                          <w:spacing w:line="384" w:lineRule="auto"/>
                          <w:ind w:firstLine="0" w:firstLineChars="0"/>
                          <w:jc w:val="center"/>
                          <w:rPr>
                            <w:rFonts w:hint="eastAsia" w:ascii="黑体" w:hAnsi="黑体" w:eastAsia="黑体"/>
                            <w:sz w:val="22"/>
                            <w:szCs w:val="21"/>
                          </w:rPr>
                        </w:pPr>
                        <w:r>
                          <w:rPr>
                            <w:rFonts w:hint="eastAsia" w:ascii="黑体" w:hAnsi="黑体" w:eastAsia="黑体"/>
                            <w:sz w:val="22"/>
                            <w:szCs w:val="21"/>
                          </w:rPr>
                          <w:t>排入河道</w:t>
                        </w:r>
                      </w:p>
                    </w:txbxContent>
                  </v:textbox>
                </v:shape>
                <v:shape id="Text Box 7" o:spid="_x0000_s1026" o:spt="202" type="#_x0000_t202" style="position:absolute;left:1826808;top:635000;height:1296600;width:287701;" fillcolor="#D6E3BC" filled="t" stroked="t" coordsize="21600,21600" o:gfxdata="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&#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BYAAABkcnMvUEsBAhQAFAAAAAgAh07iQE0QqUzXAAAABQEAAA8AAAAAAAAAAQAgAAAAOAAAAGRy&#10;cy9kb3ducmV2LnhtbFBLAQIUABQAAAAIAIdO4kDwB+nIKQIAAIAEAAAOAAAAAAAAAAEAIAAAADwB&#10;AABkcnMvZTJvRG9jLnhtbFBLBQYAAAAABgAGAFkBAADXBQAAAAA=&#10;">
                  <v:fill on="t" focussize="0,0"/>
                  <v:stroke weight="1.25pt" color="#00B050" joinstyle="miter"/>
                  <v:imagedata o:title=""/>
                  <o:lock v:ext="edit" aspectratio="f"/>
                  <v:textbox inset="0.5mm,3mm,0.5mm,3mm">
                    <w:txbxContent>
                      <w:p>
                        <w:pPr>
                          <w:pStyle w:val="27"/>
                          <w:snapToGrid w:val="0"/>
                          <w:spacing w:line="600" w:lineRule="auto"/>
                          <w:jc w:val="center"/>
                          <w:rPr>
                            <w:rFonts w:hint="eastAsia" w:ascii="黑体" w:hAnsi="黑体" w:eastAsia="黑体"/>
                            <w:sz w:val="22"/>
                            <w:szCs w:val="21"/>
                          </w:rPr>
                        </w:pPr>
                        <w:r>
                          <w:rPr>
                            <w:rFonts w:hint="eastAsia" w:ascii="黑体" w:hAnsi="黑体" w:eastAsia="黑体"/>
                            <w:sz w:val="22"/>
                            <w:szCs w:val="21"/>
                          </w:rPr>
                          <w:t>沉砂池</w:t>
                        </w:r>
                      </w:p>
                    </w:txbxContent>
                  </v:textbox>
                </v:shape>
                <v:shape id="AutoShape 6" o:spid="_x0000_s1026" o:spt="32" type="#_x0000_t32" style="position:absolute;left:2113910;top:1278800;height:2600;width:215901;" filled="f" stroked="t" coordsize="21600,21600" o:gfxdata="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Mr1wYzSAAAABQEAAA8AAAAAAAAAAQAgAAAA&#10;OAAAAGRycy9kb3ducmV2LnhtbFBLAQIUABQAAAAIAIdO4kByA3oi+wEAAPsDAAAOAAAAAAAAAAEA&#10;IAAAADcBAABkcnMvZTJvRG9jLnhtbFBLBQYAAAAABgAGAFkBAACkBQAAAAA=&#10;">
                  <v:fill on="f" focussize="0,0"/>
                  <v:stroke weight="1.25pt" color="#00B050" joinstyle="round" endarrow="block"/>
                  <v:imagedata o:title=""/>
                  <o:lock v:ext="edit" aspectratio="f"/>
                </v:shape>
                <v:shape id="Text Box 20" o:spid="_x0000_s1026" o:spt="202" type="#_x0000_t202" style="position:absolute;left:1795708;top:2121500;height:207000;width:353102;" fillcolor="#FFFFFF" filled="t" stroked="f" coordsize="21600,21600" o:gfxdata="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FgAAAGRycy9QSwECFAAUAAAACACHTuJAvXxOlNQAAAAF&#10;AQAADwAAAAAAAAABACAAAAA4AAAAZHJzL2Rvd25yZXYueG1sUEsBAhQAFAAAAAgAh07iQPSTr9/R&#10;AQAArwMAAA4AAAAAAAAAAQAgAAAAOQEAAGRycy9lMm9Eb2MueG1sUEsFBgAAAAAGAAYAWQEAAHwF&#10;AAAAAA==&#10;">
                  <v:fill on="t" focussize="0,0"/>
                  <v:stroke on="f"/>
                  <v:imagedata o:title=""/>
                  <o:lock v:ext="edit" aspectratio="f"/>
                  <v:textbox inset="0mm,0mm,0mm,0mm">
                    <w:txbxContent>
                      <w:p>
                        <w:pPr>
                          <w:pStyle w:val="27"/>
                          <w:snapToGrid w:val="0"/>
                          <w:jc w:val="center"/>
                          <w:rPr>
                            <w:rFonts w:hint="eastAsia"/>
                          </w:rPr>
                        </w:pPr>
                        <w:r>
                          <w:rPr>
                            <w:rFonts w:hint="eastAsia" w:hAnsi="黑体" w:eastAsia="黑体"/>
                            <w:sz w:val="21"/>
                            <w:szCs w:val="21"/>
                          </w:rPr>
                          <w:t>排砂</w:t>
                        </w:r>
                      </w:p>
                    </w:txbxContent>
                  </v:textbox>
                </v:shape>
                <v:shape id="AutoShape 21" o:spid="_x0000_s1026" o:spt="32" type="#_x0000_t32" style="position:absolute;left:1958909;top:1932900;flip:x;height:219700;width:1300;" filled="f" stroked="t" coordsize="21600,21600" o:gfxdata="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FgAAAGRycy9QSwECFAAUAAAACACHTuJAPKr2g9IAAAAFAQAADwAAAAAA&#10;AAABACAAAAA4AAAAZHJzL2Rvd25yZXYueG1sUEsBAhQAFAAAAAgAh07iQHvmEvsDAgAABgQAAA4A&#10;AAAAAAAAAQAgAAAANwEAAGRycy9lMm9Eb2MueG1sUEsFBgAAAAAGAAYAWQEAAKwFAAAAAA==&#10;">
                  <v:fill on="f" focussize="0,0"/>
                  <v:stroke weight="1.25pt" color="#00B050" joinstyle="round" endarrow="block"/>
                  <v:imagedata o:title=""/>
                  <o:lock v:ext="edit" aspectratio="f"/>
                </v:shape>
                <w10:wrap type="none"/>
                <w10:anchorlock/>
              </v:group>
            </w:pict>
          </mc:Fallback>
        </mc:AlternateContent>
      </w:r>
    </w:p>
    <w:p>
      <w:pPr>
        <w:ind w:firstLine="0" w:firstLineChars="0"/>
        <w:jc w:val="center"/>
        <w:rPr>
          <w:b/>
          <w:bCs/>
          <w:color w:val="000000" w:themeColor="text1"/>
          <w14:textFill>
            <w14:solidFill>
              <w14:schemeClr w14:val="tx1"/>
            </w14:solidFill>
          </w14:textFill>
        </w:rPr>
      </w:pPr>
      <w:r>
        <w:rPr>
          <w:rFonts w:hint="eastAsia"/>
          <w:b/>
          <w:bCs/>
          <w:color w:val="000000" w:themeColor="text1"/>
          <w:spacing w:val="2"/>
          <w:szCs w:val="28"/>
          <w14:textFill>
            <w14:solidFill>
              <w14:schemeClr w14:val="tx1"/>
            </w14:solidFill>
          </w14:textFill>
        </w:rPr>
        <w:t>图</w:t>
      </w:r>
      <w:r>
        <w:rPr>
          <w:b/>
          <w:bCs/>
          <w:color w:val="000000" w:themeColor="text1"/>
          <w:spacing w:val="2"/>
          <w:szCs w:val="28"/>
          <w14:textFill>
            <w14:solidFill>
              <w14:schemeClr w14:val="tx1"/>
            </w14:solidFill>
          </w14:textFill>
        </w:rPr>
        <w:fldChar w:fldCharType="begin"/>
      </w:r>
      <w:r>
        <w:rPr>
          <w:b/>
          <w:bCs/>
          <w:color w:val="000000" w:themeColor="text1"/>
          <w:spacing w:val="2"/>
          <w:szCs w:val="28"/>
          <w14:textFill>
            <w14:solidFill>
              <w14:schemeClr w14:val="tx1"/>
            </w14:solidFill>
          </w14:textFill>
        </w:rPr>
        <w:instrText xml:space="preserve"> </w:instrText>
      </w:r>
      <w:r>
        <w:rPr>
          <w:rFonts w:hint="eastAsia"/>
          <w:b/>
          <w:bCs/>
          <w:color w:val="000000" w:themeColor="text1"/>
          <w:spacing w:val="2"/>
          <w:szCs w:val="28"/>
          <w14:textFill>
            <w14:solidFill>
              <w14:schemeClr w14:val="tx1"/>
            </w14:solidFill>
          </w14:textFill>
        </w:rPr>
        <w:instrText xml:space="preserve">STYLEREF 2 \s</w:instrText>
      </w:r>
      <w:r>
        <w:rPr>
          <w:b/>
          <w:bCs/>
          <w:color w:val="000000" w:themeColor="text1"/>
          <w:spacing w:val="2"/>
          <w:szCs w:val="28"/>
          <w14:textFill>
            <w14:solidFill>
              <w14:schemeClr w14:val="tx1"/>
            </w14:solidFill>
          </w14:textFill>
        </w:rPr>
        <w:instrText xml:space="preserve"> </w:instrText>
      </w:r>
      <w:r>
        <w:rPr>
          <w:b/>
          <w:bCs/>
          <w:color w:val="000000" w:themeColor="text1"/>
          <w:spacing w:val="2"/>
          <w:szCs w:val="28"/>
          <w14:textFill>
            <w14:solidFill>
              <w14:schemeClr w14:val="tx1"/>
            </w14:solidFill>
          </w14:textFill>
        </w:rPr>
        <w:fldChar w:fldCharType="separate"/>
      </w:r>
      <w:r>
        <w:rPr>
          <w:b/>
          <w:bCs/>
          <w:color w:val="000000" w:themeColor="text1"/>
          <w:spacing w:val="2"/>
          <w:szCs w:val="28"/>
          <w14:textFill>
            <w14:solidFill>
              <w14:schemeClr w14:val="tx1"/>
            </w14:solidFill>
          </w14:textFill>
        </w:rPr>
        <w:t>5.1</w:t>
      </w:r>
      <w:r>
        <w:rPr>
          <w:b/>
          <w:bCs/>
          <w:color w:val="000000" w:themeColor="text1"/>
          <w:spacing w:val="2"/>
          <w:szCs w:val="28"/>
          <w14:textFill>
            <w14:solidFill>
              <w14:schemeClr w14:val="tx1"/>
            </w14:solidFill>
          </w14:textFill>
        </w:rPr>
        <w:fldChar w:fldCharType="end"/>
      </w:r>
      <w:r>
        <w:rPr>
          <w:b/>
          <w:bCs/>
          <w:color w:val="000000" w:themeColor="text1"/>
          <w:spacing w:val="2"/>
          <w:szCs w:val="28"/>
          <w14:textFill>
            <w14:solidFill>
              <w14:schemeClr w14:val="tx1"/>
            </w14:solidFill>
          </w14:textFill>
        </w:rPr>
        <w:noBreakHyphen/>
      </w:r>
      <w:r>
        <w:rPr>
          <w:b/>
          <w:bCs/>
          <w:color w:val="000000" w:themeColor="text1"/>
          <w:spacing w:val="2"/>
          <w:szCs w:val="28"/>
          <w14:textFill>
            <w14:solidFill>
              <w14:schemeClr w14:val="tx1"/>
            </w14:solidFill>
          </w14:textFill>
        </w:rPr>
        <w:fldChar w:fldCharType="begin"/>
      </w:r>
      <w:r>
        <w:rPr>
          <w:b/>
          <w:bCs/>
          <w:color w:val="000000" w:themeColor="text1"/>
          <w:spacing w:val="2"/>
          <w:szCs w:val="28"/>
          <w14:textFill>
            <w14:solidFill>
              <w14:schemeClr w14:val="tx1"/>
            </w14:solidFill>
          </w14:textFill>
        </w:rPr>
        <w:instrText xml:space="preserve"> </w:instrText>
      </w:r>
      <w:r>
        <w:rPr>
          <w:rFonts w:hint="eastAsia"/>
          <w:b/>
          <w:bCs/>
          <w:color w:val="000000" w:themeColor="text1"/>
          <w:spacing w:val="2"/>
          <w:szCs w:val="28"/>
          <w14:textFill>
            <w14:solidFill>
              <w14:schemeClr w14:val="tx1"/>
            </w14:solidFill>
          </w14:textFill>
        </w:rPr>
        <w:instrText xml:space="preserve">SEQ 图 \* ARABIC \s 2</w:instrText>
      </w:r>
      <w:r>
        <w:rPr>
          <w:b/>
          <w:bCs/>
          <w:color w:val="000000" w:themeColor="text1"/>
          <w:spacing w:val="2"/>
          <w:szCs w:val="28"/>
          <w14:textFill>
            <w14:solidFill>
              <w14:schemeClr w14:val="tx1"/>
            </w14:solidFill>
          </w14:textFill>
        </w:rPr>
        <w:instrText xml:space="preserve"> </w:instrText>
      </w:r>
      <w:r>
        <w:rPr>
          <w:b/>
          <w:bCs/>
          <w:color w:val="000000" w:themeColor="text1"/>
          <w:spacing w:val="2"/>
          <w:szCs w:val="28"/>
          <w14:textFill>
            <w14:solidFill>
              <w14:schemeClr w14:val="tx1"/>
            </w14:solidFill>
          </w14:textFill>
        </w:rPr>
        <w:fldChar w:fldCharType="separate"/>
      </w:r>
      <w:r>
        <w:rPr>
          <w:b/>
          <w:bCs/>
          <w:color w:val="000000" w:themeColor="text1"/>
          <w:spacing w:val="2"/>
          <w:szCs w:val="28"/>
          <w14:textFill>
            <w14:solidFill>
              <w14:schemeClr w14:val="tx1"/>
            </w14:solidFill>
          </w14:textFill>
        </w:rPr>
        <w:t>1</w:t>
      </w:r>
      <w:r>
        <w:rPr>
          <w:b/>
          <w:bCs/>
          <w:color w:val="000000" w:themeColor="text1"/>
          <w:spacing w:val="2"/>
          <w:szCs w:val="28"/>
          <w14:textFill>
            <w14:solidFill>
              <w14:schemeClr w14:val="tx1"/>
            </w14:solidFill>
          </w14:textFill>
        </w:rPr>
        <w:fldChar w:fldCharType="end"/>
      </w:r>
      <w:r>
        <w:rPr>
          <w:rFonts w:hint="eastAsia"/>
          <w:b/>
          <w:bCs/>
          <w:color w:val="000000" w:themeColor="text1"/>
          <w14:textFill>
            <w14:solidFill>
              <w14:schemeClr w14:val="tx1"/>
            </w14:solidFill>
          </w14:textFill>
        </w:rPr>
        <w:t xml:space="preserve"> 污水处理设施工艺流程框图</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（3）主要构筑物及设备</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①移动式抓斗格栅</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功能：去除污水中较大漂浮物，并拦截直径大于80mm的杂物，以保证污水提升系统的正常运行。</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类型：地下式钢筋砼平行渠道</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数量：渠道数3条</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②回转式粗格栅</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功能：回转式粗格栅是用来去除可能堵塞水泵机组及管道阀门的较粗大悬浮物，并保证后续处理设施能正常运行。</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类型：地下式钢筋砼平行渠道</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数量：渠道数3条</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③沉砂池</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箱涵来水含砂量较大，需进行除砂处理，项目在调蓄池进水口处，利用新建隔墙及原有导流墙新建沉砂池，分3格，配套移动式液压抓斗清砂机3套。</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④提升泵房</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功能：将下部调蓄池内污水提升至上部处理单元进行处理。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潜水泵数量：5台（4用1备）</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⑤转鼓细格栅</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功能：去除污水中较大漂浮物，并拦截直径大于3mm的固体物，以保证生物处理及污泥处理系统正常运行。</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类型：钢筋混凝土渠道。</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数量：6台</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⑥快速生化池</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功能：核心处理构筑物，去除BOD5、CODcr、氨氮、SS等主要污染物。</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类型：地面钢筋砼结构</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数量：2座</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⑦加磁高效沉淀池</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功能：对快速生化池出水进行深度处理，控制SS、TP等水质指标符合出水标准要求。</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类型：钢筋砼结构</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数量：1座4组</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⑧紫外线消毒渠</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功能：控制出水微生物指标，使出水粪大肠菌群数符合出水标准要求。</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数量：渠道数3条</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⑨鼓风机房</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功能：为快速生化池供气。</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类型：钢结构</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数量：1座</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⑩污泥脱水系统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项目污泥处理区布置于厂区北侧，快速生化池及加磁高效沉淀池所产污泥，经污泥管道系统输送至污泥处理系统处理，污泥含水率降低至设计标准后，泥饼外运合法处置。</w:t>
      </w:r>
    </w:p>
    <w:p>
      <w:pPr>
        <w:ind w:firstLine="560"/>
        <w:rPr>
          <w:color w:val="000000" w:themeColor="text1"/>
          <w14:textFill>
            <w14:solidFill>
              <w14:schemeClr w14:val="tx1"/>
            </w14:solidFill>
          </w14:textFill>
        </w:rPr>
      </w:pPr>
      <w:r>
        <w:rPr>
          <w:rFonts w:ascii="Cambria Math" w:hAnsi="Cambria Math" w:cs="Cambria Math"/>
          <w:color w:val="000000" w:themeColor="text1"/>
          <w14:textFill>
            <w14:solidFill>
              <w14:schemeClr w14:val="tx1"/>
            </w14:solidFill>
          </w14:textFill>
        </w:rPr>
        <w:t>⑪</w:t>
      </w:r>
      <w:r>
        <w:rPr>
          <w:rFonts w:hint="eastAsia"/>
          <w:color w:val="000000" w:themeColor="text1"/>
          <w14:textFill>
            <w14:solidFill>
              <w14:schemeClr w14:val="tx1"/>
            </w14:solidFill>
          </w14:textFill>
        </w:rPr>
        <w:t>其他配套设施及构筑物</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厂内设生物除臭系统两套，预处理区一套，污泥脱水区一套，分别对预处理区、污泥脱水区臭气进行收集处理。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厂内设加药间1座，内设药剂投加系统，配置PAC和PAM加药设备，为快速生化池和加磁高效沉淀池加药。</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此外厂区还配套建有变配电室和机修仓库等生产辅助构筑物。</w:t>
      </w:r>
    </w:p>
    <w:p>
      <w:pPr>
        <w:pStyle w:val="43"/>
        <w:numPr>
          <w:ilvl w:val="-1"/>
          <w:numId w:val="0"/>
        </w:numPr>
        <w:spacing w:before="156" w:after="156"/>
        <w:rPr>
          <w:color w:val="000000" w:themeColor="text1"/>
          <w14:textFill>
            <w14:solidFill>
              <w14:schemeClr w14:val="tx1"/>
            </w14:solidFill>
          </w14:textFill>
        </w:rPr>
      </w:pPr>
      <w:bookmarkStart w:id="82" w:name="_Toc219711478"/>
      <w:bookmarkStart w:id="83" w:name="_Toc884076926"/>
      <w:bookmarkStart w:id="84" w:name="_Toc43995481"/>
      <w:bookmarkStart w:id="85" w:name="_Toc1386660250"/>
      <w:bookmarkStart w:id="86" w:name="_Toc1303068149"/>
      <w:r>
        <w:rPr>
          <w:rFonts w:hint="eastAsia"/>
          <w:color w:val="000000" w:themeColor="text1"/>
          <w:lang w:val="en-US" w:eastAsia="zh-CN"/>
          <w14:textFill>
            <w14:solidFill>
              <w14:schemeClr w14:val="tx1"/>
            </w14:solidFill>
          </w14:textFill>
        </w:rPr>
        <w:t>2.1.2</w:t>
      </w:r>
      <w:r>
        <w:rPr>
          <w:rFonts w:hint="eastAsia"/>
          <w:color w:val="000000" w:themeColor="text1"/>
          <w14:textFill>
            <w14:solidFill>
              <w14:schemeClr w14:val="tx1"/>
            </w14:solidFill>
          </w14:textFill>
        </w:rPr>
        <w:t>设计标准</w:t>
      </w:r>
      <w:bookmarkEnd w:id="82"/>
      <w:bookmarkEnd w:id="83"/>
      <w:bookmarkEnd w:id="84"/>
      <w:bookmarkEnd w:id="85"/>
      <w:bookmarkEnd w:id="86"/>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1）构（建）筑物结构设计使用年限50年；</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2）构（建）筑物安全等级二级；</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3）抗震设防烈度7度，设计基本地震加速度值为0.1g，设计地震分组为第一组，场地类别Ⅱ类，设计特征周期为0.35s；抗震设防类别：主要水处理构筑物和建筑物为乙类，其它为丙类。</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4）裂缝控制要求</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一般构筑物裂缝控制最大宽度0.20mm，地面建筑物裂缝控制最大宽度0.30mm，基础裂缝控制最大宽度0.20mm。</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5）结构稳定性标准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抗浮：K≥1.05;</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抗滑：K≥1.30;</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抗倾：K≥1.50;</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6）构筑物环境类别：构筑物环境类别为二（b）类，建筑物环境类别为二（a）类；</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7）抗渗控制标准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地下构筑物抗渗按防水等级二级。钢筋混凝土贮水池渗水量按池壁和池底的浸湿总面积计，不得超过2L/m。</w:t>
      </w:r>
    </w:p>
    <w:p>
      <w:pPr>
        <w:pStyle w:val="43"/>
        <w:numPr>
          <w:ilvl w:val="-1"/>
          <w:numId w:val="0"/>
        </w:numPr>
        <w:spacing w:before="156" w:after="156"/>
        <w:rPr>
          <w:color w:val="000000" w:themeColor="text1"/>
          <w14:textFill>
            <w14:solidFill>
              <w14:schemeClr w14:val="tx1"/>
            </w14:solidFill>
          </w14:textFill>
        </w:rPr>
      </w:pPr>
      <w:bookmarkStart w:id="87" w:name="_Toc512679456"/>
      <w:bookmarkStart w:id="88" w:name="_Toc1214228283"/>
      <w:bookmarkStart w:id="89" w:name="_Toc2013058240"/>
      <w:bookmarkStart w:id="90" w:name="_Toc219711479"/>
      <w:bookmarkStart w:id="91" w:name="_Toc1593856325"/>
      <w:r>
        <w:rPr>
          <w:rFonts w:hint="eastAsia"/>
          <w:color w:val="000000" w:themeColor="text1"/>
          <w:lang w:val="en-US" w:eastAsia="zh-CN"/>
          <w14:textFill>
            <w14:solidFill>
              <w14:schemeClr w14:val="tx1"/>
            </w14:solidFill>
          </w14:textFill>
        </w:rPr>
        <w:t>2.1.3</w:t>
      </w:r>
      <w:r>
        <w:rPr>
          <w:rFonts w:hint="eastAsia"/>
          <w:color w:val="000000" w:themeColor="text1"/>
          <w14:textFill>
            <w14:solidFill>
              <w14:schemeClr w14:val="tx1"/>
            </w14:solidFill>
          </w14:textFill>
        </w:rPr>
        <w:t>现状设施评估</w:t>
      </w:r>
      <w:bookmarkEnd w:id="87"/>
      <w:bookmarkEnd w:id="88"/>
      <w:bookmarkEnd w:id="89"/>
      <w:bookmarkEnd w:id="90"/>
      <w:bookmarkEnd w:id="91"/>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（1）该项目现有处理设施主要构筑物设备继续运行评估</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河口调蓄池大部分设备运行至今已近7年，开始出现老化现象，目前3台回转式粗格栅距今运行超过10年，老化腐蚀变形严重，格栅间距大，对来水垃圾拦截效果差，导致大量垃圾进入调蓄池内，其余设施基本能正常运行，但运行过程中需加强维护保养。</w:t>
      </w:r>
    </w:p>
    <w:p>
      <w:pPr>
        <w:ind w:firstLine="562"/>
        <w:jc w:val="center"/>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表</w:t>
      </w:r>
      <w:r>
        <w:rPr>
          <w:rFonts w:eastAsiaTheme="majorEastAsia"/>
          <w:b/>
          <w:bCs/>
          <w:color w:val="000000" w:themeColor="text1"/>
          <w:szCs w:val="32"/>
          <w14:textFill>
            <w14:solidFill>
              <w14:schemeClr w14:val="tx1"/>
            </w14:solidFill>
          </w14:textFill>
        </w:rPr>
        <w:fldChar w:fldCharType="begin"/>
      </w:r>
      <w:r>
        <w:rPr>
          <w:rFonts w:eastAsiaTheme="majorEastAsia"/>
          <w:b/>
          <w:bCs/>
          <w:color w:val="000000" w:themeColor="text1"/>
          <w:szCs w:val="32"/>
          <w14:textFill>
            <w14:solidFill>
              <w14:schemeClr w14:val="tx1"/>
            </w14:solidFill>
          </w14:textFill>
        </w:rPr>
        <w:instrText xml:space="preserve"> </w:instrText>
      </w:r>
      <w:r>
        <w:rPr>
          <w:rFonts w:hint="eastAsia" w:eastAsiaTheme="majorEastAsia"/>
          <w:b/>
          <w:bCs/>
          <w:color w:val="000000" w:themeColor="text1"/>
          <w:szCs w:val="32"/>
          <w14:textFill>
            <w14:solidFill>
              <w14:schemeClr w14:val="tx1"/>
            </w14:solidFill>
          </w14:textFill>
        </w:rPr>
        <w:instrText xml:space="preserve">STYLEREF 2 \s</w:instrText>
      </w:r>
      <w:r>
        <w:rPr>
          <w:rFonts w:eastAsiaTheme="majorEastAsia"/>
          <w:b/>
          <w:bCs/>
          <w:color w:val="000000" w:themeColor="text1"/>
          <w:szCs w:val="32"/>
          <w14:textFill>
            <w14:solidFill>
              <w14:schemeClr w14:val="tx1"/>
            </w14:solidFill>
          </w14:textFill>
        </w:rPr>
        <w:instrText xml:space="preserve"> </w:instrText>
      </w:r>
      <w:r>
        <w:rPr>
          <w:rFonts w:eastAsiaTheme="majorEastAsia"/>
          <w:b/>
          <w:bCs/>
          <w:color w:val="000000" w:themeColor="text1"/>
          <w:szCs w:val="32"/>
          <w14:textFill>
            <w14:solidFill>
              <w14:schemeClr w14:val="tx1"/>
            </w14:solidFill>
          </w14:textFill>
        </w:rPr>
        <w:fldChar w:fldCharType="separate"/>
      </w:r>
      <w:r>
        <w:rPr>
          <w:rFonts w:eastAsiaTheme="majorEastAsia"/>
          <w:b/>
          <w:bCs/>
          <w:color w:val="000000" w:themeColor="text1"/>
          <w:szCs w:val="32"/>
          <w14:textFill>
            <w14:solidFill>
              <w14:schemeClr w14:val="tx1"/>
            </w14:solidFill>
          </w14:textFill>
        </w:rPr>
        <w:t>5.1</w:t>
      </w:r>
      <w:r>
        <w:rPr>
          <w:rFonts w:eastAsiaTheme="majorEastAsia"/>
          <w:b/>
          <w:bCs/>
          <w:color w:val="000000" w:themeColor="text1"/>
          <w:szCs w:val="32"/>
          <w14:textFill>
            <w14:solidFill>
              <w14:schemeClr w14:val="tx1"/>
            </w14:solidFill>
          </w14:textFill>
        </w:rPr>
        <w:fldChar w:fldCharType="end"/>
      </w:r>
      <w:r>
        <w:rPr>
          <w:rFonts w:eastAsiaTheme="majorEastAsia"/>
          <w:b/>
          <w:bCs/>
          <w:color w:val="000000" w:themeColor="text1"/>
          <w:szCs w:val="32"/>
          <w14:textFill>
            <w14:solidFill>
              <w14:schemeClr w14:val="tx1"/>
            </w14:solidFill>
          </w14:textFill>
        </w:rPr>
        <w:noBreakHyphen/>
      </w:r>
      <w:r>
        <w:rPr>
          <w:rFonts w:eastAsiaTheme="majorEastAsia"/>
          <w:b/>
          <w:bCs/>
          <w:color w:val="000000" w:themeColor="text1"/>
          <w:szCs w:val="32"/>
          <w14:textFill>
            <w14:solidFill>
              <w14:schemeClr w14:val="tx1"/>
            </w14:solidFill>
          </w14:textFill>
        </w:rPr>
        <w:fldChar w:fldCharType="begin"/>
      </w:r>
      <w:r>
        <w:rPr>
          <w:rFonts w:eastAsiaTheme="majorEastAsia"/>
          <w:b/>
          <w:bCs/>
          <w:color w:val="000000" w:themeColor="text1"/>
          <w:szCs w:val="32"/>
          <w14:textFill>
            <w14:solidFill>
              <w14:schemeClr w14:val="tx1"/>
            </w14:solidFill>
          </w14:textFill>
        </w:rPr>
        <w:instrText xml:space="preserve"> </w:instrText>
      </w:r>
      <w:r>
        <w:rPr>
          <w:rFonts w:hint="eastAsia" w:eastAsiaTheme="majorEastAsia"/>
          <w:b/>
          <w:bCs/>
          <w:color w:val="000000" w:themeColor="text1"/>
          <w:szCs w:val="32"/>
          <w14:textFill>
            <w14:solidFill>
              <w14:schemeClr w14:val="tx1"/>
            </w14:solidFill>
          </w14:textFill>
        </w:rPr>
        <w:instrText xml:space="preserve">SEQ 表 \* ARABIC \s 2</w:instrText>
      </w:r>
      <w:r>
        <w:rPr>
          <w:rFonts w:eastAsiaTheme="majorEastAsia"/>
          <w:b/>
          <w:bCs/>
          <w:color w:val="000000" w:themeColor="text1"/>
          <w:szCs w:val="32"/>
          <w14:textFill>
            <w14:solidFill>
              <w14:schemeClr w14:val="tx1"/>
            </w14:solidFill>
          </w14:textFill>
        </w:rPr>
        <w:instrText xml:space="preserve"> </w:instrText>
      </w:r>
      <w:r>
        <w:rPr>
          <w:rFonts w:eastAsiaTheme="majorEastAsia"/>
          <w:b/>
          <w:bCs/>
          <w:color w:val="000000" w:themeColor="text1"/>
          <w:szCs w:val="32"/>
          <w14:textFill>
            <w14:solidFill>
              <w14:schemeClr w14:val="tx1"/>
            </w14:solidFill>
          </w14:textFill>
        </w:rPr>
        <w:fldChar w:fldCharType="separate"/>
      </w:r>
      <w:r>
        <w:rPr>
          <w:rFonts w:eastAsiaTheme="majorEastAsia"/>
          <w:b/>
          <w:bCs/>
          <w:color w:val="000000" w:themeColor="text1"/>
          <w:szCs w:val="32"/>
          <w14:textFill>
            <w14:solidFill>
              <w14:schemeClr w14:val="tx1"/>
            </w14:solidFill>
          </w14:textFill>
        </w:rPr>
        <w:t>2</w:t>
      </w:r>
      <w:r>
        <w:rPr>
          <w:rFonts w:eastAsiaTheme="majorEastAsia"/>
          <w:b/>
          <w:bCs/>
          <w:color w:val="000000" w:themeColor="text1"/>
          <w:szCs w:val="32"/>
          <w14:textFill>
            <w14:solidFill>
              <w14:schemeClr w14:val="tx1"/>
            </w14:solidFill>
          </w14:textFill>
        </w:rPr>
        <w:fldChar w:fldCharType="end"/>
      </w:r>
      <w:r>
        <w:rPr>
          <w:rFonts w:hint="eastAsia"/>
          <w:b/>
          <w:bCs/>
          <w:color w:val="000000" w:themeColor="text1"/>
          <w14:textFill>
            <w14:solidFill>
              <w14:schemeClr w14:val="tx1"/>
            </w14:solidFill>
          </w14:textFill>
        </w:rPr>
        <w:t xml:space="preserve"> 观澜河口调蓄池主要构筑物设备评估表</w:t>
      </w: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0"/>
        <w:gridCol w:w="1490"/>
        <w:gridCol w:w="2153"/>
        <w:gridCol w:w="2566"/>
        <w:gridCol w:w="20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blHeader/>
        </w:trPr>
        <w:tc>
          <w:tcPr>
            <w:tcW w:w="525" w:type="pct"/>
            <w:vAlign w:val="center"/>
          </w:tcPr>
          <w:p>
            <w:pPr>
              <w:snapToGrid/>
              <w:spacing w:line="240" w:lineRule="auto"/>
              <w:ind w:firstLine="0" w:firstLineChars="0"/>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序号</w:t>
            </w:r>
          </w:p>
        </w:tc>
        <w:tc>
          <w:tcPr>
            <w:tcW w:w="806" w:type="pct"/>
            <w:vAlign w:val="center"/>
          </w:tcPr>
          <w:p>
            <w:pPr>
              <w:snapToGrid/>
              <w:spacing w:line="240" w:lineRule="auto"/>
              <w:ind w:firstLine="0" w:firstLineChars="0"/>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名称</w:t>
            </w:r>
          </w:p>
        </w:tc>
        <w:tc>
          <w:tcPr>
            <w:tcW w:w="1165" w:type="pct"/>
            <w:vAlign w:val="center"/>
          </w:tcPr>
          <w:p>
            <w:pPr>
              <w:snapToGrid/>
              <w:spacing w:line="240" w:lineRule="auto"/>
              <w:ind w:firstLine="0" w:firstLineChars="0"/>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数量</w:t>
            </w:r>
          </w:p>
        </w:tc>
        <w:tc>
          <w:tcPr>
            <w:tcW w:w="1388" w:type="pct"/>
            <w:vAlign w:val="center"/>
          </w:tcPr>
          <w:p>
            <w:pPr>
              <w:snapToGrid/>
              <w:spacing w:line="240" w:lineRule="auto"/>
              <w:ind w:firstLine="0" w:firstLineChars="0"/>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现场照片</w:t>
            </w:r>
          </w:p>
        </w:tc>
        <w:tc>
          <w:tcPr>
            <w:tcW w:w="1116" w:type="pct"/>
            <w:vAlign w:val="center"/>
          </w:tcPr>
          <w:p>
            <w:pPr>
              <w:snapToGrid/>
              <w:spacing w:line="240" w:lineRule="auto"/>
              <w:ind w:firstLine="0" w:firstLineChars="0"/>
              <w:jc w:val="center"/>
              <w:rPr>
                <w:b/>
                <w:color w:val="000000" w:themeColor="text1"/>
                <w:sz w:val="24"/>
                <w14:textFill>
                  <w14:solidFill>
                    <w14:schemeClr w14:val="tx1"/>
                  </w14:solidFill>
                </w14:textFill>
              </w:rPr>
            </w:pPr>
            <w:r>
              <w:rPr>
                <w:b/>
                <w:color w:val="000000" w:themeColor="text1"/>
                <w:sz w:val="24"/>
                <w14:textFill>
                  <w14:solidFill>
                    <w14:schemeClr w14:val="tx1"/>
                  </w14:solidFill>
                </w14:textFill>
              </w:rPr>
              <w:t>评估程度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1" w:hRule="atLeast"/>
        </w:trPr>
        <w:tc>
          <w:tcPr>
            <w:tcW w:w="52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1</w:t>
            </w:r>
          </w:p>
        </w:tc>
        <w:tc>
          <w:tcPr>
            <w:tcW w:w="806"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粗格栅</w:t>
            </w:r>
          </w:p>
        </w:tc>
        <w:tc>
          <w:tcPr>
            <w:tcW w:w="116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3台抓斗粗格栅</w:t>
            </w:r>
          </w:p>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3台回转式粗格栅</w:t>
            </w:r>
          </w:p>
        </w:tc>
        <w:tc>
          <w:tcPr>
            <w:tcW w:w="1388"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412875" cy="985520"/>
                  <wp:effectExtent l="0" t="0" r="0" b="5080"/>
                  <wp:docPr id="81" name="图片 81" descr="586423c94176023408ed7ef8b6a8a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586423c94176023408ed7ef8b6a8a0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412875" cy="985520"/>
                          </a:xfrm>
                          <a:prstGeom prst="rect">
                            <a:avLst/>
                          </a:prstGeom>
                          <a:noFill/>
                          <a:ln>
                            <a:noFill/>
                          </a:ln>
                          <a:effectLst/>
                        </pic:spPr>
                      </pic:pic>
                    </a:graphicData>
                  </a:graphic>
                </wp:inline>
              </w:drawing>
            </w:r>
          </w:p>
        </w:tc>
        <w:tc>
          <w:tcPr>
            <w:tcW w:w="1116" w:type="pct"/>
            <w:vAlign w:val="center"/>
          </w:tcPr>
          <w:p>
            <w:pPr>
              <w:snapToGrid/>
              <w:spacing w:line="240" w:lineRule="auto"/>
              <w:ind w:firstLine="0" w:firstLineChars="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3台回转式粗格栅老化腐蚀严重，对来水垃圾拦截效果差</w:t>
            </w:r>
            <w:r>
              <w:rPr>
                <w:color w:val="000000" w:themeColor="text1"/>
                <w:sz w:val="24"/>
                <w:lang w:eastAsia="zh-Hans"/>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2" w:hRule="atLeast"/>
        </w:trPr>
        <w:tc>
          <w:tcPr>
            <w:tcW w:w="52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2</w:t>
            </w:r>
          </w:p>
        </w:tc>
        <w:tc>
          <w:tcPr>
            <w:tcW w:w="806"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沉砂池</w:t>
            </w:r>
          </w:p>
        </w:tc>
        <w:tc>
          <w:tcPr>
            <w:tcW w:w="116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3台308A抓斗</w:t>
            </w:r>
          </w:p>
        </w:tc>
        <w:tc>
          <w:tcPr>
            <w:tcW w:w="1388"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401445" cy="937895"/>
                  <wp:effectExtent l="0" t="0" r="8255" b="0"/>
                  <wp:docPr id="80" name="图片 80" descr="691317351f839e07f38623f39c813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691317351f839e07f38623f39c8135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401445" cy="937895"/>
                          </a:xfrm>
                          <a:prstGeom prst="rect">
                            <a:avLst/>
                          </a:prstGeom>
                          <a:noFill/>
                          <a:ln>
                            <a:noFill/>
                          </a:ln>
                          <a:effectLst/>
                        </pic:spPr>
                      </pic:pic>
                    </a:graphicData>
                  </a:graphic>
                </wp:inline>
              </w:drawing>
            </w:r>
          </w:p>
        </w:tc>
        <w:tc>
          <w:tcPr>
            <w:tcW w:w="1116" w:type="pct"/>
            <w:vAlign w:val="center"/>
          </w:tcPr>
          <w:p>
            <w:pPr>
              <w:snapToGrid/>
              <w:spacing w:line="240" w:lineRule="auto"/>
              <w:ind w:firstLine="0" w:firstLineChars="0"/>
              <w:rPr>
                <w:color w:val="000000" w:themeColor="text1"/>
                <w:sz w:val="24"/>
                <w14:textFill>
                  <w14:solidFill>
                    <w14:schemeClr w14:val="tx1"/>
                  </w14:solidFill>
                </w14:textFill>
              </w:rPr>
            </w:pPr>
            <w:r>
              <w:rPr>
                <w:color w:val="000000" w:themeColor="text1"/>
                <w:sz w:val="24"/>
                <w14:textFill>
                  <w14:solidFill>
                    <w14:schemeClr w14:val="tx1"/>
                  </w14:solidFill>
                </w14:textFill>
              </w:rPr>
              <w:t>运行</w:t>
            </w:r>
            <w:r>
              <w:rPr>
                <w:rFonts w:hint="eastAsia"/>
                <w:color w:val="000000" w:themeColor="text1"/>
                <w:sz w:val="24"/>
                <w14:textFill>
                  <w14:solidFill>
                    <w14:schemeClr w14:val="tx1"/>
                  </w14:solidFill>
                </w14:textFill>
              </w:rPr>
              <w:t>正常</w:t>
            </w:r>
            <w:r>
              <w:rPr>
                <w:color w:val="000000" w:themeColor="text1"/>
                <w:sz w:val="24"/>
                <w:lang w:eastAsia="zh-Hans"/>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2" w:hRule="atLeast"/>
        </w:trPr>
        <w:tc>
          <w:tcPr>
            <w:tcW w:w="52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3</w:t>
            </w:r>
          </w:p>
        </w:tc>
        <w:tc>
          <w:tcPr>
            <w:tcW w:w="806"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细格栅</w:t>
            </w:r>
          </w:p>
        </w:tc>
        <w:tc>
          <w:tcPr>
            <w:tcW w:w="116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6台转鼓细格栅</w:t>
            </w:r>
          </w:p>
        </w:tc>
        <w:tc>
          <w:tcPr>
            <w:tcW w:w="1388"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412875" cy="914400"/>
                  <wp:effectExtent l="0" t="0" r="0" b="0"/>
                  <wp:docPr id="79" name="图片 79" descr="f362dab678b652071cb9abba6687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f362dab678b652071cb9abba66879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412875" cy="914400"/>
                          </a:xfrm>
                          <a:prstGeom prst="rect">
                            <a:avLst/>
                          </a:prstGeom>
                          <a:noFill/>
                          <a:ln>
                            <a:noFill/>
                          </a:ln>
                          <a:effectLst/>
                        </pic:spPr>
                      </pic:pic>
                    </a:graphicData>
                  </a:graphic>
                </wp:inline>
              </w:drawing>
            </w:r>
          </w:p>
        </w:tc>
        <w:tc>
          <w:tcPr>
            <w:tcW w:w="1116" w:type="pct"/>
            <w:vAlign w:val="center"/>
          </w:tcPr>
          <w:p>
            <w:pPr>
              <w:snapToGrid/>
              <w:spacing w:line="240" w:lineRule="auto"/>
              <w:ind w:firstLine="0" w:firstLineChars="0"/>
              <w:rPr>
                <w:color w:val="000000" w:themeColor="text1"/>
                <w:sz w:val="24"/>
                <w14:textFill>
                  <w14:solidFill>
                    <w14:schemeClr w14:val="tx1"/>
                  </w14:solidFill>
                </w14:textFill>
              </w:rPr>
            </w:pPr>
            <w:r>
              <w:rPr>
                <w:color w:val="000000" w:themeColor="text1"/>
                <w:sz w:val="24"/>
                <w14:textFill>
                  <w14:solidFill>
                    <w14:schemeClr w14:val="tx1"/>
                  </w14:solidFill>
                </w14:textFill>
              </w:rPr>
              <w:t>运行</w:t>
            </w:r>
            <w:r>
              <w:rPr>
                <w:rFonts w:hint="eastAsia"/>
                <w:color w:val="000000" w:themeColor="text1"/>
                <w:sz w:val="24"/>
                <w14:textFill>
                  <w14:solidFill>
                    <w14:schemeClr w14:val="tx1"/>
                  </w14:solidFill>
                </w14:textFill>
              </w:rPr>
              <w:t>正常</w:t>
            </w:r>
            <w:r>
              <w:rPr>
                <w:color w:val="000000" w:themeColor="text1"/>
                <w:sz w:val="24"/>
                <w:lang w:eastAsia="zh-Hans"/>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2" w:hRule="atLeast"/>
        </w:trPr>
        <w:tc>
          <w:tcPr>
            <w:tcW w:w="52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4</w:t>
            </w:r>
          </w:p>
        </w:tc>
        <w:tc>
          <w:tcPr>
            <w:tcW w:w="806"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快速</w:t>
            </w:r>
          </w:p>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生化池</w:t>
            </w:r>
          </w:p>
        </w:tc>
        <w:tc>
          <w:tcPr>
            <w:tcW w:w="116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4个生化池，共406组模块</w:t>
            </w:r>
          </w:p>
        </w:tc>
        <w:tc>
          <w:tcPr>
            <w:tcW w:w="1388"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401445" cy="937895"/>
                  <wp:effectExtent l="0" t="0" r="8255" b="0"/>
                  <wp:docPr id="933481562" name="图片 933481562" descr="be63ffbd95b610005bb33f8fde76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481562" name="图片 933481562" descr="be63ffbd95b610005bb33f8fde7659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401445" cy="937895"/>
                          </a:xfrm>
                          <a:prstGeom prst="rect">
                            <a:avLst/>
                          </a:prstGeom>
                          <a:noFill/>
                          <a:ln>
                            <a:noFill/>
                          </a:ln>
                        </pic:spPr>
                      </pic:pic>
                    </a:graphicData>
                  </a:graphic>
                </wp:inline>
              </w:drawing>
            </w:r>
          </w:p>
        </w:tc>
        <w:tc>
          <w:tcPr>
            <w:tcW w:w="1116" w:type="pct"/>
            <w:vAlign w:val="center"/>
          </w:tcPr>
          <w:p>
            <w:pPr>
              <w:snapToGrid/>
              <w:spacing w:line="240" w:lineRule="auto"/>
              <w:ind w:firstLine="0" w:firstLineChars="0"/>
              <w:rPr>
                <w:color w:val="000000" w:themeColor="text1"/>
                <w:sz w:val="24"/>
                <w14:textFill>
                  <w14:solidFill>
                    <w14:schemeClr w14:val="tx1"/>
                  </w14:solidFill>
                </w14:textFill>
              </w:rPr>
            </w:pPr>
            <w:r>
              <w:rPr>
                <w:color w:val="000000" w:themeColor="text1"/>
                <w:sz w:val="24"/>
                <w14:textFill>
                  <w14:solidFill>
                    <w14:schemeClr w14:val="tx1"/>
                  </w14:solidFill>
                </w14:textFill>
              </w:rPr>
              <w:t>运行</w:t>
            </w:r>
            <w:r>
              <w:rPr>
                <w:rFonts w:hint="eastAsia"/>
                <w:color w:val="000000" w:themeColor="text1"/>
                <w:sz w:val="24"/>
                <w14:textFill>
                  <w14:solidFill>
                    <w14:schemeClr w14:val="tx1"/>
                  </w14:solidFill>
                </w14:textFill>
              </w:rPr>
              <w:t>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2" w:hRule="atLeast"/>
        </w:trPr>
        <w:tc>
          <w:tcPr>
            <w:tcW w:w="52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5</w:t>
            </w:r>
          </w:p>
        </w:tc>
        <w:tc>
          <w:tcPr>
            <w:tcW w:w="806"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加磁高效沉淀池</w:t>
            </w:r>
          </w:p>
        </w:tc>
        <w:tc>
          <w:tcPr>
            <w:tcW w:w="116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4个池体，每个池体分为混凝区和沉淀区</w:t>
            </w:r>
          </w:p>
        </w:tc>
        <w:tc>
          <w:tcPr>
            <w:tcW w:w="1388"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401445" cy="937895"/>
                  <wp:effectExtent l="0" t="0" r="8255" b="0"/>
                  <wp:docPr id="77" name="图片 77" descr="fb03aa41e2ec74d5aac7ed3bc719b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fb03aa41e2ec74d5aac7ed3bc719ba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401445" cy="937895"/>
                          </a:xfrm>
                          <a:prstGeom prst="rect">
                            <a:avLst/>
                          </a:prstGeom>
                          <a:noFill/>
                          <a:ln>
                            <a:noFill/>
                          </a:ln>
                        </pic:spPr>
                      </pic:pic>
                    </a:graphicData>
                  </a:graphic>
                </wp:inline>
              </w:drawing>
            </w:r>
          </w:p>
        </w:tc>
        <w:tc>
          <w:tcPr>
            <w:tcW w:w="1116" w:type="pct"/>
            <w:vAlign w:val="center"/>
          </w:tcPr>
          <w:p>
            <w:pPr>
              <w:snapToGrid/>
              <w:spacing w:line="240" w:lineRule="auto"/>
              <w:ind w:firstLine="0" w:firstLineChars="0"/>
              <w:rPr>
                <w:color w:val="000000" w:themeColor="text1"/>
                <w:sz w:val="24"/>
                <w14:textFill>
                  <w14:solidFill>
                    <w14:schemeClr w14:val="tx1"/>
                  </w14:solidFill>
                </w14:textFill>
              </w:rPr>
            </w:pPr>
            <w:r>
              <w:rPr>
                <w:color w:val="000000" w:themeColor="text1"/>
                <w:sz w:val="24"/>
                <w14:textFill>
                  <w14:solidFill>
                    <w14:schemeClr w14:val="tx1"/>
                  </w14:solidFill>
                </w14:textFill>
              </w:rPr>
              <w:t>运行</w:t>
            </w:r>
            <w:r>
              <w:rPr>
                <w:rFonts w:hint="eastAsia"/>
                <w:color w:val="000000" w:themeColor="text1"/>
                <w:sz w:val="24"/>
                <w14:textFill>
                  <w14:solidFill>
                    <w14:schemeClr w14:val="tx1"/>
                  </w14:solidFill>
                </w14:textFill>
              </w:rPr>
              <w:t>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2" w:hRule="atLeast"/>
        </w:trPr>
        <w:tc>
          <w:tcPr>
            <w:tcW w:w="52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6</w:t>
            </w:r>
          </w:p>
        </w:tc>
        <w:tc>
          <w:tcPr>
            <w:tcW w:w="806"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紫外</w:t>
            </w:r>
          </w:p>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消毒渠</w:t>
            </w:r>
          </w:p>
        </w:tc>
        <w:tc>
          <w:tcPr>
            <w:tcW w:w="116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3条明渠，单渠16组模块，共48组模块</w:t>
            </w:r>
          </w:p>
        </w:tc>
        <w:tc>
          <w:tcPr>
            <w:tcW w:w="1388"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412875" cy="949960"/>
                  <wp:effectExtent l="0" t="0" r="0" b="2540"/>
                  <wp:docPr id="76" name="图片 76" descr="bfbdab146a373e2222690b689b45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bfbdab146a373e2222690b689b45ed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412875" cy="949960"/>
                          </a:xfrm>
                          <a:prstGeom prst="rect">
                            <a:avLst/>
                          </a:prstGeom>
                          <a:noFill/>
                          <a:ln>
                            <a:noFill/>
                          </a:ln>
                        </pic:spPr>
                      </pic:pic>
                    </a:graphicData>
                  </a:graphic>
                </wp:inline>
              </w:drawing>
            </w:r>
          </w:p>
        </w:tc>
        <w:tc>
          <w:tcPr>
            <w:tcW w:w="1116" w:type="pct"/>
            <w:vAlign w:val="center"/>
          </w:tcPr>
          <w:p>
            <w:pPr>
              <w:snapToGrid/>
              <w:spacing w:line="240" w:lineRule="auto"/>
              <w:ind w:firstLine="0" w:firstLineChars="0"/>
              <w:rPr>
                <w:color w:val="000000" w:themeColor="text1"/>
                <w:sz w:val="24"/>
                <w14:textFill>
                  <w14:solidFill>
                    <w14:schemeClr w14:val="tx1"/>
                  </w14:solidFill>
                </w14:textFill>
              </w:rPr>
            </w:pPr>
            <w:r>
              <w:rPr>
                <w:color w:val="000000" w:themeColor="text1"/>
                <w:sz w:val="24"/>
                <w14:textFill>
                  <w14:solidFill>
                    <w14:schemeClr w14:val="tx1"/>
                  </w14:solidFill>
                </w14:textFill>
              </w:rPr>
              <w:t>运行</w:t>
            </w:r>
            <w:r>
              <w:rPr>
                <w:rFonts w:hint="eastAsia"/>
                <w:color w:val="000000" w:themeColor="text1"/>
                <w:sz w:val="24"/>
                <w14:textFill>
                  <w14:solidFill>
                    <w14:schemeClr w14:val="tx1"/>
                  </w14:solidFill>
                </w14:textFill>
              </w:rPr>
              <w:t>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2" w:hRule="atLeast"/>
        </w:trPr>
        <w:tc>
          <w:tcPr>
            <w:tcW w:w="52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7</w:t>
            </w:r>
          </w:p>
        </w:tc>
        <w:tc>
          <w:tcPr>
            <w:tcW w:w="806"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板框</w:t>
            </w:r>
          </w:p>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压滤机房</w:t>
            </w:r>
          </w:p>
        </w:tc>
        <w:tc>
          <w:tcPr>
            <w:tcW w:w="116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4套板框压滤机</w:t>
            </w:r>
          </w:p>
        </w:tc>
        <w:tc>
          <w:tcPr>
            <w:tcW w:w="1388"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412875" cy="926465"/>
                  <wp:effectExtent l="0" t="0" r="0" b="6985"/>
                  <wp:docPr id="75" name="图片 75" descr="bc58dd8a40ad5fcf131547c1a8ac7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bc58dd8a40ad5fcf131547c1a8ac73b"/>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412875" cy="926465"/>
                          </a:xfrm>
                          <a:prstGeom prst="rect">
                            <a:avLst/>
                          </a:prstGeom>
                          <a:noFill/>
                          <a:ln>
                            <a:noFill/>
                          </a:ln>
                        </pic:spPr>
                      </pic:pic>
                    </a:graphicData>
                  </a:graphic>
                </wp:inline>
              </w:drawing>
            </w:r>
          </w:p>
        </w:tc>
        <w:tc>
          <w:tcPr>
            <w:tcW w:w="1116" w:type="pct"/>
            <w:vAlign w:val="center"/>
          </w:tcPr>
          <w:p>
            <w:pPr>
              <w:snapToGrid/>
              <w:spacing w:line="240" w:lineRule="auto"/>
              <w:ind w:firstLine="0" w:firstLineChars="0"/>
              <w:rPr>
                <w:color w:val="000000" w:themeColor="text1"/>
                <w:sz w:val="24"/>
                <w14:textFill>
                  <w14:solidFill>
                    <w14:schemeClr w14:val="tx1"/>
                  </w14:solidFill>
                </w14:textFill>
              </w:rPr>
            </w:pPr>
            <w:r>
              <w:rPr>
                <w:color w:val="000000" w:themeColor="text1"/>
                <w:sz w:val="24"/>
                <w14:textFill>
                  <w14:solidFill>
                    <w14:schemeClr w14:val="tx1"/>
                  </w14:solidFill>
                </w14:textFill>
              </w:rPr>
              <w:t>运行</w:t>
            </w:r>
            <w:r>
              <w:rPr>
                <w:rFonts w:hint="eastAsia"/>
                <w:color w:val="000000" w:themeColor="text1"/>
                <w:sz w:val="24"/>
                <w14:textFill>
                  <w14:solidFill>
                    <w14:schemeClr w14:val="tx1"/>
                  </w14:solidFill>
                </w14:textFill>
              </w:rPr>
              <w:t>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3" w:hRule="atLeast"/>
        </w:trPr>
        <w:tc>
          <w:tcPr>
            <w:tcW w:w="52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8</w:t>
            </w:r>
          </w:p>
        </w:tc>
        <w:tc>
          <w:tcPr>
            <w:tcW w:w="806"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生物</w:t>
            </w:r>
          </w:p>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除臭系统</w:t>
            </w:r>
          </w:p>
        </w:tc>
        <w:tc>
          <w:tcPr>
            <w:tcW w:w="1165" w:type="pct"/>
            <w:vAlign w:val="center"/>
          </w:tcPr>
          <w:p>
            <w:pPr>
              <w:snapToGrid/>
              <w:spacing w:line="240" w:lineRule="auto"/>
              <w:ind w:firstLine="0" w:firstLineChars="0"/>
              <w:jc w:val="center"/>
              <w:rPr>
                <w:color w:val="000000" w:themeColor="text1"/>
                <w:sz w:val="24"/>
                <w14:textFill>
                  <w14:solidFill>
                    <w14:schemeClr w14:val="tx1"/>
                  </w14:solidFill>
                </w14:textFill>
              </w:rPr>
            </w:pPr>
          </w:p>
        </w:tc>
        <w:tc>
          <w:tcPr>
            <w:tcW w:w="1388"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412875" cy="890905"/>
                  <wp:effectExtent l="0" t="0" r="0" b="4445"/>
                  <wp:docPr id="74" name="图片 74" descr="c8997e54c80656bd8a960fb84d62a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c8997e54c80656bd8a960fb84d62a2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412875" cy="890905"/>
                          </a:xfrm>
                          <a:prstGeom prst="rect">
                            <a:avLst/>
                          </a:prstGeom>
                          <a:noFill/>
                          <a:ln>
                            <a:noFill/>
                          </a:ln>
                        </pic:spPr>
                      </pic:pic>
                    </a:graphicData>
                  </a:graphic>
                </wp:inline>
              </w:drawing>
            </w:r>
          </w:p>
        </w:tc>
        <w:tc>
          <w:tcPr>
            <w:tcW w:w="1116" w:type="pct"/>
            <w:vAlign w:val="center"/>
          </w:tcPr>
          <w:p>
            <w:pPr>
              <w:snapToGrid/>
              <w:spacing w:line="240" w:lineRule="auto"/>
              <w:ind w:firstLine="0" w:firstLineChars="0"/>
              <w:rPr>
                <w:color w:val="000000" w:themeColor="text1"/>
                <w:sz w:val="24"/>
                <w14:textFill>
                  <w14:solidFill>
                    <w14:schemeClr w14:val="tx1"/>
                  </w14:solidFill>
                </w14:textFill>
              </w:rPr>
            </w:pPr>
            <w:r>
              <w:rPr>
                <w:color w:val="000000" w:themeColor="text1"/>
                <w:sz w:val="24"/>
                <w14:textFill>
                  <w14:solidFill>
                    <w14:schemeClr w14:val="tx1"/>
                  </w14:solidFill>
                </w14:textFill>
              </w:rPr>
              <w:t>运行</w:t>
            </w:r>
            <w:r>
              <w:rPr>
                <w:rFonts w:hint="eastAsia"/>
                <w:color w:val="000000" w:themeColor="text1"/>
                <w:sz w:val="24"/>
                <w14:textFill>
                  <w14:solidFill>
                    <w14:schemeClr w14:val="tx1"/>
                  </w14:solidFill>
                </w14:textFill>
              </w:rPr>
              <w:t>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2" w:hRule="atLeast"/>
        </w:trPr>
        <w:tc>
          <w:tcPr>
            <w:tcW w:w="52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9</w:t>
            </w:r>
          </w:p>
        </w:tc>
        <w:tc>
          <w:tcPr>
            <w:tcW w:w="806"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提升泵房</w:t>
            </w:r>
          </w:p>
        </w:tc>
        <w:tc>
          <w:tcPr>
            <w:tcW w:w="116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8台潜水轴流泵(5用3备，2大6小)</w:t>
            </w:r>
          </w:p>
        </w:tc>
        <w:tc>
          <w:tcPr>
            <w:tcW w:w="1388"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401445" cy="914400"/>
                  <wp:effectExtent l="0" t="0" r="8255" b="0"/>
                  <wp:docPr id="73" name="图片 73" descr="fd1f7d6ad55b0fa262a0760ad4b5a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fd1f7d6ad55b0fa262a0760ad4b5ac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401445" cy="914400"/>
                          </a:xfrm>
                          <a:prstGeom prst="rect">
                            <a:avLst/>
                          </a:prstGeom>
                          <a:noFill/>
                          <a:ln>
                            <a:noFill/>
                          </a:ln>
                          <a:effectLst/>
                        </pic:spPr>
                      </pic:pic>
                    </a:graphicData>
                  </a:graphic>
                </wp:inline>
              </w:drawing>
            </w:r>
          </w:p>
        </w:tc>
        <w:tc>
          <w:tcPr>
            <w:tcW w:w="1116" w:type="pct"/>
            <w:vAlign w:val="center"/>
          </w:tcPr>
          <w:p>
            <w:pPr>
              <w:snapToGrid/>
              <w:spacing w:line="240" w:lineRule="auto"/>
              <w:ind w:firstLine="0" w:firstLineChars="0"/>
              <w:rPr>
                <w:color w:val="000000" w:themeColor="text1"/>
                <w:sz w:val="24"/>
                <w14:textFill>
                  <w14:solidFill>
                    <w14:schemeClr w14:val="tx1"/>
                  </w14:solidFill>
                </w14:textFill>
              </w:rPr>
            </w:pPr>
            <w:r>
              <w:rPr>
                <w:color w:val="000000" w:themeColor="text1"/>
                <w:sz w:val="24"/>
                <w14:textFill>
                  <w14:solidFill>
                    <w14:schemeClr w14:val="tx1"/>
                  </w14:solidFill>
                </w14:textFill>
              </w:rPr>
              <w:t>运行</w:t>
            </w:r>
            <w:r>
              <w:rPr>
                <w:rFonts w:hint="eastAsia"/>
                <w:color w:val="000000" w:themeColor="text1"/>
                <w:sz w:val="24"/>
                <w14:textFill>
                  <w14:solidFill>
                    <w14:schemeClr w14:val="tx1"/>
                  </w14:solidFill>
                </w14:textFill>
              </w:rPr>
              <w:t>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2" w:hRule="atLeast"/>
        </w:trPr>
        <w:tc>
          <w:tcPr>
            <w:tcW w:w="52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10</w:t>
            </w:r>
          </w:p>
        </w:tc>
        <w:tc>
          <w:tcPr>
            <w:tcW w:w="806"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加药间</w:t>
            </w:r>
          </w:p>
        </w:tc>
        <w:tc>
          <w:tcPr>
            <w:tcW w:w="1165" w:type="pct"/>
            <w:vAlign w:val="center"/>
          </w:tcPr>
          <w:p>
            <w:pPr>
              <w:snapToGrid/>
              <w:spacing w:line="240" w:lineRule="auto"/>
              <w:ind w:firstLine="0" w:firstLineChars="0"/>
              <w:jc w:val="center"/>
              <w:rPr>
                <w:color w:val="000000" w:themeColor="text1"/>
                <w:sz w:val="24"/>
                <w14:textFill>
                  <w14:solidFill>
                    <w14:schemeClr w14:val="tx1"/>
                  </w14:solidFill>
                </w14:textFill>
              </w:rPr>
            </w:pPr>
          </w:p>
        </w:tc>
        <w:tc>
          <w:tcPr>
            <w:tcW w:w="1388"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401445" cy="949960"/>
                  <wp:effectExtent l="0" t="0" r="8255" b="2540"/>
                  <wp:docPr id="72" name="图片 72" descr="268192926e363e327e333ac12de11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268192926e363e327e333ac12de113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401445" cy="949960"/>
                          </a:xfrm>
                          <a:prstGeom prst="rect">
                            <a:avLst/>
                          </a:prstGeom>
                          <a:noFill/>
                          <a:ln>
                            <a:noFill/>
                          </a:ln>
                        </pic:spPr>
                      </pic:pic>
                    </a:graphicData>
                  </a:graphic>
                </wp:inline>
              </w:drawing>
            </w:r>
          </w:p>
        </w:tc>
        <w:tc>
          <w:tcPr>
            <w:tcW w:w="1116" w:type="pct"/>
            <w:vAlign w:val="center"/>
          </w:tcPr>
          <w:p>
            <w:pPr>
              <w:snapToGrid/>
              <w:spacing w:line="240" w:lineRule="auto"/>
              <w:ind w:firstLine="0" w:firstLineChars="0"/>
              <w:rPr>
                <w:color w:val="000000" w:themeColor="text1"/>
                <w:sz w:val="24"/>
                <w14:textFill>
                  <w14:solidFill>
                    <w14:schemeClr w14:val="tx1"/>
                  </w14:solidFill>
                </w14:textFill>
              </w:rPr>
            </w:pPr>
            <w:r>
              <w:rPr>
                <w:color w:val="000000" w:themeColor="text1"/>
                <w:sz w:val="24"/>
                <w14:textFill>
                  <w14:solidFill>
                    <w14:schemeClr w14:val="tx1"/>
                  </w14:solidFill>
                </w14:textFill>
              </w:rPr>
              <w:t>运行</w:t>
            </w:r>
            <w:r>
              <w:rPr>
                <w:rFonts w:hint="eastAsia"/>
                <w:color w:val="000000" w:themeColor="text1"/>
                <w:sz w:val="24"/>
                <w14:textFill>
                  <w14:solidFill>
                    <w14:schemeClr w14:val="tx1"/>
                  </w14:solidFill>
                </w14:textFill>
              </w:rPr>
              <w:t>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2" w:hRule="atLeast"/>
        </w:trPr>
        <w:tc>
          <w:tcPr>
            <w:tcW w:w="52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11</w:t>
            </w:r>
          </w:p>
        </w:tc>
        <w:tc>
          <w:tcPr>
            <w:tcW w:w="806"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中水区</w:t>
            </w:r>
          </w:p>
        </w:tc>
        <w:tc>
          <w:tcPr>
            <w:tcW w:w="1165" w:type="pct"/>
            <w:vAlign w:val="center"/>
          </w:tcPr>
          <w:p>
            <w:pPr>
              <w:snapToGrid/>
              <w:spacing w:line="240" w:lineRule="auto"/>
              <w:ind w:firstLine="0" w:firstLineChars="0"/>
              <w:jc w:val="center"/>
              <w:rPr>
                <w:color w:val="000000" w:themeColor="text1"/>
                <w:sz w:val="24"/>
                <w14:textFill>
                  <w14:solidFill>
                    <w14:schemeClr w14:val="tx1"/>
                  </w14:solidFill>
                </w14:textFill>
              </w:rPr>
            </w:pPr>
          </w:p>
        </w:tc>
        <w:tc>
          <w:tcPr>
            <w:tcW w:w="1388"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401445" cy="1080770"/>
                  <wp:effectExtent l="0" t="0" r="8255" b="5080"/>
                  <wp:docPr id="71" name="图片 71" descr="06365faf0c5395157a7e100a6aac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06365faf0c5395157a7e100a6aace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401445" cy="1080770"/>
                          </a:xfrm>
                          <a:prstGeom prst="rect">
                            <a:avLst/>
                          </a:prstGeom>
                          <a:noFill/>
                          <a:ln>
                            <a:noFill/>
                          </a:ln>
                          <a:effectLst/>
                        </pic:spPr>
                      </pic:pic>
                    </a:graphicData>
                  </a:graphic>
                </wp:inline>
              </w:drawing>
            </w:r>
          </w:p>
        </w:tc>
        <w:tc>
          <w:tcPr>
            <w:tcW w:w="1116" w:type="pct"/>
            <w:vAlign w:val="center"/>
          </w:tcPr>
          <w:p>
            <w:pPr>
              <w:snapToGrid/>
              <w:spacing w:line="240" w:lineRule="auto"/>
              <w:ind w:firstLine="0" w:firstLineChars="0"/>
              <w:rPr>
                <w:color w:val="000000" w:themeColor="text1"/>
                <w:sz w:val="24"/>
                <w14:textFill>
                  <w14:solidFill>
                    <w14:schemeClr w14:val="tx1"/>
                  </w14:solidFill>
                </w14:textFill>
              </w:rPr>
            </w:pPr>
            <w:r>
              <w:rPr>
                <w:color w:val="000000" w:themeColor="text1"/>
                <w:sz w:val="24"/>
                <w14:textFill>
                  <w14:solidFill>
                    <w14:schemeClr w14:val="tx1"/>
                  </w14:solidFill>
                </w14:textFill>
              </w:rPr>
              <w:t>运行</w:t>
            </w:r>
            <w:r>
              <w:rPr>
                <w:rFonts w:hint="eastAsia"/>
                <w:color w:val="000000" w:themeColor="text1"/>
                <w:sz w:val="24"/>
                <w14:textFill>
                  <w14:solidFill>
                    <w14:schemeClr w14:val="tx1"/>
                  </w14:solidFill>
                </w14:textFill>
              </w:rPr>
              <w:t>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2" w:hRule="atLeast"/>
        </w:trPr>
        <w:tc>
          <w:tcPr>
            <w:tcW w:w="52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12</w:t>
            </w:r>
          </w:p>
        </w:tc>
        <w:tc>
          <w:tcPr>
            <w:tcW w:w="806"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高压</w:t>
            </w:r>
          </w:p>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配电房</w:t>
            </w:r>
          </w:p>
        </w:tc>
        <w:tc>
          <w:tcPr>
            <w:tcW w:w="1165" w:type="pct"/>
            <w:vAlign w:val="center"/>
          </w:tcPr>
          <w:p>
            <w:pPr>
              <w:snapToGrid/>
              <w:spacing w:line="240" w:lineRule="auto"/>
              <w:ind w:firstLine="0" w:firstLineChars="0"/>
              <w:jc w:val="center"/>
              <w:rPr>
                <w:color w:val="000000" w:themeColor="text1"/>
                <w:sz w:val="24"/>
                <w14:textFill>
                  <w14:solidFill>
                    <w14:schemeClr w14:val="tx1"/>
                  </w14:solidFill>
                </w14:textFill>
              </w:rPr>
            </w:pPr>
          </w:p>
        </w:tc>
        <w:tc>
          <w:tcPr>
            <w:tcW w:w="1388"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389380" cy="914400"/>
                  <wp:effectExtent l="0" t="0" r="1270" b="0"/>
                  <wp:docPr id="70" name="图片 70" descr="5c2dc67a8227323dc0bc841f0b6bc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5c2dc67a8227323dc0bc841f0b6bc2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389380" cy="914400"/>
                          </a:xfrm>
                          <a:prstGeom prst="rect">
                            <a:avLst/>
                          </a:prstGeom>
                          <a:noFill/>
                          <a:ln>
                            <a:noFill/>
                          </a:ln>
                        </pic:spPr>
                      </pic:pic>
                    </a:graphicData>
                  </a:graphic>
                </wp:inline>
              </w:drawing>
            </w:r>
          </w:p>
        </w:tc>
        <w:tc>
          <w:tcPr>
            <w:tcW w:w="1116" w:type="pct"/>
            <w:vAlign w:val="center"/>
          </w:tcPr>
          <w:p>
            <w:pPr>
              <w:snapToGrid/>
              <w:spacing w:line="240" w:lineRule="auto"/>
              <w:ind w:firstLine="0" w:firstLineChars="0"/>
              <w:rPr>
                <w:color w:val="000000" w:themeColor="text1"/>
                <w:sz w:val="24"/>
                <w14:textFill>
                  <w14:solidFill>
                    <w14:schemeClr w14:val="tx1"/>
                  </w14:solidFill>
                </w14:textFill>
              </w:rPr>
            </w:pPr>
            <w:r>
              <w:rPr>
                <w:color w:val="000000" w:themeColor="text1"/>
                <w:sz w:val="24"/>
                <w14:textFill>
                  <w14:solidFill>
                    <w14:schemeClr w14:val="tx1"/>
                  </w14:solidFill>
                </w14:textFill>
              </w:rPr>
              <w:t>运行</w:t>
            </w:r>
            <w:r>
              <w:rPr>
                <w:rFonts w:hint="eastAsia"/>
                <w:color w:val="000000" w:themeColor="text1"/>
                <w:sz w:val="24"/>
                <w14:textFill>
                  <w14:solidFill>
                    <w14:schemeClr w14:val="tx1"/>
                  </w14:solidFill>
                </w14:textFill>
              </w:rPr>
              <w:t>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2" w:hRule="atLeast"/>
        </w:trPr>
        <w:tc>
          <w:tcPr>
            <w:tcW w:w="52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13</w:t>
            </w:r>
          </w:p>
        </w:tc>
        <w:tc>
          <w:tcPr>
            <w:tcW w:w="806"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鼓风机房</w:t>
            </w:r>
          </w:p>
        </w:tc>
        <w:tc>
          <w:tcPr>
            <w:tcW w:w="116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8台单级离心式鼓风机</w:t>
            </w:r>
          </w:p>
        </w:tc>
        <w:tc>
          <w:tcPr>
            <w:tcW w:w="1388"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389380" cy="926465"/>
                  <wp:effectExtent l="0" t="0" r="1270" b="6985"/>
                  <wp:docPr id="69" name="图片 69" descr="6569e3d1fa8df4edb4a5ba24f6c35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6569e3d1fa8df4edb4a5ba24f6c351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389380" cy="926465"/>
                          </a:xfrm>
                          <a:prstGeom prst="rect">
                            <a:avLst/>
                          </a:prstGeom>
                          <a:noFill/>
                          <a:ln>
                            <a:noFill/>
                          </a:ln>
                        </pic:spPr>
                      </pic:pic>
                    </a:graphicData>
                  </a:graphic>
                </wp:inline>
              </w:drawing>
            </w:r>
          </w:p>
        </w:tc>
        <w:tc>
          <w:tcPr>
            <w:tcW w:w="1116" w:type="pct"/>
            <w:vAlign w:val="center"/>
          </w:tcPr>
          <w:p>
            <w:pPr>
              <w:snapToGrid/>
              <w:spacing w:line="240" w:lineRule="auto"/>
              <w:ind w:firstLine="0" w:firstLineChars="0"/>
              <w:rPr>
                <w:color w:val="000000" w:themeColor="text1"/>
                <w:sz w:val="24"/>
                <w14:textFill>
                  <w14:solidFill>
                    <w14:schemeClr w14:val="tx1"/>
                  </w14:solidFill>
                </w14:textFill>
              </w:rPr>
            </w:pPr>
            <w:r>
              <w:rPr>
                <w:color w:val="000000" w:themeColor="text1"/>
                <w:sz w:val="24"/>
                <w14:textFill>
                  <w14:solidFill>
                    <w14:schemeClr w14:val="tx1"/>
                  </w14:solidFill>
                </w14:textFill>
              </w:rPr>
              <w:t>运行</w:t>
            </w:r>
            <w:r>
              <w:rPr>
                <w:rFonts w:hint="eastAsia"/>
                <w:color w:val="000000" w:themeColor="text1"/>
                <w:sz w:val="24"/>
                <w14:textFill>
                  <w14:solidFill>
                    <w14:schemeClr w14:val="tx1"/>
                  </w14:solidFill>
                </w14:textFill>
              </w:rPr>
              <w:t>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2" w:hRule="atLeast"/>
        </w:trPr>
        <w:tc>
          <w:tcPr>
            <w:tcW w:w="52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14</w:t>
            </w:r>
          </w:p>
        </w:tc>
        <w:tc>
          <w:tcPr>
            <w:tcW w:w="806"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低压</w:t>
            </w:r>
          </w:p>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配电房</w:t>
            </w:r>
          </w:p>
        </w:tc>
        <w:tc>
          <w:tcPr>
            <w:tcW w:w="1165" w:type="pct"/>
            <w:vAlign w:val="center"/>
          </w:tcPr>
          <w:p>
            <w:pPr>
              <w:snapToGrid/>
              <w:spacing w:line="240" w:lineRule="auto"/>
              <w:ind w:firstLine="0" w:firstLineChars="0"/>
              <w:jc w:val="center"/>
              <w:rPr>
                <w:color w:val="000000" w:themeColor="text1"/>
                <w:sz w:val="24"/>
                <w14:textFill>
                  <w14:solidFill>
                    <w14:schemeClr w14:val="tx1"/>
                  </w14:solidFill>
                </w14:textFill>
              </w:rPr>
            </w:pPr>
          </w:p>
        </w:tc>
        <w:tc>
          <w:tcPr>
            <w:tcW w:w="1388"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389380" cy="962025"/>
                  <wp:effectExtent l="0" t="0" r="1270" b="9525"/>
                  <wp:docPr id="68" name="图片 68" descr="8c2028c2a98a09a49788c887f98c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8c2028c2a98a09a49788c887f98c8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389380" cy="962025"/>
                          </a:xfrm>
                          <a:prstGeom prst="rect">
                            <a:avLst/>
                          </a:prstGeom>
                          <a:noFill/>
                          <a:ln>
                            <a:noFill/>
                          </a:ln>
                        </pic:spPr>
                      </pic:pic>
                    </a:graphicData>
                  </a:graphic>
                </wp:inline>
              </w:drawing>
            </w:r>
          </w:p>
        </w:tc>
        <w:tc>
          <w:tcPr>
            <w:tcW w:w="1116" w:type="pct"/>
            <w:vAlign w:val="center"/>
          </w:tcPr>
          <w:p>
            <w:pPr>
              <w:snapToGrid/>
              <w:spacing w:line="240" w:lineRule="auto"/>
              <w:ind w:firstLine="0" w:firstLineChars="0"/>
              <w:rPr>
                <w:color w:val="000000" w:themeColor="text1"/>
                <w:sz w:val="24"/>
                <w14:textFill>
                  <w14:solidFill>
                    <w14:schemeClr w14:val="tx1"/>
                  </w14:solidFill>
                </w14:textFill>
              </w:rPr>
            </w:pPr>
            <w:r>
              <w:rPr>
                <w:color w:val="000000" w:themeColor="text1"/>
                <w:sz w:val="24"/>
                <w14:textFill>
                  <w14:solidFill>
                    <w14:schemeClr w14:val="tx1"/>
                  </w14:solidFill>
                </w14:textFill>
              </w:rPr>
              <w:t>运行</w:t>
            </w:r>
            <w:r>
              <w:rPr>
                <w:rFonts w:hint="eastAsia"/>
                <w:color w:val="000000" w:themeColor="text1"/>
                <w:sz w:val="24"/>
                <w14:textFill>
                  <w14:solidFill>
                    <w14:schemeClr w14:val="tx1"/>
                  </w14:solidFill>
                </w14:textFill>
              </w:rPr>
              <w:t>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2" w:hRule="atLeast"/>
        </w:trPr>
        <w:tc>
          <w:tcPr>
            <w:tcW w:w="52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15</w:t>
            </w:r>
          </w:p>
        </w:tc>
        <w:tc>
          <w:tcPr>
            <w:tcW w:w="806"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化验室</w:t>
            </w:r>
          </w:p>
        </w:tc>
        <w:tc>
          <w:tcPr>
            <w:tcW w:w="1165" w:type="pct"/>
            <w:vAlign w:val="center"/>
          </w:tcPr>
          <w:p>
            <w:pPr>
              <w:snapToGrid/>
              <w:spacing w:line="240" w:lineRule="auto"/>
              <w:ind w:firstLine="0" w:firstLineChars="0"/>
              <w:jc w:val="center"/>
              <w:rPr>
                <w:color w:val="000000" w:themeColor="text1"/>
                <w:sz w:val="24"/>
                <w14:textFill>
                  <w14:solidFill>
                    <w14:schemeClr w14:val="tx1"/>
                  </w14:solidFill>
                </w14:textFill>
              </w:rPr>
            </w:pPr>
          </w:p>
        </w:tc>
        <w:tc>
          <w:tcPr>
            <w:tcW w:w="1388"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412875" cy="962025"/>
                  <wp:effectExtent l="0" t="0" r="0" b="9525"/>
                  <wp:docPr id="67" name="图片 67" descr="5350fdfaca8269ae61e0a683c385c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5350fdfaca8269ae61e0a683c385ce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412875" cy="962025"/>
                          </a:xfrm>
                          <a:prstGeom prst="rect">
                            <a:avLst/>
                          </a:prstGeom>
                          <a:noFill/>
                          <a:ln>
                            <a:noFill/>
                          </a:ln>
                        </pic:spPr>
                      </pic:pic>
                    </a:graphicData>
                  </a:graphic>
                </wp:inline>
              </w:drawing>
            </w:r>
          </w:p>
        </w:tc>
        <w:tc>
          <w:tcPr>
            <w:tcW w:w="1116" w:type="pct"/>
            <w:vAlign w:val="center"/>
          </w:tcPr>
          <w:p>
            <w:pPr>
              <w:snapToGrid/>
              <w:spacing w:line="240" w:lineRule="auto"/>
              <w:ind w:firstLine="0" w:firstLineChars="0"/>
              <w:rPr>
                <w:color w:val="000000" w:themeColor="text1"/>
                <w:sz w:val="24"/>
                <w14:textFill>
                  <w14:solidFill>
                    <w14:schemeClr w14:val="tx1"/>
                  </w14:solidFill>
                </w14:textFill>
              </w:rPr>
            </w:pPr>
            <w:r>
              <w:rPr>
                <w:color w:val="000000" w:themeColor="text1"/>
                <w:sz w:val="24"/>
                <w14:textFill>
                  <w14:solidFill>
                    <w14:schemeClr w14:val="tx1"/>
                  </w14:solidFill>
                </w14:textFill>
              </w:rPr>
              <w:t>运行</w:t>
            </w:r>
            <w:r>
              <w:rPr>
                <w:rFonts w:hint="eastAsia"/>
                <w:color w:val="000000" w:themeColor="text1"/>
                <w:sz w:val="24"/>
                <w14:textFill>
                  <w14:solidFill>
                    <w14:schemeClr w14:val="tx1"/>
                  </w14:solidFill>
                </w14:textFill>
              </w:rPr>
              <w:t>正常。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2" w:hRule="atLeast"/>
        </w:trPr>
        <w:tc>
          <w:tcPr>
            <w:tcW w:w="525"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16</w:t>
            </w:r>
          </w:p>
        </w:tc>
        <w:tc>
          <w:tcPr>
            <w:tcW w:w="806"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中控室</w:t>
            </w:r>
          </w:p>
        </w:tc>
        <w:tc>
          <w:tcPr>
            <w:tcW w:w="1165" w:type="pct"/>
            <w:vAlign w:val="center"/>
          </w:tcPr>
          <w:p>
            <w:pPr>
              <w:snapToGrid/>
              <w:spacing w:line="240" w:lineRule="auto"/>
              <w:ind w:firstLine="0" w:firstLineChars="0"/>
              <w:jc w:val="center"/>
              <w:rPr>
                <w:color w:val="000000" w:themeColor="text1"/>
                <w:sz w:val="24"/>
                <w14:textFill>
                  <w14:solidFill>
                    <w14:schemeClr w14:val="tx1"/>
                  </w14:solidFill>
                </w14:textFill>
              </w:rPr>
            </w:pPr>
          </w:p>
        </w:tc>
        <w:tc>
          <w:tcPr>
            <w:tcW w:w="1388" w:type="pct"/>
            <w:vAlign w:val="center"/>
          </w:tcPr>
          <w:p>
            <w:pPr>
              <w:snapToGrid/>
              <w:spacing w:line="240" w:lineRule="auto"/>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412875" cy="962025"/>
                  <wp:effectExtent l="0" t="0" r="0" b="9525"/>
                  <wp:docPr id="66" name="图片 66" descr="c2bd4f78e8ff8e7cbb5ce2ea6ba1e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c2bd4f78e8ff8e7cbb5ce2ea6ba1e9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12875" cy="962025"/>
                          </a:xfrm>
                          <a:prstGeom prst="rect">
                            <a:avLst/>
                          </a:prstGeom>
                          <a:noFill/>
                          <a:ln>
                            <a:noFill/>
                          </a:ln>
                          <a:effectLst/>
                        </pic:spPr>
                      </pic:pic>
                    </a:graphicData>
                  </a:graphic>
                </wp:inline>
              </w:drawing>
            </w:r>
          </w:p>
        </w:tc>
        <w:tc>
          <w:tcPr>
            <w:tcW w:w="1116" w:type="pct"/>
            <w:vAlign w:val="center"/>
          </w:tcPr>
          <w:p>
            <w:pPr>
              <w:snapToGrid/>
              <w:spacing w:line="240" w:lineRule="auto"/>
              <w:ind w:firstLine="0" w:firstLineChars="0"/>
              <w:rPr>
                <w:color w:val="000000" w:themeColor="text1"/>
                <w:sz w:val="24"/>
                <w14:textFill>
                  <w14:solidFill>
                    <w14:schemeClr w14:val="tx1"/>
                  </w14:solidFill>
                </w14:textFill>
              </w:rPr>
            </w:pPr>
            <w:r>
              <w:rPr>
                <w:color w:val="000000" w:themeColor="text1"/>
                <w:sz w:val="24"/>
                <w14:textFill>
                  <w14:solidFill>
                    <w14:schemeClr w14:val="tx1"/>
                  </w14:solidFill>
                </w14:textFill>
              </w:rPr>
              <w:t>运行</w:t>
            </w:r>
            <w:r>
              <w:rPr>
                <w:rFonts w:hint="eastAsia"/>
                <w:color w:val="000000" w:themeColor="text1"/>
                <w:sz w:val="24"/>
                <w14:textFill>
                  <w14:solidFill>
                    <w14:schemeClr w14:val="tx1"/>
                  </w14:solidFill>
                </w14:textFill>
              </w:rPr>
              <w:t>正常。</w:t>
            </w:r>
          </w:p>
        </w:tc>
      </w:tr>
    </w:tbl>
    <w:p>
      <w:pPr>
        <w:spacing w:before="156" w:beforeLines="50"/>
        <w:ind w:firstLine="420"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除3台回转式粗格栅老化、腐蚀、变形严重，对来水垃圾拦截效果差，导致大量垃圾进入调蓄池内，其余运营设施及相关构筑物、设备运行基本正常，存在的问题多为辅助设备零备件产生的影响。按照工艺流程分述以下各设施功能块的运行情况：</w:t>
      </w:r>
    </w:p>
    <w:p>
      <w:pPr>
        <w:ind w:firstLine="560"/>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①</w:t>
      </w:r>
      <w:r>
        <w:rPr>
          <w:rFonts w:hint="eastAsia"/>
          <w:color w:val="000000" w:themeColor="text1"/>
          <w14:textFill>
            <w14:solidFill>
              <w14:schemeClr w14:val="tx1"/>
            </w14:solidFill>
          </w14:textFill>
        </w:rPr>
        <w:t>河口闸门钢丝绳原为普通钢丝绳，2020年11月更换为304不锈钢钢丝绳，并于2023年重新更换304不锈钢钢丝绳。下图为更换钢丝绳及滑轮组后设备照片：</w:t>
      </w:r>
    </w:p>
    <w:p>
      <w:pPr>
        <w:pStyle w:val="13"/>
        <w:ind w:firstLine="0" w:firstLineChars="0"/>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4679950" cy="2886075"/>
            <wp:effectExtent l="19050" t="19050" r="25400" b="28575"/>
            <wp:docPr id="65" name="图片 65" descr="9d98e481bd07ad690014fb8535907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9d98e481bd07ad690014fb8535907a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680000" cy="2886417"/>
                    </a:xfrm>
                    <a:prstGeom prst="rect">
                      <a:avLst/>
                    </a:prstGeom>
                    <a:noFill/>
                    <a:ln>
                      <a:solidFill>
                        <a:schemeClr val="tx1"/>
                      </a:solidFill>
                    </a:ln>
                    <a:effectLst/>
                  </pic:spPr>
                </pic:pic>
              </a:graphicData>
            </a:graphic>
          </wp:inline>
        </w:drawing>
      </w:r>
    </w:p>
    <w:p>
      <w:pPr>
        <w:ind w:firstLine="560"/>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②</w:t>
      </w:r>
      <w:r>
        <w:rPr>
          <w:rFonts w:hint="eastAsia"/>
          <w:color w:val="000000" w:themeColor="text1"/>
          <w14:textFill>
            <w14:solidFill>
              <w14:schemeClr w14:val="tx1"/>
            </w14:solidFill>
          </w14:textFill>
        </w:rPr>
        <w:t>进水预处理设施三台回转式粗格栅老化腐蚀严重，对来水垃圾拦截效果差，导致大量垃圾进入调蓄池，近期进行耙齿校正。下图为回转式粗格栅现状图：</w:t>
      </w:r>
    </w:p>
    <w:p>
      <w:pPr>
        <w:pStyle w:val="13"/>
        <w:ind w:firstLine="0" w:firstLineChars="0"/>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4679950" cy="3225165"/>
            <wp:effectExtent l="19050" t="19050" r="25400" b="13335"/>
            <wp:docPr id="2116927885"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27885" name="图片 1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680000" cy="3225602"/>
                    </a:xfrm>
                    <a:prstGeom prst="rect">
                      <a:avLst/>
                    </a:prstGeom>
                    <a:noFill/>
                    <a:ln w="9525" cap="flat" cmpd="sng" algn="ctr">
                      <a:solidFill>
                        <a:sysClr val="windowText" lastClr="000000"/>
                      </a:solidFill>
                      <a:prstDash val="solid"/>
                      <a:round/>
                      <a:headEnd type="none" w="med" len="med"/>
                      <a:tailEnd type="none" w="med" len="med"/>
                    </a:ln>
                    <a:effectLst/>
                  </pic:spPr>
                </pic:pic>
              </a:graphicData>
            </a:graphic>
          </wp:inline>
        </w:drawing>
      </w:r>
    </w:p>
    <w:p>
      <w:pPr>
        <w:ind w:firstLine="560"/>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③</w:t>
      </w:r>
      <w:r>
        <w:rPr>
          <w:rFonts w:hint="eastAsia"/>
          <w:color w:val="000000" w:themeColor="text1"/>
          <w14:textFill>
            <w14:solidFill>
              <w14:schemeClr w14:val="tx1"/>
            </w14:solidFill>
          </w14:textFill>
        </w:rPr>
        <w:t>提升泵房共有8台污水提升泵，5台已安装并能正常使用，剩余3台正常备用，由于河口调蓄池为观澜河干流截污箱涵最末端，进水中裹挟的垃圾和泥沙量大，对提升泵正常运行和使用寿命有较大影响，易发生提升泵叶轮堵塞和磨损的情况。下图为提升泵现状图：</w:t>
      </w:r>
    </w:p>
    <w:p>
      <w:pPr>
        <w:pStyle w:val="13"/>
        <w:ind w:firstLine="0" w:firstLineChars="0"/>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4679315" cy="3415665"/>
            <wp:effectExtent l="19050" t="19050" r="26035" b="13335"/>
            <wp:docPr id="630263957"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263957" name="图片 1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681667" cy="3417692"/>
                    </a:xfrm>
                    <a:prstGeom prst="rect">
                      <a:avLst/>
                    </a:prstGeom>
                    <a:noFill/>
                    <a:ln w="9525" cap="flat" cmpd="sng" algn="ctr">
                      <a:solidFill>
                        <a:sysClr val="windowText" lastClr="000000"/>
                      </a:solidFill>
                      <a:prstDash val="solid"/>
                      <a:round/>
                      <a:headEnd type="none" w="med" len="med"/>
                      <a:tailEnd type="none" w="med" len="med"/>
                    </a:ln>
                    <a:effectLst/>
                  </pic:spPr>
                </pic:pic>
              </a:graphicData>
            </a:graphic>
          </wp:inline>
        </w:drawing>
      </w:r>
    </w:p>
    <w:p>
      <w:pPr>
        <w:ind w:firstLine="560"/>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④</w:t>
      </w:r>
      <w:r>
        <w:rPr>
          <w:rFonts w:hint="eastAsia"/>
          <w:color w:val="000000" w:themeColor="text1"/>
          <w14:textFill>
            <w14:solidFill>
              <w14:schemeClr w14:val="tx1"/>
            </w14:solidFill>
          </w14:textFill>
        </w:rPr>
        <w:t>转鼓细格栅运转过程中转鼓、高压喷淋等易发生故障，近期更换耐磨套等易损件，清理异物、疏通喷嘴。</w:t>
      </w:r>
    </w:p>
    <w:p>
      <w:pPr>
        <w:ind w:firstLine="560"/>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⑤</w:t>
      </w:r>
      <w:r>
        <w:rPr>
          <w:rFonts w:hint="eastAsia"/>
          <w:color w:val="000000" w:themeColor="text1"/>
          <w14:textFill>
            <w14:solidFill>
              <w14:schemeClr w14:val="tx1"/>
            </w14:solidFill>
          </w14:textFill>
        </w:rPr>
        <w:t>生化池存在曝气不均匀和进水不均匀的情况，曝气不均匀为各生化池曝气盘存在橡胶膜片开裂的情况，造成局部曝气过大；进水不均匀为来水中泥沙较多，淤积在配水渠和堵塞进水支管，使部分进水支管无法正常进水，造成配水不均等问题。由于配水支管弯头较多，且末端为三通连接，定期使用管道疏通机进行疏通无良好效果。</w:t>
      </w:r>
    </w:p>
    <w:p>
      <w:pPr>
        <w:ind w:firstLine="560"/>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⑥</w:t>
      </w:r>
      <w:r>
        <w:rPr>
          <w:rFonts w:hint="eastAsia"/>
          <w:color w:val="000000" w:themeColor="text1"/>
          <w14:textFill>
            <w14:solidFill>
              <w14:schemeClr w14:val="tx1"/>
            </w14:solidFill>
          </w14:textFill>
        </w:rPr>
        <w:t>高效沉淀池总体运行稳定，无较大设备问题。下图为高效沉淀池维护保养现状图：</w:t>
      </w:r>
    </w:p>
    <w:p>
      <w:pPr>
        <w:pStyle w:val="13"/>
        <w:ind w:firstLine="0" w:firstLineChars="0"/>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4679950" cy="3509645"/>
            <wp:effectExtent l="19050" t="19050" r="25400" b="14605"/>
            <wp:docPr id="283052499"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052499" name="图片 1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680000" cy="3510260"/>
                    </a:xfrm>
                    <a:prstGeom prst="rect">
                      <a:avLst/>
                    </a:prstGeom>
                    <a:noFill/>
                    <a:ln>
                      <a:solidFill>
                        <a:schemeClr val="tx1"/>
                      </a:solidFill>
                    </a:ln>
                    <a:effectLst/>
                  </pic:spPr>
                </pic:pic>
              </a:graphicData>
            </a:graphic>
          </wp:inline>
        </w:drawing>
      </w:r>
    </w:p>
    <w:p>
      <w:pPr>
        <w:ind w:firstLine="560"/>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⑦</w:t>
      </w:r>
      <w:r>
        <w:rPr>
          <w:rFonts w:hint="eastAsia"/>
          <w:color w:val="000000" w:themeColor="text1"/>
          <w14:textFill>
            <w14:solidFill>
              <w14:schemeClr w14:val="tx1"/>
            </w14:solidFill>
          </w14:textFill>
        </w:rPr>
        <w:t>紫外消毒系统需定期维护保养，特别是紫外灯管长期使用后，灭菌效果会变弱，需定期进行更换，计划近期对紫外灯管进行更换。下图为紫外消毒系统现状图：</w:t>
      </w:r>
    </w:p>
    <w:p>
      <w:pPr>
        <w:pStyle w:val="13"/>
        <w:ind w:firstLine="0" w:firstLineChars="0"/>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4679950" cy="3509645"/>
            <wp:effectExtent l="19050" t="19050" r="25400" b="14605"/>
            <wp:docPr id="157197883"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97883" name="图片 1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80000" cy="3510259"/>
                    </a:xfrm>
                    <a:prstGeom prst="rect">
                      <a:avLst/>
                    </a:prstGeom>
                    <a:noFill/>
                    <a:ln>
                      <a:solidFill>
                        <a:schemeClr val="tx1"/>
                      </a:solidFill>
                    </a:ln>
                    <a:effectLst/>
                  </pic:spPr>
                </pic:pic>
              </a:graphicData>
            </a:graphic>
          </wp:inline>
        </w:drawing>
      </w:r>
    </w:p>
    <w:p>
      <w:pPr>
        <w:ind w:firstLine="560"/>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⑧</w:t>
      </w:r>
      <w:r>
        <w:rPr>
          <w:rFonts w:hint="eastAsia"/>
          <w:color w:val="000000" w:themeColor="text1"/>
          <w14:textFill>
            <w14:solidFill>
              <w14:schemeClr w14:val="tx1"/>
            </w14:solidFill>
          </w14:textFill>
        </w:rPr>
        <w:t>污泥脱水间的压滤机滤布为消耗品，需定期更换，目前已更换4套滤布；斗提机链条和泥斗因长时间遭受腐蚀，链条磨损较大，多次出现故障维修，目前已更换链条和泥斗。下图为板框压滤机房和泥斗现状图：</w:t>
      </w:r>
    </w:p>
    <w:p>
      <w:pPr>
        <w:pStyle w:val="13"/>
        <w:ind w:firstLine="0" w:firstLineChars="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drawing>
          <wp:inline distT="0" distB="0" distL="0" distR="0">
            <wp:extent cx="2517775" cy="1887855"/>
            <wp:effectExtent l="19050" t="19050" r="15875" b="17145"/>
            <wp:docPr id="40" name="图片 40" descr="bc58dd8a40ad5fcf131547c1a8ac7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bc58dd8a40ad5fcf131547c1a8ac73b"/>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518810" cy="1888697"/>
                    </a:xfrm>
                    <a:prstGeom prst="rect">
                      <a:avLst/>
                    </a:prstGeom>
                    <a:noFill/>
                    <a:ln>
                      <a:solidFill>
                        <a:schemeClr val="tx1"/>
                      </a:solidFill>
                    </a:ln>
                    <a:effectLst/>
                  </pic:spPr>
                </pic:pic>
              </a:graphicData>
            </a:graphic>
          </wp:inline>
        </w:drawing>
      </w:r>
      <w:r>
        <w:rPr>
          <w:color w:val="000000" w:themeColor="text1"/>
          <w14:textFill>
            <w14:solidFill>
              <w14:schemeClr w14:val="tx1"/>
            </w14:solidFill>
          </w14:textFill>
        </w:rPr>
        <w:drawing>
          <wp:inline distT="0" distB="0" distL="0" distR="0">
            <wp:extent cx="2514600" cy="1885950"/>
            <wp:effectExtent l="19050" t="19050" r="19050" b="19050"/>
            <wp:docPr id="175567499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674995" name="图片 1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515015" cy="1886400"/>
                    </a:xfrm>
                    <a:prstGeom prst="rect">
                      <a:avLst/>
                    </a:prstGeom>
                    <a:noFill/>
                    <a:ln>
                      <a:solidFill>
                        <a:schemeClr val="tx1"/>
                      </a:solidFill>
                    </a:ln>
                    <a:effectLst/>
                  </pic:spPr>
                </pic:pic>
              </a:graphicData>
            </a:graphic>
          </wp:inline>
        </w:drawing>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（2）该项目机械设备维护保养</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以下为该项目部分机械设备维护保养润滑记录：</w:t>
      </w:r>
    </w:p>
    <w:p>
      <w:pPr>
        <w:pStyle w:val="13"/>
        <w:ind w:firstLine="0" w:firstLineChars="0"/>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525395" cy="1799590"/>
            <wp:effectExtent l="0" t="0" r="8255" b="0"/>
            <wp:docPr id="968217604"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217604" name="图片 1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525793" cy="1800000"/>
                    </a:xfrm>
                    <a:prstGeom prst="rect">
                      <a:avLst/>
                    </a:prstGeom>
                    <a:noFill/>
                    <a:ln>
                      <a:noFill/>
                    </a:ln>
                  </pic:spPr>
                </pic:pic>
              </a:graphicData>
            </a:graphic>
          </wp:inline>
        </w:drawing>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drawing>
          <wp:inline distT="0" distB="0" distL="0" distR="0">
            <wp:extent cx="2519045" cy="1799590"/>
            <wp:effectExtent l="0" t="0" r="0" b="0"/>
            <wp:docPr id="31567546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75462" name="图片 1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519650" cy="1800000"/>
                    </a:xfrm>
                    <a:prstGeom prst="rect">
                      <a:avLst/>
                    </a:prstGeom>
                    <a:noFill/>
                    <a:ln>
                      <a:noFill/>
                    </a:ln>
                  </pic:spPr>
                </pic:pic>
              </a:graphicData>
            </a:graphic>
          </wp:inline>
        </w:drawing>
      </w:r>
    </w:p>
    <w:p>
      <w:pPr>
        <w:ind w:firstLine="0" w:firstLineChars="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离心鼓风机维护保养            粗格栅维护保养</w:t>
      </w:r>
    </w:p>
    <w:p>
      <w:pPr>
        <w:pStyle w:val="13"/>
        <w:ind w:firstLine="0" w:firstLineChars="0"/>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533015" cy="1799590"/>
            <wp:effectExtent l="0" t="0" r="635" b="0"/>
            <wp:docPr id="48080603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806030" name="图片 1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533025" cy="1800000"/>
                    </a:xfrm>
                    <a:prstGeom prst="rect">
                      <a:avLst/>
                    </a:prstGeom>
                    <a:noFill/>
                    <a:ln>
                      <a:noFill/>
                    </a:ln>
                  </pic:spPr>
                </pic:pic>
              </a:graphicData>
            </a:graphic>
          </wp:inline>
        </w:drawing>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drawing>
          <wp:inline distT="0" distB="0" distL="0" distR="0">
            <wp:extent cx="2540000" cy="1799590"/>
            <wp:effectExtent l="0" t="0" r="0" b="0"/>
            <wp:docPr id="1583903924"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903924" name="图片 1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540089" cy="1800000"/>
                    </a:xfrm>
                    <a:prstGeom prst="rect">
                      <a:avLst/>
                    </a:prstGeom>
                    <a:noFill/>
                    <a:ln>
                      <a:noFill/>
                    </a:ln>
                  </pic:spPr>
                </pic:pic>
              </a:graphicData>
            </a:graphic>
          </wp:inline>
        </w:drawing>
      </w:r>
    </w:p>
    <w:p>
      <w:pPr>
        <w:ind w:firstLine="0" w:firstLineChars="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板框压滤机维护保养            细格栅维护保养</w:t>
      </w:r>
    </w:p>
    <w:p>
      <w:pPr>
        <w:pStyle w:val="13"/>
        <w:ind w:firstLine="0" w:firstLineChars="0"/>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543175" cy="1799590"/>
            <wp:effectExtent l="0" t="0" r="0" b="0"/>
            <wp:docPr id="173325877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258772" name="图片 1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543681" cy="1800000"/>
                    </a:xfrm>
                    <a:prstGeom prst="rect">
                      <a:avLst/>
                    </a:prstGeom>
                    <a:noFill/>
                    <a:ln>
                      <a:noFill/>
                    </a:ln>
                  </pic:spPr>
                </pic:pic>
              </a:graphicData>
            </a:graphic>
          </wp:inline>
        </w:drawing>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drawing>
          <wp:inline distT="0" distB="0" distL="0" distR="0">
            <wp:extent cx="2556510" cy="1799590"/>
            <wp:effectExtent l="0" t="0" r="0" b="0"/>
            <wp:docPr id="975379422"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379422" name="图片 1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56513" cy="1800000"/>
                    </a:xfrm>
                    <a:prstGeom prst="rect">
                      <a:avLst/>
                    </a:prstGeom>
                    <a:noFill/>
                    <a:ln>
                      <a:noFill/>
                    </a:ln>
                  </pic:spPr>
                </pic:pic>
              </a:graphicData>
            </a:graphic>
          </wp:inline>
        </w:drawing>
      </w:r>
    </w:p>
    <w:p>
      <w:pPr>
        <w:ind w:firstLine="0" w:firstLineChars="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潜水离心泵维护保养             斗提机维护保养</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该项目依照设备润滑维护保养计划按时进行设备的维护保养，未出现影响正常生产运行的隐患问题，且设备使用寿命远远大于设计使用寿命。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该项目处理设施采用高标准进行设计施工，粗格栅及提升泵房、细格栅及沉砂池、快速生化池、加磁高效沉淀池等主体构筑物均按照常规水质净化厂标准建设，具备长久运行能力。由于该项目维护保养工作到位，机械设备均具备继续运营条件，设备资源利用率达到最大化。</w:t>
      </w:r>
    </w:p>
    <w:p>
      <w:pPr>
        <w:pStyle w:val="43"/>
        <w:numPr>
          <w:ilvl w:val="-1"/>
          <w:numId w:val="0"/>
        </w:numPr>
        <w:spacing w:before="156" w:after="156"/>
        <w:rPr>
          <w:color w:val="000000" w:themeColor="text1"/>
          <w14:textFill>
            <w14:solidFill>
              <w14:schemeClr w14:val="tx1"/>
            </w14:solidFill>
          </w14:textFill>
        </w:rPr>
      </w:pPr>
      <w:bookmarkStart w:id="92" w:name="_Toc87490979"/>
      <w:bookmarkStart w:id="93" w:name="_Toc1883049744"/>
      <w:bookmarkStart w:id="94" w:name="_Toc823426218"/>
      <w:bookmarkStart w:id="95" w:name="_Toc219711480"/>
      <w:bookmarkStart w:id="96" w:name="_Toc1868896768"/>
      <w:r>
        <w:rPr>
          <w:rFonts w:hint="eastAsia"/>
          <w:color w:val="000000" w:themeColor="text1"/>
          <w:lang w:val="en-US" w:eastAsia="zh-CN"/>
          <w14:textFill>
            <w14:solidFill>
              <w14:schemeClr w14:val="tx1"/>
            </w14:solidFill>
          </w14:textFill>
        </w:rPr>
        <w:t>2.1.4</w:t>
      </w:r>
      <w:r>
        <w:rPr>
          <w:rFonts w:hint="eastAsia"/>
          <w:color w:val="000000" w:themeColor="text1"/>
          <w14:textFill>
            <w14:solidFill>
              <w14:schemeClr w14:val="tx1"/>
            </w14:solidFill>
          </w14:textFill>
        </w:rPr>
        <w:t>运营工况评估</w:t>
      </w:r>
      <w:bookmarkEnd w:id="92"/>
      <w:bookmarkEnd w:id="93"/>
      <w:bookmarkEnd w:id="94"/>
      <w:bookmarkEnd w:id="95"/>
      <w:bookmarkEnd w:id="96"/>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观澜河口调蓄池占地面积约2.99万m</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，项目规模旱季处理规模为10万m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/d，雨季处理规模为13万m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/d，自2023年5月27日运行至今运营状况稳定，出水稳定达标。</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2023-2024年度（2023.5.27-2024.5.26），旱季总处理水量596.58万m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，日均处理水量3.92万m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；雨季总处理水量2660.72万m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，日均处理水量12.43万m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2024-2025年度（2024.5.27-2025.5.26），旱季总处理水量471.86万m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，日均处理水量3.12万m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；雨季总处理水量2032.44万m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，日均处理水量9.50万m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根据运营以来处理水量统计，观澜河口调蓄池处理设施具备稳定出水的处理能力。</w:t>
      </w:r>
    </w:p>
    <w:p>
      <w:pPr>
        <w:pStyle w:val="3"/>
        <w:numPr>
          <w:ilvl w:val="-1"/>
          <w:numId w:val="0"/>
        </w:numPr>
        <w:spacing w:before="156" w:after="156"/>
        <w:ind w:left="0" w:firstLine="0"/>
        <w:rPr>
          <w:color w:val="000000" w:themeColor="text1"/>
          <w14:textFill>
            <w14:solidFill>
              <w14:schemeClr w14:val="tx1"/>
            </w14:solidFill>
          </w14:textFill>
        </w:rPr>
      </w:pPr>
      <w:bookmarkStart w:id="97" w:name="_Toc1825424355"/>
      <w:bookmarkStart w:id="98" w:name="_Toc526870632"/>
      <w:bookmarkStart w:id="99" w:name="_Toc1182767601"/>
      <w:bookmarkStart w:id="100" w:name="_Toc1553376296"/>
      <w:bookmarkStart w:id="101" w:name="_Toc219711481"/>
      <w:r>
        <w:rPr>
          <w:rFonts w:hint="eastAsia"/>
          <w:color w:val="000000" w:themeColor="text1"/>
          <w:lang w:val="en-US" w:eastAsia="zh-CN"/>
          <w14:textFill>
            <w14:solidFill>
              <w14:schemeClr w14:val="tx1"/>
            </w14:solidFill>
          </w14:textFill>
        </w:rPr>
        <w:t>2.2</w:t>
      </w:r>
      <w:r>
        <w:rPr>
          <w:rFonts w:hint="eastAsia"/>
          <w:color w:val="000000" w:themeColor="text1"/>
          <w14:textFill>
            <w14:solidFill>
              <w14:schemeClr w14:val="tx1"/>
            </w14:solidFill>
          </w14:textFill>
        </w:rPr>
        <w:t>继续运营方案</w:t>
      </w:r>
      <w:bookmarkEnd w:id="97"/>
      <w:bookmarkEnd w:id="98"/>
      <w:bookmarkEnd w:id="99"/>
      <w:bookmarkEnd w:id="100"/>
      <w:bookmarkEnd w:id="101"/>
    </w:p>
    <w:p>
      <w:pPr>
        <w:pStyle w:val="43"/>
        <w:numPr>
          <w:ilvl w:val="-1"/>
          <w:numId w:val="0"/>
        </w:numPr>
        <w:spacing w:before="156" w:after="156"/>
        <w:rPr>
          <w:color w:val="000000" w:themeColor="text1"/>
          <w14:textFill>
            <w14:solidFill>
              <w14:schemeClr w14:val="tx1"/>
            </w14:solidFill>
          </w14:textFill>
        </w:rPr>
      </w:pPr>
      <w:bookmarkStart w:id="102" w:name="_Toc1128820864"/>
      <w:bookmarkStart w:id="103" w:name="_Toc1841787532"/>
      <w:bookmarkStart w:id="104" w:name="_Toc1780975246"/>
      <w:bookmarkStart w:id="105" w:name="_Toc1446331914"/>
      <w:bookmarkStart w:id="106" w:name="_Toc219711482"/>
      <w:r>
        <w:rPr>
          <w:rFonts w:hint="eastAsia"/>
          <w:color w:val="000000" w:themeColor="text1"/>
          <w:lang w:val="en-US" w:eastAsia="zh-CN"/>
          <w14:textFill>
            <w14:solidFill>
              <w14:schemeClr w14:val="tx1"/>
            </w14:solidFill>
          </w14:textFill>
        </w:rPr>
        <w:t>2.2.1</w:t>
      </w:r>
      <w:r>
        <w:rPr>
          <w:rFonts w:hint="eastAsia"/>
          <w:color w:val="000000" w:themeColor="text1"/>
          <w14:textFill>
            <w14:solidFill>
              <w14:schemeClr w14:val="tx1"/>
            </w14:solidFill>
          </w14:textFill>
        </w:rPr>
        <w:t>水处理方案</w:t>
      </w:r>
      <w:bookmarkEnd w:id="102"/>
      <w:bookmarkEnd w:id="103"/>
      <w:bookmarkEnd w:id="104"/>
      <w:bookmarkEnd w:id="105"/>
      <w:bookmarkEnd w:id="106"/>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场站进水为箱涵来水，箱涵内截流污水通过闸门控制，重力自流经粗格栅、沉砂池预处理后，由提升泵房提升至上部处理设施，经细格栅进一步去除细微毛絮、渣滓后，进入快速生化池处理，经生化反应后，COD、BOD、氨氮等主要污染物大部分被去除，快速生化池出水经加磁高效沉淀池深度处理、紫外消毒池消毒处理后，出水排入河道。</w:t>
      </w:r>
    </w:p>
    <w:p>
      <w:pPr>
        <w:pStyle w:val="80"/>
        <w:numPr>
          <w:ilvl w:val="-1"/>
          <w:numId w:val="0"/>
        </w:numPr>
        <w:spacing w:before="156" w:after="156"/>
        <w:rPr>
          <w:color w:val="000000" w:themeColor="text1"/>
          <w14:textFill>
            <w14:solidFill>
              <w14:schemeClr w14:val="tx1"/>
            </w14:solidFill>
          </w14:textFill>
        </w:rPr>
      </w:pPr>
      <w:bookmarkStart w:id="107" w:name="_Toc853659023"/>
      <w:bookmarkStart w:id="108" w:name="_Toc1128843736"/>
      <w:bookmarkStart w:id="109" w:name="_Toc526099308"/>
      <w:bookmarkStart w:id="110" w:name="_Toc972481355"/>
      <w:bookmarkStart w:id="111" w:name="_Toc219711483"/>
      <w:r>
        <w:rPr>
          <w:rFonts w:hint="eastAsia"/>
          <w:color w:val="000000" w:themeColor="text1"/>
          <w:lang w:val="en-US" w:eastAsia="zh-CN"/>
          <w14:textFill>
            <w14:solidFill>
              <w14:schemeClr w14:val="tx1"/>
            </w14:solidFill>
          </w14:textFill>
        </w:rPr>
        <w:t>2.2.1.1</w:t>
      </w:r>
      <w:r>
        <w:rPr>
          <w:rFonts w:hint="eastAsia"/>
          <w:color w:val="000000" w:themeColor="text1"/>
          <w14:textFill>
            <w14:solidFill>
              <w14:schemeClr w14:val="tx1"/>
            </w14:solidFill>
          </w14:textFill>
        </w:rPr>
        <w:t>预处理运行管理</w:t>
      </w:r>
      <w:bookmarkEnd w:id="107"/>
      <w:bookmarkEnd w:id="108"/>
      <w:bookmarkEnd w:id="109"/>
      <w:bookmarkEnd w:id="110"/>
      <w:bookmarkEnd w:id="111"/>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预处理单元能将漂浮物、砂、沉淀物有效去除，对于保证整个污水处理厂的正常运转是至关重要的。</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1、格栅运行管理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格栅作为进水预处理第一阶段，主要是去除大颗粒及渣类等物质，以保证后续处理工艺的正常运行。本场站格栅主要有抓斗式粗格栅、回转式粗格栅和转鼓式细格栅三种形式。</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（1）粗格栅运行管理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日常运维管理：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1）定时清除栅渣。汛期时加强巡视，并增加清污次数；</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2）粗格栅开启前，检查机电设备是否具备开机条件；</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3）粗格栅工作时，密切监视机电设备的运转情况，发现故障立即停机检修；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4）对清捞出的栅渣妥善处理和处置；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5）检修粗格栅或人工清捞栅渣时，应注意安全并进行有效监护。</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维修养护管理：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1）每日检查：在轴承座中加注润滑脂；检查整机运行是否平衡，是否有异常响声；检查是否有杂物缠绕，如有必须立即清除。</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2）每周检查：检查设备的电气线路和紧急停止功能是否正常；检查设备的运行状态是否平稳，是否有异常响声；</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3）减速机中的润滑油定期更换，一般设备投入正常使用，运转半个月后需更换新油，以后每隔三个月更换一次油，平时注意减速器油位；</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4）避免长期“停机”，如果设备安装后没有立即投入运行，每周至少有一次一小时的空转，并检查设备各部位是否处于良好状态；</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5）发现除污机的链瓣有断裂现象等，必须立即更换；</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6）格栅间应保持清洁干净。</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（2）细格栅运行管理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日常运行管理：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1）定时清除栅渣。汛期时加强巡视，并增加清污次数。</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2）细格栅工作时，密切监视机电设备的运转情况，发现故障立即停机检修。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3）对清捞出的栅渣妥善处理和处置。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4）检修细格栅或人工清捞栅渣时，应注意安全并进行有效监护。</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维修养护管理：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1）每周都要检查机械格栅除污机的电气线路和紧急停止的功能是否正常；</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2）保持细格栅周围清洁；</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3）每天清理后挡板、集渣口垃圾一次；</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4）发现传送链瓣有断裂现象立即更换</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5）如设备发生故障，应立即停止生产，并通知生产厂家进行维修。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此外根据现场运维人员的工作经验，针对转鼓细格栅可能面临的异常情况总结的应对方法如下：</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①当进水流量较大时，超声波液位探头采集的栅前栅后水位数据波动较大，导致转股细格栅频繁起停，此时可以将转鼓格栅的起动水位差设定的大一些，将停机的水位差设定值设置的小一些。</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②当转鼓格栅系统需要检修或停电等原因长时期不运转时，转鼓鼓身底部、集渣槽及螺旋压榨机都会出现不同程度的堵渣、集砂现象，应采用高压水枪对其冲洗，保证整个系统的畅通。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2、沉砂池运行管理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沉砂池作为进水预处理第二阶段，其作用是去除小颗粒及难溶的比重大的物质，对进入后端生化池的污水中污染物的削减起到很关键的作用，故在日常的运营管理过程中需要做好以下方面实际运维管理。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（1）沉砂池沉砂量应有统计记录；</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（2）对沉砂池排出的砂粒和清捞出的浮渣应及时处理或处置；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（3）定期检修移动式液压抓斗除砂设备；</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（4）对沉砂池上的相关设备应做好防潮湿，抗腐蚀处理。</w:t>
      </w:r>
    </w:p>
    <w:p>
      <w:pPr>
        <w:pStyle w:val="80"/>
        <w:numPr>
          <w:ilvl w:val="-1"/>
          <w:numId w:val="0"/>
        </w:numPr>
        <w:spacing w:before="156" w:after="156"/>
        <w:rPr>
          <w:color w:val="000000" w:themeColor="text1"/>
          <w14:textFill>
            <w14:solidFill>
              <w14:schemeClr w14:val="tx1"/>
            </w14:solidFill>
          </w14:textFill>
        </w:rPr>
      </w:pPr>
      <w:bookmarkStart w:id="112" w:name="_Toc219711484"/>
      <w:bookmarkStart w:id="113" w:name="_Toc1950660498"/>
      <w:bookmarkStart w:id="114" w:name="_Toc1925508300"/>
      <w:bookmarkStart w:id="115" w:name="_Toc100242828"/>
      <w:bookmarkStart w:id="116" w:name="_Toc1637781236"/>
      <w:r>
        <w:rPr>
          <w:rFonts w:hint="eastAsia"/>
          <w:color w:val="000000" w:themeColor="text1"/>
          <w:lang w:val="en-US" w:eastAsia="zh-CN"/>
          <w14:textFill>
            <w14:solidFill>
              <w14:schemeClr w14:val="tx1"/>
            </w14:solidFill>
          </w14:textFill>
        </w:rPr>
        <w:t>2.2.1.2</w:t>
      </w:r>
      <w:r>
        <w:rPr>
          <w:rFonts w:hint="eastAsia"/>
          <w:color w:val="000000" w:themeColor="text1"/>
          <w14:textFill>
            <w14:solidFill>
              <w14:schemeClr w14:val="tx1"/>
            </w14:solidFill>
          </w14:textFill>
        </w:rPr>
        <w:t>生物处理运行管理</w:t>
      </w:r>
      <w:bookmarkEnd w:id="112"/>
      <w:bookmarkEnd w:id="113"/>
      <w:bookmarkEnd w:id="114"/>
      <w:bookmarkEnd w:id="115"/>
      <w:bookmarkEnd w:id="116"/>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快速生化处理工艺是活性污泥法的一种改进形式，是利用微生物处理污水中有机污染物的一种工艺。做好生化池的运行管理工作对出水水质的保障起到决定性作用。运行管理人员应每天掌握生物反应池的pH、DO、MLSS、SV、浊度等工艺控制指标，发现异常及时调整运行工况。具体实施方案如下：</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（1）生化池需控制酸碱度（pH）在合理范围内，过酸过碱都将影响COD的降解，抑制污泥活性。实际运行过程中，通过投加药剂使其维持在合理范围内。</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（2）保障生化池溶解氧浓度在2.0-3.0mg/L，溶解氧偏低时需要调节风机出口阀门，增大曝气量或减小进水量，降低生化池运行负荷。若溶解氧长时间保持较高状态可对生化系统进行间断式运行。</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（3）保障活性污泥MLSS在合理范围内，通常情况下，通过控制污泥龄（合理的排除活性污泥）来控制生化池的污泥浓度。此外还可通过调节水温来控制污泥浓度，结合场站实际情况，前者是主要的控制手段。</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（4）活性污泥浓度会影响沉降比（SV）的最终沉降值。活性污泥控制浓度越高，活性污泥沉降比的最终结果就越大，反之则越小。故可通过控制活性污泥的浓度间接控制污泥沉降比。</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（5）生化池出水浊度高，可以适当增加PAC、PAM加药量。</w:t>
      </w:r>
    </w:p>
    <w:p>
      <w:pPr>
        <w:pStyle w:val="80"/>
        <w:numPr>
          <w:ilvl w:val="-1"/>
          <w:numId w:val="0"/>
        </w:numPr>
        <w:spacing w:before="156" w:after="156"/>
        <w:rPr>
          <w:color w:val="000000" w:themeColor="text1"/>
          <w14:textFill>
            <w14:solidFill>
              <w14:schemeClr w14:val="tx1"/>
            </w14:solidFill>
          </w14:textFill>
        </w:rPr>
      </w:pPr>
      <w:bookmarkStart w:id="117" w:name="_Toc219711485"/>
      <w:bookmarkStart w:id="118" w:name="_Toc1233009926"/>
      <w:bookmarkStart w:id="119" w:name="_Toc2099410695"/>
      <w:bookmarkStart w:id="120" w:name="_Toc1071513386"/>
      <w:bookmarkStart w:id="121" w:name="_Toc160587915"/>
      <w:r>
        <w:rPr>
          <w:rFonts w:hint="eastAsia"/>
          <w:color w:val="000000" w:themeColor="text1"/>
          <w:lang w:val="en-US" w:eastAsia="zh-CN"/>
          <w14:textFill>
            <w14:solidFill>
              <w14:schemeClr w14:val="tx1"/>
            </w14:solidFill>
          </w14:textFill>
        </w:rPr>
        <w:t>2.2.1.3</w:t>
      </w:r>
      <w:r>
        <w:rPr>
          <w:rFonts w:hint="eastAsia"/>
          <w:color w:val="000000" w:themeColor="text1"/>
          <w14:textFill>
            <w14:solidFill>
              <w14:schemeClr w14:val="tx1"/>
            </w14:solidFill>
          </w14:textFill>
        </w:rPr>
        <w:t>深度处理运行管理</w:t>
      </w:r>
      <w:bookmarkEnd w:id="117"/>
      <w:bookmarkEnd w:id="118"/>
      <w:bookmarkEnd w:id="119"/>
      <w:bookmarkEnd w:id="120"/>
      <w:bookmarkEnd w:id="121"/>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场站深度处理单元为加磁高效沉淀池，其运行控制系统主要由反应池搅拌机、沉淀池刮泥机、磁分离器、高剪机四部分组成，需要做好日常运行的启动关停等规定动作。对加磁高效沉淀池常见问题的解决方案归结如下。</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（1）反应池絮体不佳，沉淀池出水浊度高</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①检查PAM加药泵及加药量，检查絮凝剂加药泵系统确保以正确的频率工作或系统没有堵塞，加药量过低及过高都会导致絮体形成不佳。</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②自PAM池内取样于干净烧杯内观察絮体特征及沉降特性和浊度。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③确保搅拌机速度不要过快或过慢。</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（2）沉淀池污泥层深度过高</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①检查药剂投加计量泵，核实药剂投加量，观察剩余污泥特征，确保污泥浓度与颜色正常（如果有短流问题，污泥会细小并水分较多），每隔一段时间测量污泥层厚度直至恢复正常。</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②检查高剪机是否工作以及速度设定，测量PAM池内的磁粉浓度，检查磁分离机外壳及保护层。</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（3）磁分离机停转</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当污泥流进磁分离机时，以低进水流量，重新启动磁分离机与剩余污泥泵，如果磁分离机开始正常运转，则原来的磁分离机进水流量过高。如果磁分离机再次停转，则很有可能是磁分离机与槽底之间的空隙堵塞。</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②关闭磁分离机，并以高于水管冲洗磁分离机与槽底之间的空隙以去除其间的污泥。有可能需要取出磁分离机来清理上面堵塞的固体物质。</w:t>
      </w:r>
    </w:p>
    <w:p>
      <w:pPr>
        <w:pStyle w:val="43"/>
        <w:numPr>
          <w:ilvl w:val="-1"/>
          <w:numId w:val="0"/>
        </w:numPr>
        <w:spacing w:before="156" w:after="156"/>
        <w:rPr>
          <w:color w:val="000000" w:themeColor="text1"/>
          <w14:textFill>
            <w14:solidFill>
              <w14:schemeClr w14:val="tx1"/>
            </w14:solidFill>
          </w14:textFill>
        </w:rPr>
      </w:pPr>
      <w:bookmarkStart w:id="122" w:name="_Toc1447753885"/>
      <w:bookmarkStart w:id="123" w:name="_Toc717082144"/>
      <w:bookmarkStart w:id="124" w:name="_Toc219711486"/>
      <w:bookmarkStart w:id="125" w:name="_Toc1724429195"/>
      <w:bookmarkStart w:id="126" w:name="_Toc1336714067"/>
      <w:r>
        <w:rPr>
          <w:rFonts w:hint="eastAsia"/>
          <w:color w:val="000000" w:themeColor="text1"/>
          <w:lang w:val="en-US" w:eastAsia="zh-CN"/>
          <w14:textFill>
            <w14:solidFill>
              <w14:schemeClr w14:val="tx1"/>
            </w14:solidFill>
          </w14:textFill>
        </w:rPr>
        <w:t>2.2.2</w:t>
      </w:r>
      <w:r>
        <w:rPr>
          <w:rFonts w:hint="eastAsia"/>
          <w:color w:val="000000" w:themeColor="text1"/>
          <w14:textFill>
            <w14:solidFill>
              <w14:schemeClr w14:val="tx1"/>
            </w14:solidFill>
          </w14:textFill>
        </w:rPr>
        <w:t>污泥处理处置方案</w:t>
      </w:r>
      <w:bookmarkEnd w:id="122"/>
      <w:bookmarkEnd w:id="123"/>
      <w:bookmarkEnd w:id="124"/>
      <w:bookmarkEnd w:id="125"/>
      <w:bookmarkEnd w:id="126"/>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项目污泥处理区布置于厂区北侧，快速生化池及加磁高效沉淀池所产污泥，经污泥管道系统输送至污泥处理系统处理，项目产生污泥排入重力浓缩池进行重力浓缩至95%左右，再进行加药调理，调理后通过机械脱水后含水率达到60%以下标准，通过污泥运输车外运至合法接收点处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污泥脱水系统高效稳定运行对保障生化池污泥的活性，水质指标异常情况时的应对措施起着关键性的作用。为保证脱水系统能够高效稳定运行，结合场站的实际情况制定如下规定：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日常运行管理：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1）用机械设备进行污泥脱水时，选用合适的化学调节剂；</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2）化学调节剂的投加量根据污泥的性质、消化程度、固体浓度等因素，通过试验确定；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3）按照化学调节剂的种类、有效期、贮存条件来确定贮备量和贮存方式。化学调节剂先存先用；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4）药剂的配制须符合脱水工艺的要求；</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5）污泥脱水机带负荷运行前空车运转数分钟；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6）污泥脱水机在运行中，随污泥变化应及时调整控制装置；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7）在溶药池边工作时注意防滑；</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8）操作人员做好机房内的通风工作；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9）污泥脱水机的日常操作：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①开机前准备工作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a.检查气压系统管路和阀的联接处，确保无泄漏。检查各管道的阀门开闭情况是否正确无误（污泥进液阀开、喷淋进水阀开、排污底阀关），确保絮凝剂预配置完毕。</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b.检查电源电压是否正常，检查电气箱内的接线端螺钉，有松动立即拧紧。推动电源闸刀开关至ON状态，检查各电元件和接电是否有异常，确认正常后推上电源开关。</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c.检查脱水机本体驱动电机的旋转方向是否正确（正确转向为从滤饼排出方向看是逆时针方向），否则，将会出现破损或故障。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d.将药注泵控制开关开启，注意药注泵的转向是否正确，检查絮凝药剂能否正常输入，若泵内有空气，则可采取排气或添加引水的办法将余气排出，保证药液正常输送。</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e.将污泥泵控制开关开启，检查污泥泵转向是否正确，检查污水原液能否正常输入，若泵内有空气，则可采取排气或添加引水的办法将余气排出，保证污水正常输入。</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②启动与停机</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I、启动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a.向PAM制备系统内加入絮凝剂粉剂并开启搅拌装置；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b.手动喷淋过滤本体上的动定碟片2分钟；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c.开启本体驱动电机，并检查本体驱动电机的旋转方向是否正确，同时继续喷淋2分钟；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d.依次启动絮凝剂供药泵、进泥泵及絮凝搅拌电机；</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e.调整进泥量和螺旋轴转速速度、调整背压板间距，使处理量和含水率达到最优状态。</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II、停机</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a.关闭污泥进料泵，停止进污泥。</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b.关闭加药泵、加药系统，停止加药。</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c.放空絮凝混合槽，停止絮凝搅拌电机。</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d.待污泥全部排尽（不得少于30分钟），手动喷淋过滤本体5分钟，将设备冲洗干净。</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e.关闭电源。</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维修养护管理：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1）自动运行时设定合理的运停时间，并按要求完成整道工序；</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2）根据污泥浓度不同将“流量调节管”调至适当高度；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3）严禁污泥量过载，防止脱水机本体内因污泥量过多造成污泥淤积到浓缩段；</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4）严禁大渣块、木块、金属块等硬质固体流入污泥泵体及脱水机的滤体中；</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5）人工清洗时，不得将水潵到电机、电控箱等电器元件上。</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6）定期给减速机更换或添加齿轮润滑油；</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7）定期（1个月）检查过滤本体等各处螺母是否有松动；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a.污泥脱水设备的各项操作应严格按照产品说明书和操作规程进行。</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b.电器控制系统如出现故障，先切断电源，停机修复或更换元件。定期对电器进行绝缘性能测定。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c.保持污泥脱水机周围环境的洁净。及时清除机器上残留滤液、滤饼。活塞杆定时涂抹润滑油脂。</w:t>
      </w:r>
    </w:p>
    <w:p>
      <w:pPr>
        <w:pStyle w:val="43"/>
        <w:numPr>
          <w:ilvl w:val="-1"/>
          <w:numId w:val="0"/>
        </w:numPr>
        <w:spacing w:before="156" w:after="156"/>
        <w:rPr>
          <w:color w:val="000000" w:themeColor="text1"/>
          <w14:textFill>
            <w14:solidFill>
              <w14:schemeClr w14:val="tx1"/>
            </w14:solidFill>
          </w14:textFill>
        </w:rPr>
      </w:pPr>
      <w:bookmarkStart w:id="127" w:name="_Toc625521384"/>
      <w:bookmarkStart w:id="128" w:name="_Toc515932962"/>
      <w:bookmarkStart w:id="129" w:name="_Toc945660439"/>
      <w:bookmarkStart w:id="130" w:name="_Toc219711487"/>
      <w:bookmarkStart w:id="131" w:name="_Toc262261695"/>
      <w:r>
        <w:rPr>
          <w:rFonts w:hint="eastAsia"/>
          <w:color w:val="000000" w:themeColor="text1"/>
          <w:lang w:val="en-US" w:eastAsia="zh-CN"/>
          <w14:textFill>
            <w14:solidFill>
              <w14:schemeClr w14:val="tx1"/>
            </w14:solidFill>
          </w14:textFill>
        </w:rPr>
        <w:t>2.2.3</w:t>
      </w:r>
      <w:r>
        <w:rPr>
          <w:rFonts w:hint="eastAsia"/>
          <w:color w:val="000000" w:themeColor="text1"/>
          <w14:textFill>
            <w14:solidFill>
              <w14:schemeClr w14:val="tx1"/>
            </w14:solidFill>
          </w14:textFill>
        </w:rPr>
        <w:t>调蓄池及上部厂区日常运行维护方案</w:t>
      </w:r>
      <w:bookmarkEnd w:id="127"/>
      <w:bookmarkEnd w:id="128"/>
      <w:bookmarkEnd w:id="129"/>
      <w:bookmarkEnd w:id="130"/>
      <w:bookmarkEnd w:id="131"/>
    </w:p>
    <w:p>
      <w:pPr>
        <w:pStyle w:val="80"/>
        <w:numPr>
          <w:ilvl w:val="-1"/>
          <w:numId w:val="0"/>
        </w:numPr>
        <w:spacing w:before="156" w:after="156"/>
        <w:rPr>
          <w:color w:val="000000" w:themeColor="text1"/>
          <w14:textFill>
            <w14:solidFill>
              <w14:schemeClr w14:val="tx1"/>
            </w14:solidFill>
          </w14:textFill>
        </w:rPr>
      </w:pPr>
      <w:bookmarkStart w:id="132" w:name="_Toc1746655632"/>
      <w:bookmarkStart w:id="133" w:name="_Toc1508834736"/>
      <w:bookmarkStart w:id="134" w:name="_Toc591944774"/>
      <w:bookmarkStart w:id="135" w:name="_Toc1003446523"/>
      <w:bookmarkStart w:id="136" w:name="_Toc219711488"/>
      <w:r>
        <w:rPr>
          <w:rFonts w:hint="eastAsia"/>
          <w:color w:val="000000" w:themeColor="text1"/>
          <w:lang w:val="en-US" w:eastAsia="zh-CN"/>
          <w14:textFill>
            <w14:solidFill>
              <w14:schemeClr w14:val="tx1"/>
            </w14:solidFill>
          </w14:textFill>
        </w:rPr>
        <w:t>2.2.3.1</w:t>
      </w:r>
      <w:r>
        <w:rPr>
          <w:rFonts w:hint="eastAsia"/>
          <w:color w:val="000000" w:themeColor="text1"/>
          <w14:textFill>
            <w14:solidFill>
              <w14:schemeClr w14:val="tx1"/>
            </w14:solidFill>
          </w14:textFill>
        </w:rPr>
        <w:t>项目运行管理制度</w:t>
      </w:r>
      <w:bookmarkEnd w:id="132"/>
      <w:bookmarkEnd w:id="133"/>
      <w:bookmarkEnd w:id="134"/>
      <w:bookmarkEnd w:id="135"/>
      <w:bookmarkEnd w:id="136"/>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1.现场运行管理制度</w:t>
      </w:r>
    </w:p>
    <w:p>
      <w:pPr>
        <w:pStyle w:val="98"/>
        <w:numPr>
          <w:ilvl w:val="0"/>
          <w:numId w:val="3"/>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运营开始，启动《运行日志》；</w:t>
      </w:r>
    </w:p>
    <w:p>
      <w:pPr>
        <w:pStyle w:val="98"/>
        <w:numPr>
          <w:ilvl w:val="0"/>
          <w:numId w:val="3"/>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实地熟悉现场实际情况，对比分析项目平面布置、主要建构筑物、配套设施设备、设备配置等情况与图纸、文件资料是否有不符的地方；</w:t>
      </w:r>
    </w:p>
    <w:p>
      <w:pPr>
        <w:pStyle w:val="98"/>
        <w:numPr>
          <w:ilvl w:val="0"/>
          <w:numId w:val="3"/>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熟悉周边环境，包括周边材料采购、交通、安全、医疗等相关情况；</w:t>
      </w:r>
    </w:p>
    <w:p>
      <w:pPr>
        <w:pStyle w:val="98"/>
        <w:numPr>
          <w:ilvl w:val="0"/>
          <w:numId w:val="3"/>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与业主单位、主管部门、项目建设单位等进行面对面沟通，就相关问题交换意见、寻求建议，必要时组织人员参加设备验收、工程验收等与交接管理相关的重要工作会议；</w:t>
      </w:r>
    </w:p>
    <w:p>
      <w:pPr>
        <w:pStyle w:val="98"/>
        <w:numPr>
          <w:ilvl w:val="0"/>
          <w:numId w:val="3"/>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组织全体人员参与技术培训、技术交流活动；</w:t>
      </w:r>
    </w:p>
    <w:p>
      <w:pPr>
        <w:pStyle w:val="98"/>
        <w:numPr>
          <w:ilvl w:val="0"/>
          <w:numId w:val="3"/>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对项目运行的水耗、电耗、药耗进行统计分析；</w:t>
      </w:r>
    </w:p>
    <w:p>
      <w:pPr>
        <w:pStyle w:val="98"/>
        <w:numPr>
          <w:ilvl w:val="0"/>
          <w:numId w:val="3"/>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积极主动配合完成业主单位、主管部门、监理部门的相关要求与考核。</w:t>
      </w:r>
    </w:p>
    <w:p>
      <w:pPr>
        <w:pStyle w:val="98"/>
        <w:numPr>
          <w:ilvl w:val="0"/>
          <w:numId w:val="3"/>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每日工作包括但不限于以下几部分：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运维组：根据运营计划和主管部门相关要求及指示，调控、管理相关设施设备的启闭等运行状态，做好数据记录及归档，必要时做好照片、视频等影像采集，发现异常情况按照相关常识及知识进行处理，视情况需要进行上报反映；</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设备组：检查工程及保护设施有无破损、塌陷、松动及人为破坏等现象，正常情况下，对于在巡检过程中发现的问题，应根据有关规定和常识采取措施立即处理，同时及时将问题和处理情况上报；每天巡查后应及时填写巡查记录，并应确保填写内容真实、准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③保洁组：保洁应做到每天至少彻底清扫一次，及时清除调蓄池园区各类建筑上的灰尘、污物、小广告、涂画，保障设施清洁、美观，做到养护范围无生活垃圾或杂物、石砾、砖块、建筑垃圾、工业或农业废弃物、动物尸体或粪便和蝇蚊滋生等。垃圾箱完好率应不低于95%，及时清理垃圾箱内垃圾，垃圾箱周围无散落垃圾，垃圾应密闭收集转运，堆放滞留时间不得超过一天，日产日清，不得堆放、弃置和处理生活垃圾和余泥渣土等。定期对垃圾收集点做清洗和消杀处理，使之无明显异味，地面无污迹、积水，垃圾收集、转运区域及周边应干净整洁。禁止往调蓄池偏僻地段倾倒垃圾和其他废料。禁止在调蓄池范围内掩埋垃圾。</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④绿化组：管养维护标准参照《深圳市园林绿化管养规范》，本项目绿化及园建设施维护按二级养护标准。绿化组人员应每天进行绿化浇灌、修剪等工作，应注意观察植物生长状态，发现缺苗、死苗应及时补苗，以保持正常植物密度。日常巡查中，需及时对受灾害的植物进行清理维护。在环境条件合适的情况下，植物会自然地蔓延到未播种的地方，也会从那些环境压力较大的地方迁移，要求维护人员对植物进行定期管理与收割，收割的植物垃圾应及时清运。</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⑤安保组：安保组的重要职责是管理区域内的财产安全与人身安全，确保良好的办公及生活秩序；确保管理区域内相关设备及管理设施等不受破坏，检查、制止管护范围内危及工程安全的违章行为；检查、劝离管护范围内无关人员的进入对管理区域内常见的违法事件和突发事件，如非法倾倒、违法施工、非法经营、盗窃或破坏等进行及时处理，并及时汇报。</w:t>
      </w:r>
    </w:p>
    <w:p>
      <w:pPr>
        <w:pStyle w:val="98"/>
        <w:numPr>
          <w:ilvl w:val="0"/>
          <w:numId w:val="3"/>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每周工作包括开展每周一次运营工作总结会议，通报本周运营维护情况，汇总问题，总结经验，必要时向上汇报，同时做好下周计划；</w:t>
      </w:r>
    </w:p>
    <w:p>
      <w:pPr>
        <w:pStyle w:val="98"/>
        <w:ind w:left="560" w:firstLine="0"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每月工作计划包括但不限于以下内容：</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①编制运营维护工作月报；</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②做好数据整理录入，各项资料整理归档；</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③做好费用统计与下月费用计划；</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④统计备品备件情况，做好下月材料购买与管理计划。</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2.生产调度管理制度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（1）生产调度计划</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为确保项目生产运营顺畅有序，将成立专门的生产调度组，负责项目日常生产的统一调度。生产调度小组由项目负责人及设备、绿化等各管理要素工程师组成，其中，项目负责人负责整个生产调度过程的总协调，设备、绿化等各管理要素工程师负责全站对应生产要素的调度协调及指令下达。具体生产调度计划包括以下内容：</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1）水量计划：根据合同及相关文件，以及主管部门的相关要求、指示，依据片区年平均水量、年汛期平均水量、年枯水季节平均水量、管网建设对水量的影响、大修技改对水量的影响等因素，制定水量计划。</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电量、电费及电单耗计划：编制电量、电费及电单耗计划需考虑因素：年平均电单耗、水量变化对用电的影响、季节变化（水量大小、温度等）对用电的影响、外部用电对用电的影响、国家电网电价及政策的调整对电费的影响、不同设计规模对用电的影响。</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3）自来水量计划：编制自来水量计划需考虑年平均自来水用量、绿化及消防（采用自来水）对自来水量的影响、季节变化对自来水量的影响、生活用水对自来水量的影响、管道泄漏对自来水量的影响。</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设备维护保养计划：编制设备维护保养计划需考虑不同工艺设备配置不同、设备产地（国产、进口）及厂家、设备使用年限、设备等级的影响、设备的使用频率、设备使用环境、设备的使用说明书及安全操作规程。</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5）大修、技改、更新计划：编制大修、技改、更新计划需考虑设备的使用说明书及安全操作规程、不同设备配置不同、设备使用年限及使用频率、设备等级、设备使用环境变化。</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（2）生产调度管理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1）召开生产调度会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召开生产调度会是运行管理的重要环节，通过生产调度会对生产各环节进行总结分析，生产调度会内容为：</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①交班负责人向接班人员汇报本班生产情况、存在的问题、注意事项及上级指示；</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②接班人员根据接班前检查情况，向交班人员提问，交班人员应予说明；</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③接班负责人根据人员出勤情况，调配岗位人员，布置本班工作任务及注意事项。</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④对口交班，接班人员在交班本上签名。</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⑤交班人员召开班会后，当班负责人讲评本班工作。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2）召开运维管理分析会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运维管理分析会由生产调度组、各运管班组组长及管理和技术人员参加。内容如下：</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①各班组组长和技术人员汇报本周工作总结及下周工作计划；</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②生产调度组总结分析本周生产调度和运维管理状况，判断项目运行各项参数是否在合理范围内，针对本周运维管理存在问题制定相应措施，布置下周运维管养工作。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③总结、讲评上周项目运行状况，形成会议纪要，明确责任人，落实会议精神。</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3）召开运维成本分析会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运维成本分析会由生产调度组、各运管班组组长及管理和技术人员参加，每月召开一次。内容如下：</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①各班组组长和技术人员汇报上月工作总结及下月工作计划；</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②生产部门总结分析上月生产、成本工作，重点分析各生产经营指标（水量、电量、污泥量、药剂耗量、电单耗、药单耗等等），对存在问题在下一步生产过程中采取措施，布置下月生产工作。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③总结、讲评上月重要工作，布置下月工作计划及生产指标控制重点。</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3.交接班管理制度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为更高效的完成项目的日常运维管理工作，保障调蓄池生产运行的每个环节不出纰漏，规范化运维管理流程，特制订相关规章制度。</w:t>
      </w:r>
    </w:p>
    <w:p>
      <w:pPr>
        <w:pStyle w:val="98"/>
        <w:numPr>
          <w:ilvl w:val="0"/>
          <w:numId w:val="4"/>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值班记录的交接，其中包括值班记录表、设备运行记录、设备保养记录、各构筑物工艺运行记录、生产调度令及工作计划安排、水质等相关记录表，对于缺少必要记录的情况，交接双方在查明原因的前提下，被接班组方可离开。</w:t>
      </w:r>
    </w:p>
    <w:p>
      <w:pPr>
        <w:pStyle w:val="98"/>
        <w:numPr>
          <w:ilvl w:val="0"/>
          <w:numId w:val="4"/>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接班人员需要提前到岗，并协同值班人员对现场进行巡视、核实，接班后发生的问题由接班组负责。</w:t>
      </w:r>
    </w:p>
    <w:p>
      <w:pPr>
        <w:pStyle w:val="98"/>
        <w:numPr>
          <w:ilvl w:val="0"/>
          <w:numId w:val="4"/>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准备离岗的班组要在下班以前，对所负责区域给予清理，保证下一班组有干净的工作环境。</w:t>
      </w:r>
    </w:p>
    <w:p>
      <w:pPr>
        <w:pStyle w:val="98"/>
        <w:numPr>
          <w:ilvl w:val="0"/>
          <w:numId w:val="4"/>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对于工作当中所使用的工具，要在下班以前交还至仓库统一管理，不得随意保存。有特殊情况时，要向库管人员说明。</w:t>
      </w:r>
    </w:p>
    <w:p>
      <w:pPr>
        <w:pStyle w:val="98"/>
        <w:numPr>
          <w:ilvl w:val="0"/>
          <w:numId w:val="4"/>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若接班人员无故缺岗，待接班组要及时向负责领导反映情况，在替班人员未到之前，不得缺岗。</w:t>
      </w:r>
    </w:p>
    <w:p>
      <w:pPr>
        <w:pStyle w:val="98"/>
        <w:numPr>
          <w:ilvl w:val="0"/>
          <w:numId w:val="4"/>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在岗人员若遇到紧急情况需要离岗时，要及时电话告知负责领导，不得随意脱岗。</w:t>
      </w:r>
    </w:p>
    <w:p>
      <w:pPr>
        <w:pStyle w:val="98"/>
        <w:numPr>
          <w:ilvl w:val="0"/>
          <w:numId w:val="4"/>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当发生对生产有破坏性的大事故时，交接班双方要共同努力排除故障，解决问题之后，被接班组方可离岗。</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4.内外沟通管理制度</w:t>
      </w:r>
    </w:p>
    <w:p>
      <w:pPr>
        <w:pStyle w:val="98"/>
        <w:numPr>
          <w:ilvl w:val="0"/>
          <w:numId w:val="5"/>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为加强项目部内部交流及对外沟通往来的管理，搭建及时高效的沟通渠道，确保内外讯息传递的顺畅性、时效性，特建立内外沟通管理制度，对沟通手段、交流要求等进行规范要求。具体如下：</w:t>
      </w:r>
    </w:p>
    <w:p>
      <w:pPr>
        <w:pStyle w:val="98"/>
        <w:numPr>
          <w:ilvl w:val="0"/>
          <w:numId w:val="5"/>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项目部内部建立微信群，共享通讯录，项目人员手机24小时开机，确保有应急情况发生时，能第一时间取得联系；</w:t>
      </w:r>
    </w:p>
    <w:p>
      <w:pPr>
        <w:pStyle w:val="98"/>
        <w:numPr>
          <w:ilvl w:val="0"/>
          <w:numId w:val="5"/>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通过现代化通信手段（微信、QQ等）由公司相关负责人与有关政府主管部门保持联系，保证与相关主管部门的及时有效沟通；</w:t>
      </w:r>
    </w:p>
    <w:p>
      <w:pPr>
        <w:pStyle w:val="98"/>
        <w:numPr>
          <w:ilvl w:val="0"/>
          <w:numId w:val="5"/>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与项目所在地周边相关水利水务设施运营单位建立协调联动机制，做好运营调度工作，最大限度发挥项目作用；</w:t>
      </w:r>
    </w:p>
    <w:p>
      <w:pPr>
        <w:pStyle w:val="98"/>
        <w:numPr>
          <w:ilvl w:val="0"/>
          <w:numId w:val="5"/>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全力配合主管部门到现场检查项目运营和维护情况，定期组织召开工作汇报会。</w:t>
      </w:r>
    </w:p>
    <w:p>
      <w:pPr>
        <w:pStyle w:val="80"/>
        <w:numPr>
          <w:ilvl w:val="-1"/>
          <w:numId w:val="0"/>
        </w:numPr>
        <w:spacing w:before="156" w:after="156"/>
        <w:rPr>
          <w:color w:val="000000" w:themeColor="text1"/>
          <w14:textFill>
            <w14:solidFill>
              <w14:schemeClr w14:val="tx1"/>
            </w14:solidFill>
          </w14:textFill>
        </w:rPr>
      </w:pPr>
      <w:bookmarkStart w:id="137" w:name="_Toc814868666"/>
      <w:bookmarkStart w:id="138" w:name="_Toc1544017413"/>
      <w:bookmarkStart w:id="139" w:name="_Toc388556556"/>
      <w:bookmarkStart w:id="140" w:name="_Toc219711489"/>
      <w:bookmarkStart w:id="141" w:name="_Toc908361022"/>
      <w:r>
        <w:rPr>
          <w:rFonts w:hint="eastAsia"/>
          <w:color w:val="000000" w:themeColor="text1"/>
          <w:lang w:val="en-US" w:eastAsia="zh-CN"/>
          <w14:textFill>
            <w14:solidFill>
              <w14:schemeClr w14:val="tx1"/>
            </w14:solidFill>
          </w14:textFill>
        </w:rPr>
        <w:t>2.2.3.2</w:t>
      </w:r>
      <w:r>
        <w:rPr>
          <w:rFonts w:hint="eastAsia"/>
          <w:color w:val="000000" w:themeColor="text1"/>
          <w14:textFill>
            <w14:solidFill>
              <w14:schemeClr w14:val="tx1"/>
            </w14:solidFill>
          </w14:textFill>
        </w:rPr>
        <w:t>安全生产规范</w:t>
      </w:r>
      <w:bookmarkEnd w:id="137"/>
      <w:bookmarkEnd w:id="138"/>
      <w:bookmarkEnd w:id="139"/>
      <w:bookmarkEnd w:id="140"/>
      <w:bookmarkEnd w:id="141"/>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项目建立以项目负责人为组长的安全生产领导小组，负责全厂安全生产管理工作。对项目全员实行安全生产责任制，根据工作岗位的性质、特点和具体工作内容，明确各岗位从业人员的安全生产责任范围和责任内容，实现生产运行全过程安全责任追溯。 </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1.项目负责人安全管理职责</w:t>
      </w:r>
    </w:p>
    <w:p>
      <w:pPr>
        <w:pStyle w:val="98"/>
        <w:numPr>
          <w:ilvl w:val="0"/>
          <w:numId w:val="6"/>
        </w:numPr>
        <w:ind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职责</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①项目负责人必须贯彻落实国家安全生产法律、法规和有关决策部署，执行公司、部门安全规章制度，建立健全所管理项目安全 生产规章制度、操作规程、生产安全事故应急预案等。</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②落实部门安全生产责任制，落实各项安全生产管理工作，监督所管理项目员工、劳务派遣人员落实各项安全生产责任，确保安全生产责任到岗、落实到人</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③参与公司安全生产标准化建设工作。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④参与部门安全规定动作清单的修订、完善，执行安全生产规定动作。监督所管理项目员工、劳务派遣人员落实各项安全生产规定动作。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⑤日常工作中制止和纠正所管理项目违章指挥、强令冒险作业、违反操作规程、违反安全生产规定动作清单的行为。 </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⑥制定、申报项目年度安全生产计划和安全生产资金预算，落实所管理项目安全生产计划及资金投入。</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⑦落实风险分级管控机制，参与部门安全生产检查、事故隐患排查和治理、危险源辨识和评估。组织开展所管理项目月度安全生产检查、事故隐患排查和治理、危险源辨识和评估。提出改进安全生产管理的建议，督促整改措施的落实。</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⑧按规定接受部门安全生产教育培训，组织安排开展劳务人员三级安全教育培训。</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⑨按规定开展所管理项目事故应急救援演练，并组织项目下属员工、劳务派遣人员参与公司、部门的事故应急救援演练。</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⑩配合开展所管理项目的生产安全事故救援、善后处置及事故调查。</w:t>
      </w:r>
    </w:p>
    <w:p>
      <w:pPr>
        <w:ind w:firstLine="560"/>
        <w:rPr>
          <w:color w:val="000000" w:themeColor="text1"/>
          <w14:textFill>
            <w14:solidFill>
              <w14:schemeClr w14:val="tx1"/>
            </w14:solidFill>
          </w14:textFill>
        </w:rPr>
      </w:pPr>
      <w:r>
        <w:rPr>
          <w:rFonts w:ascii="Cambria Math" w:hAnsi="Cambria Math" w:eastAsia="Arial Unicode MS" w:cs="Cambria Math"/>
          <w:color w:val="000000" w:themeColor="text1"/>
          <w14:textFill>
            <w14:solidFill>
              <w14:schemeClr w14:val="tx1"/>
            </w14:solidFill>
          </w14:textFill>
        </w:rPr>
        <w:t>⑪</w:t>
      </w:r>
      <w:r>
        <w:rPr>
          <w:color w:val="000000" w:themeColor="text1"/>
          <w14:textFill>
            <w14:solidFill>
              <w14:schemeClr w14:val="tx1"/>
            </w14:solidFill>
          </w14:textFill>
        </w:rPr>
        <w:t>接受公司、部门的安全生产绩效考核，参与部门的安全生产绩效考核。产绩效考核。</w:t>
      </w:r>
    </w:p>
    <w:p>
      <w:pPr>
        <w:ind w:firstLine="560"/>
        <w:rPr>
          <w:color w:val="000000" w:themeColor="text1"/>
          <w14:textFill>
            <w14:solidFill>
              <w14:schemeClr w14:val="tx1"/>
            </w14:solidFill>
          </w14:textFill>
        </w:rPr>
      </w:pPr>
      <w:r>
        <w:rPr>
          <w:rFonts w:ascii="Cambria Math" w:hAnsi="Cambria Math" w:eastAsia="Arial Unicode MS" w:cs="Cambria Math"/>
          <w:color w:val="000000" w:themeColor="text1"/>
          <w14:textFill>
            <w14:solidFill>
              <w14:schemeClr w14:val="tx1"/>
            </w14:solidFill>
          </w14:textFill>
        </w:rPr>
        <w:t>⑫</w:t>
      </w:r>
      <w:r>
        <w:rPr>
          <w:color w:val="000000" w:themeColor="text1"/>
          <w14:textFill>
            <w14:solidFill>
              <w14:schemeClr w14:val="tx1"/>
            </w14:solidFill>
          </w14:textFill>
        </w:rPr>
        <w:t xml:space="preserve">组织参与所管理项目安全生产工作会议，参与部门安全生 产工作会议，跟进安全事项的落实情况。 </w:t>
      </w:r>
    </w:p>
    <w:p>
      <w:pPr>
        <w:ind w:firstLine="560"/>
        <w:rPr>
          <w:color w:val="000000" w:themeColor="text1"/>
          <w14:textFill>
            <w14:solidFill>
              <w14:schemeClr w14:val="tx1"/>
            </w14:solidFill>
          </w14:textFill>
        </w:rPr>
      </w:pPr>
      <w:r>
        <w:rPr>
          <w:rFonts w:ascii="Cambria Math" w:hAnsi="Cambria Math" w:eastAsia="Arial Unicode MS" w:cs="Cambria Math"/>
          <w:color w:val="000000" w:themeColor="text1"/>
          <w14:textFill>
            <w14:solidFill>
              <w14:schemeClr w14:val="tx1"/>
            </w14:solidFill>
          </w14:textFill>
        </w:rPr>
        <w:t>⑬</w:t>
      </w:r>
      <w:r>
        <w:rPr>
          <w:color w:val="000000" w:themeColor="text1"/>
          <w14:textFill>
            <w14:solidFill>
              <w14:schemeClr w14:val="tx1"/>
            </w14:solidFill>
          </w14:textFill>
        </w:rPr>
        <w:t>完成上级领</w:t>
      </w:r>
      <w:r>
        <w:rPr>
          <w:rFonts w:hint="eastAsia"/>
          <w:color w:val="000000" w:themeColor="text1"/>
          <w14:textFill>
            <w14:solidFill>
              <w14:schemeClr w14:val="tx1"/>
            </w14:solidFill>
          </w14:textFill>
        </w:rPr>
        <w:t>导安排的其他安全管理任务。</w:t>
      </w:r>
    </w:p>
    <w:p>
      <w:pPr>
        <w:pStyle w:val="98"/>
        <w:numPr>
          <w:ilvl w:val="0"/>
          <w:numId w:val="6"/>
        </w:numPr>
        <w:ind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安全管理保证措施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①根据部门年度目标，分解落实项目年度安全生产目标并逐级签订安全生产目标责任书。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②按照《安全生产目标管理制度》要求，每半年度对项目安全生产目标完成情况进行考核奖惩。</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③每月召开一次项目安全会议，规范存档会议记录。</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④按照《安全生产投入管理制度》，落实项目安全投入资金，保证必要的安全生产费用投入。</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⑤严格按年度培训计划组织开展各类安全生产培训（如常规项目安全管理、新员工、相关方、外来人员等等），并采取试卷考核、培训评估表等方法评价培训效果。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⑥强化现场设备设施管理，安全色、安全标志、设备标志、安全防护、消防设施等配置及维护符合设计或有关规定。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⑦加强防汛度汛组织机构建设，人员配置齐全，岗位责任明确，防汛度汛物资设备配备充足；按规定编制防汛度汛方案和应急预案；按规定开展汛前、汛中和汛后检查，记录规范，发现问题及时解决。</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⑧现场安全措施落实到位，警示标志、防护措施设置符合规定，特种作业人员持证上岗，安全管理记录规范。</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⑨与进入管理范围内从事检修、施工作业等相关方签订安全生产协议，明确双方安全生产责任和义务；对其进入管理范围前进行安全交底与告知，作业过程中实施有效的监督，对特种作业人员要现场验证。</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⑩建立安全预防控制体系和隐患排查治理体系，督促、检查安全生产工作，确认重大事故隐患整改和职业病危害防治情况。 </w:t>
      </w:r>
    </w:p>
    <w:p>
      <w:pPr>
        <w:ind w:firstLine="560"/>
        <w:rPr>
          <w:color w:val="000000" w:themeColor="text1"/>
          <w14:textFill>
            <w14:solidFill>
              <w14:schemeClr w14:val="tx1"/>
            </w14:solidFill>
          </w14:textFill>
        </w:rPr>
      </w:pPr>
      <w:r>
        <w:rPr>
          <w:rFonts w:ascii="Cambria Math" w:hAnsi="Cambria Math" w:eastAsia="Arial Unicode MS" w:cs="Cambria Math"/>
          <w:color w:val="000000" w:themeColor="text1"/>
          <w14:textFill>
            <w14:solidFill>
              <w14:schemeClr w14:val="tx1"/>
            </w14:solidFill>
          </w14:textFill>
        </w:rPr>
        <w:t>⑪</w:t>
      </w:r>
      <w:r>
        <w:rPr>
          <w:color w:val="000000" w:themeColor="text1"/>
          <w14:textFill>
            <w14:solidFill>
              <w14:schemeClr w14:val="tx1"/>
            </w14:solidFill>
          </w14:textFill>
        </w:rPr>
        <w:t>按规定每年至少组织</w:t>
      </w:r>
      <w:r>
        <w:rPr>
          <w:rFonts w:hint="eastAsia"/>
          <w:color w:val="000000" w:themeColor="text1"/>
          <w14:textFill>
            <w14:solidFill>
              <w14:schemeClr w14:val="tx1"/>
            </w14:solidFill>
          </w14:textFill>
        </w:rPr>
        <w:t xml:space="preserve">一次综合或者专项应急演练，每半年至少组织一次现场处置方案，对应急演练的效果进行评估，提出改进措施，根据改进意见进行应急管理提升。 </w:t>
      </w:r>
    </w:p>
    <w:p>
      <w:pPr>
        <w:ind w:firstLine="560"/>
        <w:rPr>
          <w:color w:val="000000" w:themeColor="text1"/>
          <w14:textFill>
            <w14:solidFill>
              <w14:schemeClr w14:val="tx1"/>
            </w14:solidFill>
          </w14:textFill>
        </w:rPr>
      </w:pPr>
      <w:r>
        <w:rPr>
          <w:rFonts w:ascii="Cambria Math" w:hAnsi="Cambria Math" w:eastAsia="Arial Unicode MS" w:cs="Cambria Math"/>
          <w:color w:val="000000" w:themeColor="text1"/>
          <w14:textFill>
            <w14:solidFill>
              <w14:schemeClr w14:val="tx1"/>
            </w14:solidFill>
          </w14:textFill>
        </w:rPr>
        <w:t>⑫</w:t>
      </w:r>
      <w:r>
        <w:rPr>
          <w:color w:val="000000" w:themeColor="text1"/>
          <w14:textFill>
            <w14:solidFill>
              <w14:schemeClr w14:val="tx1"/>
            </w14:solidFill>
          </w14:textFill>
        </w:rPr>
        <w:t>发</w:t>
      </w:r>
      <w:r>
        <w:rPr>
          <w:rFonts w:hint="eastAsia"/>
          <w:color w:val="000000" w:themeColor="text1"/>
          <w14:textFill>
            <w14:solidFill>
              <w14:schemeClr w14:val="tx1"/>
            </w14:solidFill>
          </w14:textFill>
        </w:rPr>
        <w:t>生事故后按照《生产安全事故报告和调查理条例》（国务院493号令）的规定及时、准确、完整的向有关部门报告，并妥善保护事故现场及有关证据。立即到现场组织抢救，采取有效措施，防止事故扩大，并保护事故现场及有关证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2.资料岗安全生产职责</w:t>
      </w:r>
    </w:p>
    <w:p>
      <w:pPr>
        <w:pStyle w:val="98"/>
        <w:numPr>
          <w:ilvl w:val="0"/>
          <w:numId w:val="7"/>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员工在项目工作期间必须服从项目的安全管理，严格遵守项目的各项安全规章制度和操作规程。</w:t>
      </w:r>
    </w:p>
    <w:p>
      <w:pPr>
        <w:pStyle w:val="98"/>
        <w:numPr>
          <w:ilvl w:val="0"/>
          <w:numId w:val="7"/>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制止和纠正违章指挥、强令冒险作业、违反操作规程、违反安全生产规定动作清单的行为。 </w:t>
      </w:r>
    </w:p>
    <w:p>
      <w:pPr>
        <w:pStyle w:val="98"/>
        <w:numPr>
          <w:ilvl w:val="0"/>
          <w:numId w:val="7"/>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遵守安全纪律，提高安全意识。作业现场所有安全设施，不得随意拆除、挪动、损坏，发现有破坏安全设施的行为，有权制止并上报。</w:t>
      </w:r>
    </w:p>
    <w:p>
      <w:pPr>
        <w:pStyle w:val="98"/>
        <w:numPr>
          <w:ilvl w:val="0"/>
          <w:numId w:val="7"/>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必须接受项目负责人的监督检查和正确领导，对于项目下达的隐患整改通知必须无条件执行，并按期整改完成，报项目负责人复查。</w:t>
      </w:r>
    </w:p>
    <w:p>
      <w:pPr>
        <w:pStyle w:val="98"/>
        <w:numPr>
          <w:ilvl w:val="0"/>
          <w:numId w:val="7"/>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认真执行各项安全技术措施和各项安全技术交底。</w:t>
      </w:r>
    </w:p>
    <w:p>
      <w:pPr>
        <w:pStyle w:val="98"/>
        <w:numPr>
          <w:ilvl w:val="0"/>
          <w:numId w:val="7"/>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严格按照项目培训计划组织开展项目安全教育培训活动，做好项目全体人员三级安全教育培训档案。</w:t>
      </w:r>
    </w:p>
    <w:p>
      <w:pPr>
        <w:pStyle w:val="98"/>
        <w:numPr>
          <w:ilvl w:val="0"/>
          <w:numId w:val="7"/>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配合各级安全生产检查，编写安全隐患整改台账，确保内容真实、准确、齐全、有效、完整。</w:t>
      </w:r>
    </w:p>
    <w:p>
      <w:pPr>
        <w:pStyle w:val="98"/>
        <w:numPr>
          <w:ilvl w:val="0"/>
          <w:numId w:val="7"/>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日常工作检查出来的一般安全隐患，及时落实整改，较为严重的安全隐患，立即向项目安全管理人员或项目负责人报告。</w:t>
      </w:r>
    </w:p>
    <w:p>
      <w:pPr>
        <w:pStyle w:val="98"/>
        <w:numPr>
          <w:ilvl w:val="0"/>
          <w:numId w:val="7"/>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定期检查盘点项目应急物资，及时采购。</w:t>
      </w:r>
    </w:p>
    <w:p>
      <w:pPr>
        <w:pStyle w:val="98"/>
        <w:numPr>
          <w:ilvl w:val="0"/>
          <w:numId w:val="7"/>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工作时间必须及时到岗，不得脱岗办私事。</w:t>
      </w:r>
    </w:p>
    <w:p>
      <w:pPr>
        <w:pStyle w:val="98"/>
        <w:numPr>
          <w:ilvl w:val="0"/>
          <w:numId w:val="7"/>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熟知应知应会并掌握“四不伤害”具体内容，积极参与项目和公司组织的安全专项培训和应急演练。</w:t>
      </w:r>
    </w:p>
    <w:p>
      <w:pPr>
        <w:pStyle w:val="98"/>
        <w:numPr>
          <w:ilvl w:val="0"/>
          <w:numId w:val="7"/>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不得携带易燃易爆或其他危险品进入项目场所，在项目内部发现危险物品时，须及时控制，并迅速上报本项目负责人。</w:t>
      </w:r>
    </w:p>
    <w:p>
      <w:pPr>
        <w:pStyle w:val="98"/>
        <w:numPr>
          <w:ilvl w:val="0"/>
          <w:numId w:val="7"/>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若发生安全事故或发现重大安全隐患，必须立即报告项目负责人，并积极配合项目及有关部门进行调查处理。</w:t>
      </w:r>
    </w:p>
    <w:p>
      <w:pPr>
        <w:pStyle w:val="98"/>
        <w:numPr>
          <w:ilvl w:val="0"/>
          <w:numId w:val="7"/>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参加有关事故分析，吸取事故教训，积极提出预防措施和促进安全生产、改善劳动条件的合理意见。</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3.化验岗安全生产职责</w:t>
      </w:r>
    </w:p>
    <w:p>
      <w:pPr>
        <w:pStyle w:val="98"/>
        <w:numPr>
          <w:ilvl w:val="0"/>
          <w:numId w:val="8"/>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员工在项目工作期间必须服从项目的安全管理，严格遵守项目的各项安全规章制度和操作规程。</w:t>
      </w:r>
    </w:p>
    <w:p>
      <w:pPr>
        <w:pStyle w:val="98"/>
        <w:numPr>
          <w:ilvl w:val="0"/>
          <w:numId w:val="8"/>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制止和纠正违章指挥、强令冒险作业、违反操作规程、违反安全生产规定动作清单的行为。</w:t>
      </w:r>
    </w:p>
    <w:p>
      <w:pPr>
        <w:pStyle w:val="98"/>
        <w:numPr>
          <w:ilvl w:val="0"/>
          <w:numId w:val="8"/>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遵守安全纪律，提高安全意识。作业现场所有安全设施，不得随意拆除、挪动、损坏，发现有破坏安全设施的行为，有权制止并上报。</w:t>
      </w:r>
    </w:p>
    <w:p>
      <w:pPr>
        <w:pStyle w:val="98"/>
        <w:numPr>
          <w:ilvl w:val="0"/>
          <w:numId w:val="8"/>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必须接受项目负责人的监督检查和正确领导，对于项目下达的隐患整改通知必须无条件执行，并按期整改完成，报项目负责人复查。</w:t>
      </w:r>
    </w:p>
    <w:p>
      <w:pPr>
        <w:pStyle w:val="98"/>
        <w:numPr>
          <w:ilvl w:val="0"/>
          <w:numId w:val="8"/>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认真执行各项安全技术措施和各项安全技术交底。</w:t>
      </w:r>
    </w:p>
    <w:p>
      <w:pPr>
        <w:pStyle w:val="98"/>
        <w:numPr>
          <w:ilvl w:val="0"/>
          <w:numId w:val="8"/>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参加三级安全生产教育培训，掌握本岗位操作技能和应急处置措施，具备必要的安全生产知识。</w:t>
      </w:r>
    </w:p>
    <w:p>
      <w:pPr>
        <w:pStyle w:val="98"/>
        <w:numPr>
          <w:ilvl w:val="0"/>
          <w:numId w:val="8"/>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作业过程中，必须正确佩戴和使用符合国家或行业标准的安全防护用品。工作时间必须穿戴防护服，佩戴口罩，特殊作业时，必须佩戴护目镜、防毒面具。</w:t>
      </w:r>
    </w:p>
    <w:p>
      <w:pPr>
        <w:pStyle w:val="98"/>
        <w:numPr>
          <w:ilvl w:val="0"/>
          <w:numId w:val="8"/>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严格按照《危险化学品管理条例》管理危险化学品，做好危险化学品的保管和领用工作。 </w:t>
      </w:r>
    </w:p>
    <w:p>
      <w:pPr>
        <w:pStyle w:val="98"/>
        <w:numPr>
          <w:ilvl w:val="0"/>
          <w:numId w:val="8"/>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日常工作检查出来的一般安全隐患，及时落实整改，较为严重的安全隐患，立即向项目安全管理人员或项目负责人报告。</w:t>
      </w:r>
    </w:p>
    <w:p>
      <w:pPr>
        <w:pStyle w:val="98"/>
        <w:numPr>
          <w:ilvl w:val="0"/>
          <w:numId w:val="8"/>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工作时间必须及时到岗，不得脱岗办私事。</w:t>
      </w:r>
    </w:p>
    <w:p>
      <w:pPr>
        <w:pStyle w:val="98"/>
        <w:numPr>
          <w:ilvl w:val="0"/>
          <w:numId w:val="8"/>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熟知应知应会并掌握“四不伤害”具体内容，积极参与项目和公司组织的安全专项培训和应急演练。</w:t>
      </w:r>
    </w:p>
    <w:p>
      <w:pPr>
        <w:pStyle w:val="98"/>
        <w:numPr>
          <w:ilvl w:val="0"/>
          <w:numId w:val="8"/>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不得携带易燃易爆或其他危险品进入项目场所，在项目内部发现危险物品时，须及时控制，并迅速上报本项目负责人。</w:t>
      </w:r>
    </w:p>
    <w:p>
      <w:pPr>
        <w:pStyle w:val="98"/>
        <w:numPr>
          <w:ilvl w:val="0"/>
          <w:numId w:val="8"/>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若发生安全事故或发现重大安全隐患，必须立即报告项目负责人，并积极配合项目及有关部门进行调查处理。</w:t>
      </w:r>
    </w:p>
    <w:p>
      <w:pPr>
        <w:pStyle w:val="98"/>
        <w:numPr>
          <w:ilvl w:val="0"/>
          <w:numId w:val="8"/>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参加有关事故分析，吸取事故教训，积极提出预防措施和促进安全生产、改善劳动条件的合理意见。</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维修岗安全生产职责</w:t>
      </w:r>
    </w:p>
    <w:p>
      <w:pPr>
        <w:pStyle w:val="98"/>
        <w:numPr>
          <w:ilvl w:val="0"/>
          <w:numId w:val="9"/>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员工在项目工作期间必须服从项目的安全管理，严格遵守项目的各项安全规章制度和操作规程。</w:t>
      </w:r>
    </w:p>
    <w:p>
      <w:pPr>
        <w:pStyle w:val="98"/>
        <w:numPr>
          <w:ilvl w:val="0"/>
          <w:numId w:val="9"/>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制止和纠正违章指挥、强令冒险作业、违反操作规程、违反安全生产规定动作清单的行为。</w:t>
      </w:r>
    </w:p>
    <w:p>
      <w:pPr>
        <w:pStyle w:val="98"/>
        <w:numPr>
          <w:ilvl w:val="0"/>
          <w:numId w:val="9"/>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遵守安全纪律，提高安全意识。作业现场所有安全设施，不得随意拆除、挪动、损坏，发现有破坏安全设施的行为，有权制止并上报。</w:t>
      </w:r>
    </w:p>
    <w:p>
      <w:pPr>
        <w:pStyle w:val="98"/>
        <w:numPr>
          <w:ilvl w:val="0"/>
          <w:numId w:val="9"/>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必须接受项目负责人的监督检查和正确领导，对于项目下达的隐患整改通知必须无条件执行，并按期整改完成，报项目负责人复查。</w:t>
      </w:r>
    </w:p>
    <w:p>
      <w:pPr>
        <w:pStyle w:val="98"/>
        <w:numPr>
          <w:ilvl w:val="0"/>
          <w:numId w:val="9"/>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认真执行各项安全技术措施和各项安全技术交底。</w:t>
      </w:r>
    </w:p>
    <w:p>
      <w:pPr>
        <w:pStyle w:val="98"/>
        <w:numPr>
          <w:ilvl w:val="0"/>
          <w:numId w:val="9"/>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参加三级安全生产教育培训，掌握本岗位操作技能和应急处置措施，具备必要的安全生产知识。 </w:t>
      </w:r>
    </w:p>
    <w:p>
      <w:pPr>
        <w:pStyle w:val="98"/>
        <w:numPr>
          <w:ilvl w:val="0"/>
          <w:numId w:val="9"/>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特种作业人员，必须持证上岗。</w:t>
      </w:r>
    </w:p>
    <w:p>
      <w:pPr>
        <w:pStyle w:val="98"/>
        <w:numPr>
          <w:ilvl w:val="0"/>
          <w:numId w:val="9"/>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作业过程中，必须正确佩戴和使用符合国家或行业标准的安全防护用品。工作时间必须穿戴劳保服，特殊作业时，必须佩戴安全帽。</w:t>
      </w:r>
    </w:p>
    <w:p>
      <w:pPr>
        <w:pStyle w:val="98"/>
        <w:numPr>
          <w:ilvl w:val="0"/>
          <w:numId w:val="9"/>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严格执行《危险作业管理制度》，作业前做好审批和防护工作。</w:t>
      </w:r>
    </w:p>
    <w:p>
      <w:pPr>
        <w:pStyle w:val="98"/>
        <w:numPr>
          <w:ilvl w:val="0"/>
          <w:numId w:val="9"/>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工作时间必须及时到岗，不得脱岗办私事。</w:t>
      </w:r>
    </w:p>
    <w:p>
      <w:pPr>
        <w:pStyle w:val="98"/>
        <w:numPr>
          <w:ilvl w:val="0"/>
          <w:numId w:val="9"/>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熟知应知应会并掌握“四不伤害”具体内容，积极参与项目和公司组织的安全专项培训和应急演练。 </w:t>
      </w:r>
    </w:p>
    <w:p>
      <w:pPr>
        <w:pStyle w:val="98"/>
        <w:numPr>
          <w:ilvl w:val="0"/>
          <w:numId w:val="9"/>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不得携带易燃易爆或其他危险品进入项目场所，在项目内部发现危险物品时，须及时控制，并迅速上报本项目负责人。</w:t>
      </w:r>
    </w:p>
    <w:p>
      <w:pPr>
        <w:pStyle w:val="98"/>
        <w:numPr>
          <w:ilvl w:val="0"/>
          <w:numId w:val="9"/>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若发生安全事故或发现重大安全隐患，必须立即报告项目负责人，并积极配合项目及有关部门进行调查处理。 </w:t>
      </w:r>
    </w:p>
    <w:p>
      <w:pPr>
        <w:pStyle w:val="98"/>
        <w:numPr>
          <w:ilvl w:val="0"/>
          <w:numId w:val="9"/>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参加有关事故分析，吸取事故教训，积极提出预防措施和促进安全生产、改善劳动条件的合理意见。</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5.运维岗安全生产职责</w:t>
      </w:r>
    </w:p>
    <w:p>
      <w:pPr>
        <w:pStyle w:val="98"/>
        <w:numPr>
          <w:ilvl w:val="0"/>
          <w:numId w:val="10"/>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员工在项目工作期间必须服从项目的安全管理，严格遵守项目的各项安全规章制度和操作规程。 </w:t>
      </w:r>
    </w:p>
    <w:p>
      <w:pPr>
        <w:pStyle w:val="98"/>
        <w:numPr>
          <w:ilvl w:val="0"/>
          <w:numId w:val="10"/>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制止和纠正违章指挥、强令冒险作业、违反操作规程、违 反安全生产规定动作清单的行为。 </w:t>
      </w:r>
    </w:p>
    <w:p>
      <w:pPr>
        <w:pStyle w:val="98"/>
        <w:numPr>
          <w:ilvl w:val="0"/>
          <w:numId w:val="10"/>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遵守安全纪律，提高安全意识。作业现场所有安全设施，不得随意拆除、挪动、损坏，发现有破坏安全设施的行为，有权制止并上报。</w:t>
      </w:r>
    </w:p>
    <w:p>
      <w:pPr>
        <w:pStyle w:val="98"/>
        <w:numPr>
          <w:ilvl w:val="0"/>
          <w:numId w:val="10"/>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必须接受项目负责人的监督检查和正确领导，对于项目下达的隐患整改通知必须无条件执行，并按期整改完成，报项目负责人复查。</w:t>
      </w:r>
    </w:p>
    <w:p>
      <w:pPr>
        <w:pStyle w:val="98"/>
        <w:numPr>
          <w:ilvl w:val="0"/>
          <w:numId w:val="10"/>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认真执行各项安全技术措施和各项安全技术交底。</w:t>
      </w:r>
    </w:p>
    <w:p>
      <w:pPr>
        <w:pStyle w:val="98"/>
        <w:numPr>
          <w:ilvl w:val="0"/>
          <w:numId w:val="10"/>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参加三级安全生产教育培训，掌握本岗位操作技能和应急处置措施，具备必要的安全生产知识。</w:t>
      </w:r>
    </w:p>
    <w:p>
      <w:pPr>
        <w:pStyle w:val="98"/>
        <w:numPr>
          <w:ilvl w:val="0"/>
          <w:numId w:val="10"/>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作业过程中，必须正确佩戴和使用符合国家或行业标准的安全防护用品，工作时间必须穿戴劳保服。 </w:t>
      </w:r>
    </w:p>
    <w:p>
      <w:pPr>
        <w:pStyle w:val="98"/>
        <w:numPr>
          <w:ilvl w:val="0"/>
          <w:numId w:val="10"/>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交接班时，须严格执行交接班制度。</w:t>
      </w:r>
    </w:p>
    <w:p>
      <w:pPr>
        <w:pStyle w:val="98"/>
        <w:numPr>
          <w:ilvl w:val="0"/>
          <w:numId w:val="10"/>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工作时间必须及时到岗，不得脱岗办私事。 </w:t>
      </w:r>
    </w:p>
    <w:p>
      <w:pPr>
        <w:pStyle w:val="98"/>
        <w:numPr>
          <w:ilvl w:val="0"/>
          <w:numId w:val="10"/>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维护保养好现场设备和安全防护装置，认真进行巡回检查，发现问题及时处理。</w:t>
      </w:r>
    </w:p>
    <w:p>
      <w:pPr>
        <w:pStyle w:val="98"/>
        <w:numPr>
          <w:ilvl w:val="0"/>
          <w:numId w:val="10"/>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熟知应知应会并掌握“四不伤害”具体内容，积极参与项目和部门组织的安全专项培训和应急演练。</w:t>
      </w:r>
    </w:p>
    <w:p>
      <w:pPr>
        <w:pStyle w:val="98"/>
        <w:numPr>
          <w:ilvl w:val="0"/>
          <w:numId w:val="10"/>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不得携带易燃易爆或其他危险品进入项目场所，在项目内部发现危险物品时，须及时控制，并迅速上报本项目负责人。</w:t>
      </w:r>
    </w:p>
    <w:p>
      <w:pPr>
        <w:pStyle w:val="98"/>
        <w:numPr>
          <w:ilvl w:val="0"/>
          <w:numId w:val="10"/>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若发生安全事故或发现重大安全隐患，必须立即报告项目负责人，并积极配合项目及有关部门进行调查处理。</w:t>
      </w:r>
    </w:p>
    <w:p>
      <w:pPr>
        <w:pStyle w:val="98"/>
        <w:numPr>
          <w:ilvl w:val="0"/>
          <w:numId w:val="10"/>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参加有关事故分析，吸取事故教训，积极提出预防措施和促进安全生产、改善劳动条件的合理意见。</w:t>
      </w:r>
    </w:p>
    <w:p>
      <w:pPr>
        <w:pStyle w:val="80"/>
        <w:numPr>
          <w:ilvl w:val="-1"/>
          <w:numId w:val="0"/>
        </w:numPr>
        <w:spacing w:before="156" w:after="156"/>
        <w:rPr>
          <w:color w:val="000000" w:themeColor="text1"/>
          <w14:textFill>
            <w14:solidFill>
              <w14:schemeClr w14:val="tx1"/>
            </w14:solidFill>
          </w14:textFill>
        </w:rPr>
      </w:pPr>
      <w:bookmarkStart w:id="142" w:name="_Toc1530414319"/>
      <w:bookmarkStart w:id="143" w:name="_Toc1597554682"/>
      <w:bookmarkStart w:id="144" w:name="_Toc219711490"/>
      <w:bookmarkStart w:id="145" w:name="_Toc1525208256"/>
      <w:bookmarkStart w:id="146" w:name="_Toc1862077245"/>
      <w:r>
        <w:rPr>
          <w:rFonts w:hint="eastAsia"/>
          <w:color w:val="000000" w:themeColor="text1"/>
          <w:lang w:val="en-US" w:eastAsia="zh-CN"/>
          <w14:textFill>
            <w14:solidFill>
              <w14:schemeClr w14:val="tx1"/>
            </w14:solidFill>
          </w14:textFill>
        </w:rPr>
        <w:t>2.2.3.3</w:t>
      </w:r>
      <w:r>
        <w:rPr>
          <w:rFonts w:hint="eastAsia"/>
          <w:color w:val="000000" w:themeColor="text1"/>
          <w14:textFill>
            <w14:solidFill>
              <w14:schemeClr w14:val="tx1"/>
            </w14:solidFill>
          </w14:textFill>
        </w:rPr>
        <w:t>安全作业规程</w:t>
      </w:r>
      <w:bookmarkEnd w:id="142"/>
      <w:bookmarkEnd w:id="143"/>
      <w:bookmarkEnd w:id="144"/>
      <w:bookmarkEnd w:id="145"/>
      <w:bookmarkEnd w:id="146"/>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1.闸门安全操作制度</w:t>
      </w:r>
    </w:p>
    <w:p>
      <w:pPr>
        <w:pStyle w:val="98"/>
        <w:numPr>
          <w:ilvl w:val="0"/>
          <w:numId w:val="11"/>
        </w:numPr>
        <w:ind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末端闸门启闭需两人作业，一位操作员，一位监护人员。</w:t>
      </w:r>
    </w:p>
    <w:p>
      <w:pPr>
        <w:pStyle w:val="98"/>
        <w:numPr>
          <w:ilvl w:val="0"/>
          <w:numId w:val="11"/>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夜间作业需配备手电筒。</w:t>
      </w:r>
    </w:p>
    <w:p>
      <w:pPr>
        <w:pStyle w:val="98"/>
        <w:numPr>
          <w:ilvl w:val="0"/>
          <w:numId w:val="11"/>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关闸时在记录表记录关闸时间、箱涵溢流时间，同时拍照存档，</w:t>
      </w:r>
    </w:p>
    <w:p>
      <w:pPr>
        <w:pStyle w:val="98"/>
        <w:numPr>
          <w:ilvl w:val="0"/>
          <w:numId w:val="11"/>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提闸时记录提闸时间，箱涵停止溢流时间，同时拍照存档，根据箱涵来水量在确保箱涵不溢流的情况下灵活调节闸门开启高度，并记录高度数据在表格里。</w:t>
      </w:r>
    </w:p>
    <w:p>
      <w:pPr>
        <w:pStyle w:val="98"/>
        <w:numPr>
          <w:ilvl w:val="0"/>
          <w:numId w:val="11"/>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溢流过后及时清理闸门周边的杂物和积存的污水，保持整洁。</w:t>
      </w:r>
    </w:p>
    <w:p>
      <w:pPr>
        <w:pStyle w:val="98"/>
        <w:numPr>
          <w:ilvl w:val="0"/>
          <w:numId w:val="11"/>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一个月检查一次相关设备状况，及时养护，检修工作由维修人员完成，并做相关记录。</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2.提升泵安全操作制度</w:t>
      </w:r>
    </w:p>
    <w:p>
      <w:pPr>
        <w:pStyle w:val="98"/>
        <w:numPr>
          <w:ilvl w:val="0"/>
          <w:numId w:val="12"/>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观察提升泵房液位，将液位控制在合理范围内，可通过开启关闭提升泵控制，保证充足的水量。</w:t>
      </w:r>
    </w:p>
    <w:p>
      <w:pPr>
        <w:pStyle w:val="98"/>
        <w:numPr>
          <w:ilvl w:val="0"/>
          <w:numId w:val="12"/>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调蓄池闸门开启关闭可通过远程操作，因调蓄池闸门位处有限空间，就地操作应严格按照有限空间作业相关制度进行，且最少有一人在外进行监护。</w:t>
      </w:r>
    </w:p>
    <w:p>
      <w:pPr>
        <w:pStyle w:val="98"/>
        <w:numPr>
          <w:ilvl w:val="0"/>
          <w:numId w:val="12"/>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开启关闭提升泵，可通过远程/就地操作两种方式进行，远程操作时刻通过中控直接开启关闭、调整频率。就地操作时在现场将控制开关打至就地后，现场直接开启关闭、调整频率。无论是远程还是就地操作，操作后都应在现场观察一段时间，保证提升泵无异常情况后才可离去。提升泵频率一般不得低于35Hz。</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3.有限空间作业安全操作制度</w:t>
      </w:r>
    </w:p>
    <w:p>
      <w:pPr>
        <w:pStyle w:val="98"/>
        <w:numPr>
          <w:ilvl w:val="0"/>
          <w:numId w:val="13"/>
        </w:numPr>
        <w:ind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进入受限空间作业基本要求 </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进入受限空间作业必须办理受限空间作业许可证，参与作业人员身体状态需良好，作业同时涉及动火、临时用电等作业的还应执行本制度有关动火、临时用电等相关要求。作业时天气状况应适合作业。</w:t>
      </w:r>
    </w:p>
    <w:p>
      <w:pPr>
        <w:pStyle w:val="98"/>
        <w:numPr>
          <w:ilvl w:val="0"/>
          <w:numId w:val="13"/>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进入受限空间作业时限</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进入受限空间作业时限为8小时。</w:t>
      </w:r>
    </w:p>
    <w:p>
      <w:pPr>
        <w:pStyle w:val="98"/>
        <w:numPr>
          <w:ilvl w:val="0"/>
          <w:numId w:val="13"/>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进入受限空间作业许可证的审批</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初审（项目部班组长）-终审（项目部负责人）</w:t>
      </w:r>
    </w:p>
    <w:p>
      <w:pPr>
        <w:pStyle w:val="98"/>
        <w:numPr>
          <w:ilvl w:val="0"/>
          <w:numId w:val="13"/>
        </w:numPr>
        <w:ind w:left="0"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进入受限空间作业安全管理规定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1)作业前设备上所有与外界连通的可能危及安全作业的管道、阀门均应与外界有效隔离。安全隔绝可采用插入盲板或拆除一段管道等方法。</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2)作业前设备上与外界连接的电源应有效切断，并悬挂“禁止合闸”类警示牌。 </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3)对进入与地面或操作平台落差超过2m的（如废水池等），应利用梯子（可伸缩、上端带钩子、下端有防滑垫）并在系好安全带的情况下方可作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有限空间作业应当严格遵守“先通风、再检测、后作业”的原则。进入设备内作业前，必须对设备内进行清洗和置换，并达到下列要求：氧含量为18%-21%，在富氧环境下不应大于23.5%，一氧化碳浓度应小于25ppm，硫化氢浓度应小于10ppm，易燃可燃气体浓度应小于最低爆炸极限的10%。</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5)氟化氢最高容许浓度（MAC）不超过2mg/m</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 xml:space="preserve">。 </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6)打开所有人孔、料孔、风门进行自然通风，必要时可采取机械通风，保持设备内空气良好流通。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7)严禁向设备内充纯氧气或富氧空气。</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8)作业前30分钟内，必须对设备内气体采样分析，采样点应有代表性，容积较大的受限空间，应采取上、中、下各部位取样。</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9)作业中应定时监测，至少每1h小时监测一次，如监测分析结果有明显变化，则应加大监测频率。作业中断超过30分钟应重新进行监测分析，对可能释放有毒有害物质的受限空间，应连续监测。情况异常时应立即停止作业，撤离人员，经对现场处理，并取样分析合格后方可恢复作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10)涂刷具有挥发性溶剂的涂料时，应做连续分析，并采取强制通风措施。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11)在缺氧或有毒的受限空间作业时，应佩戴空气呼吸器，必要时作业人员应拴带救生绳。</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12)在易燃易爆的受限空间作业时，应穿防静电工作服、工作鞋，使用防爆型低压灯具及防爆工具。 </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13)在有酸碱等腐蚀性介质的受限空间作业时，应穿戴好防酸碱工作服、工作鞋、手套等劳动防护用品。</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14)受限空间内作业需要设置照明的电压不大大于36V，在潮湿环境内作业照明电压不大大于12V。</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15)使用超过安全电压的手持电动工具作业或进行电焊作业时，应配备漏电保护器。在潮湿容器中，作业人员应站在绝缘板上，同时保证金属容器接地可靠。 </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16)受限空间作业过程中，不得抛掷材料、工具等物品，交叉作业要有防止层间落物伤害作业人员的措施。 </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17)对于危险性较大的作业受限空间外部应备有空气呼吸器、消防器材、清水等应急物资。作业人员发生事故的，施救人员应充分做好自身防护后方可施救，严禁盲目施救。</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4.用电作业安全操作制度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（1）设备电源的相线必须接开关。</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（2）对螺口灯座，中心接线柱必相接线。</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（3）合理选择照明电压：当照明灯的安装高度低于2m时，要使用安全电压作照明电源。移动照明则根据工作环境，可选择24V、12V、或6V的电源。</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（4）合理选择导线截面积、耐压等级及熔丝。</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（5）电气设备必须具有一定的绝缘电阻，而且必须定期检测和作好记录。</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（6）电气设备的安装要按产品说明书和安装规程额要求进行，严禁带电部分裸露。应装设必要的防护罩和联锁装置，必须严格要求进行设备的保护接地或接零。</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（7）尽量避免带电作业，在危险的工作环境中则禁止带点工作。否则必须符合规程的规定，采取妥善的安全保障措施。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（8）不要随意触摸运行中的高压设备。对断落在地面的高压电力线，行人应保持8~10m的距离，并设专人看守监视，然后处理。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（9）任何电气设备在未经无电确认以前，应一律看作有点状态处理。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（10）不要盲目依赖某些控制装置开关，只有切断电源并经验电笔测试无电后才能工作。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（11）切断电源开关后，必须挂上停电标志牌（白底红字，“禁止合闸，有人操作”尺寸240×130 mm），必要时派人监守，然后检修线路或电气设备。</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（12）必须严格遵守搭接临时线的有关规定，严禁乱拉临时线。</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（13）安全用电所用变压器，必须是双线圈的，而且接地（零）必须良好。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（14）在电容器上作业时，切断电源后必须先放电。</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（15）有多人同时进行电工作业时，必须有人领班负责及指挥，停送电必须按规定进行。</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5.设备维护作业安全操作制度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（1）格栅</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1）格栅开机前，应检查系统是否具备开机条件，经确认后方可正常启动。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2）应及时清除栅条（鼓、耙）、格栅出渣口及机架上悬挂的杂物，应定期对栅条校正；当汛期及进水量增加时，应加强巡视，增加清污次数。</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3）格栅运行中应定时巡检，发现设备异常，应立即停机检修。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4）长期停止运行的粉碎型格栅，应吊离污水池，不得长期浸泡在污水池中，并做好设备的清洁保养工作。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5）检修格栅或人工清捞栅渣时，应切断电源，并在有效监护下进行，当需要下井作业的，应符合临时性强制性通风。</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（2）电气设备</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1）变、配电装置的工作电压、工作负荷和温度应控制在额定值的允许变化范围内。</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2）当变、配电室设备在运行中发生跳闸时，在未查明原因之前严禁合闸。</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3）高、低压变、配电装置的清扫、检修工作必须符合《电业安全工作规程》的规定。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4）当在电气设备上进行倒闸操作时，必须符合《电业安全工作规程》及"倒闸操作票"制度的规定。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5）当变、配电装置在运行中发生异常情况不能排除时，应立即停止运行。</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6）隔离开关接触部分过热，应断开断路器、切断电源；当不允许断电时，则应降低负荷并加强监视。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（3）自动控制系统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1）当自控系统需要与外界网络相连时，应只设置一条途径与外界相连，同时应采取必要的措施保护硬件和软件，并应及时升级。</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2）自控系统应采取有效措施避免病毒和非法软件的侵入。</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3）应定期对仪表进行维护和校验，属国家强检范围的仪表应按周期由技术监督部门进行标定。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4）仪表维护、检修时，应先查看保护接地情况，带电部位应设明显标志，防止触电。</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5）应将自控系统的软件、程序存档，并应定期备份运行数据。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6）中央控制系统的显示参数应与现场设备、仪表的运行状况相符，并应定期维护和校核。</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6.化学药品存储规范制度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（1）化学品使用管理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1)化学品应当张贴标签，标签包括：成分、浓度、配制日期、配制人、以及有效期。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2)化学品应放置在专门场所，且必须摆放整齐，标识清楚，符合安全要求，远离热源、火源和电源，并设有专人管理，性质相抵触或灭火方法不同的化学品不得混放，应有相当间距或分开存放。</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3)化学品使用岗位必须严禁烟火，使用人员禁止穿化纤衣服、禁止穿带铁钉的鞋，装卸搬运化学品时应轻装轻卸，严禁摔碰、撞击、拖拉、倾倒和滚动。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4)开启易燃易爆化学品桶盖时不能使用会产生火花的工具，易燃易爆化学品分装和使用时，流速不能太快，并要采取防静电措施。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5)盛装化学品的容器在使用前后必须确保干净，化学品一旦泄漏，应立即采取防泄漏措施，进行处理回收。</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①少量泄漏情况 </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a.化学品在存储、使用过程，如少量泄漏至台面或地面，应首先堵漏，然后迅速用干布或沙子将泄漏之液体吸干，并收集在专用的容器内，不得随意处置。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b.</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若少量泄漏液不慎接触到眼睛或身体其他部位，应用大量清水清洗。如严重速送医院救治。</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②大量泄漏情况</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a.如大量泄漏应采用适当方法围堵收集，防止其蔓延。对于易燃溶剂应排除一切火灾隐患，并立即向部门负责人及安全主任报告。</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b.针对大量泄漏情况，责任部门应以书面报告形式调查泄漏原因并提出可行的纠正和预防措施，以免再次发生。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c.在机器发生故障、化学品泄漏、改变工艺条件或由自动变手动操作时，必须注意采取防范措施。 </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d.化学品使用完后（包括用剩的空容器）必须将盖拧紧密封，防止挥发或溅出伤人、引发火灾或中毒事故。 </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e.使用化学品时，操作人员必须佩戴相适应的劳动防护用品，防止职业伤害。</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（2）化学品使用和储存场所管理 </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1)化学品专用仓库和使用场所应设置相应的监测、监控、通 风、防晒、调温、防火、灭火、防爆、泄压、防毒、中和、防潮、防雷、防静电、防腐、防泄漏以及防护围堤或者隔离操作等安全设施、设备，并按照国家标准、行业标准或者国家有关规定对安全设施、设备进行经常性维护、保养，保证安全设施、设备的正常使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2)化学品专用仓库、作业场所和安全设施、设备上设置明显的安全警示标志。</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3)化学品专用仓库和作业场所所有电器设备都应是防爆电器，设置有通信、报警装置，并进行经常性维护、保养，保证处于适用状态。</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7.设备检修作业安全操作制度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（1）本规程的设备检修作业主要是指机械、电气设备的大、中修项目的作业。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设备检修作业开始前应办理审批手续，由作业班组长填写《设备检修作业审批表》。在作业审批表中根据设备检修项目要求，制定设备检修方案，明确检修人员、检修组织、安全措施，经部门负责人、安全主管审核后报主管领导审批。</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（3）检修项目负责人须按检修方案的要求，组织检修任务人员到检修现场，交待清楚检修项目、任务、检修方案，并落实检修安全措施。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（4）检修项目负责人对检修安全工作负全面责任，并指定专人负责整个检修作业过程的安全工作。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（5）设备检修如须高空作业、动土、下井作业等，须按规程办理相应的作业审批手续。</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6）检修前必须对参加检修作业的人员进行安全教育。安全教育内容包括：检修作业必须遵守的有关检修安全规章制度；检修作业现场和检修过程中可能存在或出现的不安全因素及对策；检修作业过程中个体防护用具和用品的正确佩带和使用；检修作业项目、任务、检修方案和检修安全措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（7）检修前，应对检修作业使用的脚手架、起重机械、电气焊用具、手持电动工具、扳手、管钳、锤子等各种工器具进行检查，凡不符合作业安全要求的工器具不得使用。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（8）采取可靠的断电措施，切断需检修设备上的电器电源，并经启动复查确认无电后，在电源开关处挂上“禁止启动”的安全标志。</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（9）对检修作业使用的气体防护器材、消防器材、通行设备、照明设备等器材设备应经专人检查，保证完好可靠，并合理放置。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（10）对检修现场的爬梯、栏杆、平台、铁篦子、盖板等进行检查，保证安全可靠。</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（11）对检修所使用的移动式电气工器具，必须配有漏电保护装置。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（12）对有腐蚀性介质的检修场所须备有冲洗用水源。</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（13）对检修现场的坑、井、洼、沟、陡坡等应填平或铺设与地面平齐的盖板，也可设置围栏和警告标志，并设夜间警示红灯。</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（14）应将检修现场的易燃易爆物品、障碍物、油污、积水、废弃物等影响检修安全的杂物清理干净。</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（15）检查、清理检修现场的消防通道、行车通道，保证畅通无阻。</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（16）需夜间检修的作业场所，应设有足够亮度的照明装置。</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（17）参加检修作业的人员应穿戴好劳动保护用品。检修作业的各工种人员要遵守本工种安全技术操作规程的规定。电气设备检修作业须遵守电气安全工作规定。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（18）对设备检修作业审批手续不全、安全措施不落实、作业环境不符合安全要求的，作业人员有权拒绝作业。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（19）检修结束后检修项目负责人应会同有关检修人员检查检修项目是否有遗漏，工器具和材料等是否遗漏在设备内。因检修需要而拆移的盖板、篦子板、扶手、栏杆、防护罩等安全设施要恢复正常。</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（20）检修所用的工器具应搬走，脚手架、临时电源、临时照明设备等应及时拆除。设备、地面上的杂物、垃圾等应清理干净。</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8.高空作业安全操作制度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（1）高空作业是指距坠落高度基准面2米及期以上，有可能坠落的高空进行的作业；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（2）从事高空作业前，必须履行高空作业审批手续，由作业负责人填写《高空作业审批表》，落实安全防护措施，经部门负责人、安全主管审核后，报主管领导审批；</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（3）审批人员赴高空作业现场，检查确认安全措施后，方可批准高空作业；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（4）高空作业人员必须经安全教育，熟悉现场环境和安全要求。对患有职业禁忌症和年老体弱、疲劳过度、势力不佳及酒后人员等，不准进行高空作业；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（5）高空作业前，将制订安全措施，并填入《高空作业审批表》内。不符合高工作业安全要求材料、器具、设备不得使用；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（6）高空作业人员要按照规定穿戴劳动保护用品，作业前要检查、作业中要正确使用防坠落用品与登高器具、设备；</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（7）高空作业应设监护人对高空作业人员进行监护，监护人应坚守岗位；</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（8）高空作业所使用工具、材料、零件等必须装如工具袋，上下时手中不得持物；不准投掷工具，材料及其它物品；易滑动、易滚动工具、材料堆放在脚手架上时，应采取措施，防止坠落；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（9）登石棉瓦、瓦棱板等轻型作业时，必须铺设牢固的脚手板，并加以固定，脚手架上要有防滑措施；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（10）高空作业与其它作业交叉进行时，必须按指定的路线上下，禁止上下垂直作业，若必须垂直进行作业时，须采取可靠的隔离措施。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9.下井作业安全操作制度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（1）下井作业包括检查井、窨井、泵坑、排水管道或其它封闭场所的清疏、维修和检查作业。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（2）作业人员上岗前必须接受必要的安全作业技术培训，学会人工急救和防护用具、照明及通讯设备的使用方法及相关的安全知识，培训考核合格后持证上岗。</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（3）下井作业前，必须履行审批手续，由作业班组长填写下井作业审批表，在作业审批表中，明确作业内容和安全措施，经部门负责人、安全主管审核后报主管领导审批。</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（4）作业前，先点清安全器材、工具及清疏机械、通风设备，严禁在设备、安全器材不齐备的情况下下井作业。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（5）禁止进入管径小于800 mm的管道内作业。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6）下井作业前，必须先打开作业井的井盖板，如管道还须打开上、下游各2-3个检查井盖，让管、井空气流通15-30分钟，并要用竹（木）棒搅动泥水，以散发其中有害气体，经用气体探测仪检测符合安全标准后才可下井作业；2米以上的深井，必须用鼓风机进行强制鼓风15-30分钟，并用上述气体探测仪对井内的气体进行检测，直至各项气体指标符合安全标准，经现场安全监督人员确认后，才可下井，在开盖后，作业现场严禁明火，准备工作完成后方可下井。</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7）进入管渠或深井作业时，必须戴防毒口罩、胶手套、安全帽，并穿上防水裤。如下深井（深度超过2米）作业时，必须配备悬托式安全带。在管渠内、井内严禁吸烟、点火。且每次井下连续作业时间不得超过40分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（8）下井作业，至少应有二人在井面配合、监护；若进入管道，须在井内增加监护人员作中间联络，井面监护人员在井下作业人员未上至井面之前，不准擅离井口。要时刻注意井下作业人员的状况。</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（9）尽量避免在特殊天气情况时下井作业。如非要下井时，必须采取足够的安全措施，保证落实本规程以上3条措施后，方可下井作业。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（10）井底与井面之间传递作业工具和输送淤泥等，要用绳索系牢进行，不得随意抛扔，且井圈范围内不得站人。</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（11）井面井底作业前，都必须在作业范围内设置足够的安全标志，繁华地区作业时，还应指派专人维护现场秩序，以防危及车辆、行人和作业人员的安全。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（12）在道路上检查清疏或维修时，作业人员必须穿反光衣。在建筑地盘周围检查、清疏、维修时必须戴安全帽。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（13）检查、清疏和维修时作业人员不得在作业现场玩耍。</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（14）作业车辆和机械设备应由专人负责操作，其他任何人员不得进入摆弄操作。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（15）在井、渠内作业时，如发现有异常情况，必须立即停止作业，采取应急防护措施，退到安全地带并保护好现场，迅速报告上级领导。</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（16）作业完毕，立即盖上打开的井盖，及时清理作业现场。</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（17）下列人员不宜下井作业：在经期、怀孕期、哺乳期的女工；有聋、哑、呆、傻等严重生理缺陷者；患有深度近视、癫痫、高血压、过敏性气管炎、哮喘、心脏病等严重慢性病者；外伤疮口尚未愈合者。</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（18）各班组长要经常对安全生产工作进行认真检查和落实，每周要将安全生产情况向主管领导汇报。安全管理人员要定期到现场检查和监督，并将各班安全生产情况每月主管生产直接责任人汇报。</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10.动土作业安全操作制度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（1）动土作业是指挖土、深度0.5米以上（含破路），使用推土机、压路机等机械进行填土或平整场地的作业。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动土作业必需履行审批手续，由作业负责人填写《动土作业审批表》，在《动土作业审批表》明确作业时间、地点、动土范围、内容及方式（包括深度、面积，并附简图），经部门负责人、有关专业工程师、安全主管审核后报主管领导审批。</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（3）动土作业审批人员应到现场核对图纸，查验标志，检查确认安全措施，方可签发《动土作业审批表》。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（4）动土作业前，项目负责人应对施工人员进行安全教育；施工负责人对安全措施进行现场交底，并督促落实。</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（5）动土作业施工现场应根据需要设置护栏、盖板和警告标志，破路作业夜间应悬挂红灯示警；施工结束后要及时回填土，并恢复地面设施。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（6）动土作业必须按《动土作业审批表》的内容进行，对审批手续不全、安全措施不落实的，作业人员有权拒绝作业。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（7）动土中如暴露出电缆、管线以及不能辨认的物品时，应立即停止作业，妥善加以保护，报告动土审批部门处理，采取措施后方可继续动土作业。</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（8）作业前必须检查工具、现场支护是否牢固、完好，发现问题应及时处理。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（9）动土临近地下隐蔽设施时，应轻轻挖掘，禁止使用铁棒、铁镐或抓斗等机械工具。</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10）挖掘坑、槽、井、沟等作业，应遵守下列规定：挖掘土方应自上而下进行，不准采用挖底脚的办法挖掘，挖出的土石不准堵塞下水道和窨井；在挖较深的坑、槽、井、沟时。严禁在土壁上挖洞攀登；作业时必须戴安全帽；坑、槽、井、沟上端边沿不准人员站立、行走；要视土壤性质、湿度和挖掘深度设置安全边坡或固壁支架；挖出的泥土堆放处所和堆放的材料至少要距坑、槽、井、沟边沿0.8米，高度不得超过1.5米；对坑、槽、井、沟边坡或固壁支撑架应随时检查，如发现边坡裂缝、松疏或支撑有折断、异味等危险征兆，应立即停止工作，并采取措施；在坑、槽、沟边缘，不能安防机械、铺设轨道及通行车辆。如必须时。要采取有效的固壁措施；在拆除固壁支撑时，应从下而上进行。更换支撑时，应先装新的，后拆旧的；所有人员不准在坑、槽、井、沟内休息；交叉祖业应戴安全帽，多人同时挖土应相距在2米以上，防止工具伤人；作业人员发现异常时，应立即撤离作业现场。</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（11）作业结束后所有工具、机械应撤走，临时电源、临时照明设备等应及时拆除。地面上的杂物、垃圾等应清理干净。</w:t>
      </w:r>
    </w:p>
    <w:p>
      <w:pPr>
        <w:pStyle w:val="80"/>
        <w:numPr>
          <w:ilvl w:val="-1"/>
          <w:numId w:val="0"/>
        </w:numPr>
        <w:spacing w:before="156" w:after="156"/>
        <w:rPr>
          <w:color w:val="000000" w:themeColor="text1"/>
          <w14:textFill>
            <w14:solidFill>
              <w14:schemeClr w14:val="tx1"/>
            </w14:solidFill>
          </w14:textFill>
        </w:rPr>
      </w:pPr>
      <w:bookmarkStart w:id="147" w:name="_Toc1731058376"/>
      <w:bookmarkStart w:id="148" w:name="_Toc219711491"/>
      <w:bookmarkStart w:id="149" w:name="_Toc978985893"/>
      <w:bookmarkStart w:id="150" w:name="_Toc1002359626"/>
      <w:bookmarkStart w:id="151" w:name="_Toc20127794"/>
      <w:r>
        <w:rPr>
          <w:rFonts w:hint="eastAsia"/>
          <w:color w:val="000000" w:themeColor="text1"/>
          <w:lang w:val="en-US" w:eastAsia="zh-CN"/>
          <w14:textFill>
            <w14:solidFill>
              <w14:schemeClr w14:val="tx1"/>
            </w14:solidFill>
          </w14:textFill>
        </w:rPr>
        <w:t>2.2.3.4</w:t>
      </w:r>
      <w:r>
        <w:rPr>
          <w:rFonts w:hint="eastAsia"/>
          <w:color w:val="000000" w:themeColor="text1"/>
          <w14:textFill>
            <w14:solidFill>
              <w14:schemeClr w14:val="tx1"/>
            </w14:solidFill>
          </w14:textFill>
        </w:rPr>
        <w:t>应急预案</w:t>
      </w:r>
      <w:bookmarkEnd w:id="147"/>
      <w:bookmarkEnd w:id="148"/>
      <w:bookmarkEnd w:id="149"/>
      <w:bookmarkEnd w:id="150"/>
      <w:bookmarkEnd w:id="151"/>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1.应急预案启动</w:t>
      </w:r>
    </w:p>
    <w:p>
      <w:pPr>
        <w:pStyle w:val="98"/>
        <w:numPr>
          <w:ilvl w:val="0"/>
          <w:numId w:val="14"/>
        </w:numPr>
        <w:ind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重点防范内容</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通过厂区内现场监测仪表，以及运维人员现场观察等对以下内容进行监测防范。</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①进水水质是否超出设计标准；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②出水水质是否超出设计标准；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③进水水量超出处理设施最大处理能力；</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④供电中断；</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⑤主要设备故障。</w:t>
      </w:r>
    </w:p>
    <w:p>
      <w:pPr>
        <w:pStyle w:val="98"/>
        <w:numPr>
          <w:ilvl w:val="0"/>
          <w:numId w:val="14"/>
        </w:numPr>
        <w:ind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应急预案启动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当厂区水质出现上述任意事项并根据事件发生的位置及可能造成的危害程度，应急指挥领导小组应立即启动本应急预案，在应急指挥领导小组的统一指挥下，发布突发生产事故应急指令，各应急专业组依据预案的分工，积极投入应急抢险工作，并将相关情况立即上报有关政府职能部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2.应急预案措施</w:t>
      </w:r>
    </w:p>
    <w:p>
      <w:pPr>
        <w:pStyle w:val="98"/>
        <w:numPr>
          <w:ilvl w:val="0"/>
          <w:numId w:val="15"/>
        </w:numPr>
        <w:ind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进水超标的紧急处理方案</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1）预案的启动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项目可能发生的进水水质异常情况包括：</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a.由于生活污水、工业废水违规排入，或进水量长时间不足，突然恢复大量供应时引起的箱涵内沉积污染物超量涌入，造成进水水质异常高的情况；</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b.因连续不断的强降雨引起的进水水质异常低的情况。</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启动条件：进水水质任一指标超出设计进水水质主要指标时，视为进水水质超标。</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汇报制度：运行班组应立即拨打电话或短信通知应急领导小组，应急领导小组组长及时将情况通报公司部门领导。生化处理系统具备一定的抗冲击负荷能力，通常情况下，轻微的进水水质超标对出水水质影响不大，应急指挥小组及公司部门领导根据事故严重程度，在可能引起出水超标时，立即上报主管单位和运行监理单位，情况严重时，应急处置结束后形成书面报告，将报告送至项目主管单位、运行监理单位或当地相关环保部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2）应急响应</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①事故报警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应急领导小组组长在接到汇报以后，应马上核实情况，并宣布预案启动，并以电话或信息形式通知各单位或部门。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②处理措施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a.发现进水水质超出进水设计标准，通过调整药剂量等措施，确保出水水质在可控范围内。</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b.进水水质超标情况是非突发或非短时间的，发生进水水质异常时首先取样备检、拍摄照片或录像保存异常证据，情况严重时及时汇报监理单位及项目主管单位，等待监理单位和项目主管单位进一步指示。</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c.配合环保监察部门，查找超标污水源，加大环境监管执法力度，从源头截流进入处理设施的超标污水。</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3）应急结束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①应急结束条件</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当进水水质恢复至正常水平，并且通过调整药剂量等措施，出水水质在可控范围内，生化系统运行稳定，可认为进水超标事故已结束。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②应急结束程序</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进水超标状态结束后，由应急领导小组组长宣布应急状态结束，恢复正常运行。</w:t>
      </w:r>
    </w:p>
    <w:p>
      <w:pPr>
        <w:pStyle w:val="98"/>
        <w:numPr>
          <w:ilvl w:val="0"/>
          <w:numId w:val="15"/>
        </w:numPr>
        <w:ind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出水超标的紧急处理方案</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1)预案的启动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项目可能发生的出水水质异常情况包括：</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a.由于进水水质异常高，生产工艺未及时调整而引起的出水水质超标；</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b.因设备故障而引起的出水水质超标；</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启动条件：发生出水水质任一指标超出约定指标情况时，即为出水异常，预案启动。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汇报制度：运行班组应立即拨打电话或短信通知项目事故应急领导小组，应急领导小组组长及时将情况通报公司部门领导、项目主管单位、运行监理单位。</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2)应急响应</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①事故报警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应急领导小组组长接到汇报以后，应马上核实情况，并宣布预案启动，并以电话或信息形式通知各单位或部门。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②处理措施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立即组织技术人员对进水水质，工艺运行参数，出水水质数据进行分析，找出导致出水水质超标的问题所在，并尽快解决问题，实现出水的稳定达标排放。</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3)应急结束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①应急结束条件</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a.准确分析出水超标原因，并采取措施防止出水继续超标。</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b.通报监理单位和项目主管单位，对于因进水超标，应将具体数据等情况及时报送监理单位和项目主管部门。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c.应急措施实施后，出水达到排放标准。</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d.恢复正常运行后，各部门应总结经验和教训，完善应急处置措施，尽量使处置程序和措施简洁、有序、到位。</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注意：出水超标的同时，需注意污泥的状况和进水水质，运行人员应加强巡视，注意事态发展情况，并及时上报，直至出水异常带来的影响消除时为止。</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②应急结束程序</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出水超标状态结束后，由领导小组组长宣布应急状态结束，恢复正常运行。</w:t>
      </w:r>
    </w:p>
    <w:p>
      <w:pPr>
        <w:pStyle w:val="98"/>
        <w:numPr>
          <w:ilvl w:val="0"/>
          <w:numId w:val="15"/>
        </w:numPr>
        <w:ind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进水水量超负荷的紧急处理方案</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1)预案的启动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①启动条件</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启动条件为发生进水量超出最大处理能力</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②汇报制度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运行班组应立即拨打电话或短信通知项目事故应急领导小组，组长及时将情况通报公司部门领导。当下部调蓄池液位接近最大设计高度，无法继续容纳超量污水时，组长应立即将情况通报项目主管单位、运行监理单位。</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2)应急响应</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①事故报警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当运行班组发现进水口液位出现剧烈增加，立即向应急小组汇报，并及时采取措施，调整设备运行状况，确保设备和设施安全。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当进水水量持续增加，下部调蓄池液位接近最大设计高度，无法继续容纳超量污水时，应急小组立即向项目主管单位、运行监理单位汇报，并关闭观澜河口调蓄池进水闸门，保障处理设施安全。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②处理措施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当水量超过设计负荷时，工艺控制如下：</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a.提升泵满负荷生产，但不超过设计负荷的变化系数；</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b.及时清除栅渣；</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c.控制超量污水进入下部调蓄池调蓄空间，并实时跟踪记录调蓄池液位变化。</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d.当进水水量持续增加，下部调蓄池液位接近最大设计高度，无法继续容纳超量污水时，工艺控制如下：</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e.立即向项目主管单位、运行监理单位汇报，建议观澜调蓄池在有富余调蓄空间情况下，加大进水量，减小转输至箱涵下游水量。</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f.根据项目主管单位指示，关闭观澜河口调蓄池进水闸门，保障处理设施安全。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3)应急结束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①应急结束条件</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当进水水量恢复至正常水平，通过工艺控制，生化处理系统具备足够消纳能力，可保证出水水质达标，可认为进水水量超负荷紧急状态已结束。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②应急结束程序</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进水水量超负荷状态结束后，由领导小组组长宣布应急状态结束，恢复正常运行。</w:t>
      </w:r>
    </w:p>
    <w:p>
      <w:pPr>
        <w:pStyle w:val="98"/>
        <w:numPr>
          <w:ilvl w:val="0"/>
          <w:numId w:val="15"/>
        </w:numPr>
        <w:ind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供电中断的紧急处理方案</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1)预案的启动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①项目可能发生的停电事故主要包括：</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a.供电局计划性停电；</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b.供电局突发性停电或突发性电压波动造成的停电；</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c.项目内部异常断电。</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②启动条件：以上3种情况发生时立即启动。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③汇报制度：运行班组应立即拨打电话或短信通知项目事故应急领导小组，组长及时将情况通报项目主管单位、运行监理单位。</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2)应急响应</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①事故报警</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在接到供电局的计划性停电通知后，应迅速将信息反馈至当班调度，停电操作导致需要停产时应提前报警，并由当班调度指导泥班组关闭正在运行的设备；</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在未接获供电局任何关于停电的通知，而项目发生突发性停电事故时，应立刻发出报警，检查事故是由供电局方面引起，还是由站区内部断电引起；</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②处理措施</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a.将现场设备退出运行状态。</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b.停电立即向主管部门或运行监理单位汇报，通报停产情况，并和供电公司及时联系送电相关事宜。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c.来电后，按安全操作规程开启设备，恢复运行。</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d.应急小组在停电紧急情况发生时，承担指挥、协调所属各责任部门、终止事故、恢复生产、减少环境污染的责任。</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③工作控制</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当出现厂内突发性停电时，运行人员及时向值班人员汇报，由维修班组织人员对停电原因进行分析，外部停电由副项目负责人与所属供电部门联系确定恢复供电时间，项目停电由维修班人员进行抢修，及时恢复供电。</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短时间停电：电器自控仪表工程师负责按停电前程序和运行周期恢复自控系统的运行，及时恢复生产。</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长时间停电：维修班负责供电系统的恢复，若停电时间超过一小时，运行人员按照操作规程负责断电工作。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3)应急结束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①应急结束条件</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在供电局操作完毕，并通知恢复供电后，可认为计划性停电事故已结束；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当检查出突发性停电事故原因，并修复故障恢复供电后，可认为突发性停电事故已结束。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②应急结束程序</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事故妥善处置后，由应急小组向领导小组组长汇报，并撰写事故调查报告，阐述事故发生原因、采取措施方法、事故最终解决情况等，经领导小组组长审核同意，政府主管部门等报告事故应急结束。</w:t>
      </w:r>
    </w:p>
    <w:p>
      <w:pPr>
        <w:pStyle w:val="98"/>
        <w:numPr>
          <w:ilvl w:val="0"/>
          <w:numId w:val="15"/>
        </w:numPr>
        <w:ind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厂内设备故障紧急处理方案</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1)预案的启动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①污水厂内可能发生的主要设备故障包括：</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a.设备自身质量原因引起的设备故障；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b.由于设备维护保养不到位引起的设备故障；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c.自然灾害引起的设备故障。</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②启动条件：启动条件为以上3种情况出现。</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③汇报制度：运行班组应立即拨打电话或短信通知项目事故应急领导小组，组长及时将情况通报公司部门领导、项目主管单位、运行监理单位。</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2)应急响应</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应急小组组长在接到汇报以后，应马上核实情况，并宣布预案启动，由分管领导以文件或电话形式通知各部门人员。同时，立即组织人员进行抢修或外发维修，尽可能缩短事故时间。</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3)应急结束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①应急结束条件</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当主要设备故障已修复，处理系统恢复正常运行，各设备运行稳定，可认为主要设备故障事故已结束。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②应急结束程序</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主要设备故障状态结束后，由领导小组组长宣布应急状态结束，恢复正常运行。</w:t>
      </w:r>
    </w:p>
    <w:p>
      <w:pPr>
        <w:pStyle w:val="98"/>
        <w:numPr>
          <w:ilvl w:val="0"/>
          <w:numId w:val="15"/>
        </w:numPr>
        <w:ind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进水控制闸故障紧急处理方案</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观澜河口调蓄池连接段箱涵前端设有1座平板控制闸，与截污箱涵末端闸并列，平板闸门尺寸为B×H=5.0×4.0m，进水控制闸作用是在降雨前后开启和关闭，控制进入河口调蓄池的水量和水位，同时方便对调蓄池进水闸门进行检修。调蓄池进水控制闸属观澜河口调蓄池调度运行工作范围。</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进水控制闸一旦发生故障，将导致箱涵来水在事故期间无法进入厂区进行处理，箱涵末段污水有溢流风险。</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1)预案的启动</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①进水控制闸主要设备故障包括：</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a.启闭机故障或拉索断裂等导致闸门无法开启或关闭；</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b.由于设备维护保养不到位导致闸门无法开启或关闭；</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c.自然灾害引起的设备故障导致闸门无法开启或关闭。</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②启动条件：启动条件为以上3种情况出现。</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③汇报制度：运行班组应立即拨打电话或短信通知项目事故应急领导小组，组长及时将情况通报公司部门领导、项目主管单位、运行监理单位。</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2)应急响应</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应急小组组长在接到汇报以后，应马上核实情况，并宣布预案启动，由分管领导以文件或电话形式通知各部门人员。同时，立即组织人员进行抢修或外发维修，尽可能缩短事故时间。</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同时建议观澜调蓄池在有富余调蓄空间情况下，加大进水量，减小转输至箱涵下游水量，降低箱涵末段污水溢流风险。</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3)应急结束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①应急结束条件</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进水控制闸故障已修复，进水恢复正常，进水控制闸室各设备运行稳定，可认为进水控制闸故障事故已结束。</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②应急结束程序</w:t>
      </w:r>
    </w:p>
    <w:p>
      <w:pPr>
        <w:ind w:firstLine="560"/>
        <w:rPr>
          <w:color w:val="000000" w:themeColor="text1"/>
          <w14:textFill>
            <w14:solidFill>
              <w14:schemeClr w14:val="tx1"/>
            </w14:solidFill>
          </w14:textFill>
        </w:rPr>
      </w:pPr>
      <w:r>
        <w:rPr>
          <w:rFonts w:hint="eastAsia"/>
          <w:color w:val="000000" w:themeColor="text1"/>
          <w14:textFill>
            <w14:solidFill>
              <w14:schemeClr w14:val="tx1"/>
            </w14:solidFill>
          </w14:textFill>
        </w:rPr>
        <w:t>主要设备故障状态结束后，由领导小组组长宣布应急状态结束，恢复正常运行。</w:t>
      </w:r>
    </w:p>
    <w:p>
      <w:pPr>
        <w:ind w:firstLine="560"/>
        <w:rPr>
          <w:color w:val="000000" w:themeColor="text1"/>
          <w14:textFill>
            <w14:solidFill>
              <w14:schemeClr w14:val="tx1"/>
            </w14:solidFill>
          </w14:textFill>
        </w:rPr>
      </w:pPr>
    </w:p>
    <w:sectPr>
      <w:footerReference r:id="rId12" w:type="default"/>
      <w:pgSz w:w="11906" w:h="16838"/>
      <w:pgMar w:top="1077" w:right="1440" w:bottom="1077" w:left="1440" w:header="851" w:footer="992" w:gutter="0"/>
      <w:cols w:space="425" w:num="1"/>
      <w:docGrid w:type="lines" w:linePitch="381"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Math">
    <w:panose1 w:val="02040503050406030204"/>
    <w:charset w:val="00"/>
    <w:family w:val="roman"/>
    <w:pitch w:val="default"/>
    <w:sig w:usb0="E00006FF" w:usb1="420024FF" w:usb2="02000000" w:usb3="00000000" w:csb0="2000019F" w:csb1="00000000"/>
  </w:font>
  <w:font w:name="Arial Unicode MS">
    <w:altName w:val="Arial"/>
    <w:panose1 w:val="020B0604020202020204"/>
    <w:charset w:val="86"/>
    <w:family w:val="swiss"/>
    <w:pitch w:val="default"/>
    <w:sig w:usb0="00000000" w:usb1="00000000" w:usb2="0000003F" w:usb3="00000000" w:csb0="003F01FF" w:csb1="00000000"/>
  </w:font>
  <w:font w:name="Arial">
    <w:panose1 w:val="020B0604020202020204"/>
    <w:charset w:val="00"/>
    <w:family w:val="auto"/>
    <w:pitch w:val="default"/>
    <w:sig w:usb0="E0002EFF" w:usb1="C000785B" w:usb2="00000009" w:usb3="00000000" w:csb0="400001FF" w:csb1="FFFF0000"/>
  </w:font>
  <w:font w:name="Noto Sans Symbols2">
    <w:panose1 w:val="020B0502040504020204"/>
    <w:charset w:val="00"/>
    <w:family w:val="auto"/>
    <w:pitch w:val="default"/>
    <w:sig w:usb0="80000003" w:usb1="0200E3E4" w:usb2="00040020" w:usb3="0580A048"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5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5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5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63865156"/>
    </w:sdtPr>
    <w:sdtContent>
      <w:p>
        <w:pPr>
          <w:pStyle w:val="20"/>
          <w:ind w:firstLine="360"/>
          <w:jc w:val="center"/>
        </w:pPr>
        <w:r>
          <w:fldChar w:fldCharType="begin"/>
        </w:r>
        <w:r>
          <w:instrText xml:space="preserve">PAGE   \* MERGEFORMAT</w:instrText>
        </w:r>
        <w:r>
          <w:fldChar w:fldCharType="separate"/>
        </w:r>
        <w:r>
          <w:t>III</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sdtPr>
    <w:sdtContent>
      <w:p>
        <w:pPr>
          <w:pStyle w:val="20"/>
          <w:ind w:firstLine="360"/>
          <w:jc w:val="center"/>
        </w:pPr>
        <w:r>
          <w:fldChar w:fldCharType="begin"/>
        </w:r>
        <w:r>
          <w:instrText xml:space="preserve">PAGE   \* MERGEFORMAT</w:instrText>
        </w:r>
        <w:r>
          <w:fldChar w:fldCharType="separate"/>
        </w:r>
        <w:r>
          <w:t>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360"/>
      <w:jc w:val="lef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5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5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4031910"/>
    <w:multiLevelType w:val="multilevel"/>
    <w:tmpl w:val="04031910"/>
    <w:lvl w:ilvl="0" w:tentative="0">
      <w:start w:val="1"/>
      <w:numFmt w:val="decimal"/>
      <w:suff w:val="nothing"/>
      <w:lvlText w:val="（%1）"/>
      <w:lvlJc w:val="left"/>
      <w:pPr>
        <w:ind w:left="1000" w:hanging="440"/>
      </w:pPr>
      <w:rPr>
        <w:rFonts w:hint="default" w:cs="宋体"/>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
    <w:nsid w:val="10960F79"/>
    <w:multiLevelType w:val="multilevel"/>
    <w:tmpl w:val="10960F79"/>
    <w:lvl w:ilvl="0" w:tentative="0">
      <w:start w:val="1"/>
      <w:numFmt w:val="decimal"/>
      <w:suff w:val="nothing"/>
      <w:lvlText w:val="（%1）"/>
      <w:lvlJc w:val="left"/>
      <w:pPr>
        <w:ind w:left="1000" w:hanging="440"/>
      </w:pPr>
      <w:rPr>
        <w:rFonts w:hint="default" w:cs="宋体"/>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
    <w:nsid w:val="1184161E"/>
    <w:multiLevelType w:val="multilevel"/>
    <w:tmpl w:val="1184161E"/>
    <w:lvl w:ilvl="0" w:tentative="0">
      <w:start w:val="1"/>
      <w:numFmt w:val="decimal"/>
      <w:suff w:val="nothing"/>
      <w:lvlText w:val="（%1）"/>
      <w:lvlJc w:val="left"/>
      <w:pPr>
        <w:ind w:left="1000" w:hanging="440"/>
      </w:pPr>
      <w:rPr>
        <w:rFonts w:hint="default" w:cs="宋体"/>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
    <w:nsid w:val="25252773"/>
    <w:multiLevelType w:val="multilevel"/>
    <w:tmpl w:val="25252773"/>
    <w:lvl w:ilvl="0" w:tentative="0">
      <w:start w:val="1"/>
      <w:numFmt w:val="decimal"/>
      <w:suff w:val="nothing"/>
      <w:lvlText w:val="（%1）"/>
      <w:lvlJc w:val="left"/>
      <w:pPr>
        <w:ind w:left="1000" w:hanging="440"/>
      </w:pPr>
      <w:rPr>
        <w:rFonts w:hint="default" w:cs="宋体"/>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
    <w:nsid w:val="283F3DEF"/>
    <w:multiLevelType w:val="multilevel"/>
    <w:tmpl w:val="283F3DEF"/>
    <w:lvl w:ilvl="0" w:tentative="0">
      <w:start w:val="1"/>
      <w:numFmt w:val="decimal"/>
      <w:suff w:val="nothing"/>
      <w:lvlText w:val="（%1）"/>
      <w:lvlJc w:val="left"/>
      <w:pPr>
        <w:ind w:left="1000" w:hanging="440"/>
      </w:pPr>
      <w:rPr>
        <w:rFonts w:hint="default" w:cs="宋体"/>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
    <w:nsid w:val="339B07E2"/>
    <w:multiLevelType w:val="multilevel"/>
    <w:tmpl w:val="339B07E2"/>
    <w:lvl w:ilvl="0" w:tentative="0">
      <w:start w:val="1"/>
      <w:numFmt w:val="decimal"/>
      <w:suff w:val="nothing"/>
      <w:lvlText w:val="（%1）"/>
      <w:lvlJc w:val="left"/>
      <w:pPr>
        <w:ind w:left="1000" w:hanging="440"/>
      </w:pPr>
      <w:rPr>
        <w:rFonts w:hint="default" w:cs="宋体"/>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6">
    <w:nsid w:val="563E530F"/>
    <w:multiLevelType w:val="multilevel"/>
    <w:tmpl w:val="563E530F"/>
    <w:lvl w:ilvl="0" w:tentative="0">
      <w:start w:val="1"/>
      <w:numFmt w:val="decimal"/>
      <w:suff w:val="nothing"/>
      <w:lvlText w:val="（%1）"/>
      <w:lvlJc w:val="left"/>
      <w:pPr>
        <w:ind w:left="1000" w:hanging="440"/>
      </w:pPr>
      <w:rPr>
        <w:rFonts w:hint="default" w:cs="宋体"/>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
    <w:nsid w:val="5ABF29ED"/>
    <w:multiLevelType w:val="multilevel"/>
    <w:tmpl w:val="5ABF29ED"/>
    <w:lvl w:ilvl="0" w:tentative="0">
      <w:start w:val="1"/>
      <w:numFmt w:val="decimal"/>
      <w:suff w:val="nothing"/>
      <w:lvlText w:val="（%1）"/>
      <w:lvlJc w:val="left"/>
      <w:pPr>
        <w:ind w:left="1000" w:hanging="440"/>
      </w:pPr>
      <w:rPr>
        <w:rFonts w:hint="default" w:cs="宋体"/>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8">
    <w:nsid w:val="628E3966"/>
    <w:multiLevelType w:val="multilevel"/>
    <w:tmpl w:val="628E3966"/>
    <w:lvl w:ilvl="0" w:tentative="0">
      <w:start w:val="1"/>
      <w:numFmt w:val="decimal"/>
      <w:suff w:val="nothing"/>
      <w:lvlText w:val="（%1）"/>
      <w:lvlJc w:val="left"/>
      <w:pPr>
        <w:ind w:left="1000" w:hanging="440"/>
      </w:pPr>
      <w:rPr>
        <w:rFonts w:hint="default" w:cs="宋体"/>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9">
    <w:nsid w:val="65FD66A7"/>
    <w:multiLevelType w:val="multilevel"/>
    <w:tmpl w:val="65FD66A7"/>
    <w:lvl w:ilvl="0" w:tentative="0">
      <w:start w:val="1"/>
      <w:numFmt w:val="chineseCountingThousand"/>
      <w:pStyle w:val="37"/>
      <w:suff w:val="space"/>
      <w:lvlText w:val="第%1章"/>
      <w:lvlJc w:val="left"/>
      <w:pPr>
        <w:ind w:left="7796" w:hanging="425"/>
      </w:pPr>
      <w:rPr>
        <w:rFonts w:hint="default" w:ascii="Times New Roman" w:hAnsi="Times New Roman" w:eastAsia="宋体" w:cs="Times New Roman"/>
        <w:b/>
        <w:sz w:val="44"/>
        <w:szCs w:val="44"/>
        <w:lang w:val="en-US"/>
      </w:rPr>
    </w:lvl>
    <w:lvl w:ilvl="1" w:tentative="0">
      <w:start w:val="1"/>
      <w:numFmt w:val="decimal"/>
      <w:isLgl/>
      <w:suff w:val="space"/>
      <w:lvlText w:val="%1.%2"/>
      <w:lvlJc w:val="left"/>
      <w:pPr>
        <w:ind w:left="709" w:firstLine="0"/>
      </w:pPr>
      <w:rPr>
        <w:rFonts w:hint="eastAsia" w:ascii="Times New Roman" w:hAnsi="Times New Roman" w:cs="Times New Roman"/>
        <w:b/>
        <w:bCs w:val="0"/>
        <w:i w:val="0"/>
        <w:iCs w:val="0"/>
        <w:caps w:val="0"/>
        <w:smallCaps w:val="0"/>
        <w:strike w:val="0"/>
        <w:dstrike w:val="0"/>
        <w:snapToGrid w:val="0"/>
        <w:vanish w:val="0"/>
        <w:color w:val="000000"/>
        <w:spacing w:val="0"/>
        <w:w w:val="0"/>
        <w:kern w:val="0"/>
        <w:position w:val="0"/>
        <w:szCs w:val="0"/>
        <w:u w:val="none"/>
        <w:vertAlign w:val="baseline"/>
      </w:rPr>
    </w:lvl>
    <w:lvl w:ilvl="2" w:tentative="0">
      <w:start w:val="1"/>
      <w:numFmt w:val="decimal"/>
      <w:pStyle w:val="43"/>
      <w:isLgl/>
      <w:suff w:val="space"/>
      <w:lvlText w:val="%1.%2.%3"/>
      <w:lvlJc w:val="left"/>
      <w:pPr>
        <w:ind w:left="7513" w:firstLine="0"/>
      </w:pPr>
      <w:rPr>
        <w:rFonts w:hint="default" w:ascii="Times New Roman" w:hAnsi="Times New Roman" w:cs="Times New Roman"/>
        <w:b/>
        <w:bCs w:val="0"/>
        <w:i w:val="0"/>
        <w:iCs w:val="0"/>
        <w:caps w:val="0"/>
        <w:smallCaps w:val="0"/>
        <w:strike w:val="0"/>
        <w:dstrike w:val="0"/>
        <w:vanish w:val="0"/>
        <w:color w:val="000000"/>
        <w:spacing w:val="0"/>
        <w:position w:val="0"/>
        <w:u w:val="none"/>
        <w:vertAlign w:val="baseline"/>
      </w:rPr>
    </w:lvl>
    <w:lvl w:ilvl="3" w:tentative="0">
      <w:start w:val="1"/>
      <w:numFmt w:val="decimal"/>
      <w:pStyle w:val="80"/>
      <w:isLgl/>
      <w:suff w:val="space"/>
      <w:lvlText w:val="%1.%2.%3.%4"/>
      <w:lvlJc w:val="left"/>
      <w:pPr>
        <w:ind w:left="0" w:firstLine="278"/>
      </w:pPr>
      <w:rPr>
        <w:rFonts w:hint="eastAsia"/>
        <w:lang w:val="en-US"/>
      </w:rPr>
    </w:lvl>
    <w:lvl w:ilvl="4" w:tentative="0">
      <w:start w:val="1"/>
      <w:numFmt w:val="decimal"/>
      <w:lvlText w:val="%1.%2.%3.%4.%5."/>
      <w:lvlJc w:val="left"/>
      <w:pPr>
        <w:ind w:left="1559" w:hanging="992"/>
      </w:pPr>
      <w:rPr>
        <w:rFonts w:hint="eastAsia"/>
      </w:rPr>
    </w:lvl>
    <w:lvl w:ilvl="5" w:tentative="0">
      <w:start w:val="1"/>
      <w:numFmt w:val="decimal"/>
      <w:lvlText w:val="%1.%2.%3.%4.%5.%6."/>
      <w:lvlJc w:val="left"/>
      <w:pPr>
        <w:ind w:left="1701" w:hanging="1134"/>
      </w:pPr>
      <w:rPr>
        <w:rFonts w:hint="eastAsia"/>
      </w:rPr>
    </w:lvl>
    <w:lvl w:ilvl="6" w:tentative="0">
      <w:start w:val="1"/>
      <w:numFmt w:val="decimal"/>
      <w:lvlText w:val="%1.%2.%3.%4.%5.%6.%7."/>
      <w:lvlJc w:val="left"/>
      <w:pPr>
        <w:ind w:left="1843" w:hanging="1276"/>
      </w:pPr>
      <w:rPr>
        <w:rFonts w:hint="eastAsia"/>
      </w:rPr>
    </w:lvl>
    <w:lvl w:ilvl="7" w:tentative="0">
      <w:start w:val="1"/>
      <w:numFmt w:val="decimal"/>
      <w:lvlText w:val="%1.%2.%3.%4.%5.%6.%7.%8."/>
      <w:lvlJc w:val="left"/>
      <w:pPr>
        <w:ind w:left="1985" w:hanging="1418"/>
      </w:pPr>
      <w:rPr>
        <w:rFonts w:hint="eastAsia"/>
      </w:rPr>
    </w:lvl>
    <w:lvl w:ilvl="8" w:tentative="0">
      <w:start w:val="1"/>
      <w:numFmt w:val="decimal"/>
      <w:lvlText w:val="%1.%2.%3.%4.%5.%6.%7.%8.%9."/>
      <w:lvlJc w:val="left"/>
      <w:pPr>
        <w:ind w:left="2126" w:hanging="1559"/>
      </w:pPr>
      <w:rPr>
        <w:rFonts w:hint="eastAsia"/>
      </w:rPr>
    </w:lvl>
  </w:abstractNum>
  <w:abstractNum w:abstractNumId="10">
    <w:nsid w:val="6B6E1F96"/>
    <w:multiLevelType w:val="multilevel"/>
    <w:tmpl w:val="6B6E1F96"/>
    <w:lvl w:ilvl="0" w:tentative="0">
      <w:start w:val="1"/>
      <w:numFmt w:val="decimal"/>
      <w:suff w:val="nothing"/>
      <w:lvlText w:val="（%1）"/>
      <w:lvlJc w:val="left"/>
      <w:pPr>
        <w:ind w:left="1000" w:hanging="440"/>
      </w:pPr>
      <w:rPr>
        <w:rFonts w:hint="default" w:cs="宋体"/>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1">
    <w:nsid w:val="72D1046F"/>
    <w:multiLevelType w:val="multilevel"/>
    <w:tmpl w:val="72D1046F"/>
    <w:lvl w:ilvl="0" w:tentative="0">
      <w:start w:val="1"/>
      <w:numFmt w:val="decimal"/>
      <w:suff w:val="nothing"/>
      <w:lvlText w:val="（%1）"/>
      <w:lvlJc w:val="left"/>
      <w:pPr>
        <w:ind w:left="1000" w:hanging="440"/>
      </w:pPr>
      <w:rPr>
        <w:rFonts w:hint="default" w:cs="宋体"/>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2">
    <w:nsid w:val="780C2EBF"/>
    <w:multiLevelType w:val="multilevel"/>
    <w:tmpl w:val="780C2EBF"/>
    <w:lvl w:ilvl="0" w:tentative="0">
      <w:start w:val="1"/>
      <w:numFmt w:val="decimal"/>
      <w:suff w:val="nothing"/>
      <w:lvlText w:val="（%1）"/>
      <w:lvlJc w:val="left"/>
      <w:pPr>
        <w:ind w:left="1000" w:hanging="440"/>
      </w:pPr>
      <w:rPr>
        <w:rFonts w:hint="default" w:cs="宋体"/>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3">
    <w:nsid w:val="7DBF1E58"/>
    <w:multiLevelType w:val="multilevel"/>
    <w:tmpl w:val="7DBF1E58"/>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14">
    <w:nsid w:val="7FC9186B"/>
    <w:multiLevelType w:val="multilevel"/>
    <w:tmpl w:val="7FC9186B"/>
    <w:lvl w:ilvl="0" w:tentative="0">
      <w:start w:val="1"/>
      <w:numFmt w:val="decimal"/>
      <w:suff w:val="nothing"/>
      <w:lvlText w:val="（%1）"/>
      <w:lvlJc w:val="left"/>
      <w:pPr>
        <w:ind w:left="1000" w:hanging="440"/>
      </w:pPr>
      <w:rPr>
        <w:rFonts w:hint="default" w:cs="宋体"/>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13"/>
  </w:num>
  <w:num w:numId="2">
    <w:abstractNumId w:val="9"/>
  </w:num>
  <w:num w:numId="3">
    <w:abstractNumId w:val="3"/>
  </w:num>
  <w:num w:numId="4">
    <w:abstractNumId w:val="6"/>
  </w:num>
  <w:num w:numId="5">
    <w:abstractNumId w:val="11"/>
  </w:num>
  <w:num w:numId="6">
    <w:abstractNumId w:val="14"/>
  </w:num>
  <w:num w:numId="7">
    <w:abstractNumId w:val="4"/>
  </w:num>
  <w:num w:numId="8">
    <w:abstractNumId w:val="10"/>
  </w:num>
  <w:num w:numId="9">
    <w:abstractNumId w:val="5"/>
  </w:num>
  <w:num w:numId="10">
    <w:abstractNumId w:val="12"/>
  </w:num>
  <w:num w:numId="11">
    <w:abstractNumId w:val="2"/>
  </w:num>
  <w:num w:numId="12">
    <w:abstractNumId w:val="8"/>
  </w:num>
  <w:num w:numId="13">
    <w:abstractNumId w:val="0"/>
  </w:num>
  <w:num w:numId="14">
    <w:abstractNumId w:val="1"/>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removePersonalInformation/>
  <w:bordersDoNotSurroundHeader w:val="1"/>
  <w:bordersDoNotSurroundFooter w:val="1"/>
  <w:trackRevisions w:val="1"/>
  <w:documentProtection w:enforcement="0"/>
  <w:defaultTabStop w:val="420"/>
  <w:drawingGridHorizontalSpacing w:val="140"/>
  <w:drawingGridVerticalSpacing w:val="381"/>
  <w:displayHorizontalDrawingGridEvery w:val="0"/>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lhYjljMzgwNjA3ZDM4YzJkMmFlNDJhYjE3MDFmMjkifQ=="/>
  </w:docVars>
  <w:rsids>
    <w:rsidRoot w:val="00C0576F"/>
    <w:rsid w:val="00001D55"/>
    <w:rsid w:val="00001DD3"/>
    <w:rsid w:val="00002F74"/>
    <w:rsid w:val="00004D77"/>
    <w:rsid w:val="000054A3"/>
    <w:rsid w:val="000057B2"/>
    <w:rsid w:val="00005DCB"/>
    <w:rsid w:val="000060A9"/>
    <w:rsid w:val="0000780E"/>
    <w:rsid w:val="0001001D"/>
    <w:rsid w:val="00010CD3"/>
    <w:rsid w:val="000112D4"/>
    <w:rsid w:val="000114A2"/>
    <w:rsid w:val="000122C3"/>
    <w:rsid w:val="0001317E"/>
    <w:rsid w:val="000134B0"/>
    <w:rsid w:val="00014CA3"/>
    <w:rsid w:val="00016AD1"/>
    <w:rsid w:val="00016CC0"/>
    <w:rsid w:val="00017238"/>
    <w:rsid w:val="0002166C"/>
    <w:rsid w:val="00023058"/>
    <w:rsid w:val="00024692"/>
    <w:rsid w:val="0002585A"/>
    <w:rsid w:val="00025A21"/>
    <w:rsid w:val="0002635A"/>
    <w:rsid w:val="000279FA"/>
    <w:rsid w:val="00027BD9"/>
    <w:rsid w:val="00030ECF"/>
    <w:rsid w:val="00041404"/>
    <w:rsid w:val="000415B5"/>
    <w:rsid w:val="00041F61"/>
    <w:rsid w:val="000427EE"/>
    <w:rsid w:val="00045409"/>
    <w:rsid w:val="000465AD"/>
    <w:rsid w:val="0004674A"/>
    <w:rsid w:val="00047C9C"/>
    <w:rsid w:val="000502F5"/>
    <w:rsid w:val="00050E77"/>
    <w:rsid w:val="0005140C"/>
    <w:rsid w:val="00052410"/>
    <w:rsid w:val="00052BB2"/>
    <w:rsid w:val="00052E00"/>
    <w:rsid w:val="0005337C"/>
    <w:rsid w:val="00054865"/>
    <w:rsid w:val="00055B77"/>
    <w:rsid w:val="00057ECB"/>
    <w:rsid w:val="00057FE9"/>
    <w:rsid w:val="000621B1"/>
    <w:rsid w:val="00062560"/>
    <w:rsid w:val="000625B4"/>
    <w:rsid w:val="000635D7"/>
    <w:rsid w:val="00064F57"/>
    <w:rsid w:val="0006508B"/>
    <w:rsid w:val="0006570C"/>
    <w:rsid w:val="000668F3"/>
    <w:rsid w:val="0006702B"/>
    <w:rsid w:val="0006746C"/>
    <w:rsid w:val="00067889"/>
    <w:rsid w:val="0007277F"/>
    <w:rsid w:val="00074922"/>
    <w:rsid w:val="00077375"/>
    <w:rsid w:val="000774F9"/>
    <w:rsid w:val="00081BE1"/>
    <w:rsid w:val="00082924"/>
    <w:rsid w:val="0008379C"/>
    <w:rsid w:val="00083C8A"/>
    <w:rsid w:val="00084D8F"/>
    <w:rsid w:val="00084FFF"/>
    <w:rsid w:val="00085293"/>
    <w:rsid w:val="00085813"/>
    <w:rsid w:val="00085A12"/>
    <w:rsid w:val="00086581"/>
    <w:rsid w:val="00086D85"/>
    <w:rsid w:val="00086E03"/>
    <w:rsid w:val="000874ED"/>
    <w:rsid w:val="00087A97"/>
    <w:rsid w:val="00090652"/>
    <w:rsid w:val="000909F6"/>
    <w:rsid w:val="00091106"/>
    <w:rsid w:val="00092624"/>
    <w:rsid w:val="00092704"/>
    <w:rsid w:val="00093964"/>
    <w:rsid w:val="00093EEC"/>
    <w:rsid w:val="00094928"/>
    <w:rsid w:val="0009510C"/>
    <w:rsid w:val="00095351"/>
    <w:rsid w:val="00096CEB"/>
    <w:rsid w:val="000971C5"/>
    <w:rsid w:val="000A0056"/>
    <w:rsid w:val="000A0B1C"/>
    <w:rsid w:val="000A14A6"/>
    <w:rsid w:val="000A1A3D"/>
    <w:rsid w:val="000A1BDB"/>
    <w:rsid w:val="000A1EBB"/>
    <w:rsid w:val="000A2535"/>
    <w:rsid w:val="000A2655"/>
    <w:rsid w:val="000A26CB"/>
    <w:rsid w:val="000A436A"/>
    <w:rsid w:val="000A486C"/>
    <w:rsid w:val="000A58C3"/>
    <w:rsid w:val="000B011F"/>
    <w:rsid w:val="000B02AF"/>
    <w:rsid w:val="000B0873"/>
    <w:rsid w:val="000B0FCB"/>
    <w:rsid w:val="000B10DF"/>
    <w:rsid w:val="000B1453"/>
    <w:rsid w:val="000B3835"/>
    <w:rsid w:val="000B3B3F"/>
    <w:rsid w:val="000B4590"/>
    <w:rsid w:val="000B48F9"/>
    <w:rsid w:val="000C045A"/>
    <w:rsid w:val="000C06D0"/>
    <w:rsid w:val="000C2CA1"/>
    <w:rsid w:val="000C3B88"/>
    <w:rsid w:val="000C4108"/>
    <w:rsid w:val="000C4877"/>
    <w:rsid w:val="000D1D74"/>
    <w:rsid w:val="000D22CD"/>
    <w:rsid w:val="000D61FD"/>
    <w:rsid w:val="000D6507"/>
    <w:rsid w:val="000D687E"/>
    <w:rsid w:val="000D7138"/>
    <w:rsid w:val="000D7199"/>
    <w:rsid w:val="000D7434"/>
    <w:rsid w:val="000E0CFA"/>
    <w:rsid w:val="000E122D"/>
    <w:rsid w:val="000E18BE"/>
    <w:rsid w:val="000E33B4"/>
    <w:rsid w:val="000E48EC"/>
    <w:rsid w:val="000E4B0E"/>
    <w:rsid w:val="000E4BD9"/>
    <w:rsid w:val="000E51A5"/>
    <w:rsid w:val="000E6AD0"/>
    <w:rsid w:val="000E7420"/>
    <w:rsid w:val="000E7581"/>
    <w:rsid w:val="000F0097"/>
    <w:rsid w:val="000F152D"/>
    <w:rsid w:val="000F1E3C"/>
    <w:rsid w:val="000F31B8"/>
    <w:rsid w:val="000F33DD"/>
    <w:rsid w:val="000F35E8"/>
    <w:rsid w:val="000F4F67"/>
    <w:rsid w:val="000F5396"/>
    <w:rsid w:val="000F5F9F"/>
    <w:rsid w:val="001002DF"/>
    <w:rsid w:val="00100C9A"/>
    <w:rsid w:val="001010BD"/>
    <w:rsid w:val="001014D7"/>
    <w:rsid w:val="00103C13"/>
    <w:rsid w:val="00103ED4"/>
    <w:rsid w:val="0010432E"/>
    <w:rsid w:val="00107986"/>
    <w:rsid w:val="001079E2"/>
    <w:rsid w:val="00107A81"/>
    <w:rsid w:val="00107FE5"/>
    <w:rsid w:val="00110146"/>
    <w:rsid w:val="00110609"/>
    <w:rsid w:val="0011081D"/>
    <w:rsid w:val="00111DD2"/>
    <w:rsid w:val="00112A9B"/>
    <w:rsid w:val="001135AC"/>
    <w:rsid w:val="001144B4"/>
    <w:rsid w:val="00114BAC"/>
    <w:rsid w:val="00116B03"/>
    <w:rsid w:val="00123FD4"/>
    <w:rsid w:val="00124293"/>
    <w:rsid w:val="00124D8D"/>
    <w:rsid w:val="00125D4C"/>
    <w:rsid w:val="00125EAB"/>
    <w:rsid w:val="0013027E"/>
    <w:rsid w:val="001313BA"/>
    <w:rsid w:val="001324D8"/>
    <w:rsid w:val="001325A0"/>
    <w:rsid w:val="0013332C"/>
    <w:rsid w:val="00133CAE"/>
    <w:rsid w:val="001346CA"/>
    <w:rsid w:val="00134CFF"/>
    <w:rsid w:val="001353D7"/>
    <w:rsid w:val="001372F8"/>
    <w:rsid w:val="00137305"/>
    <w:rsid w:val="00137D4E"/>
    <w:rsid w:val="00140CE8"/>
    <w:rsid w:val="0014214E"/>
    <w:rsid w:val="001424E6"/>
    <w:rsid w:val="00143EEF"/>
    <w:rsid w:val="00143FB6"/>
    <w:rsid w:val="00144B41"/>
    <w:rsid w:val="00145232"/>
    <w:rsid w:val="00145337"/>
    <w:rsid w:val="00147935"/>
    <w:rsid w:val="00150141"/>
    <w:rsid w:val="00150C11"/>
    <w:rsid w:val="00153636"/>
    <w:rsid w:val="00154646"/>
    <w:rsid w:val="0015556A"/>
    <w:rsid w:val="0015611D"/>
    <w:rsid w:val="001626A3"/>
    <w:rsid w:val="0016285E"/>
    <w:rsid w:val="00162EA8"/>
    <w:rsid w:val="00162F2F"/>
    <w:rsid w:val="0016356C"/>
    <w:rsid w:val="00164189"/>
    <w:rsid w:val="00165029"/>
    <w:rsid w:val="0016507C"/>
    <w:rsid w:val="00165AB6"/>
    <w:rsid w:val="00166415"/>
    <w:rsid w:val="00166B9E"/>
    <w:rsid w:val="00167A37"/>
    <w:rsid w:val="00167B05"/>
    <w:rsid w:val="00170337"/>
    <w:rsid w:val="00170C8F"/>
    <w:rsid w:val="00172A31"/>
    <w:rsid w:val="0017307A"/>
    <w:rsid w:val="00174800"/>
    <w:rsid w:val="001777D3"/>
    <w:rsid w:val="00177E73"/>
    <w:rsid w:val="00180C80"/>
    <w:rsid w:val="00181B97"/>
    <w:rsid w:val="00182204"/>
    <w:rsid w:val="00183194"/>
    <w:rsid w:val="00183DB2"/>
    <w:rsid w:val="00184417"/>
    <w:rsid w:val="00185EB6"/>
    <w:rsid w:val="00186CDD"/>
    <w:rsid w:val="00187ED1"/>
    <w:rsid w:val="00191FD1"/>
    <w:rsid w:val="00191FE9"/>
    <w:rsid w:val="0019272C"/>
    <w:rsid w:val="00192F6E"/>
    <w:rsid w:val="0019304A"/>
    <w:rsid w:val="0019428A"/>
    <w:rsid w:val="001946CA"/>
    <w:rsid w:val="00194D80"/>
    <w:rsid w:val="00195467"/>
    <w:rsid w:val="00195AD9"/>
    <w:rsid w:val="00195B27"/>
    <w:rsid w:val="00195FFE"/>
    <w:rsid w:val="0019737C"/>
    <w:rsid w:val="001A0587"/>
    <w:rsid w:val="001A0C1F"/>
    <w:rsid w:val="001A18DB"/>
    <w:rsid w:val="001A36DD"/>
    <w:rsid w:val="001A36FB"/>
    <w:rsid w:val="001A4FAD"/>
    <w:rsid w:val="001A5361"/>
    <w:rsid w:val="001A5BA1"/>
    <w:rsid w:val="001A71C6"/>
    <w:rsid w:val="001A7EEC"/>
    <w:rsid w:val="001B138E"/>
    <w:rsid w:val="001B19ED"/>
    <w:rsid w:val="001B1BA3"/>
    <w:rsid w:val="001B2DBE"/>
    <w:rsid w:val="001B2F15"/>
    <w:rsid w:val="001B3AC9"/>
    <w:rsid w:val="001B3D23"/>
    <w:rsid w:val="001B3F86"/>
    <w:rsid w:val="001B4336"/>
    <w:rsid w:val="001B57DA"/>
    <w:rsid w:val="001B699B"/>
    <w:rsid w:val="001B764F"/>
    <w:rsid w:val="001C06D5"/>
    <w:rsid w:val="001C1AE4"/>
    <w:rsid w:val="001C21E7"/>
    <w:rsid w:val="001C2206"/>
    <w:rsid w:val="001C2F69"/>
    <w:rsid w:val="001C3BEA"/>
    <w:rsid w:val="001C4597"/>
    <w:rsid w:val="001C4FE5"/>
    <w:rsid w:val="001C6364"/>
    <w:rsid w:val="001C6BB8"/>
    <w:rsid w:val="001C7568"/>
    <w:rsid w:val="001C7CE6"/>
    <w:rsid w:val="001D074E"/>
    <w:rsid w:val="001D11AE"/>
    <w:rsid w:val="001D14E5"/>
    <w:rsid w:val="001D2C11"/>
    <w:rsid w:val="001D31D0"/>
    <w:rsid w:val="001D34A4"/>
    <w:rsid w:val="001D3AF5"/>
    <w:rsid w:val="001D3C45"/>
    <w:rsid w:val="001D42CF"/>
    <w:rsid w:val="001D4592"/>
    <w:rsid w:val="001D4C03"/>
    <w:rsid w:val="001D635F"/>
    <w:rsid w:val="001D76AB"/>
    <w:rsid w:val="001D7A7C"/>
    <w:rsid w:val="001E011F"/>
    <w:rsid w:val="001E0124"/>
    <w:rsid w:val="001E0F1A"/>
    <w:rsid w:val="001E23EA"/>
    <w:rsid w:val="001E2F04"/>
    <w:rsid w:val="001E4C1C"/>
    <w:rsid w:val="001E705E"/>
    <w:rsid w:val="001F0D15"/>
    <w:rsid w:val="001F0DF2"/>
    <w:rsid w:val="001F1813"/>
    <w:rsid w:val="001F2419"/>
    <w:rsid w:val="001F291B"/>
    <w:rsid w:val="001F3190"/>
    <w:rsid w:val="001F3366"/>
    <w:rsid w:val="001F3A93"/>
    <w:rsid w:val="001F3D42"/>
    <w:rsid w:val="001F4304"/>
    <w:rsid w:val="001F5E7B"/>
    <w:rsid w:val="001F5FDE"/>
    <w:rsid w:val="001F6561"/>
    <w:rsid w:val="001F6FE0"/>
    <w:rsid w:val="001F79D0"/>
    <w:rsid w:val="00200CD3"/>
    <w:rsid w:val="00200E93"/>
    <w:rsid w:val="00201B90"/>
    <w:rsid w:val="00202E83"/>
    <w:rsid w:val="002050B7"/>
    <w:rsid w:val="00205173"/>
    <w:rsid w:val="002066E2"/>
    <w:rsid w:val="00206D66"/>
    <w:rsid w:val="00206F08"/>
    <w:rsid w:val="00207382"/>
    <w:rsid w:val="00207867"/>
    <w:rsid w:val="00210683"/>
    <w:rsid w:val="00210C42"/>
    <w:rsid w:val="00211AC5"/>
    <w:rsid w:val="00212C3D"/>
    <w:rsid w:val="002142CF"/>
    <w:rsid w:val="00214888"/>
    <w:rsid w:val="00216A38"/>
    <w:rsid w:val="00216C46"/>
    <w:rsid w:val="0021770C"/>
    <w:rsid w:val="00220CA4"/>
    <w:rsid w:val="002216C2"/>
    <w:rsid w:val="00221DF9"/>
    <w:rsid w:val="00222124"/>
    <w:rsid w:val="002225FA"/>
    <w:rsid w:val="00222B88"/>
    <w:rsid w:val="00223059"/>
    <w:rsid w:val="0022313E"/>
    <w:rsid w:val="00223DB1"/>
    <w:rsid w:val="002255C9"/>
    <w:rsid w:val="002255ED"/>
    <w:rsid w:val="00225C92"/>
    <w:rsid w:val="00227E3C"/>
    <w:rsid w:val="00231763"/>
    <w:rsid w:val="00233A12"/>
    <w:rsid w:val="00234089"/>
    <w:rsid w:val="00235580"/>
    <w:rsid w:val="002363B3"/>
    <w:rsid w:val="00236FA3"/>
    <w:rsid w:val="002377CA"/>
    <w:rsid w:val="00242A67"/>
    <w:rsid w:val="00242C45"/>
    <w:rsid w:val="0024341A"/>
    <w:rsid w:val="00243EFE"/>
    <w:rsid w:val="0024618D"/>
    <w:rsid w:val="00246B66"/>
    <w:rsid w:val="00247967"/>
    <w:rsid w:val="00250315"/>
    <w:rsid w:val="00250623"/>
    <w:rsid w:val="00250CB2"/>
    <w:rsid w:val="00251324"/>
    <w:rsid w:val="00251ADF"/>
    <w:rsid w:val="00253E7F"/>
    <w:rsid w:val="002612CD"/>
    <w:rsid w:val="002629EA"/>
    <w:rsid w:val="00263F63"/>
    <w:rsid w:val="00264878"/>
    <w:rsid w:val="00266734"/>
    <w:rsid w:val="002670A3"/>
    <w:rsid w:val="0027169A"/>
    <w:rsid w:val="002717DC"/>
    <w:rsid w:val="002727E2"/>
    <w:rsid w:val="00272BFF"/>
    <w:rsid w:val="002733DA"/>
    <w:rsid w:val="002744A3"/>
    <w:rsid w:val="0027477D"/>
    <w:rsid w:val="00274FEA"/>
    <w:rsid w:val="00275A19"/>
    <w:rsid w:val="0027685A"/>
    <w:rsid w:val="00276D48"/>
    <w:rsid w:val="0027708D"/>
    <w:rsid w:val="00277568"/>
    <w:rsid w:val="002777D9"/>
    <w:rsid w:val="002778D9"/>
    <w:rsid w:val="00280AAB"/>
    <w:rsid w:val="00280B2B"/>
    <w:rsid w:val="00281834"/>
    <w:rsid w:val="00281BE2"/>
    <w:rsid w:val="00284725"/>
    <w:rsid w:val="00285C09"/>
    <w:rsid w:val="002860CC"/>
    <w:rsid w:val="00287127"/>
    <w:rsid w:val="00290653"/>
    <w:rsid w:val="00290D1F"/>
    <w:rsid w:val="00290E2B"/>
    <w:rsid w:val="002910ED"/>
    <w:rsid w:val="00292259"/>
    <w:rsid w:val="00292D6B"/>
    <w:rsid w:val="00292D97"/>
    <w:rsid w:val="002939C7"/>
    <w:rsid w:val="002944E7"/>
    <w:rsid w:val="0029483A"/>
    <w:rsid w:val="00295710"/>
    <w:rsid w:val="002A0734"/>
    <w:rsid w:val="002A1F43"/>
    <w:rsid w:val="002A294B"/>
    <w:rsid w:val="002A550F"/>
    <w:rsid w:val="002A66F6"/>
    <w:rsid w:val="002A75B1"/>
    <w:rsid w:val="002A7DCC"/>
    <w:rsid w:val="002A7F31"/>
    <w:rsid w:val="002B27ED"/>
    <w:rsid w:val="002B4DBD"/>
    <w:rsid w:val="002B4ED3"/>
    <w:rsid w:val="002B618B"/>
    <w:rsid w:val="002B6282"/>
    <w:rsid w:val="002B66DB"/>
    <w:rsid w:val="002B68D3"/>
    <w:rsid w:val="002B6D2A"/>
    <w:rsid w:val="002B7784"/>
    <w:rsid w:val="002B7F62"/>
    <w:rsid w:val="002C0CFB"/>
    <w:rsid w:val="002C17D3"/>
    <w:rsid w:val="002C2237"/>
    <w:rsid w:val="002C2C72"/>
    <w:rsid w:val="002C3A3C"/>
    <w:rsid w:val="002C4293"/>
    <w:rsid w:val="002C4815"/>
    <w:rsid w:val="002C55D2"/>
    <w:rsid w:val="002C67F6"/>
    <w:rsid w:val="002C6CEA"/>
    <w:rsid w:val="002C7E3F"/>
    <w:rsid w:val="002D0DD7"/>
    <w:rsid w:val="002D2414"/>
    <w:rsid w:val="002D246F"/>
    <w:rsid w:val="002D3EE5"/>
    <w:rsid w:val="002D415F"/>
    <w:rsid w:val="002D4575"/>
    <w:rsid w:val="002D557E"/>
    <w:rsid w:val="002D7212"/>
    <w:rsid w:val="002D7FC0"/>
    <w:rsid w:val="002E0A62"/>
    <w:rsid w:val="002E1660"/>
    <w:rsid w:val="002E16F0"/>
    <w:rsid w:val="002E1D28"/>
    <w:rsid w:val="002E2D1F"/>
    <w:rsid w:val="002E33B8"/>
    <w:rsid w:val="002E372B"/>
    <w:rsid w:val="002E3CFC"/>
    <w:rsid w:val="002E40CB"/>
    <w:rsid w:val="002E4955"/>
    <w:rsid w:val="002E4FBF"/>
    <w:rsid w:val="002E5208"/>
    <w:rsid w:val="002E7097"/>
    <w:rsid w:val="002E7F16"/>
    <w:rsid w:val="002F0117"/>
    <w:rsid w:val="002F1481"/>
    <w:rsid w:val="002F22E8"/>
    <w:rsid w:val="002F2E6F"/>
    <w:rsid w:val="002F31C1"/>
    <w:rsid w:val="002F40F1"/>
    <w:rsid w:val="002F443A"/>
    <w:rsid w:val="002F4965"/>
    <w:rsid w:val="002F6214"/>
    <w:rsid w:val="002F69C1"/>
    <w:rsid w:val="003006EB"/>
    <w:rsid w:val="003015DC"/>
    <w:rsid w:val="00303155"/>
    <w:rsid w:val="00303255"/>
    <w:rsid w:val="00303F77"/>
    <w:rsid w:val="003049D8"/>
    <w:rsid w:val="0030602A"/>
    <w:rsid w:val="0030645C"/>
    <w:rsid w:val="003066E8"/>
    <w:rsid w:val="00307CC1"/>
    <w:rsid w:val="003129F6"/>
    <w:rsid w:val="00312B8F"/>
    <w:rsid w:val="0031322E"/>
    <w:rsid w:val="003138EC"/>
    <w:rsid w:val="00313C4E"/>
    <w:rsid w:val="003145BA"/>
    <w:rsid w:val="00314C0A"/>
    <w:rsid w:val="00320EB6"/>
    <w:rsid w:val="003219ED"/>
    <w:rsid w:val="00321D2D"/>
    <w:rsid w:val="00321EDB"/>
    <w:rsid w:val="00321F12"/>
    <w:rsid w:val="00322293"/>
    <w:rsid w:val="003236E7"/>
    <w:rsid w:val="00323E88"/>
    <w:rsid w:val="00325F82"/>
    <w:rsid w:val="0032630D"/>
    <w:rsid w:val="00326EB0"/>
    <w:rsid w:val="00327147"/>
    <w:rsid w:val="00327A4F"/>
    <w:rsid w:val="00327E8D"/>
    <w:rsid w:val="00330F3E"/>
    <w:rsid w:val="0033162C"/>
    <w:rsid w:val="00331739"/>
    <w:rsid w:val="003331FE"/>
    <w:rsid w:val="00333C44"/>
    <w:rsid w:val="00334472"/>
    <w:rsid w:val="003349C6"/>
    <w:rsid w:val="0033521B"/>
    <w:rsid w:val="0033580C"/>
    <w:rsid w:val="003358B0"/>
    <w:rsid w:val="00335CAD"/>
    <w:rsid w:val="0034187A"/>
    <w:rsid w:val="003428C0"/>
    <w:rsid w:val="003428F1"/>
    <w:rsid w:val="00342D56"/>
    <w:rsid w:val="003433F6"/>
    <w:rsid w:val="00343E00"/>
    <w:rsid w:val="00346CE6"/>
    <w:rsid w:val="003474E1"/>
    <w:rsid w:val="003476C7"/>
    <w:rsid w:val="00347AD2"/>
    <w:rsid w:val="00350087"/>
    <w:rsid w:val="0035015C"/>
    <w:rsid w:val="00351FFF"/>
    <w:rsid w:val="00352780"/>
    <w:rsid w:val="00352E71"/>
    <w:rsid w:val="0035435C"/>
    <w:rsid w:val="0035482D"/>
    <w:rsid w:val="00355F02"/>
    <w:rsid w:val="0035613B"/>
    <w:rsid w:val="003608EA"/>
    <w:rsid w:val="003612A3"/>
    <w:rsid w:val="00361BAC"/>
    <w:rsid w:val="00361D3E"/>
    <w:rsid w:val="00361E86"/>
    <w:rsid w:val="003627AF"/>
    <w:rsid w:val="00362F5C"/>
    <w:rsid w:val="00363166"/>
    <w:rsid w:val="00364249"/>
    <w:rsid w:val="00366845"/>
    <w:rsid w:val="0036745D"/>
    <w:rsid w:val="0036794D"/>
    <w:rsid w:val="003709D9"/>
    <w:rsid w:val="00370A32"/>
    <w:rsid w:val="00371E98"/>
    <w:rsid w:val="00373190"/>
    <w:rsid w:val="00373479"/>
    <w:rsid w:val="00374A40"/>
    <w:rsid w:val="00375295"/>
    <w:rsid w:val="00376FF6"/>
    <w:rsid w:val="00377E09"/>
    <w:rsid w:val="00377F7D"/>
    <w:rsid w:val="003807B2"/>
    <w:rsid w:val="00380AE9"/>
    <w:rsid w:val="00380C47"/>
    <w:rsid w:val="00381489"/>
    <w:rsid w:val="0038224B"/>
    <w:rsid w:val="003826BA"/>
    <w:rsid w:val="003829FA"/>
    <w:rsid w:val="003849AC"/>
    <w:rsid w:val="00384B7E"/>
    <w:rsid w:val="003859F6"/>
    <w:rsid w:val="003905A5"/>
    <w:rsid w:val="003909A5"/>
    <w:rsid w:val="0039110D"/>
    <w:rsid w:val="00391AA9"/>
    <w:rsid w:val="00391FA9"/>
    <w:rsid w:val="0039250A"/>
    <w:rsid w:val="00392610"/>
    <w:rsid w:val="00393AB1"/>
    <w:rsid w:val="00396A62"/>
    <w:rsid w:val="00396D8A"/>
    <w:rsid w:val="003A1E2E"/>
    <w:rsid w:val="003A344B"/>
    <w:rsid w:val="003A574F"/>
    <w:rsid w:val="003A7118"/>
    <w:rsid w:val="003B0988"/>
    <w:rsid w:val="003B0DE1"/>
    <w:rsid w:val="003B150F"/>
    <w:rsid w:val="003B19EB"/>
    <w:rsid w:val="003B1BDF"/>
    <w:rsid w:val="003B2E06"/>
    <w:rsid w:val="003B39AB"/>
    <w:rsid w:val="003B47A5"/>
    <w:rsid w:val="003B47A6"/>
    <w:rsid w:val="003B48D1"/>
    <w:rsid w:val="003B57B0"/>
    <w:rsid w:val="003B7D8E"/>
    <w:rsid w:val="003C2D4F"/>
    <w:rsid w:val="003C3CC7"/>
    <w:rsid w:val="003C5022"/>
    <w:rsid w:val="003C592D"/>
    <w:rsid w:val="003C6B13"/>
    <w:rsid w:val="003C75DC"/>
    <w:rsid w:val="003D0034"/>
    <w:rsid w:val="003D02ED"/>
    <w:rsid w:val="003D0C9A"/>
    <w:rsid w:val="003D0D30"/>
    <w:rsid w:val="003D27C3"/>
    <w:rsid w:val="003D27EE"/>
    <w:rsid w:val="003D2B32"/>
    <w:rsid w:val="003D2E79"/>
    <w:rsid w:val="003D38BF"/>
    <w:rsid w:val="003D43D0"/>
    <w:rsid w:val="003D477F"/>
    <w:rsid w:val="003D48E4"/>
    <w:rsid w:val="003D4C63"/>
    <w:rsid w:val="003D5222"/>
    <w:rsid w:val="003D580F"/>
    <w:rsid w:val="003D7236"/>
    <w:rsid w:val="003D7AF0"/>
    <w:rsid w:val="003E00D0"/>
    <w:rsid w:val="003E160D"/>
    <w:rsid w:val="003E2266"/>
    <w:rsid w:val="003E2575"/>
    <w:rsid w:val="003E3153"/>
    <w:rsid w:val="003E375D"/>
    <w:rsid w:val="003E5334"/>
    <w:rsid w:val="003E58F5"/>
    <w:rsid w:val="003E5A60"/>
    <w:rsid w:val="003E7D79"/>
    <w:rsid w:val="003F1D9D"/>
    <w:rsid w:val="003F1E32"/>
    <w:rsid w:val="003F2046"/>
    <w:rsid w:val="003F2988"/>
    <w:rsid w:val="003F30C7"/>
    <w:rsid w:val="003F324B"/>
    <w:rsid w:val="003F4497"/>
    <w:rsid w:val="003F50D8"/>
    <w:rsid w:val="003F604C"/>
    <w:rsid w:val="003F654B"/>
    <w:rsid w:val="003F7015"/>
    <w:rsid w:val="00400004"/>
    <w:rsid w:val="00400C01"/>
    <w:rsid w:val="004012D1"/>
    <w:rsid w:val="004024F5"/>
    <w:rsid w:val="00402E43"/>
    <w:rsid w:val="0040336D"/>
    <w:rsid w:val="00403B86"/>
    <w:rsid w:val="00403D2F"/>
    <w:rsid w:val="0040427D"/>
    <w:rsid w:val="0040435E"/>
    <w:rsid w:val="0040447E"/>
    <w:rsid w:val="0040456B"/>
    <w:rsid w:val="004066C7"/>
    <w:rsid w:val="0040730B"/>
    <w:rsid w:val="00407416"/>
    <w:rsid w:val="004103F3"/>
    <w:rsid w:val="004108F3"/>
    <w:rsid w:val="00415483"/>
    <w:rsid w:val="004162E4"/>
    <w:rsid w:val="004167AD"/>
    <w:rsid w:val="0041748D"/>
    <w:rsid w:val="00421D55"/>
    <w:rsid w:val="0042219D"/>
    <w:rsid w:val="00423097"/>
    <w:rsid w:val="00424378"/>
    <w:rsid w:val="004243BC"/>
    <w:rsid w:val="00426151"/>
    <w:rsid w:val="00426B07"/>
    <w:rsid w:val="004276D2"/>
    <w:rsid w:val="00431082"/>
    <w:rsid w:val="004324FB"/>
    <w:rsid w:val="00432C53"/>
    <w:rsid w:val="0043346F"/>
    <w:rsid w:val="004354C0"/>
    <w:rsid w:val="00435951"/>
    <w:rsid w:val="00435B17"/>
    <w:rsid w:val="004379DC"/>
    <w:rsid w:val="00440E2F"/>
    <w:rsid w:val="004411B3"/>
    <w:rsid w:val="0044128F"/>
    <w:rsid w:val="004417D3"/>
    <w:rsid w:val="0044287F"/>
    <w:rsid w:val="00442DE2"/>
    <w:rsid w:val="004435F9"/>
    <w:rsid w:val="00443D72"/>
    <w:rsid w:val="00444098"/>
    <w:rsid w:val="00445805"/>
    <w:rsid w:val="00445D2B"/>
    <w:rsid w:val="00446DD5"/>
    <w:rsid w:val="004472EE"/>
    <w:rsid w:val="00447614"/>
    <w:rsid w:val="00447D78"/>
    <w:rsid w:val="00447E26"/>
    <w:rsid w:val="00450F7D"/>
    <w:rsid w:val="004540BF"/>
    <w:rsid w:val="004551D9"/>
    <w:rsid w:val="00456C78"/>
    <w:rsid w:val="00457AF7"/>
    <w:rsid w:val="0046032C"/>
    <w:rsid w:val="00460D0B"/>
    <w:rsid w:val="00460ED6"/>
    <w:rsid w:val="004623E0"/>
    <w:rsid w:val="00462D41"/>
    <w:rsid w:val="00463FDB"/>
    <w:rsid w:val="004641E5"/>
    <w:rsid w:val="00464516"/>
    <w:rsid w:val="004647D0"/>
    <w:rsid w:val="00464C6F"/>
    <w:rsid w:val="004652A5"/>
    <w:rsid w:val="004655D3"/>
    <w:rsid w:val="00465827"/>
    <w:rsid w:val="00466838"/>
    <w:rsid w:val="0046684B"/>
    <w:rsid w:val="00466F5F"/>
    <w:rsid w:val="004675C1"/>
    <w:rsid w:val="004676C9"/>
    <w:rsid w:val="00467F8F"/>
    <w:rsid w:val="00471DD5"/>
    <w:rsid w:val="0047200B"/>
    <w:rsid w:val="00473D29"/>
    <w:rsid w:val="00475D4F"/>
    <w:rsid w:val="00476604"/>
    <w:rsid w:val="0047686E"/>
    <w:rsid w:val="00477060"/>
    <w:rsid w:val="004778E6"/>
    <w:rsid w:val="004779A2"/>
    <w:rsid w:val="0048318D"/>
    <w:rsid w:val="004838A7"/>
    <w:rsid w:val="00483A4A"/>
    <w:rsid w:val="00485984"/>
    <w:rsid w:val="00485E7C"/>
    <w:rsid w:val="00486310"/>
    <w:rsid w:val="00486443"/>
    <w:rsid w:val="004878CC"/>
    <w:rsid w:val="00490523"/>
    <w:rsid w:val="0049146B"/>
    <w:rsid w:val="004914D3"/>
    <w:rsid w:val="0049253A"/>
    <w:rsid w:val="00492806"/>
    <w:rsid w:val="00492E13"/>
    <w:rsid w:val="004934FA"/>
    <w:rsid w:val="0049504D"/>
    <w:rsid w:val="004971B4"/>
    <w:rsid w:val="004A024A"/>
    <w:rsid w:val="004A0710"/>
    <w:rsid w:val="004A2BBC"/>
    <w:rsid w:val="004A2DAC"/>
    <w:rsid w:val="004A3220"/>
    <w:rsid w:val="004A3550"/>
    <w:rsid w:val="004A442C"/>
    <w:rsid w:val="004A5D56"/>
    <w:rsid w:val="004A6C9D"/>
    <w:rsid w:val="004A77D0"/>
    <w:rsid w:val="004B0645"/>
    <w:rsid w:val="004B1826"/>
    <w:rsid w:val="004B1FE2"/>
    <w:rsid w:val="004B2E58"/>
    <w:rsid w:val="004B34E1"/>
    <w:rsid w:val="004B4023"/>
    <w:rsid w:val="004B5C7C"/>
    <w:rsid w:val="004C07BE"/>
    <w:rsid w:val="004C0B39"/>
    <w:rsid w:val="004C44D6"/>
    <w:rsid w:val="004C477A"/>
    <w:rsid w:val="004C522D"/>
    <w:rsid w:val="004C562A"/>
    <w:rsid w:val="004C5887"/>
    <w:rsid w:val="004C5BE4"/>
    <w:rsid w:val="004C6874"/>
    <w:rsid w:val="004D0F93"/>
    <w:rsid w:val="004D1612"/>
    <w:rsid w:val="004D327A"/>
    <w:rsid w:val="004D5883"/>
    <w:rsid w:val="004D7412"/>
    <w:rsid w:val="004E0B09"/>
    <w:rsid w:val="004E0E44"/>
    <w:rsid w:val="004E128E"/>
    <w:rsid w:val="004E190E"/>
    <w:rsid w:val="004E245D"/>
    <w:rsid w:val="004E24E6"/>
    <w:rsid w:val="004E32A2"/>
    <w:rsid w:val="004E3532"/>
    <w:rsid w:val="004E3D4F"/>
    <w:rsid w:val="004E4528"/>
    <w:rsid w:val="004E4AE5"/>
    <w:rsid w:val="004E4BAA"/>
    <w:rsid w:val="004E4EE5"/>
    <w:rsid w:val="004E5050"/>
    <w:rsid w:val="004E5155"/>
    <w:rsid w:val="004F05CC"/>
    <w:rsid w:val="004F0A13"/>
    <w:rsid w:val="004F15ED"/>
    <w:rsid w:val="004F1F9D"/>
    <w:rsid w:val="004F2144"/>
    <w:rsid w:val="004F2DCB"/>
    <w:rsid w:val="004F2DDE"/>
    <w:rsid w:val="004F3428"/>
    <w:rsid w:val="004F442B"/>
    <w:rsid w:val="004F4978"/>
    <w:rsid w:val="004F65FD"/>
    <w:rsid w:val="004F7EC6"/>
    <w:rsid w:val="00502B7D"/>
    <w:rsid w:val="00502D46"/>
    <w:rsid w:val="00504E2E"/>
    <w:rsid w:val="0050519E"/>
    <w:rsid w:val="00505571"/>
    <w:rsid w:val="00506C9F"/>
    <w:rsid w:val="00507537"/>
    <w:rsid w:val="005075F5"/>
    <w:rsid w:val="00507C4B"/>
    <w:rsid w:val="00511461"/>
    <w:rsid w:val="005126C2"/>
    <w:rsid w:val="005133ED"/>
    <w:rsid w:val="00516378"/>
    <w:rsid w:val="005169AD"/>
    <w:rsid w:val="00517061"/>
    <w:rsid w:val="00517143"/>
    <w:rsid w:val="005203C7"/>
    <w:rsid w:val="00521922"/>
    <w:rsid w:val="00523516"/>
    <w:rsid w:val="005239C2"/>
    <w:rsid w:val="0052516C"/>
    <w:rsid w:val="0052537E"/>
    <w:rsid w:val="0052612B"/>
    <w:rsid w:val="00526B04"/>
    <w:rsid w:val="00530BD0"/>
    <w:rsid w:val="00531A65"/>
    <w:rsid w:val="005333F8"/>
    <w:rsid w:val="0053399B"/>
    <w:rsid w:val="005362FA"/>
    <w:rsid w:val="00536C0A"/>
    <w:rsid w:val="00536DAF"/>
    <w:rsid w:val="005372B5"/>
    <w:rsid w:val="00540F19"/>
    <w:rsid w:val="005410A5"/>
    <w:rsid w:val="0054126C"/>
    <w:rsid w:val="0054141D"/>
    <w:rsid w:val="00542B01"/>
    <w:rsid w:val="00543CFC"/>
    <w:rsid w:val="0054425E"/>
    <w:rsid w:val="00544501"/>
    <w:rsid w:val="005455AE"/>
    <w:rsid w:val="005456C5"/>
    <w:rsid w:val="00546880"/>
    <w:rsid w:val="005500FC"/>
    <w:rsid w:val="005508BB"/>
    <w:rsid w:val="00553292"/>
    <w:rsid w:val="00554520"/>
    <w:rsid w:val="00554E37"/>
    <w:rsid w:val="00554E95"/>
    <w:rsid w:val="00556851"/>
    <w:rsid w:val="00557711"/>
    <w:rsid w:val="00557CB5"/>
    <w:rsid w:val="0056109C"/>
    <w:rsid w:val="00561F7D"/>
    <w:rsid w:val="00562CD2"/>
    <w:rsid w:val="00562E8D"/>
    <w:rsid w:val="00562FD4"/>
    <w:rsid w:val="005635C8"/>
    <w:rsid w:val="0056425E"/>
    <w:rsid w:val="00565276"/>
    <w:rsid w:val="00571DC8"/>
    <w:rsid w:val="0057227E"/>
    <w:rsid w:val="00572CDC"/>
    <w:rsid w:val="00574214"/>
    <w:rsid w:val="00575D17"/>
    <w:rsid w:val="005769B4"/>
    <w:rsid w:val="00576E19"/>
    <w:rsid w:val="00576F59"/>
    <w:rsid w:val="00577C0B"/>
    <w:rsid w:val="00577E9D"/>
    <w:rsid w:val="00580281"/>
    <w:rsid w:val="00581B81"/>
    <w:rsid w:val="005821B5"/>
    <w:rsid w:val="00582361"/>
    <w:rsid w:val="0058268F"/>
    <w:rsid w:val="00582827"/>
    <w:rsid w:val="00582FBB"/>
    <w:rsid w:val="00584550"/>
    <w:rsid w:val="005849AA"/>
    <w:rsid w:val="00584ADA"/>
    <w:rsid w:val="00585675"/>
    <w:rsid w:val="005856FD"/>
    <w:rsid w:val="005864A0"/>
    <w:rsid w:val="005866F0"/>
    <w:rsid w:val="005904FB"/>
    <w:rsid w:val="00590AB9"/>
    <w:rsid w:val="00590EF2"/>
    <w:rsid w:val="0059196E"/>
    <w:rsid w:val="00593634"/>
    <w:rsid w:val="00593996"/>
    <w:rsid w:val="005942C5"/>
    <w:rsid w:val="00595EFD"/>
    <w:rsid w:val="005A16FC"/>
    <w:rsid w:val="005A1A7A"/>
    <w:rsid w:val="005A1ADE"/>
    <w:rsid w:val="005A362B"/>
    <w:rsid w:val="005A4B4D"/>
    <w:rsid w:val="005A5007"/>
    <w:rsid w:val="005A5020"/>
    <w:rsid w:val="005A62E4"/>
    <w:rsid w:val="005A668F"/>
    <w:rsid w:val="005A7B81"/>
    <w:rsid w:val="005A7FF9"/>
    <w:rsid w:val="005B0355"/>
    <w:rsid w:val="005B056B"/>
    <w:rsid w:val="005B0661"/>
    <w:rsid w:val="005B0F73"/>
    <w:rsid w:val="005B2848"/>
    <w:rsid w:val="005B429E"/>
    <w:rsid w:val="005B564E"/>
    <w:rsid w:val="005B60EA"/>
    <w:rsid w:val="005B68A7"/>
    <w:rsid w:val="005B6BB3"/>
    <w:rsid w:val="005B7EDC"/>
    <w:rsid w:val="005C09B2"/>
    <w:rsid w:val="005C0E5C"/>
    <w:rsid w:val="005C0E81"/>
    <w:rsid w:val="005C1A55"/>
    <w:rsid w:val="005C1BE4"/>
    <w:rsid w:val="005C2B82"/>
    <w:rsid w:val="005C2E3C"/>
    <w:rsid w:val="005C52EF"/>
    <w:rsid w:val="005C7ECE"/>
    <w:rsid w:val="005C7F1A"/>
    <w:rsid w:val="005D028D"/>
    <w:rsid w:val="005D0778"/>
    <w:rsid w:val="005D1A1B"/>
    <w:rsid w:val="005D1C0A"/>
    <w:rsid w:val="005D243E"/>
    <w:rsid w:val="005D429C"/>
    <w:rsid w:val="005D5976"/>
    <w:rsid w:val="005D7656"/>
    <w:rsid w:val="005E02A9"/>
    <w:rsid w:val="005E034F"/>
    <w:rsid w:val="005E05C7"/>
    <w:rsid w:val="005E07EF"/>
    <w:rsid w:val="005E39F8"/>
    <w:rsid w:val="005E3B8D"/>
    <w:rsid w:val="005E4E8B"/>
    <w:rsid w:val="005E5995"/>
    <w:rsid w:val="005E5D6A"/>
    <w:rsid w:val="005E7160"/>
    <w:rsid w:val="005F201C"/>
    <w:rsid w:val="005F2CF7"/>
    <w:rsid w:val="005F2EC9"/>
    <w:rsid w:val="005F31DA"/>
    <w:rsid w:val="005F3315"/>
    <w:rsid w:val="005F424C"/>
    <w:rsid w:val="005F438B"/>
    <w:rsid w:val="005F4570"/>
    <w:rsid w:val="005F490F"/>
    <w:rsid w:val="005F6205"/>
    <w:rsid w:val="005F741C"/>
    <w:rsid w:val="005F74ED"/>
    <w:rsid w:val="00600260"/>
    <w:rsid w:val="00600603"/>
    <w:rsid w:val="006007D8"/>
    <w:rsid w:val="00602D16"/>
    <w:rsid w:val="0060457D"/>
    <w:rsid w:val="006072E8"/>
    <w:rsid w:val="00607DD0"/>
    <w:rsid w:val="0061011E"/>
    <w:rsid w:val="00610618"/>
    <w:rsid w:val="006126B6"/>
    <w:rsid w:val="006127E1"/>
    <w:rsid w:val="00612C93"/>
    <w:rsid w:val="00613890"/>
    <w:rsid w:val="00614C80"/>
    <w:rsid w:val="00615A77"/>
    <w:rsid w:val="00616FDC"/>
    <w:rsid w:val="006175D4"/>
    <w:rsid w:val="00617A35"/>
    <w:rsid w:val="00617C8E"/>
    <w:rsid w:val="006205D5"/>
    <w:rsid w:val="0062068E"/>
    <w:rsid w:val="00622776"/>
    <w:rsid w:val="006238DD"/>
    <w:rsid w:val="00624863"/>
    <w:rsid w:val="00624B4B"/>
    <w:rsid w:val="00624C5A"/>
    <w:rsid w:val="00625B5F"/>
    <w:rsid w:val="00625BD2"/>
    <w:rsid w:val="00625CDE"/>
    <w:rsid w:val="006262AD"/>
    <w:rsid w:val="00630D8C"/>
    <w:rsid w:val="00631AA4"/>
    <w:rsid w:val="00632DE1"/>
    <w:rsid w:val="00634DF8"/>
    <w:rsid w:val="006357B4"/>
    <w:rsid w:val="006357C6"/>
    <w:rsid w:val="0063657F"/>
    <w:rsid w:val="00636A47"/>
    <w:rsid w:val="00640471"/>
    <w:rsid w:val="00640796"/>
    <w:rsid w:val="00640DE1"/>
    <w:rsid w:val="00641BD3"/>
    <w:rsid w:val="006424CE"/>
    <w:rsid w:val="00642CC0"/>
    <w:rsid w:val="006436D8"/>
    <w:rsid w:val="006454E6"/>
    <w:rsid w:val="0064613B"/>
    <w:rsid w:val="0064646A"/>
    <w:rsid w:val="0065021D"/>
    <w:rsid w:val="00651A1D"/>
    <w:rsid w:val="00655838"/>
    <w:rsid w:val="006564C4"/>
    <w:rsid w:val="006577FE"/>
    <w:rsid w:val="00657A75"/>
    <w:rsid w:val="006610EE"/>
    <w:rsid w:val="006617EC"/>
    <w:rsid w:val="00662856"/>
    <w:rsid w:val="006639BF"/>
    <w:rsid w:val="00663D93"/>
    <w:rsid w:val="006652A5"/>
    <w:rsid w:val="00667039"/>
    <w:rsid w:val="0066718F"/>
    <w:rsid w:val="00667DE0"/>
    <w:rsid w:val="00674020"/>
    <w:rsid w:val="00674914"/>
    <w:rsid w:val="0067558F"/>
    <w:rsid w:val="006761C9"/>
    <w:rsid w:val="006764CD"/>
    <w:rsid w:val="0068043F"/>
    <w:rsid w:val="006804E6"/>
    <w:rsid w:val="00680EC9"/>
    <w:rsid w:val="006817B3"/>
    <w:rsid w:val="006819E1"/>
    <w:rsid w:val="00682275"/>
    <w:rsid w:val="00682ADF"/>
    <w:rsid w:val="00683F94"/>
    <w:rsid w:val="00686535"/>
    <w:rsid w:val="00687A9D"/>
    <w:rsid w:val="00687EDA"/>
    <w:rsid w:val="00693AE4"/>
    <w:rsid w:val="00694D18"/>
    <w:rsid w:val="00696086"/>
    <w:rsid w:val="00696FA3"/>
    <w:rsid w:val="006975FE"/>
    <w:rsid w:val="006A1471"/>
    <w:rsid w:val="006A2659"/>
    <w:rsid w:val="006A2809"/>
    <w:rsid w:val="006A316D"/>
    <w:rsid w:val="006A357B"/>
    <w:rsid w:val="006A3C50"/>
    <w:rsid w:val="006A3F7E"/>
    <w:rsid w:val="006A4373"/>
    <w:rsid w:val="006A48CE"/>
    <w:rsid w:val="006A5AFB"/>
    <w:rsid w:val="006A7119"/>
    <w:rsid w:val="006A758A"/>
    <w:rsid w:val="006A767A"/>
    <w:rsid w:val="006A79D0"/>
    <w:rsid w:val="006B1196"/>
    <w:rsid w:val="006B16A9"/>
    <w:rsid w:val="006B2450"/>
    <w:rsid w:val="006B3F0B"/>
    <w:rsid w:val="006B4935"/>
    <w:rsid w:val="006B5918"/>
    <w:rsid w:val="006B6109"/>
    <w:rsid w:val="006B66B1"/>
    <w:rsid w:val="006B6C0D"/>
    <w:rsid w:val="006B7AA9"/>
    <w:rsid w:val="006C041B"/>
    <w:rsid w:val="006C0EF9"/>
    <w:rsid w:val="006C15DD"/>
    <w:rsid w:val="006C1D87"/>
    <w:rsid w:val="006C1E1C"/>
    <w:rsid w:val="006C2D85"/>
    <w:rsid w:val="006C2FAF"/>
    <w:rsid w:val="006C380C"/>
    <w:rsid w:val="006C43D1"/>
    <w:rsid w:val="006C50E5"/>
    <w:rsid w:val="006C6591"/>
    <w:rsid w:val="006C7F36"/>
    <w:rsid w:val="006D17C5"/>
    <w:rsid w:val="006D2DF1"/>
    <w:rsid w:val="006D3E6A"/>
    <w:rsid w:val="006D4284"/>
    <w:rsid w:val="006D48D2"/>
    <w:rsid w:val="006D4E56"/>
    <w:rsid w:val="006D66C4"/>
    <w:rsid w:val="006D6CE6"/>
    <w:rsid w:val="006D7E13"/>
    <w:rsid w:val="006E0BAA"/>
    <w:rsid w:val="006E26D4"/>
    <w:rsid w:val="006E34D6"/>
    <w:rsid w:val="006E3A23"/>
    <w:rsid w:val="006E4042"/>
    <w:rsid w:val="006E5613"/>
    <w:rsid w:val="006E5998"/>
    <w:rsid w:val="006E60E6"/>
    <w:rsid w:val="006E64DC"/>
    <w:rsid w:val="006E6A58"/>
    <w:rsid w:val="006E7AD2"/>
    <w:rsid w:val="006F0B4E"/>
    <w:rsid w:val="006F1488"/>
    <w:rsid w:val="006F20E5"/>
    <w:rsid w:val="006F249A"/>
    <w:rsid w:val="006F30F9"/>
    <w:rsid w:val="006F6147"/>
    <w:rsid w:val="006F68F4"/>
    <w:rsid w:val="006F6AC4"/>
    <w:rsid w:val="006F78A4"/>
    <w:rsid w:val="006F7B25"/>
    <w:rsid w:val="006F7D27"/>
    <w:rsid w:val="00700127"/>
    <w:rsid w:val="007035DC"/>
    <w:rsid w:val="007039D9"/>
    <w:rsid w:val="007054E8"/>
    <w:rsid w:val="00705747"/>
    <w:rsid w:val="00707024"/>
    <w:rsid w:val="0070705B"/>
    <w:rsid w:val="00707649"/>
    <w:rsid w:val="0070772A"/>
    <w:rsid w:val="007077B2"/>
    <w:rsid w:val="007105D8"/>
    <w:rsid w:val="00711C23"/>
    <w:rsid w:val="007137A6"/>
    <w:rsid w:val="00714417"/>
    <w:rsid w:val="00720168"/>
    <w:rsid w:val="007208F4"/>
    <w:rsid w:val="00720BDB"/>
    <w:rsid w:val="00721A86"/>
    <w:rsid w:val="00723B2A"/>
    <w:rsid w:val="007240C0"/>
    <w:rsid w:val="0072418C"/>
    <w:rsid w:val="00726A29"/>
    <w:rsid w:val="00727329"/>
    <w:rsid w:val="007279E7"/>
    <w:rsid w:val="00730120"/>
    <w:rsid w:val="00730290"/>
    <w:rsid w:val="007310CC"/>
    <w:rsid w:val="00731FDF"/>
    <w:rsid w:val="00732716"/>
    <w:rsid w:val="00732FC7"/>
    <w:rsid w:val="00733122"/>
    <w:rsid w:val="007357D1"/>
    <w:rsid w:val="00735E2B"/>
    <w:rsid w:val="00737FAD"/>
    <w:rsid w:val="00740BD6"/>
    <w:rsid w:val="007413DD"/>
    <w:rsid w:val="00742419"/>
    <w:rsid w:val="0074361F"/>
    <w:rsid w:val="007448D8"/>
    <w:rsid w:val="00744928"/>
    <w:rsid w:val="00745563"/>
    <w:rsid w:val="00745570"/>
    <w:rsid w:val="00745589"/>
    <w:rsid w:val="00746D3F"/>
    <w:rsid w:val="007476A2"/>
    <w:rsid w:val="00750DE0"/>
    <w:rsid w:val="00750F15"/>
    <w:rsid w:val="007511FA"/>
    <w:rsid w:val="00751CC3"/>
    <w:rsid w:val="0075215B"/>
    <w:rsid w:val="007537D4"/>
    <w:rsid w:val="00754309"/>
    <w:rsid w:val="0075447D"/>
    <w:rsid w:val="00754CB4"/>
    <w:rsid w:val="0075555D"/>
    <w:rsid w:val="007557D5"/>
    <w:rsid w:val="0075582A"/>
    <w:rsid w:val="007567B6"/>
    <w:rsid w:val="00756CE3"/>
    <w:rsid w:val="00762ADA"/>
    <w:rsid w:val="00762E07"/>
    <w:rsid w:val="00762F76"/>
    <w:rsid w:val="00763E9A"/>
    <w:rsid w:val="0076446F"/>
    <w:rsid w:val="007669EC"/>
    <w:rsid w:val="00770206"/>
    <w:rsid w:val="00770AE7"/>
    <w:rsid w:val="00770D1B"/>
    <w:rsid w:val="00770FFE"/>
    <w:rsid w:val="00771983"/>
    <w:rsid w:val="00774D95"/>
    <w:rsid w:val="00775B5E"/>
    <w:rsid w:val="00776AF5"/>
    <w:rsid w:val="00776E9D"/>
    <w:rsid w:val="007803CA"/>
    <w:rsid w:val="00780B42"/>
    <w:rsid w:val="00780E1C"/>
    <w:rsid w:val="00780FD0"/>
    <w:rsid w:val="007833E9"/>
    <w:rsid w:val="0078362B"/>
    <w:rsid w:val="0078420F"/>
    <w:rsid w:val="0078434F"/>
    <w:rsid w:val="00786D26"/>
    <w:rsid w:val="007872A3"/>
    <w:rsid w:val="0079093B"/>
    <w:rsid w:val="00791430"/>
    <w:rsid w:val="0079349B"/>
    <w:rsid w:val="0079486C"/>
    <w:rsid w:val="007958A1"/>
    <w:rsid w:val="00795C1D"/>
    <w:rsid w:val="0079704F"/>
    <w:rsid w:val="007A028F"/>
    <w:rsid w:val="007A1992"/>
    <w:rsid w:val="007A237B"/>
    <w:rsid w:val="007A2543"/>
    <w:rsid w:val="007A37D7"/>
    <w:rsid w:val="007A4762"/>
    <w:rsid w:val="007A535D"/>
    <w:rsid w:val="007A5A2E"/>
    <w:rsid w:val="007A60A4"/>
    <w:rsid w:val="007A70AB"/>
    <w:rsid w:val="007A7EAE"/>
    <w:rsid w:val="007B0775"/>
    <w:rsid w:val="007B2A12"/>
    <w:rsid w:val="007B54A6"/>
    <w:rsid w:val="007B71B4"/>
    <w:rsid w:val="007C016A"/>
    <w:rsid w:val="007C27BF"/>
    <w:rsid w:val="007C290B"/>
    <w:rsid w:val="007C30D8"/>
    <w:rsid w:val="007C4017"/>
    <w:rsid w:val="007C50A9"/>
    <w:rsid w:val="007C5EDA"/>
    <w:rsid w:val="007C618D"/>
    <w:rsid w:val="007C67E2"/>
    <w:rsid w:val="007C6C2A"/>
    <w:rsid w:val="007C7C91"/>
    <w:rsid w:val="007C7E5B"/>
    <w:rsid w:val="007D0591"/>
    <w:rsid w:val="007D4B67"/>
    <w:rsid w:val="007D5EC2"/>
    <w:rsid w:val="007D62C7"/>
    <w:rsid w:val="007E05A7"/>
    <w:rsid w:val="007E1B31"/>
    <w:rsid w:val="007E2477"/>
    <w:rsid w:val="007E27BA"/>
    <w:rsid w:val="007E2CB2"/>
    <w:rsid w:val="007E3848"/>
    <w:rsid w:val="007E47A2"/>
    <w:rsid w:val="007E5583"/>
    <w:rsid w:val="007E67A1"/>
    <w:rsid w:val="007F0233"/>
    <w:rsid w:val="007F0386"/>
    <w:rsid w:val="007F0408"/>
    <w:rsid w:val="007F06F2"/>
    <w:rsid w:val="007F088B"/>
    <w:rsid w:val="007F0A03"/>
    <w:rsid w:val="007F1EBB"/>
    <w:rsid w:val="007F2327"/>
    <w:rsid w:val="007F235D"/>
    <w:rsid w:val="007F286D"/>
    <w:rsid w:val="007F2E15"/>
    <w:rsid w:val="007F4E11"/>
    <w:rsid w:val="007F5290"/>
    <w:rsid w:val="007F6281"/>
    <w:rsid w:val="007F66EE"/>
    <w:rsid w:val="007F6A38"/>
    <w:rsid w:val="008010F1"/>
    <w:rsid w:val="008032E4"/>
    <w:rsid w:val="00803314"/>
    <w:rsid w:val="00803335"/>
    <w:rsid w:val="00807289"/>
    <w:rsid w:val="00812139"/>
    <w:rsid w:val="00812F52"/>
    <w:rsid w:val="00813F19"/>
    <w:rsid w:val="008145DC"/>
    <w:rsid w:val="008160AA"/>
    <w:rsid w:val="00817271"/>
    <w:rsid w:val="00817D38"/>
    <w:rsid w:val="00821843"/>
    <w:rsid w:val="00822428"/>
    <w:rsid w:val="00823023"/>
    <w:rsid w:val="00824CBC"/>
    <w:rsid w:val="008265AE"/>
    <w:rsid w:val="00827488"/>
    <w:rsid w:val="008304D0"/>
    <w:rsid w:val="008305D4"/>
    <w:rsid w:val="00831229"/>
    <w:rsid w:val="00831466"/>
    <w:rsid w:val="0083184E"/>
    <w:rsid w:val="00833671"/>
    <w:rsid w:val="00835A2C"/>
    <w:rsid w:val="00836854"/>
    <w:rsid w:val="00836991"/>
    <w:rsid w:val="008371C2"/>
    <w:rsid w:val="00841C33"/>
    <w:rsid w:val="00841D2E"/>
    <w:rsid w:val="00842D8F"/>
    <w:rsid w:val="008467C0"/>
    <w:rsid w:val="00846E27"/>
    <w:rsid w:val="00850865"/>
    <w:rsid w:val="00850934"/>
    <w:rsid w:val="00850EF1"/>
    <w:rsid w:val="008511EA"/>
    <w:rsid w:val="00851540"/>
    <w:rsid w:val="00851B3E"/>
    <w:rsid w:val="008522A1"/>
    <w:rsid w:val="00853CCE"/>
    <w:rsid w:val="00855031"/>
    <w:rsid w:val="00855C28"/>
    <w:rsid w:val="008571AD"/>
    <w:rsid w:val="0086047F"/>
    <w:rsid w:val="008612F1"/>
    <w:rsid w:val="00863776"/>
    <w:rsid w:val="00863C02"/>
    <w:rsid w:val="00864ABE"/>
    <w:rsid w:val="00865405"/>
    <w:rsid w:val="0086609B"/>
    <w:rsid w:val="00866474"/>
    <w:rsid w:val="008669A4"/>
    <w:rsid w:val="00867365"/>
    <w:rsid w:val="0087063D"/>
    <w:rsid w:val="008711E3"/>
    <w:rsid w:val="00871A0C"/>
    <w:rsid w:val="00872247"/>
    <w:rsid w:val="008722FC"/>
    <w:rsid w:val="00873C55"/>
    <w:rsid w:val="0087497F"/>
    <w:rsid w:val="00875997"/>
    <w:rsid w:val="00876EEB"/>
    <w:rsid w:val="008776D9"/>
    <w:rsid w:val="0088068B"/>
    <w:rsid w:val="00882248"/>
    <w:rsid w:val="00882EBD"/>
    <w:rsid w:val="0088393E"/>
    <w:rsid w:val="00883A35"/>
    <w:rsid w:val="008850C8"/>
    <w:rsid w:val="00885845"/>
    <w:rsid w:val="00886334"/>
    <w:rsid w:val="008863D6"/>
    <w:rsid w:val="008865FB"/>
    <w:rsid w:val="00887DB9"/>
    <w:rsid w:val="008903BA"/>
    <w:rsid w:val="0089132D"/>
    <w:rsid w:val="008928F7"/>
    <w:rsid w:val="00893623"/>
    <w:rsid w:val="00894147"/>
    <w:rsid w:val="008945FB"/>
    <w:rsid w:val="0089469A"/>
    <w:rsid w:val="00894748"/>
    <w:rsid w:val="00895D72"/>
    <w:rsid w:val="00895DF2"/>
    <w:rsid w:val="00896D6E"/>
    <w:rsid w:val="00897436"/>
    <w:rsid w:val="008A0A97"/>
    <w:rsid w:val="008A0F56"/>
    <w:rsid w:val="008A2B54"/>
    <w:rsid w:val="008A3A5F"/>
    <w:rsid w:val="008A4F7A"/>
    <w:rsid w:val="008A54DE"/>
    <w:rsid w:val="008A58A1"/>
    <w:rsid w:val="008A6284"/>
    <w:rsid w:val="008A678A"/>
    <w:rsid w:val="008B18BD"/>
    <w:rsid w:val="008B1AAF"/>
    <w:rsid w:val="008B2580"/>
    <w:rsid w:val="008B3DDE"/>
    <w:rsid w:val="008B3F0F"/>
    <w:rsid w:val="008B4D0E"/>
    <w:rsid w:val="008B5CBF"/>
    <w:rsid w:val="008B6F3A"/>
    <w:rsid w:val="008C0B3E"/>
    <w:rsid w:val="008C0FCD"/>
    <w:rsid w:val="008C106D"/>
    <w:rsid w:val="008C1934"/>
    <w:rsid w:val="008C1D51"/>
    <w:rsid w:val="008C2470"/>
    <w:rsid w:val="008C411B"/>
    <w:rsid w:val="008C4C93"/>
    <w:rsid w:val="008C4D26"/>
    <w:rsid w:val="008C4DE6"/>
    <w:rsid w:val="008C4FB6"/>
    <w:rsid w:val="008C6664"/>
    <w:rsid w:val="008D1BA5"/>
    <w:rsid w:val="008D3818"/>
    <w:rsid w:val="008D3CD0"/>
    <w:rsid w:val="008D49C3"/>
    <w:rsid w:val="008D525B"/>
    <w:rsid w:val="008D563A"/>
    <w:rsid w:val="008D7821"/>
    <w:rsid w:val="008D78C4"/>
    <w:rsid w:val="008D7FD9"/>
    <w:rsid w:val="008E01DA"/>
    <w:rsid w:val="008E1905"/>
    <w:rsid w:val="008E2254"/>
    <w:rsid w:val="008E24ED"/>
    <w:rsid w:val="008E2B3D"/>
    <w:rsid w:val="008E31ED"/>
    <w:rsid w:val="008E31F7"/>
    <w:rsid w:val="008E38A1"/>
    <w:rsid w:val="008E3922"/>
    <w:rsid w:val="008E3C66"/>
    <w:rsid w:val="008E49B7"/>
    <w:rsid w:val="008E6A00"/>
    <w:rsid w:val="008E72BF"/>
    <w:rsid w:val="008E744F"/>
    <w:rsid w:val="008E76EF"/>
    <w:rsid w:val="008F03A1"/>
    <w:rsid w:val="008F0AAB"/>
    <w:rsid w:val="008F0B11"/>
    <w:rsid w:val="008F1F2B"/>
    <w:rsid w:val="008F2111"/>
    <w:rsid w:val="008F2FC4"/>
    <w:rsid w:val="008F36F1"/>
    <w:rsid w:val="008F3ADD"/>
    <w:rsid w:val="008F496A"/>
    <w:rsid w:val="008F5469"/>
    <w:rsid w:val="008F65C4"/>
    <w:rsid w:val="008F6B9A"/>
    <w:rsid w:val="008F6BA4"/>
    <w:rsid w:val="00900550"/>
    <w:rsid w:val="009007F7"/>
    <w:rsid w:val="00900EF6"/>
    <w:rsid w:val="00901240"/>
    <w:rsid w:val="00901356"/>
    <w:rsid w:val="00902980"/>
    <w:rsid w:val="00902D98"/>
    <w:rsid w:val="009050CC"/>
    <w:rsid w:val="0090712C"/>
    <w:rsid w:val="009100E6"/>
    <w:rsid w:val="00910946"/>
    <w:rsid w:val="00912574"/>
    <w:rsid w:val="00913994"/>
    <w:rsid w:val="00914B45"/>
    <w:rsid w:val="00916AA6"/>
    <w:rsid w:val="00916C38"/>
    <w:rsid w:val="00917165"/>
    <w:rsid w:val="0091797D"/>
    <w:rsid w:val="00917A0E"/>
    <w:rsid w:val="00917FBA"/>
    <w:rsid w:val="00920222"/>
    <w:rsid w:val="00920A34"/>
    <w:rsid w:val="00922717"/>
    <w:rsid w:val="00922910"/>
    <w:rsid w:val="0092365F"/>
    <w:rsid w:val="00924E8C"/>
    <w:rsid w:val="00925FC5"/>
    <w:rsid w:val="00926F0E"/>
    <w:rsid w:val="00927DC5"/>
    <w:rsid w:val="0093031F"/>
    <w:rsid w:val="00933AEC"/>
    <w:rsid w:val="00934D29"/>
    <w:rsid w:val="00935446"/>
    <w:rsid w:val="00935740"/>
    <w:rsid w:val="00935949"/>
    <w:rsid w:val="00940D40"/>
    <w:rsid w:val="00940D48"/>
    <w:rsid w:val="00943AEA"/>
    <w:rsid w:val="00944EDF"/>
    <w:rsid w:val="00945581"/>
    <w:rsid w:val="00945C98"/>
    <w:rsid w:val="0095154F"/>
    <w:rsid w:val="00951827"/>
    <w:rsid w:val="009519B6"/>
    <w:rsid w:val="0095228B"/>
    <w:rsid w:val="0095248B"/>
    <w:rsid w:val="00953187"/>
    <w:rsid w:val="009539EA"/>
    <w:rsid w:val="00953C57"/>
    <w:rsid w:val="00954AB3"/>
    <w:rsid w:val="00954C7C"/>
    <w:rsid w:val="00954DE2"/>
    <w:rsid w:val="0095589E"/>
    <w:rsid w:val="00956852"/>
    <w:rsid w:val="00957CB3"/>
    <w:rsid w:val="009600D9"/>
    <w:rsid w:val="00961B70"/>
    <w:rsid w:val="00964786"/>
    <w:rsid w:val="0096488B"/>
    <w:rsid w:val="0096526B"/>
    <w:rsid w:val="009661CD"/>
    <w:rsid w:val="00966C93"/>
    <w:rsid w:val="009677A7"/>
    <w:rsid w:val="009701BD"/>
    <w:rsid w:val="009739D8"/>
    <w:rsid w:val="00976528"/>
    <w:rsid w:val="00977AF1"/>
    <w:rsid w:val="009807C2"/>
    <w:rsid w:val="00981D15"/>
    <w:rsid w:val="00982C3B"/>
    <w:rsid w:val="00983B31"/>
    <w:rsid w:val="00990B46"/>
    <w:rsid w:val="0099286C"/>
    <w:rsid w:val="0099380B"/>
    <w:rsid w:val="00993833"/>
    <w:rsid w:val="00996A33"/>
    <w:rsid w:val="00996B85"/>
    <w:rsid w:val="00997E6A"/>
    <w:rsid w:val="009A11D3"/>
    <w:rsid w:val="009A20AE"/>
    <w:rsid w:val="009A2C5E"/>
    <w:rsid w:val="009A3EAD"/>
    <w:rsid w:val="009A46EA"/>
    <w:rsid w:val="009A5757"/>
    <w:rsid w:val="009A5CDF"/>
    <w:rsid w:val="009A6423"/>
    <w:rsid w:val="009A6F98"/>
    <w:rsid w:val="009B117E"/>
    <w:rsid w:val="009B213D"/>
    <w:rsid w:val="009B4526"/>
    <w:rsid w:val="009B4983"/>
    <w:rsid w:val="009B5B36"/>
    <w:rsid w:val="009B7188"/>
    <w:rsid w:val="009B71CB"/>
    <w:rsid w:val="009B7963"/>
    <w:rsid w:val="009C1041"/>
    <w:rsid w:val="009C2E76"/>
    <w:rsid w:val="009C3987"/>
    <w:rsid w:val="009C657A"/>
    <w:rsid w:val="009C6F9E"/>
    <w:rsid w:val="009D0FC9"/>
    <w:rsid w:val="009D1C31"/>
    <w:rsid w:val="009D1EFA"/>
    <w:rsid w:val="009D2178"/>
    <w:rsid w:val="009D22B8"/>
    <w:rsid w:val="009D2F83"/>
    <w:rsid w:val="009D4707"/>
    <w:rsid w:val="009D58C8"/>
    <w:rsid w:val="009D59C9"/>
    <w:rsid w:val="009D60F0"/>
    <w:rsid w:val="009D6770"/>
    <w:rsid w:val="009D790B"/>
    <w:rsid w:val="009D7DCC"/>
    <w:rsid w:val="009E0D41"/>
    <w:rsid w:val="009E19D5"/>
    <w:rsid w:val="009E1B2A"/>
    <w:rsid w:val="009E3D0D"/>
    <w:rsid w:val="009E3FA2"/>
    <w:rsid w:val="009E41F5"/>
    <w:rsid w:val="009E428E"/>
    <w:rsid w:val="009E46A7"/>
    <w:rsid w:val="009E5B7A"/>
    <w:rsid w:val="009E6BB9"/>
    <w:rsid w:val="009E6BF6"/>
    <w:rsid w:val="009E70D8"/>
    <w:rsid w:val="009E7C61"/>
    <w:rsid w:val="009F14AB"/>
    <w:rsid w:val="009F154A"/>
    <w:rsid w:val="009F5CBF"/>
    <w:rsid w:val="009F7E05"/>
    <w:rsid w:val="00A01010"/>
    <w:rsid w:val="00A01C96"/>
    <w:rsid w:val="00A022E6"/>
    <w:rsid w:val="00A0475B"/>
    <w:rsid w:val="00A06128"/>
    <w:rsid w:val="00A07410"/>
    <w:rsid w:val="00A07C86"/>
    <w:rsid w:val="00A07ECD"/>
    <w:rsid w:val="00A10E39"/>
    <w:rsid w:val="00A10E94"/>
    <w:rsid w:val="00A12041"/>
    <w:rsid w:val="00A12C6B"/>
    <w:rsid w:val="00A12F2E"/>
    <w:rsid w:val="00A16247"/>
    <w:rsid w:val="00A17DC6"/>
    <w:rsid w:val="00A20884"/>
    <w:rsid w:val="00A2124A"/>
    <w:rsid w:val="00A217E2"/>
    <w:rsid w:val="00A21F07"/>
    <w:rsid w:val="00A225D9"/>
    <w:rsid w:val="00A22FB7"/>
    <w:rsid w:val="00A23D2D"/>
    <w:rsid w:val="00A24849"/>
    <w:rsid w:val="00A27EC4"/>
    <w:rsid w:val="00A30511"/>
    <w:rsid w:val="00A305CC"/>
    <w:rsid w:val="00A314E0"/>
    <w:rsid w:val="00A318D6"/>
    <w:rsid w:val="00A330B3"/>
    <w:rsid w:val="00A33D65"/>
    <w:rsid w:val="00A34DC3"/>
    <w:rsid w:val="00A35756"/>
    <w:rsid w:val="00A35C7C"/>
    <w:rsid w:val="00A367CE"/>
    <w:rsid w:val="00A4010E"/>
    <w:rsid w:val="00A41B00"/>
    <w:rsid w:val="00A41B38"/>
    <w:rsid w:val="00A41F46"/>
    <w:rsid w:val="00A437DD"/>
    <w:rsid w:val="00A44401"/>
    <w:rsid w:val="00A44A86"/>
    <w:rsid w:val="00A4547A"/>
    <w:rsid w:val="00A46324"/>
    <w:rsid w:val="00A46D60"/>
    <w:rsid w:val="00A46F68"/>
    <w:rsid w:val="00A479D3"/>
    <w:rsid w:val="00A47BCC"/>
    <w:rsid w:val="00A50E31"/>
    <w:rsid w:val="00A51EC4"/>
    <w:rsid w:val="00A52B9B"/>
    <w:rsid w:val="00A53598"/>
    <w:rsid w:val="00A5601F"/>
    <w:rsid w:val="00A56073"/>
    <w:rsid w:val="00A56B06"/>
    <w:rsid w:val="00A60032"/>
    <w:rsid w:val="00A638AD"/>
    <w:rsid w:val="00A63AC1"/>
    <w:rsid w:val="00A64E0D"/>
    <w:rsid w:val="00A71F6D"/>
    <w:rsid w:val="00A73BF1"/>
    <w:rsid w:val="00A7432F"/>
    <w:rsid w:val="00A76D2B"/>
    <w:rsid w:val="00A7756C"/>
    <w:rsid w:val="00A80AAA"/>
    <w:rsid w:val="00A8224E"/>
    <w:rsid w:val="00A825EF"/>
    <w:rsid w:val="00A840D1"/>
    <w:rsid w:val="00A842F3"/>
    <w:rsid w:val="00A850DD"/>
    <w:rsid w:val="00A857F5"/>
    <w:rsid w:val="00A862CE"/>
    <w:rsid w:val="00A872E0"/>
    <w:rsid w:val="00A9058C"/>
    <w:rsid w:val="00A90E6D"/>
    <w:rsid w:val="00A9174E"/>
    <w:rsid w:val="00A92299"/>
    <w:rsid w:val="00A92CAD"/>
    <w:rsid w:val="00A9395C"/>
    <w:rsid w:val="00A959D9"/>
    <w:rsid w:val="00A96DE0"/>
    <w:rsid w:val="00AA0E22"/>
    <w:rsid w:val="00AA1C71"/>
    <w:rsid w:val="00AA2AD3"/>
    <w:rsid w:val="00AA7746"/>
    <w:rsid w:val="00AB01B7"/>
    <w:rsid w:val="00AB1788"/>
    <w:rsid w:val="00AB1DF8"/>
    <w:rsid w:val="00AB3DC8"/>
    <w:rsid w:val="00AB4474"/>
    <w:rsid w:val="00AB45D5"/>
    <w:rsid w:val="00AB4F95"/>
    <w:rsid w:val="00AB6011"/>
    <w:rsid w:val="00AB6F74"/>
    <w:rsid w:val="00AB7C7D"/>
    <w:rsid w:val="00AC0196"/>
    <w:rsid w:val="00AC12B0"/>
    <w:rsid w:val="00AC25B4"/>
    <w:rsid w:val="00AC2EF7"/>
    <w:rsid w:val="00AC3DC1"/>
    <w:rsid w:val="00AC4621"/>
    <w:rsid w:val="00AC50C1"/>
    <w:rsid w:val="00AC555F"/>
    <w:rsid w:val="00AC5B59"/>
    <w:rsid w:val="00AC6AFF"/>
    <w:rsid w:val="00AC767F"/>
    <w:rsid w:val="00AD05F4"/>
    <w:rsid w:val="00AD13F6"/>
    <w:rsid w:val="00AD1657"/>
    <w:rsid w:val="00AD17E1"/>
    <w:rsid w:val="00AD29B2"/>
    <w:rsid w:val="00AD3579"/>
    <w:rsid w:val="00AD35B0"/>
    <w:rsid w:val="00AD6C50"/>
    <w:rsid w:val="00AD7FE1"/>
    <w:rsid w:val="00AE0703"/>
    <w:rsid w:val="00AE22C2"/>
    <w:rsid w:val="00AE2FF5"/>
    <w:rsid w:val="00AE35FB"/>
    <w:rsid w:val="00AE5C67"/>
    <w:rsid w:val="00AE6845"/>
    <w:rsid w:val="00AE6C7B"/>
    <w:rsid w:val="00AE7A4D"/>
    <w:rsid w:val="00AF03A6"/>
    <w:rsid w:val="00AF0955"/>
    <w:rsid w:val="00AF0ECD"/>
    <w:rsid w:val="00AF1D53"/>
    <w:rsid w:val="00AF1D7C"/>
    <w:rsid w:val="00AF3C6F"/>
    <w:rsid w:val="00AF4F90"/>
    <w:rsid w:val="00AF5A3A"/>
    <w:rsid w:val="00AF5A6A"/>
    <w:rsid w:val="00AF66F3"/>
    <w:rsid w:val="00AF769C"/>
    <w:rsid w:val="00B04E19"/>
    <w:rsid w:val="00B05E8C"/>
    <w:rsid w:val="00B06217"/>
    <w:rsid w:val="00B06AE9"/>
    <w:rsid w:val="00B106B3"/>
    <w:rsid w:val="00B11F5E"/>
    <w:rsid w:val="00B1262F"/>
    <w:rsid w:val="00B14808"/>
    <w:rsid w:val="00B14818"/>
    <w:rsid w:val="00B14B16"/>
    <w:rsid w:val="00B17BE3"/>
    <w:rsid w:val="00B21067"/>
    <w:rsid w:val="00B211D8"/>
    <w:rsid w:val="00B21300"/>
    <w:rsid w:val="00B216CF"/>
    <w:rsid w:val="00B217BA"/>
    <w:rsid w:val="00B22230"/>
    <w:rsid w:val="00B23F86"/>
    <w:rsid w:val="00B240E7"/>
    <w:rsid w:val="00B25227"/>
    <w:rsid w:val="00B25343"/>
    <w:rsid w:val="00B25823"/>
    <w:rsid w:val="00B25F72"/>
    <w:rsid w:val="00B27368"/>
    <w:rsid w:val="00B274FB"/>
    <w:rsid w:val="00B277B6"/>
    <w:rsid w:val="00B27998"/>
    <w:rsid w:val="00B3029E"/>
    <w:rsid w:val="00B3280C"/>
    <w:rsid w:val="00B33032"/>
    <w:rsid w:val="00B345B2"/>
    <w:rsid w:val="00B35267"/>
    <w:rsid w:val="00B35F44"/>
    <w:rsid w:val="00B4084D"/>
    <w:rsid w:val="00B426D9"/>
    <w:rsid w:val="00B4273F"/>
    <w:rsid w:val="00B42BEE"/>
    <w:rsid w:val="00B44286"/>
    <w:rsid w:val="00B444B8"/>
    <w:rsid w:val="00B456F7"/>
    <w:rsid w:val="00B477D9"/>
    <w:rsid w:val="00B479C5"/>
    <w:rsid w:val="00B513D0"/>
    <w:rsid w:val="00B54135"/>
    <w:rsid w:val="00B5493A"/>
    <w:rsid w:val="00B61AA3"/>
    <w:rsid w:val="00B6240B"/>
    <w:rsid w:val="00B628A5"/>
    <w:rsid w:val="00B637FF"/>
    <w:rsid w:val="00B63BE3"/>
    <w:rsid w:val="00B64B10"/>
    <w:rsid w:val="00B64B82"/>
    <w:rsid w:val="00B657DB"/>
    <w:rsid w:val="00B65ACA"/>
    <w:rsid w:val="00B66C65"/>
    <w:rsid w:val="00B67C44"/>
    <w:rsid w:val="00B713B6"/>
    <w:rsid w:val="00B71EA2"/>
    <w:rsid w:val="00B71F44"/>
    <w:rsid w:val="00B74160"/>
    <w:rsid w:val="00B744F6"/>
    <w:rsid w:val="00B749D7"/>
    <w:rsid w:val="00B7530A"/>
    <w:rsid w:val="00B76588"/>
    <w:rsid w:val="00B7708E"/>
    <w:rsid w:val="00B80B4D"/>
    <w:rsid w:val="00B81529"/>
    <w:rsid w:val="00B83029"/>
    <w:rsid w:val="00B83203"/>
    <w:rsid w:val="00B842A7"/>
    <w:rsid w:val="00B84512"/>
    <w:rsid w:val="00B857E2"/>
    <w:rsid w:val="00B87C1C"/>
    <w:rsid w:val="00B87E8A"/>
    <w:rsid w:val="00B907DE"/>
    <w:rsid w:val="00B91342"/>
    <w:rsid w:val="00B91F62"/>
    <w:rsid w:val="00B91FAB"/>
    <w:rsid w:val="00B933FA"/>
    <w:rsid w:val="00B9460A"/>
    <w:rsid w:val="00B95C4E"/>
    <w:rsid w:val="00B9628A"/>
    <w:rsid w:val="00B97183"/>
    <w:rsid w:val="00B9766C"/>
    <w:rsid w:val="00B97CCE"/>
    <w:rsid w:val="00BA006D"/>
    <w:rsid w:val="00BA1659"/>
    <w:rsid w:val="00BA17A6"/>
    <w:rsid w:val="00BA17F5"/>
    <w:rsid w:val="00BA18DD"/>
    <w:rsid w:val="00BA196A"/>
    <w:rsid w:val="00BA2457"/>
    <w:rsid w:val="00BA47C5"/>
    <w:rsid w:val="00BA6AD6"/>
    <w:rsid w:val="00BA71BA"/>
    <w:rsid w:val="00BA71F9"/>
    <w:rsid w:val="00BA72AA"/>
    <w:rsid w:val="00BB00A4"/>
    <w:rsid w:val="00BB0BB6"/>
    <w:rsid w:val="00BB125E"/>
    <w:rsid w:val="00BB1991"/>
    <w:rsid w:val="00BB1E51"/>
    <w:rsid w:val="00BB23E3"/>
    <w:rsid w:val="00BB2A8C"/>
    <w:rsid w:val="00BB46A2"/>
    <w:rsid w:val="00BB53F2"/>
    <w:rsid w:val="00BB55B9"/>
    <w:rsid w:val="00BB6A04"/>
    <w:rsid w:val="00BB7461"/>
    <w:rsid w:val="00BB7702"/>
    <w:rsid w:val="00BB7DCF"/>
    <w:rsid w:val="00BC0280"/>
    <w:rsid w:val="00BC14FE"/>
    <w:rsid w:val="00BC378F"/>
    <w:rsid w:val="00BC3C76"/>
    <w:rsid w:val="00BC4032"/>
    <w:rsid w:val="00BC547C"/>
    <w:rsid w:val="00BC759B"/>
    <w:rsid w:val="00BC7778"/>
    <w:rsid w:val="00BC7A07"/>
    <w:rsid w:val="00BD0295"/>
    <w:rsid w:val="00BD110C"/>
    <w:rsid w:val="00BD1DE4"/>
    <w:rsid w:val="00BD3887"/>
    <w:rsid w:val="00BD48A5"/>
    <w:rsid w:val="00BD48B4"/>
    <w:rsid w:val="00BD4F76"/>
    <w:rsid w:val="00BD5716"/>
    <w:rsid w:val="00BD6698"/>
    <w:rsid w:val="00BD69E4"/>
    <w:rsid w:val="00BD6DAE"/>
    <w:rsid w:val="00BD799E"/>
    <w:rsid w:val="00BE166C"/>
    <w:rsid w:val="00BE2152"/>
    <w:rsid w:val="00BE27F3"/>
    <w:rsid w:val="00BE5341"/>
    <w:rsid w:val="00BE54C8"/>
    <w:rsid w:val="00BE5B18"/>
    <w:rsid w:val="00BE6FB9"/>
    <w:rsid w:val="00BF0156"/>
    <w:rsid w:val="00BF0CC9"/>
    <w:rsid w:val="00BF0E82"/>
    <w:rsid w:val="00BF18E1"/>
    <w:rsid w:val="00BF1E83"/>
    <w:rsid w:val="00BF25AF"/>
    <w:rsid w:val="00BF380D"/>
    <w:rsid w:val="00BF3C2F"/>
    <w:rsid w:val="00BF5027"/>
    <w:rsid w:val="00BF50E0"/>
    <w:rsid w:val="00C01F95"/>
    <w:rsid w:val="00C03A0D"/>
    <w:rsid w:val="00C0576F"/>
    <w:rsid w:val="00C064AC"/>
    <w:rsid w:val="00C06652"/>
    <w:rsid w:val="00C06AFB"/>
    <w:rsid w:val="00C118F4"/>
    <w:rsid w:val="00C11DEF"/>
    <w:rsid w:val="00C11F79"/>
    <w:rsid w:val="00C13EF2"/>
    <w:rsid w:val="00C15376"/>
    <w:rsid w:val="00C1601C"/>
    <w:rsid w:val="00C160A5"/>
    <w:rsid w:val="00C1628A"/>
    <w:rsid w:val="00C16A9B"/>
    <w:rsid w:val="00C16EBD"/>
    <w:rsid w:val="00C20DC4"/>
    <w:rsid w:val="00C2288B"/>
    <w:rsid w:val="00C23C72"/>
    <w:rsid w:val="00C24191"/>
    <w:rsid w:val="00C26792"/>
    <w:rsid w:val="00C27DA8"/>
    <w:rsid w:val="00C303CF"/>
    <w:rsid w:val="00C31469"/>
    <w:rsid w:val="00C31500"/>
    <w:rsid w:val="00C33D34"/>
    <w:rsid w:val="00C3455C"/>
    <w:rsid w:val="00C34719"/>
    <w:rsid w:val="00C35523"/>
    <w:rsid w:val="00C355BD"/>
    <w:rsid w:val="00C37449"/>
    <w:rsid w:val="00C377E4"/>
    <w:rsid w:val="00C40B38"/>
    <w:rsid w:val="00C40D82"/>
    <w:rsid w:val="00C41722"/>
    <w:rsid w:val="00C41AFB"/>
    <w:rsid w:val="00C42AF9"/>
    <w:rsid w:val="00C42E14"/>
    <w:rsid w:val="00C44147"/>
    <w:rsid w:val="00C45E4B"/>
    <w:rsid w:val="00C469EC"/>
    <w:rsid w:val="00C46C4F"/>
    <w:rsid w:val="00C46D14"/>
    <w:rsid w:val="00C501F3"/>
    <w:rsid w:val="00C5038D"/>
    <w:rsid w:val="00C50F01"/>
    <w:rsid w:val="00C51C31"/>
    <w:rsid w:val="00C52526"/>
    <w:rsid w:val="00C56616"/>
    <w:rsid w:val="00C56B91"/>
    <w:rsid w:val="00C56DD0"/>
    <w:rsid w:val="00C576E6"/>
    <w:rsid w:val="00C5797F"/>
    <w:rsid w:val="00C57F5C"/>
    <w:rsid w:val="00C6141A"/>
    <w:rsid w:val="00C615B2"/>
    <w:rsid w:val="00C61F90"/>
    <w:rsid w:val="00C624CA"/>
    <w:rsid w:val="00C624DD"/>
    <w:rsid w:val="00C63824"/>
    <w:rsid w:val="00C63A34"/>
    <w:rsid w:val="00C64102"/>
    <w:rsid w:val="00C64429"/>
    <w:rsid w:val="00C664C7"/>
    <w:rsid w:val="00C66865"/>
    <w:rsid w:val="00C70097"/>
    <w:rsid w:val="00C70579"/>
    <w:rsid w:val="00C71397"/>
    <w:rsid w:val="00C71E2D"/>
    <w:rsid w:val="00C72B15"/>
    <w:rsid w:val="00C7328D"/>
    <w:rsid w:val="00C743E5"/>
    <w:rsid w:val="00C744A1"/>
    <w:rsid w:val="00C74511"/>
    <w:rsid w:val="00C75137"/>
    <w:rsid w:val="00C758E6"/>
    <w:rsid w:val="00C76491"/>
    <w:rsid w:val="00C77D25"/>
    <w:rsid w:val="00C77FCF"/>
    <w:rsid w:val="00C80A3A"/>
    <w:rsid w:val="00C8348A"/>
    <w:rsid w:val="00C836A9"/>
    <w:rsid w:val="00C84142"/>
    <w:rsid w:val="00C85A5C"/>
    <w:rsid w:val="00C85B1C"/>
    <w:rsid w:val="00C86BE8"/>
    <w:rsid w:val="00C879FE"/>
    <w:rsid w:val="00C87A0B"/>
    <w:rsid w:val="00C9096F"/>
    <w:rsid w:val="00C90A45"/>
    <w:rsid w:val="00C9178A"/>
    <w:rsid w:val="00C91ADD"/>
    <w:rsid w:val="00C930DB"/>
    <w:rsid w:val="00C93235"/>
    <w:rsid w:val="00C935EE"/>
    <w:rsid w:val="00C93929"/>
    <w:rsid w:val="00C94E85"/>
    <w:rsid w:val="00C94F7A"/>
    <w:rsid w:val="00C958C4"/>
    <w:rsid w:val="00C9681B"/>
    <w:rsid w:val="00CA0259"/>
    <w:rsid w:val="00CA1240"/>
    <w:rsid w:val="00CA12E5"/>
    <w:rsid w:val="00CA1EE8"/>
    <w:rsid w:val="00CA2139"/>
    <w:rsid w:val="00CA339D"/>
    <w:rsid w:val="00CA51F0"/>
    <w:rsid w:val="00CA6CE0"/>
    <w:rsid w:val="00CA7000"/>
    <w:rsid w:val="00CA7712"/>
    <w:rsid w:val="00CB0516"/>
    <w:rsid w:val="00CB1293"/>
    <w:rsid w:val="00CB1A93"/>
    <w:rsid w:val="00CB20A9"/>
    <w:rsid w:val="00CB3A18"/>
    <w:rsid w:val="00CB50E1"/>
    <w:rsid w:val="00CB74CD"/>
    <w:rsid w:val="00CC0950"/>
    <w:rsid w:val="00CC103D"/>
    <w:rsid w:val="00CC1319"/>
    <w:rsid w:val="00CC2DBA"/>
    <w:rsid w:val="00CC40CA"/>
    <w:rsid w:val="00CC41B2"/>
    <w:rsid w:val="00CC4E69"/>
    <w:rsid w:val="00CC6093"/>
    <w:rsid w:val="00CC659A"/>
    <w:rsid w:val="00CC6682"/>
    <w:rsid w:val="00CD3204"/>
    <w:rsid w:val="00CD42AC"/>
    <w:rsid w:val="00CD60D0"/>
    <w:rsid w:val="00CD6AFD"/>
    <w:rsid w:val="00CE009D"/>
    <w:rsid w:val="00CE0227"/>
    <w:rsid w:val="00CE085A"/>
    <w:rsid w:val="00CE0A67"/>
    <w:rsid w:val="00CE0BC0"/>
    <w:rsid w:val="00CE10ED"/>
    <w:rsid w:val="00CE17EC"/>
    <w:rsid w:val="00CE1940"/>
    <w:rsid w:val="00CE3512"/>
    <w:rsid w:val="00CE5007"/>
    <w:rsid w:val="00CF18AA"/>
    <w:rsid w:val="00CF1956"/>
    <w:rsid w:val="00CF1C1A"/>
    <w:rsid w:val="00CF3614"/>
    <w:rsid w:val="00CF3DEC"/>
    <w:rsid w:val="00CF404F"/>
    <w:rsid w:val="00CF4108"/>
    <w:rsid w:val="00CF4185"/>
    <w:rsid w:val="00CF4830"/>
    <w:rsid w:val="00CF4853"/>
    <w:rsid w:val="00CF720A"/>
    <w:rsid w:val="00CF7648"/>
    <w:rsid w:val="00D00475"/>
    <w:rsid w:val="00D007A3"/>
    <w:rsid w:val="00D00BB3"/>
    <w:rsid w:val="00D01EC3"/>
    <w:rsid w:val="00D0277B"/>
    <w:rsid w:val="00D0316D"/>
    <w:rsid w:val="00D031FE"/>
    <w:rsid w:val="00D0322F"/>
    <w:rsid w:val="00D04943"/>
    <w:rsid w:val="00D1176E"/>
    <w:rsid w:val="00D12627"/>
    <w:rsid w:val="00D12DF6"/>
    <w:rsid w:val="00D13829"/>
    <w:rsid w:val="00D13986"/>
    <w:rsid w:val="00D1582C"/>
    <w:rsid w:val="00D15990"/>
    <w:rsid w:val="00D15BC9"/>
    <w:rsid w:val="00D15F2A"/>
    <w:rsid w:val="00D16B7D"/>
    <w:rsid w:val="00D21AD6"/>
    <w:rsid w:val="00D229C8"/>
    <w:rsid w:val="00D242A0"/>
    <w:rsid w:val="00D2440E"/>
    <w:rsid w:val="00D25387"/>
    <w:rsid w:val="00D25797"/>
    <w:rsid w:val="00D257DF"/>
    <w:rsid w:val="00D25BB6"/>
    <w:rsid w:val="00D25F03"/>
    <w:rsid w:val="00D2603A"/>
    <w:rsid w:val="00D304E0"/>
    <w:rsid w:val="00D32638"/>
    <w:rsid w:val="00D326B7"/>
    <w:rsid w:val="00D32823"/>
    <w:rsid w:val="00D32A9F"/>
    <w:rsid w:val="00D337D4"/>
    <w:rsid w:val="00D33CA2"/>
    <w:rsid w:val="00D33E4F"/>
    <w:rsid w:val="00D34543"/>
    <w:rsid w:val="00D345CB"/>
    <w:rsid w:val="00D351A2"/>
    <w:rsid w:val="00D35650"/>
    <w:rsid w:val="00D35799"/>
    <w:rsid w:val="00D37B48"/>
    <w:rsid w:val="00D37FE6"/>
    <w:rsid w:val="00D406A2"/>
    <w:rsid w:val="00D407B6"/>
    <w:rsid w:val="00D40922"/>
    <w:rsid w:val="00D4197A"/>
    <w:rsid w:val="00D41AEE"/>
    <w:rsid w:val="00D423BB"/>
    <w:rsid w:val="00D43449"/>
    <w:rsid w:val="00D43503"/>
    <w:rsid w:val="00D43F78"/>
    <w:rsid w:val="00D44756"/>
    <w:rsid w:val="00D45024"/>
    <w:rsid w:val="00D45D11"/>
    <w:rsid w:val="00D461C1"/>
    <w:rsid w:val="00D50028"/>
    <w:rsid w:val="00D50A2A"/>
    <w:rsid w:val="00D51AB9"/>
    <w:rsid w:val="00D52CCD"/>
    <w:rsid w:val="00D532EB"/>
    <w:rsid w:val="00D53573"/>
    <w:rsid w:val="00D53720"/>
    <w:rsid w:val="00D54E9B"/>
    <w:rsid w:val="00D55FE6"/>
    <w:rsid w:val="00D56149"/>
    <w:rsid w:val="00D5657E"/>
    <w:rsid w:val="00D56D0E"/>
    <w:rsid w:val="00D57806"/>
    <w:rsid w:val="00D6011F"/>
    <w:rsid w:val="00D60423"/>
    <w:rsid w:val="00D614FC"/>
    <w:rsid w:val="00D62DBD"/>
    <w:rsid w:val="00D6446E"/>
    <w:rsid w:val="00D65FDA"/>
    <w:rsid w:val="00D660B9"/>
    <w:rsid w:val="00D67ABC"/>
    <w:rsid w:val="00D70893"/>
    <w:rsid w:val="00D70909"/>
    <w:rsid w:val="00D70FC9"/>
    <w:rsid w:val="00D722ED"/>
    <w:rsid w:val="00D73C12"/>
    <w:rsid w:val="00D7549A"/>
    <w:rsid w:val="00D76E47"/>
    <w:rsid w:val="00D800E2"/>
    <w:rsid w:val="00D82756"/>
    <w:rsid w:val="00D84111"/>
    <w:rsid w:val="00D846AD"/>
    <w:rsid w:val="00D8629D"/>
    <w:rsid w:val="00D86F15"/>
    <w:rsid w:val="00D87263"/>
    <w:rsid w:val="00D8740B"/>
    <w:rsid w:val="00D911D4"/>
    <w:rsid w:val="00D916BA"/>
    <w:rsid w:val="00D93C8E"/>
    <w:rsid w:val="00D941DD"/>
    <w:rsid w:val="00D945A9"/>
    <w:rsid w:val="00D94BB1"/>
    <w:rsid w:val="00D9668B"/>
    <w:rsid w:val="00D97070"/>
    <w:rsid w:val="00D973C3"/>
    <w:rsid w:val="00D976E1"/>
    <w:rsid w:val="00D97C7D"/>
    <w:rsid w:val="00D97E07"/>
    <w:rsid w:val="00D97E46"/>
    <w:rsid w:val="00DA269E"/>
    <w:rsid w:val="00DA3984"/>
    <w:rsid w:val="00DA56B4"/>
    <w:rsid w:val="00DA58A7"/>
    <w:rsid w:val="00DA65B1"/>
    <w:rsid w:val="00DA6B70"/>
    <w:rsid w:val="00DB0097"/>
    <w:rsid w:val="00DB0221"/>
    <w:rsid w:val="00DB0CE9"/>
    <w:rsid w:val="00DB1A41"/>
    <w:rsid w:val="00DB25F6"/>
    <w:rsid w:val="00DB29F5"/>
    <w:rsid w:val="00DB2AD7"/>
    <w:rsid w:val="00DB3618"/>
    <w:rsid w:val="00DB4122"/>
    <w:rsid w:val="00DB4F51"/>
    <w:rsid w:val="00DB608E"/>
    <w:rsid w:val="00DB7EFC"/>
    <w:rsid w:val="00DC1C7D"/>
    <w:rsid w:val="00DC2B7A"/>
    <w:rsid w:val="00DC2E40"/>
    <w:rsid w:val="00DC75EB"/>
    <w:rsid w:val="00DC7655"/>
    <w:rsid w:val="00DD003B"/>
    <w:rsid w:val="00DD0253"/>
    <w:rsid w:val="00DD0552"/>
    <w:rsid w:val="00DD0DCF"/>
    <w:rsid w:val="00DD14D9"/>
    <w:rsid w:val="00DD1F55"/>
    <w:rsid w:val="00DD2075"/>
    <w:rsid w:val="00DD2080"/>
    <w:rsid w:val="00DD3254"/>
    <w:rsid w:val="00DD32A3"/>
    <w:rsid w:val="00DD3F80"/>
    <w:rsid w:val="00DD3FE9"/>
    <w:rsid w:val="00DD4E32"/>
    <w:rsid w:val="00DD6BD0"/>
    <w:rsid w:val="00DD6F74"/>
    <w:rsid w:val="00DD7093"/>
    <w:rsid w:val="00DE1BD2"/>
    <w:rsid w:val="00DE1C22"/>
    <w:rsid w:val="00DE2995"/>
    <w:rsid w:val="00DE397D"/>
    <w:rsid w:val="00DE43E0"/>
    <w:rsid w:val="00DE55E7"/>
    <w:rsid w:val="00DE6C79"/>
    <w:rsid w:val="00DE71D6"/>
    <w:rsid w:val="00DE72EC"/>
    <w:rsid w:val="00DE78C4"/>
    <w:rsid w:val="00DE7962"/>
    <w:rsid w:val="00DF3213"/>
    <w:rsid w:val="00DF3622"/>
    <w:rsid w:val="00DF45DF"/>
    <w:rsid w:val="00DF4700"/>
    <w:rsid w:val="00DF5AF0"/>
    <w:rsid w:val="00DF5C16"/>
    <w:rsid w:val="00DF5D3E"/>
    <w:rsid w:val="00DF6B35"/>
    <w:rsid w:val="00DF7160"/>
    <w:rsid w:val="00DF71E9"/>
    <w:rsid w:val="00E00757"/>
    <w:rsid w:val="00E0212B"/>
    <w:rsid w:val="00E022D8"/>
    <w:rsid w:val="00E023B0"/>
    <w:rsid w:val="00E026FE"/>
    <w:rsid w:val="00E0285D"/>
    <w:rsid w:val="00E028EA"/>
    <w:rsid w:val="00E0364F"/>
    <w:rsid w:val="00E04978"/>
    <w:rsid w:val="00E06560"/>
    <w:rsid w:val="00E071D7"/>
    <w:rsid w:val="00E117C7"/>
    <w:rsid w:val="00E123EA"/>
    <w:rsid w:val="00E1363F"/>
    <w:rsid w:val="00E13E5D"/>
    <w:rsid w:val="00E155B4"/>
    <w:rsid w:val="00E15E65"/>
    <w:rsid w:val="00E1656B"/>
    <w:rsid w:val="00E167F5"/>
    <w:rsid w:val="00E16BE2"/>
    <w:rsid w:val="00E16D91"/>
    <w:rsid w:val="00E17949"/>
    <w:rsid w:val="00E204F9"/>
    <w:rsid w:val="00E21002"/>
    <w:rsid w:val="00E2172F"/>
    <w:rsid w:val="00E217FA"/>
    <w:rsid w:val="00E22377"/>
    <w:rsid w:val="00E25A60"/>
    <w:rsid w:val="00E25CB2"/>
    <w:rsid w:val="00E25EDF"/>
    <w:rsid w:val="00E26164"/>
    <w:rsid w:val="00E263C3"/>
    <w:rsid w:val="00E330C6"/>
    <w:rsid w:val="00E33D8B"/>
    <w:rsid w:val="00E34888"/>
    <w:rsid w:val="00E35A9F"/>
    <w:rsid w:val="00E364C1"/>
    <w:rsid w:val="00E374DA"/>
    <w:rsid w:val="00E37A49"/>
    <w:rsid w:val="00E37AE6"/>
    <w:rsid w:val="00E37B55"/>
    <w:rsid w:val="00E408B9"/>
    <w:rsid w:val="00E412B8"/>
    <w:rsid w:val="00E4267C"/>
    <w:rsid w:val="00E43107"/>
    <w:rsid w:val="00E4371C"/>
    <w:rsid w:val="00E44598"/>
    <w:rsid w:val="00E46DE8"/>
    <w:rsid w:val="00E473A8"/>
    <w:rsid w:val="00E50345"/>
    <w:rsid w:val="00E5146D"/>
    <w:rsid w:val="00E51D9B"/>
    <w:rsid w:val="00E52166"/>
    <w:rsid w:val="00E52E6A"/>
    <w:rsid w:val="00E53BDE"/>
    <w:rsid w:val="00E5529B"/>
    <w:rsid w:val="00E56282"/>
    <w:rsid w:val="00E56A2D"/>
    <w:rsid w:val="00E56B2F"/>
    <w:rsid w:val="00E5759E"/>
    <w:rsid w:val="00E57950"/>
    <w:rsid w:val="00E57E4C"/>
    <w:rsid w:val="00E6033C"/>
    <w:rsid w:val="00E603D8"/>
    <w:rsid w:val="00E607BD"/>
    <w:rsid w:val="00E617D5"/>
    <w:rsid w:val="00E63936"/>
    <w:rsid w:val="00E65BC8"/>
    <w:rsid w:val="00E66CBB"/>
    <w:rsid w:val="00E67ACC"/>
    <w:rsid w:val="00E7093B"/>
    <w:rsid w:val="00E70A69"/>
    <w:rsid w:val="00E70E39"/>
    <w:rsid w:val="00E7127B"/>
    <w:rsid w:val="00E714D7"/>
    <w:rsid w:val="00E717B1"/>
    <w:rsid w:val="00E71F61"/>
    <w:rsid w:val="00E72A99"/>
    <w:rsid w:val="00E74858"/>
    <w:rsid w:val="00E75E18"/>
    <w:rsid w:val="00E7795C"/>
    <w:rsid w:val="00E81660"/>
    <w:rsid w:val="00E81F57"/>
    <w:rsid w:val="00E82862"/>
    <w:rsid w:val="00E82A5C"/>
    <w:rsid w:val="00E82C48"/>
    <w:rsid w:val="00E840D5"/>
    <w:rsid w:val="00E86170"/>
    <w:rsid w:val="00E862B4"/>
    <w:rsid w:val="00E86557"/>
    <w:rsid w:val="00E90285"/>
    <w:rsid w:val="00E90336"/>
    <w:rsid w:val="00E90349"/>
    <w:rsid w:val="00E91927"/>
    <w:rsid w:val="00E92224"/>
    <w:rsid w:val="00E92A8E"/>
    <w:rsid w:val="00E93914"/>
    <w:rsid w:val="00E9615E"/>
    <w:rsid w:val="00E97093"/>
    <w:rsid w:val="00E978F5"/>
    <w:rsid w:val="00EA0576"/>
    <w:rsid w:val="00EA0899"/>
    <w:rsid w:val="00EA0E37"/>
    <w:rsid w:val="00EA1581"/>
    <w:rsid w:val="00EA1710"/>
    <w:rsid w:val="00EA26E1"/>
    <w:rsid w:val="00EA3715"/>
    <w:rsid w:val="00EA3AB3"/>
    <w:rsid w:val="00EA4EE4"/>
    <w:rsid w:val="00EA6897"/>
    <w:rsid w:val="00EA6A00"/>
    <w:rsid w:val="00EB00C0"/>
    <w:rsid w:val="00EB0395"/>
    <w:rsid w:val="00EB0C6C"/>
    <w:rsid w:val="00EB16D0"/>
    <w:rsid w:val="00EB1BC2"/>
    <w:rsid w:val="00EB1E78"/>
    <w:rsid w:val="00EB42AD"/>
    <w:rsid w:val="00EB4318"/>
    <w:rsid w:val="00EB4E65"/>
    <w:rsid w:val="00EB62C7"/>
    <w:rsid w:val="00EB6AC8"/>
    <w:rsid w:val="00EB711A"/>
    <w:rsid w:val="00EC055D"/>
    <w:rsid w:val="00EC0A43"/>
    <w:rsid w:val="00EC26E8"/>
    <w:rsid w:val="00EC319B"/>
    <w:rsid w:val="00EC31FA"/>
    <w:rsid w:val="00EC3E0F"/>
    <w:rsid w:val="00EC5793"/>
    <w:rsid w:val="00EC619F"/>
    <w:rsid w:val="00EC6A69"/>
    <w:rsid w:val="00EC71A5"/>
    <w:rsid w:val="00EC730C"/>
    <w:rsid w:val="00EC787B"/>
    <w:rsid w:val="00ED000C"/>
    <w:rsid w:val="00ED0318"/>
    <w:rsid w:val="00ED1934"/>
    <w:rsid w:val="00ED1A61"/>
    <w:rsid w:val="00ED20A0"/>
    <w:rsid w:val="00ED31BE"/>
    <w:rsid w:val="00ED33A6"/>
    <w:rsid w:val="00ED3FDF"/>
    <w:rsid w:val="00ED44AC"/>
    <w:rsid w:val="00ED662E"/>
    <w:rsid w:val="00ED67A9"/>
    <w:rsid w:val="00ED698B"/>
    <w:rsid w:val="00ED7A71"/>
    <w:rsid w:val="00EE2344"/>
    <w:rsid w:val="00EE23E8"/>
    <w:rsid w:val="00EE379E"/>
    <w:rsid w:val="00EE3CDF"/>
    <w:rsid w:val="00EE5717"/>
    <w:rsid w:val="00EE5B3A"/>
    <w:rsid w:val="00EE7054"/>
    <w:rsid w:val="00EE7F4A"/>
    <w:rsid w:val="00EF04C7"/>
    <w:rsid w:val="00EF0604"/>
    <w:rsid w:val="00EF0652"/>
    <w:rsid w:val="00EF0CB2"/>
    <w:rsid w:val="00EF129D"/>
    <w:rsid w:val="00EF33B3"/>
    <w:rsid w:val="00EF34DB"/>
    <w:rsid w:val="00EF3958"/>
    <w:rsid w:val="00EF3A61"/>
    <w:rsid w:val="00EF457B"/>
    <w:rsid w:val="00EF4852"/>
    <w:rsid w:val="00EF4A4C"/>
    <w:rsid w:val="00EF56EF"/>
    <w:rsid w:val="00EF5DAE"/>
    <w:rsid w:val="00EF63BF"/>
    <w:rsid w:val="00F018CF"/>
    <w:rsid w:val="00F01E0F"/>
    <w:rsid w:val="00F028BA"/>
    <w:rsid w:val="00F032E5"/>
    <w:rsid w:val="00F036E0"/>
    <w:rsid w:val="00F040DE"/>
    <w:rsid w:val="00F048A8"/>
    <w:rsid w:val="00F04B8B"/>
    <w:rsid w:val="00F05949"/>
    <w:rsid w:val="00F06565"/>
    <w:rsid w:val="00F06A3C"/>
    <w:rsid w:val="00F07C01"/>
    <w:rsid w:val="00F10E3D"/>
    <w:rsid w:val="00F110D0"/>
    <w:rsid w:val="00F11A3B"/>
    <w:rsid w:val="00F14059"/>
    <w:rsid w:val="00F15253"/>
    <w:rsid w:val="00F15FAC"/>
    <w:rsid w:val="00F16AE5"/>
    <w:rsid w:val="00F17EE7"/>
    <w:rsid w:val="00F2010D"/>
    <w:rsid w:val="00F20B4B"/>
    <w:rsid w:val="00F22A78"/>
    <w:rsid w:val="00F22B55"/>
    <w:rsid w:val="00F23C65"/>
    <w:rsid w:val="00F243A8"/>
    <w:rsid w:val="00F24414"/>
    <w:rsid w:val="00F256C8"/>
    <w:rsid w:val="00F25F72"/>
    <w:rsid w:val="00F27CDA"/>
    <w:rsid w:val="00F30E4A"/>
    <w:rsid w:val="00F30F6F"/>
    <w:rsid w:val="00F31019"/>
    <w:rsid w:val="00F310BA"/>
    <w:rsid w:val="00F315E9"/>
    <w:rsid w:val="00F32458"/>
    <w:rsid w:val="00F32515"/>
    <w:rsid w:val="00F32822"/>
    <w:rsid w:val="00F3306C"/>
    <w:rsid w:val="00F330C8"/>
    <w:rsid w:val="00F3388C"/>
    <w:rsid w:val="00F33CE1"/>
    <w:rsid w:val="00F3421C"/>
    <w:rsid w:val="00F37A17"/>
    <w:rsid w:val="00F37D76"/>
    <w:rsid w:val="00F41772"/>
    <w:rsid w:val="00F41A5A"/>
    <w:rsid w:val="00F42963"/>
    <w:rsid w:val="00F43A74"/>
    <w:rsid w:val="00F447F6"/>
    <w:rsid w:val="00F44E8F"/>
    <w:rsid w:val="00F45A6D"/>
    <w:rsid w:val="00F45B99"/>
    <w:rsid w:val="00F46EDC"/>
    <w:rsid w:val="00F47386"/>
    <w:rsid w:val="00F476F5"/>
    <w:rsid w:val="00F47F93"/>
    <w:rsid w:val="00F5014A"/>
    <w:rsid w:val="00F50F1D"/>
    <w:rsid w:val="00F515A8"/>
    <w:rsid w:val="00F52C06"/>
    <w:rsid w:val="00F53A66"/>
    <w:rsid w:val="00F54621"/>
    <w:rsid w:val="00F54DF8"/>
    <w:rsid w:val="00F5618F"/>
    <w:rsid w:val="00F56335"/>
    <w:rsid w:val="00F60706"/>
    <w:rsid w:val="00F608D4"/>
    <w:rsid w:val="00F6272D"/>
    <w:rsid w:val="00F64C17"/>
    <w:rsid w:val="00F6710C"/>
    <w:rsid w:val="00F67DEC"/>
    <w:rsid w:val="00F70D9A"/>
    <w:rsid w:val="00F7369C"/>
    <w:rsid w:val="00F738BD"/>
    <w:rsid w:val="00F73BF8"/>
    <w:rsid w:val="00F7403A"/>
    <w:rsid w:val="00F75BA1"/>
    <w:rsid w:val="00F75D40"/>
    <w:rsid w:val="00F771CB"/>
    <w:rsid w:val="00F77A48"/>
    <w:rsid w:val="00F77B2E"/>
    <w:rsid w:val="00F77D1B"/>
    <w:rsid w:val="00F77FF2"/>
    <w:rsid w:val="00F803BB"/>
    <w:rsid w:val="00F8677E"/>
    <w:rsid w:val="00F86AD4"/>
    <w:rsid w:val="00F900EB"/>
    <w:rsid w:val="00F902C3"/>
    <w:rsid w:val="00F91433"/>
    <w:rsid w:val="00F9154E"/>
    <w:rsid w:val="00F920BF"/>
    <w:rsid w:val="00F92370"/>
    <w:rsid w:val="00F92951"/>
    <w:rsid w:val="00F93740"/>
    <w:rsid w:val="00F93D23"/>
    <w:rsid w:val="00F94640"/>
    <w:rsid w:val="00F963AF"/>
    <w:rsid w:val="00F96BA1"/>
    <w:rsid w:val="00F96FAB"/>
    <w:rsid w:val="00F978EF"/>
    <w:rsid w:val="00F97A8F"/>
    <w:rsid w:val="00F97FDE"/>
    <w:rsid w:val="00FA071D"/>
    <w:rsid w:val="00FA11B9"/>
    <w:rsid w:val="00FA17C1"/>
    <w:rsid w:val="00FA2A29"/>
    <w:rsid w:val="00FA30D0"/>
    <w:rsid w:val="00FA4589"/>
    <w:rsid w:val="00FA461F"/>
    <w:rsid w:val="00FA481A"/>
    <w:rsid w:val="00FA5FF9"/>
    <w:rsid w:val="00FB0FD6"/>
    <w:rsid w:val="00FB336B"/>
    <w:rsid w:val="00FB5E83"/>
    <w:rsid w:val="00FB5F74"/>
    <w:rsid w:val="00FC0724"/>
    <w:rsid w:val="00FC0C54"/>
    <w:rsid w:val="00FC1040"/>
    <w:rsid w:val="00FC26E8"/>
    <w:rsid w:val="00FC2AA7"/>
    <w:rsid w:val="00FC4229"/>
    <w:rsid w:val="00FC4F76"/>
    <w:rsid w:val="00FC5136"/>
    <w:rsid w:val="00FD0DFB"/>
    <w:rsid w:val="00FD1E7B"/>
    <w:rsid w:val="00FD2E00"/>
    <w:rsid w:val="00FD3FAB"/>
    <w:rsid w:val="00FD44B3"/>
    <w:rsid w:val="00FD62BD"/>
    <w:rsid w:val="00FD765B"/>
    <w:rsid w:val="00FD7B46"/>
    <w:rsid w:val="00FE0A15"/>
    <w:rsid w:val="00FE1F0C"/>
    <w:rsid w:val="00FE2A7B"/>
    <w:rsid w:val="00FE30FB"/>
    <w:rsid w:val="00FE3D4C"/>
    <w:rsid w:val="00FE45EF"/>
    <w:rsid w:val="00FE5072"/>
    <w:rsid w:val="00FE55B2"/>
    <w:rsid w:val="00FE563E"/>
    <w:rsid w:val="00FE60E3"/>
    <w:rsid w:val="00FE6363"/>
    <w:rsid w:val="00FF00DD"/>
    <w:rsid w:val="00FF0242"/>
    <w:rsid w:val="00FF1357"/>
    <w:rsid w:val="00FF1D97"/>
    <w:rsid w:val="00FF2027"/>
    <w:rsid w:val="00FF2964"/>
    <w:rsid w:val="00FF4760"/>
    <w:rsid w:val="00FF4787"/>
    <w:rsid w:val="00FF4919"/>
    <w:rsid w:val="00FF5075"/>
    <w:rsid w:val="00FF51A5"/>
    <w:rsid w:val="00FF5386"/>
    <w:rsid w:val="00FF5E7C"/>
    <w:rsid w:val="00FF6CC8"/>
    <w:rsid w:val="034E13B6"/>
    <w:rsid w:val="1A116061"/>
    <w:rsid w:val="1CED2D44"/>
    <w:rsid w:val="1D425798"/>
    <w:rsid w:val="1FF36CE0"/>
    <w:rsid w:val="1FF71082"/>
    <w:rsid w:val="20146004"/>
    <w:rsid w:val="244E6D6A"/>
    <w:rsid w:val="27305FA5"/>
    <w:rsid w:val="27886C5A"/>
    <w:rsid w:val="2981700F"/>
    <w:rsid w:val="33A71B6B"/>
    <w:rsid w:val="37F70D06"/>
    <w:rsid w:val="3E8C6EA7"/>
    <w:rsid w:val="4E7C62AE"/>
    <w:rsid w:val="50671A4D"/>
    <w:rsid w:val="577E18C9"/>
    <w:rsid w:val="57F01F04"/>
    <w:rsid w:val="599FB4A3"/>
    <w:rsid w:val="5CD72257"/>
    <w:rsid w:val="63FB6CC6"/>
    <w:rsid w:val="67EF4493"/>
    <w:rsid w:val="68CB3F26"/>
    <w:rsid w:val="6A8F7E0C"/>
    <w:rsid w:val="7BB5E579"/>
    <w:rsid w:val="7BF9D060"/>
    <w:rsid w:val="7BFD80B5"/>
    <w:rsid w:val="7D025D0B"/>
    <w:rsid w:val="7DBB74E9"/>
    <w:rsid w:val="7EACD7C0"/>
    <w:rsid w:val="BDB7E06B"/>
    <w:rsid w:val="BDFFB78E"/>
    <w:rsid w:val="E22FF0D6"/>
    <w:rsid w:val="EC76464A"/>
    <w:rsid w:val="F1FF557F"/>
    <w:rsid w:val="F7FB6C05"/>
    <w:rsid w:val="FDEBC5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napToGrid w:val="0"/>
      <w:spacing w:line="360" w:lineRule="auto"/>
      <w:ind w:firstLine="200" w:firstLineChars="200"/>
      <w:jc w:val="both"/>
    </w:pPr>
    <w:rPr>
      <w:rFonts w:ascii="Times New Roman" w:hAnsi="Times New Roman" w:eastAsia="宋体" w:cs="Times New Roman"/>
      <w:kern w:val="2"/>
      <w:sz w:val="28"/>
      <w:szCs w:val="24"/>
      <w:lang w:val="en-US" w:eastAsia="zh-CN" w:bidi="ar-SA"/>
    </w:rPr>
  </w:style>
  <w:style w:type="paragraph" w:styleId="2">
    <w:name w:val="heading 1"/>
    <w:basedOn w:val="1"/>
    <w:next w:val="1"/>
    <w:link w:val="92"/>
    <w:qFormat/>
    <w:uiPriority w:val="9"/>
    <w:pPr>
      <w:keepNext/>
      <w:keepLines/>
      <w:numPr>
        <w:ilvl w:val="0"/>
        <w:numId w:val="1"/>
      </w:numPr>
      <w:snapToGrid/>
      <w:ind w:left="432" w:hanging="432" w:firstLineChars="0"/>
      <w:outlineLvl w:val="0"/>
    </w:pPr>
    <w:rPr>
      <w:b/>
      <w:bCs/>
      <w:kern w:val="44"/>
      <w:sz w:val="32"/>
      <w:szCs w:val="44"/>
    </w:rPr>
  </w:style>
  <w:style w:type="paragraph" w:styleId="3">
    <w:name w:val="heading 2"/>
    <w:basedOn w:val="1"/>
    <w:next w:val="1"/>
    <w:link w:val="36"/>
    <w:qFormat/>
    <w:uiPriority w:val="0"/>
    <w:pPr>
      <w:keepNext/>
      <w:keepLines/>
      <w:numPr>
        <w:ilvl w:val="1"/>
        <w:numId w:val="1"/>
      </w:numPr>
      <w:spacing w:before="50" w:beforeLines="50" w:after="50" w:afterLines="50" w:line="240" w:lineRule="auto"/>
      <w:ind w:left="575" w:hanging="575" w:firstLineChars="0"/>
      <w:jc w:val="left"/>
      <w:outlineLvl w:val="1"/>
    </w:pPr>
    <w:rPr>
      <w:b/>
      <w:bCs/>
      <w:sz w:val="32"/>
      <w:szCs w:val="32"/>
    </w:rPr>
  </w:style>
  <w:style w:type="paragraph" w:styleId="4">
    <w:name w:val="heading 3"/>
    <w:basedOn w:val="1"/>
    <w:next w:val="1"/>
    <w:link w:val="76"/>
    <w:unhideWhenUsed/>
    <w:qFormat/>
    <w:uiPriority w:val="9"/>
    <w:pPr>
      <w:keepNext/>
      <w:keepLines/>
      <w:numPr>
        <w:ilvl w:val="2"/>
        <w:numId w:val="1"/>
      </w:numPr>
      <w:spacing w:before="260" w:after="260" w:line="416" w:lineRule="auto"/>
      <w:ind w:left="720" w:hanging="720" w:firstLineChars="0"/>
      <w:outlineLvl w:val="2"/>
    </w:pPr>
    <w:rPr>
      <w:b/>
      <w:bCs/>
      <w:sz w:val="32"/>
      <w:szCs w:val="32"/>
    </w:rPr>
  </w:style>
  <w:style w:type="paragraph" w:styleId="5">
    <w:name w:val="heading 4"/>
    <w:basedOn w:val="1"/>
    <w:next w:val="1"/>
    <w:link w:val="93"/>
    <w:semiHidden/>
    <w:unhideWhenUsed/>
    <w:qFormat/>
    <w:uiPriority w:val="9"/>
    <w:pPr>
      <w:keepNext/>
      <w:keepLines/>
      <w:numPr>
        <w:ilvl w:val="3"/>
        <w:numId w:val="1"/>
      </w:numPr>
      <w:spacing w:before="280" w:after="290" w:line="376" w:lineRule="auto"/>
      <w:ind w:left="864" w:hanging="864" w:firstLineChars="0"/>
      <w:outlineLvl w:val="3"/>
    </w:pPr>
    <w:rPr>
      <w:rFonts w:asciiTheme="majorHAnsi" w:hAnsiTheme="majorHAnsi" w:eastAsiaTheme="majorEastAsia" w:cstheme="majorBidi"/>
      <w:b/>
      <w:bCs/>
      <w:szCs w:val="28"/>
    </w:rPr>
  </w:style>
  <w:style w:type="paragraph" w:styleId="6">
    <w:name w:val="heading 5"/>
    <w:basedOn w:val="1"/>
    <w:next w:val="1"/>
    <w:semiHidden/>
    <w:unhideWhenUsed/>
    <w:qFormat/>
    <w:uiPriority w:val="9"/>
    <w:pPr>
      <w:keepNext/>
      <w:keepLines/>
      <w:numPr>
        <w:ilvl w:val="4"/>
        <w:numId w:val="1"/>
      </w:numPr>
      <w:spacing w:before="280" w:beforeLines="0" w:beforeAutospacing="0" w:after="290" w:afterLines="0" w:afterAutospacing="0" w:line="372" w:lineRule="auto"/>
      <w:ind w:left="1008" w:hanging="1008" w:firstLineChars="0"/>
      <w:outlineLvl w:val="4"/>
    </w:pPr>
    <w:rPr>
      <w:b/>
      <w:sz w:val="28"/>
    </w:rPr>
  </w:style>
  <w:style w:type="paragraph" w:styleId="7">
    <w:name w:val="heading 6"/>
    <w:basedOn w:val="1"/>
    <w:next w:val="1"/>
    <w:semiHidden/>
    <w:unhideWhenUsed/>
    <w:qFormat/>
    <w:uiPriority w:val="9"/>
    <w:pPr>
      <w:keepNext/>
      <w:keepLines/>
      <w:numPr>
        <w:ilvl w:val="5"/>
        <w:numId w:val="1"/>
      </w:numPr>
      <w:spacing w:before="240" w:beforeLines="0" w:beforeAutospacing="0" w:after="64" w:afterLines="0" w:afterAutospacing="0" w:line="317" w:lineRule="auto"/>
      <w:ind w:left="1151" w:hanging="1151" w:firstLineChars="0"/>
      <w:outlineLvl w:val="5"/>
    </w:pPr>
    <w:rPr>
      <w:rFonts w:ascii="Arial" w:hAnsi="Arial" w:eastAsia="黑体"/>
      <w:b/>
      <w:sz w:val="24"/>
    </w:rPr>
  </w:style>
  <w:style w:type="paragraph" w:styleId="8">
    <w:name w:val="heading 7"/>
    <w:basedOn w:val="1"/>
    <w:next w:val="1"/>
    <w:semiHidden/>
    <w:unhideWhenUsed/>
    <w:qFormat/>
    <w:uiPriority w:val="9"/>
    <w:pPr>
      <w:keepNext/>
      <w:keepLines/>
      <w:numPr>
        <w:ilvl w:val="6"/>
        <w:numId w:val="1"/>
      </w:numPr>
      <w:spacing w:before="240" w:beforeLines="0" w:beforeAutospacing="0" w:after="64" w:afterLines="0" w:afterAutospacing="0" w:line="317" w:lineRule="auto"/>
      <w:ind w:left="1296" w:hanging="1296" w:firstLineChars="0"/>
      <w:outlineLvl w:val="6"/>
    </w:pPr>
    <w:rPr>
      <w:b/>
      <w:sz w:val="24"/>
    </w:rPr>
  </w:style>
  <w:style w:type="paragraph" w:styleId="9">
    <w:name w:val="heading 8"/>
    <w:basedOn w:val="1"/>
    <w:next w:val="1"/>
    <w:semiHidden/>
    <w:unhideWhenUsed/>
    <w:qFormat/>
    <w:uiPriority w:val="9"/>
    <w:pPr>
      <w:keepNext/>
      <w:keepLines/>
      <w:numPr>
        <w:ilvl w:val="7"/>
        <w:numId w:val="1"/>
      </w:numPr>
      <w:spacing w:before="240" w:beforeLines="0" w:beforeAutospacing="0" w:after="64" w:afterLines="0" w:afterAutospacing="0" w:line="317" w:lineRule="auto"/>
      <w:ind w:left="1440" w:hanging="1440" w:firstLineChars="0"/>
      <w:outlineLvl w:val="7"/>
    </w:pPr>
    <w:rPr>
      <w:rFonts w:ascii="Arial" w:hAnsi="Arial" w:eastAsia="黑体"/>
      <w:sz w:val="24"/>
    </w:rPr>
  </w:style>
  <w:style w:type="paragraph" w:styleId="10">
    <w:name w:val="heading 9"/>
    <w:basedOn w:val="1"/>
    <w:next w:val="1"/>
    <w:semiHidden/>
    <w:unhideWhenUsed/>
    <w:qFormat/>
    <w:uiPriority w:val="9"/>
    <w:pPr>
      <w:keepNext/>
      <w:keepLines/>
      <w:numPr>
        <w:ilvl w:val="8"/>
        <w:numId w:val="1"/>
      </w:numPr>
      <w:spacing w:before="240" w:beforeLines="0" w:beforeAutospacing="0" w:after="64" w:afterLines="0" w:afterAutospacing="0" w:line="317" w:lineRule="auto"/>
      <w:ind w:left="1583" w:hanging="1583" w:firstLineChars="0"/>
      <w:outlineLvl w:val="8"/>
    </w:pPr>
    <w:rPr>
      <w:rFonts w:ascii="Arial" w:hAnsi="Arial" w:eastAsia="黑体"/>
      <w:sz w:val="21"/>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snapToGrid/>
      <w:spacing w:line="240" w:lineRule="auto"/>
      <w:ind w:left="2520" w:leftChars="1200" w:firstLine="0" w:firstLineChars="0"/>
    </w:pPr>
    <w:rPr>
      <w:rFonts w:asciiTheme="minorHAnsi" w:hAnsiTheme="minorHAnsi" w:eastAsiaTheme="minorEastAsia" w:cstheme="minorBidi"/>
      <w:sz w:val="21"/>
      <w:szCs w:val="22"/>
    </w:rPr>
  </w:style>
  <w:style w:type="paragraph" w:styleId="12">
    <w:name w:val="annotation text"/>
    <w:basedOn w:val="1"/>
    <w:link w:val="42"/>
    <w:unhideWhenUsed/>
    <w:qFormat/>
    <w:uiPriority w:val="99"/>
    <w:pPr>
      <w:snapToGrid/>
      <w:spacing w:line="240" w:lineRule="auto"/>
      <w:ind w:firstLine="0" w:firstLineChars="0"/>
      <w:jc w:val="left"/>
    </w:pPr>
    <w:rPr>
      <w:rFonts w:ascii="Calibri" w:hAnsi="Calibri"/>
      <w:sz w:val="21"/>
      <w:szCs w:val="22"/>
    </w:rPr>
  </w:style>
  <w:style w:type="paragraph" w:styleId="13">
    <w:name w:val="Body Text"/>
    <w:basedOn w:val="1"/>
    <w:link w:val="41"/>
    <w:qFormat/>
    <w:uiPriority w:val="1"/>
    <w:pPr>
      <w:ind w:firstLine="560"/>
    </w:pPr>
    <w:rPr>
      <w:rFonts w:ascii="Arial" w:hAnsi="Arial"/>
      <w:szCs w:val="20"/>
    </w:rPr>
  </w:style>
  <w:style w:type="paragraph" w:styleId="14">
    <w:name w:val="Body Text Indent"/>
    <w:basedOn w:val="1"/>
    <w:link w:val="45"/>
    <w:semiHidden/>
    <w:unhideWhenUsed/>
    <w:qFormat/>
    <w:uiPriority w:val="99"/>
    <w:pPr>
      <w:spacing w:after="120"/>
      <w:ind w:left="420" w:leftChars="200"/>
    </w:pPr>
  </w:style>
  <w:style w:type="paragraph" w:styleId="15">
    <w:name w:val="toc 5"/>
    <w:basedOn w:val="1"/>
    <w:next w:val="1"/>
    <w:unhideWhenUsed/>
    <w:qFormat/>
    <w:uiPriority w:val="39"/>
    <w:pPr>
      <w:snapToGrid/>
      <w:spacing w:line="240" w:lineRule="auto"/>
      <w:ind w:left="1680" w:leftChars="800" w:firstLine="0" w:firstLineChars="0"/>
    </w:pPr>
    <w:rPr>
      <w:rFonts w:asciiTheme="minorHAnsi" w:hAnsiTheme="minorHAnsi" w:eastAsiaTheme="minorEastAsia" w:cstheme="minorBidi"/>
      <w:sz w:val="21"/>
      <w:szCs w:val="22"/>
    </w:rPr>
  </w:style>
  <w:style w:type="paragraph" w:styleId="16">
    <w:name w:val="toc 3"/>
    <w:basedOn w:val="1"/>
    <w:next w:val="1"/>
    <w:unhideWhenUsed/>
    <w:qFormat/>
    <w:uiPriority w:val="39"/>
    <w:pPr>
      <w:spacing w:line="320" w:lineRule="exact"/>
      <w:ind w:left="400" w:leftChars="400" w:firstLine="0" w:firstLineChars="0"/>
    </w:pPr>
    <w:rPr>
      <w:rFonts w:ascii="黑体" w:hAnsi="黑体" w:eastAsia="黑体"/>
      <w:sz w:val="21"/>
    </w:rPr>
  </w:style>
  <w:style w:type="paragraph" w:styleId="17">
    <w:name w:val="toc 8"/>
    <w:basedOn w:val="1"/>
    <w:next w:val="1"/>
    <w:unhideWhenUsed/>
    <w:qFormat/>
    <w:uiPriority w:val="39"/>
    <w:pPr>
      <w:snapToGrid/>
      <w:spacing w:line="240" w:lineRule="auto"/>
      <w:ind w:left="2940" w:leftChars="1400" w:firstLine="0" w:firstLineChars="0"/>
    </w:pPr>
    <w:rPr>
      <w:rFonts w:asciiTheme="minorHAnsi" w:hAnsiTheme="minorHAnsi" w:eastAsiaTheme="minorEastAsia" w:cstheme="minorBidi"/>
      <w:sz w:val="21"/>
      <w:szCs w:val="22"/>
    </w:rPr>
  </w:style>
  <w:style w:type="paragraph" w:styleId="18">
    <w:name w:val="Date"/>
    <w:basedOn w:val="1"/>
    <w:next w:val="1"/>
    <w:link w:val="89"/>
    <w:semiHidden/>
    <w:unhideWhenUsed/>
    <w:qFormat/>
    <w:uiPriority w:val="99"/>
    <w:pPr>
      <w:ind w:left="100" w:leftChars="2500"/>
    </w:pPr>
  </w:style>
  <w:style w:type="paragraph" w:styleId="19">
    <w:name w:val="Balloon Text"/>
    <w:basedOn w:val="1"/>
    <w:link w:val="90"/>
    <w:semiHidden/>
    <w:unhideWhenUsed/>
    <w:qFormat/>
    <w:uiPriority w:val="99"/>
    <w:pPr>
      <w:spacing w:line="240" w:lineRule="auto"/>
    </w:pPr>
    <w:rPr>
      <w:sz w:val="18"/>
      <w:szCs w:val="18"/>
    </w:rPr>
  </w:style>
  <w:style w:type="paragraph" w:styleId="20">
    <w:name w:val="footer"/>
    <w:basedOn w:val="1"/>
    <w:link w:val="91"/>
    <w:unhideWhenUsed/>
    <w:qFormat/>
    <w:uiPriority w:val="99"/>
    <w:pPr>
      <w:tabs>
        <w:tab w:val="center" w:pos="4153"/>
        <w:tab w:val="right" w:pos="8306"/>
      </w:tabs>
      <w:spacing w:line="240" w:lineRule="auto"/>
      <w:jc w:val="left"/>
    </w:pPr>
    <w:rPr>
      <w:sz w:val="18"/>
      <w:szCs w:val="18"/>
    </w:rPr>
  </w:style>
  <w:style w:type="paragraph" w:styleId="21">
    <w:name w:val="header"/>
    <w:basedOn w:val="1"/>
    <w:link w:val="103"/>
    <w:unhideWhenUsed/>
    <w:qFormat/>
    <w:uiPriority w:val="99"/>
    <w:pPr>
      <w:pBdr>
        <w:bottom w:val="single" w:color="auto" w:sz="6" w:space="1"/>
      </w:pBdr>
      <w:tabs>
        <w:tab w:val="center" w:pos="4153"/>
        <w:tab w:val="right" w:pos="8306"/>
      </w:tabs>
      <w:ind w:firstLine="0" w:firstLineChars="0"/>
      <w:jc w:val="center"/>
    </w:pPr>
    <w:rPr>
      <w:rFonts w:asciiTheme="minorHAnsi" w:hAnsiTheme="minorHAnsi" w:eastAsiaTheme="minorEastAsia" w:cstheme="minorBidi"/>
      <w:sz w:val="18"/>
      <w:szCs w:val="18"/>
    </w:rPr>
  </w:style>
  <w:style w:type="paragraph" w:styleId="22">
    <w:name w:val="toc 1"/>
    <w:basedOn w:val="1"/>
    <w:next w:val="1"/>
    <w:unhideWhenUsed/>
    <w:qFormat/>
    <w:uiPriority w:val="39"/>
    <w:pPr>
      <w:spacing w:line="320" w:lineRule="exact"/>
      <w:ind w:firstLine="0" w:firstLineChars="0"/>
    </w:pPr>
    <w:rPr>
      <w:rFonts w:ascii="黑体" w:hAnsi="黑体" w:eastAsia="黑体"/>
      <w:sz w:val="21"/>
    </w:rPr>
  </w:style>
  <w:style w:type="paragraph" w:styleId="23">
    <w:name w:val="toc 4"/>
    <w:basedOn w:val="1"/>
    <w:next w:val="1"/>
    <w:unhideWhenUsed/>
    <w:qFormat/>
    <w:uiPriority w:val="39"/>
    <w:pPr>
      <w:spacing w:line="320" w:lineRule="exact"/>
      <w:ind w:left="600" w:leftChars="600" w:firstLine="0" w:firstLineChars="0"/>
    </w:pPr>
    <w:rPr>
      <w:rFonts w:ascii="黑体" w:hAnsi="黑体" w:eastAsia="黑体"/>
      <w:sz w:val="21"/>
    </w:rPr>
  </w:style>
  <w:style w:type="paragraph" w:styleId="24">
    <w:name w:val="toc 6"/>
    <w:basedOn w:val="1"/>
    <w:next w:val="1"/>
    <w:unhideWhenUsed/>
    <w:qFormat/>
    <w:uiPriority w:val="39"/>
    <w:pPr>
      <w:snapToGrid/>
      <w:spacing w:line="240" w:lineRule="auto"/>
      <w:ind w:left="2100" w:leftChars="1000" w:firstLine="0" w:firstLineChars="0"/>
    </w:pPr>
    <w:rPr>
      <w:rFonts w:asciiTheme="minorHAnsi" w:hAnsiTheme="minorHAnsi" w:eastAsiaTheme="minorEastAsia" w:cstheme="minorBidi"/>
      <w:sz w:val="21"/>
      <w:szCs w:val="22"/>
    </w:rPr>
  </w:style>
  <w:style w:type="paragraph" w:styleId="25">
    <w:name w:val="toc 2"/>
    <w:basedOn w:val="1"/>
    <w:next w:val="1"/>
    <w:unhideWhenUsed/>
    <w:qFormat/>
    <w:uiPriority w:val="39"/>
    <w:pPr>
      <w:spacing w:line="320" w:lineRule="exact"/>
      <w:ind w:left="200" w:leftChars="200" w:firstLine="0" w:firstLineChars="0"/>
    </w:pPr>
    <w:rPr>
      <w:rFonts w:ascii="黑体" w:hAnsi="黑体" w:eastAsia="黑体"/>
      <w:sz w:val="21"/>
    </w:rPr>
  </w:style>
  <w:style w:type="paragraph" w:styleId="26">
    <w:name w:val="toc 9"/>
    <w:basedOn w:val="1"/>
    <w:next w:val="1"/>
    <w:unhideWhenUsed/>
    <w:qFormat/>
    <w:uiPriority w:val="39"/>
    <w:pPr>
      <w:snapToGrid/>
      <w:spacing w:line="240" w:lineRule="auto"/>
      <w:ind w:left="3360" w:leftChars="1600" w:firstLine="0" w:firstLineChars="0"/>
    </w:pPr>
    <w:rPr>
      <w:rFonts w:asciiTheme="minorHAnsi" w:hAnsiTheme="minorHAnsi" w:eastAsiaTheme="minorEastAsia" w:cstheme="minorBidi"/>
      <w:sz w:val="21"/>
      <w:szCs w:val="22"/>
    </w:rPr>
  </w:style>
  <w:style w:type="paragraph" w:styleId="27">
    <w:name w:val="Normal (Web)"/>
    <w:basedOn w:val="1"/>
    <w:semiHidden/>
    <w:unhideWhenUsed/>
    <w:qFormat/>
    <w:uiPriority w:val="99"/>
    <w:pPr>
      <w:widowControl/>
      <w:snapToGrid/>
      <w:spacing w:before="100" w:beforeAutospacing="1" w:after="100" w:afterAutospacing="1" w:line="240" w:lineRule="auto"/>
      <w:ind w:firstLine="0" w:firstLineChars="0"/>
      <w:jc w:val="left"/>
    </w:pPr>
    <w:rPr>
      <w:rFonts w:ascii="宋体" w:hAnsi="宋体" w:cs="宋体"/>
      <w:kern w:val="0"/>
      <w:sz w:val="24"/>
    </w:rPr>
  </w:style>
  <w:style w:type="paragraph" w:styleId="28">
    <w:name w:val="annotation subject"/>
    <w:basedOn w:val="12"/>
    <w:next w:val="12"/>
    <w:link w:val="75"/>
    <w:semiHidden/>
    <w:unhideWhenUsed/>
    <w:qFormat/>
    <w:uiPriority w:val="99"/>
    <w:pPr>
      <w:snapToGrid w:val="0"/>
      <w:spacing w:line="360" w:lineRule="auto"/>
      <w:ind w:firstLine="200" w:firstLineChars="200"/>
    </w:pPr>
    <w:rPr>
      <w:rFonts w:ascii="Times New Roman" w:hAnsi="Times New Roman"/>
      <w:b/>
      <w:bCs/>
      <w:sz w:val="28"/>
      <w:szCs w:val="24"/>
    </w:rPr>
  </w:style>
  <w:style w:type="paragraph" w:styleId="29">
    <w:name w:val="Body Text First Indent 2"/>
    <w:basedOn w:val="14"/>
    <w:link w:val="46"/>
    <w:qFormat/>
    <w:uiPriority w:val="0"/>
    <w:pPr>
      <w:snapToGrid/>
      <w:ind w:firstLine="420"/>
    </w:pPr>
  </w:style>
  <w:style w:type="table" w:styleId="31">
    <w:name w:val="Table Grid"/>
    <w:basedOn w:val="30"/>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FollowedHyperlink"/>
    <w:basedOn w:val="32"/>
    <w:semiHidden/>
    <w:unhideWhenUsed/>
    <w:qFormat/>
    <w:uiPriority w:val="99"/>
    <w:rPr>
      <w:color w:val="954F72"/>
      <w:u w:val="single"/>
    </w:rPr>
  </w:style>
  <w:style w:type="character" w:styleId="34">
    <w:name w:val="Hyperlink"/>
    <w:qFormat/>
    <w:uiPriority w:val="99"/>
    <w:rPr>
      <w:color w:val="0000FF"/>
      <w:u w:val="single"/>
    </w:rPr>
  </w:style>
  <w:style w:type="character" w:styleId="35">
    <w:name w:val="annotation reference"/>
    <w:qFormat/>
    <w:uiPriority w:val="99"/>
    <w:rPr>
      <w:sz w:val="21"/>
      <w:szCs w:val="21"/>
    </w:rPr>
  </w:style>
  <w:style w:type="character" w:customStyle="1" w:styleId="36">
    <w:name w:val="标题 2 字符"/>
    <w:basedOn w:val="32"/>
    <w:link w:val="3"/>
    <w:qFormat/>
    <w:uiPriority w:val="0"/>
    <w:rPr>
      <w:rFonts w:ascii="Times New Roman" w:hAnsi="Times New Roman" w:eastAsia="宋体" w:cs="Times New Roman"/>
      <w:b/>
      <w:bCs/>
      <w:kern w:val="2"/>
      <w:sz w:val="32"/>
      <w:szCs w:val="32"/>
    </w:rPr>
  </w:style>
  <w:style w:type="paragraph" w:customStyle="1" w:styleId="37">
    <w:name w:val="1.一级标题"/>
    <w:basedOn w:val="1"/>
    <w:link w:val="39"/>
    <w:qFormat/>
    <w:uiPriority w:val="0"/>
    <w:pPr>
      <w:keepNext/>
      <w:keepLines/>
      <w:pageBreakBefore/>
      <w:numPr>
        <w:ilvl w:val="0"/>
        <w:numId w:val="2"/>
      </w:numPr>
      <w:spacing w:before="156" w:beforeLines="50" w:after="156" w:afterLines="50"/>
      <w:ind w:firstLine="0" w:firstLineChars="0"/>
      <w:jc w:val="center"/>
      <w:outlineLvl w:val="0"/>
    </w:pPr>
    <w:rPr>
      <w:b/>
      <w:bCs/>
      <w:kern w:val="44"/>
      <w:sz w:val="44"/>
      <w:szCs w:val="44"/>
    </w:rPr>
  </w:style>
  <w:style w:type="paragraph" w:customStyle="1" w:styleId="38">
    <w:name w:val="二级标题"/>
    <w:basedOn w:val="1"/>
    <w:link w:val="40"/>
    <w:qFormat/>
    <w:uiPriority w:val="0"/>
    <w:pPr>
      <w:snapToGrid/>
      <w:ind w:firstLine="560"/>
    </w:pPr>
    <w:rPr>
      <w:szCs w:val="22"/>
    </w:rPr>
  </w:style>
  <w:style w:type="character" w:customStyle="1" w:styleId="39">
    <w:name w:val="1.一级标题 字符"/>
    <w:basedOn w:val="32"/>
    <w:link w:val="37"/>
    <w:qFormat/>
    <w:uiPriority w:val="0"/>
    <w:rPr>
      <w:rFonts w:ascii="Times New Roman" w:hAnsi="Times New Roman" w:eastAsia="宋体" w:cs="Times New Roman"/>
      <w:b/>
      <w:bCs/>
      <w:kern w:val="44"/>
      <w:sz w:val="44"/>
      <w:szCs w:val="44"/>
    </w:rPr>
  </w:style>
  <w:style w:type="character" w:customStyle="1" w:styleId="40">
    <w:name w:val="二级标题 字符"/>
    <w:basedOn w:val="32"/>
    <w:link w:val="38"/>
    <w:qFormat/>
    <w:uiPriority w:val="0"/>
    <w:rPr>
      <w:rFonts w:ascii="Times New Roman" w:hAnsi="Times New Roman" w:eastAsia="宋体" w:cs="Times New Roman"/>
      <w:kern w:val="2"/>
      <w:sz w:val="28"/>
      <w:szCs w:val="22"/>
    </w:rPr>
  </w:style>
  <w:style w:type="character" w:customStyle="1" w:styleId="41">
    <w:name w:val="正文文本 字符"/>
    <w:basedOn w:val="32"/>
    <w:link w:val="13"/>
    <w:qFormat/>
    <w:uiPriority w:val="1"/>
    <w:rPr>
      <w:rFonts w:ascii="Arial" w:hAnsi="Arial" w:eastAsia="宋体" w:cs="Times New Roman"/>
      <w:sz w:val="28"/>
      <w:szCs w:val="20"/>
    </w:rPr>
  </w:style>
  <w:style w:type="character" w:customStyle="1" w:styleId="42">
    <w:name w:val="批注文字 字符"/>
    <w:basedOn w:val="32"/>
    <w:link w:val="12"/>
    <w:qFormat/>
    <w:uiPriority w:val="99"/>
    <w:rPr>
      <w:rFonts w:ascii="Calibri" w:hAnsi="Calibri" w:eastAsia="宋体" w:cs="Times New Roman"/>
    </w:rPr>
  </w:style>
  <w:style w:type="paragraph" w:customStyle="1" w:styleId="43">
    <w:name w:val="3.三级标题"/>
    <w:basedOn w:val="1"/>
    <w:link w:val="44"/>
    <w:qFormat/>
    <w:uiPriority w:val="0"/>
    <w:pPr>
      <w:keepNext/>
      <w:keepLines/>
      <w:numPr>
        <w:ilvl w:val="2"/>
        <w:numId w:val="2"/>
      </w:numPr>
      <w:adjustRightInd w:val="0"/>
      <w:spacing w:before="50" w:beforeLines="50" w:after="50" w:afterLines="50" w:line="240" w:lineRule="auto"/>
      <w:ind w:left="0" w:firstLineChars="0"/>
      <w:jc w:val="left"/>
      <w:outlineLvl w:val="2"/>
    </w:pPr>
    <w:rPr>
      <w:b/>
      <w:bCs/>
      <w:sz w:val="30"/>
      <w:szCs w:val="30"/>
    </w:rPr>
  </w:style>
  <w:style w:type="character" w:customStyle="1" w:styleId="44">
    <w:name w:val="3.三级标题 字符"/>
    <w:basedOn w:val="32"/>
    <w:link w:val="43"/>
    <w:qFormat/>
    <w:uiPriority w:val="0"/>
    <w:rPr>
      <w:rFonts w:ascii="Times New Roman" w:hAnsi="Times New Roman" w:eastAsia="宋体" w:cs="Times New Roman"/>
      <w:b/>
      <w:bCs/>
      <w:kern w:val="2"/>
      <w:sz w:val="30"/>
      <w:szCs w:val="30"/>
    </w:rPr>
  </w:style>
  <w:style w:type="character" w:customStyle="1" w:styleId="45">
    <w:name w:val="正文文本缩进 字符"/>
    <w:basedOn w:val="32"/>
    <w:link w:val="14"/>
    <w:semiHidden/>
    <w:qFormat/>
    <w:uiPriority w:val="99"/>
    <w:rPr>
      <w:rFonts w:ascii="Times New Roman" w:hAnsi="Times New Roman" w:eastAsia="宋体" w:cs="Times New Roman"/>
      <w:sz w:val="28"/>
      <w:szCs w:val="24"/>
    </w:rPr>
  </w:style>
  <w:style w:type="character" w:customStyle="1" w:styleId="46">
    <w:name w:val="正文文本首行缩进 2 字符"/>
    <w:basedOn w:val="45"/>
    <w:link w:val="29"/>
    <w:qFormat/>
    <w:uiPriority w:val="0"/>
    <w:rPr>
      <w:rFonts w:ascii="Times New Roman" w:hAnsi="Times New Roman" w:eastAsia="宋体" w:cs="Times New Roman"/>
      <w:sz w:val="28"/>
      <w:szCs w:val="24"/>
    </w:rPr>
  </w:style>
  <w:style w:type="paragraph" w:customStyle="1" w:styleId="47">
    <w:name w:val="msonormal"/>
    <w:basedOn w:val="1"/>
    <w:qFormat/>
    <w:uiPriority w:val="0"/>
    <w:pPr>
      <w:widowControl/>
      <w:snapToGrid/>
      <w:spacing w:before="100" w:beforeAutospacing="1" w:after="100" w:afterAutospacing="1" w:line="240" w:lineRule="auto"/>
      <w:ind w:firstLine="0" w:firstLineChars="0"/>
      <w:jc w:val="left"/>
    </w:pPr>
    <w:rPr>
      <w:rFonts w:ascii="宋体" w:hAnsi="宋体" w:cs="宋体"/>
      <w:kern w:val="0"/>
      <w:sz w:val="24"/>
    </w:rPr>
  </w:style>
  <w:style w:type="paragraph" w:customStyle="1" w:styleId="48">
    <w:name w:val="font5"/>
    <w:basedOn w:val="1"/>
    <w:qFormat/>
    <w:uiPriority w:val="0"/>
    <w:pPr>
      <w:widowControl/>
      <w:snapToGrid/>
      <w:spacing w:before="100" w:beforeAutospacing="1" w:after="100" w:afterAutospacing="1" w:line="240" w:lineRule="auto"/>
      <w:ind w:firstLine="0" w:firstLineChars="0"/>
      <w:jc w:val="left"/>
    </w:pPr>
    <w:rPr>
      <w:color w:val="000000"/>
      <w:kern w:val="0"/>
      <w:sz w:val="20"/>
      <w:szCs w:val="20"/>
    </w:rPr>
  </w:style>
  <w:style w:type="paragraph" w:customStyle="1" w:styleId="49">
    <w:name w:val="font6"/>
    <w:basedOn w:val="1"/>
    <w:qFormat/>
    <w:uiPriority w:val="0"/>
    <w:pPr>
      <w:widowControl/>
      <w:snapToGrid/>
      <w:spacing w:before="100" w:beforeAutospacing="1" w:after="100" w:afterAutospacing="1" w:line="240" w:lineRule="auto"/>
      <w:ind w:firstLine="0" w:firstLineChars="0"/>
      <w:jc w:val="left"/>
    </w:pPr>
    <w:rPr>
      <w:rFonts w:ascii="等线" w:hAnsi="等线" w:eastAsia="等线" w:cs="宋体"/>
      <w:kern w:val="0"/>
      <w:sz w:val="18"/>
      <w:szCs w:val="18"/>
    </w:rPr>
  </w:style>
  <w:style w:type="paragraph" w:customStyle="1" w:styleId="50">
    <w:name w:val="font7"/>
    <w:basedOn w:val="1"/>
    <w:qFormat/>
    <w:uiPriority w:val="0"/>
    <w:pPr>
      <w:widowControl/>
      <w:snapToGrid/>
      <w:spacing w:before="100" w:beforeAutospacing="1" w:after="100" w:afterAutospacing="1" w:line="240" w:lineRule="auto"/>
      <w:ind w:firstLine="0" w:firstLineChars="0"/>
      <w:jc w:val="left"/>
    </w:pPr>
    <w:rPr>
      <w:rFonts w:ascii="宋体" w:hAnsi="宋体" w:cs="宋体"/>
      <w:color w:val="000000"/>
      <w:kern w:val="0"/>
      <w:sz w:val="20"/>
      <w:szCs w:val="20"/>
    </w:rPr>
  </w:style>
  <w:style w:type="paragraph" w:customStyle="1" w:styleId="51">
    <w:name w:val="xl65"/>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textAlignment w:val="center"/>
    </w:pPr>
    <w:rPr>
      <w:rFonts w:ascii="宋体" w:hAnsi="宋体" w:cs="宋体"/>
      <w:kern w:val="0"/>
      <w:sz w:val="20"/>
      <w:szCs w:val="20"/>
    </w:rPr>
  </w:style>
  <w:style w:type="paragraph" w:customStyle="1" w:styleId="52">
    <w:name w:val="xl66"/>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textAlignment w:val="center"/>
    </w:pPr>
    <w:rPr>
      <w:kern w:val="0"/>
      <w:sz w:val="20"/>
      <w:szCs w:val="20"/>
    </w:rPr>
  </w:style>
  <w:style w:type="paragraph" w:customStyle="1" w:styleId="53">
    <w:name w:val="xl67"/>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left"/>
    </w:pPr>
    <w:rPr>
      <w:rFonts w:ascii="宋体" w:hAnsi="宋体" w:cs="宋体"/>
      <w:kern w:val="0"/>
      <w:sz w:val="20"/>
      <w:szCs w:val="20"/>
    </w:rPr>
  </w:style>
  <w:style w:type="paragraph" w:customStyle="1" w:styleId="54">
    <w:name w:val="xl6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napToGrid/>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55">
    <w:name w:val="xl6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napToGrid/>
      <w:spacing w:before="100" w:beforeAutospacing="1" w:after="100" w:afterAutospacing="1" w:line="240" w:lineRule="auto"/>
      <w:ind w:firstLine="0" w:firstLineChars="0"/>
      <w:jc w:val="center"/>
      <w:textAlignment w:val="center"/>
    </w:pPr>
    <w:rPr>
      <w:color w:val="000000"/>
      <w:kern w:val="0"/>
      <w:sz w:val="20"/>
      <w:szCs w:val="20"/>
    </w:rPr>
  </w:style>
  <w:style w:type="paragraph" w:customStyle="1" w:styleId="56">
    <w:name w:val="xl70"/>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left"/>
    </w:pPr>
    <w:rPr>
      <w:rFonts w:ascii="宋体" w:hAnsi="宋体" w:cs="宋体"/>
      <w:kern w:val="0"/>
      <w:sz w:val="24"/>
    </w:rPr>
  </w:style>
  <w:style w:type="paragraph" w:customStyle="1" w:styleId="57">
    <w:name w:val="xl71"/>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textAlignment w:val="center"/>
    </w:pPr>
    <w:rPr>
      <w:kern w:val="0"/>
      <w:sz w:val="24"/>
    </w:rPr>
  </w:style>
  <w:style w:type="paragraph" w:customStyle="1" w:styleId="58">
    <w:name w:val="xl7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napToGrid/>
      <w:spacing w:before="100" w:beforeAutospacing="1" w:after="100" w:afterAutospacing="1" w:line="240" w:lineRule="auto"/>
      <w:ind w:firstLine="0" w:firstLineChars="0"/>
      <w:jc w:val="center"/>
      <w:textAlignment w:val="center"/>
    </w:pPr>
    <w:rPr>
      <w:rFonts w:ascii="宋体" w:hAnsi="宋体" w:cs="宋体"/>
      <w:color w:val="000000"/>
      <w:kern w:val="0"/>
      <w:sz w:val="24"/>
    </w:rPr>
  </w:style>
  <w:style w:type="paragraph" w:customStyle="1" w:styleId="59">
    <w:name w:val="xl7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napToGrid/>
      <w:spacing w:before="100" w:beforeAutospacing="1" w:after="100" w:afterAutospacing="1" w:line="240" w:lineRule="auto"/>
      <w:ind w:firstLine="0" w:firstLineChars="0"/>
      <w:jc w:val="center"/>
      <w:textAlignment w:val="center"/>
    </w:pPr>
    <w:rPr>
      <w:color w:val="000000"/>
      <w:kern w:val="0"/>
      <w:sz w:val="24"/>
    </w:rPr>
  </w:style>
  <w:style w:type="paragraph" w:customStyle="1" w:styleId="60">
    <w:name w:val="xl74"/>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textAlignment w:val="center"/>
    </w:pPr>
    <w:rPr>
      <w:color w:val="000000"/>
      <w:kern w:val="0"/>
      <w:sz w:val="24"/>
    </w:rPr>
  </w:style>
  <w:style w:type="paragraph" w:customStyle="1" w:styleId="61">
    <w:name w:val="xl75"/>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textAlignment w:val="center"/>
    </w:pPr>
    <w:rPr>
      <w:rFonts w:ascii="宋体" w:hAnsi="宋体" w:cs="宋体"/>
      <w:color w:val="000000"/>
      <w:kern w:val="0"/>
      <w:sz w:val="24"/>
    </w:rPr>
  </w:style>
  <w:style w:type="paragraph" w:customStyle="1" w:styleId="62">
    <w:name w:val="xl76"/>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textAlignment w:val="center"/>
    </w:pPr>
    <w:rPr>
      <w:kern w:val="0"/>
      <w:sz w:val="24"/>
    </w:rPr>
  </w:style>
  <w:style w:type="paragraph" w:customStyle="1" w:styleId="63">
    <w:name w:val="xl77"/>
    <w:basedOn w:val="1"/>
    <w:qFormat/>
    <w:uiPriority w:val="0"/>
    <w:pPr>
      <w:widowControl/>
      <w:snapToGrid/>
      <w:spacing w:before="100" w:beforeAutospacing="1" w:after="100" w:afterAutospacing="1" w:line="240" w:lineRule="auto"/>
      <w:ind w:firstLine="0" w:firstLineChars="0"/>
      <w:jc w:val="left"/>
      <w:textAlignment w:val="center"/>
    </w:pPr>
    <w:rPr>
      <w:rFonts w:ascii="宋体" w:hAnsi="宋体" w:cs="宋体"/>
      <w:kern w:val="0"/>
      <w:sz w:val="24"/>
    </w:rPr>
  </w:style>
  <w:style w:type="paragraph" w:customStyle="1" w:styleId="64">
    <w:name w:val="xl78"/>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textAlignment w:val="center"/>
    </w:pPr>
    <w:rPr>
      <w:rFonts w:ascii="宋体" w:hAnsi="宋体" w:cs="宋体"/>
      <w:kern w:val="0"/>
      <w:sz w:val="20"/>
      <w:szCs w:val="20"/>
    </w:rPr>
  </w:style>
  <w:style w:type="paragraph" w:customStyle="1" w:styleId="65">
    <w:name w:val="xl79"/>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textAlignment w:val="center"/>
    </w:pPr>
    <w:rPr>
      <w:kern w:val="0"/>
      <w:sz w:val="24"/>
    </w:rPr>
  </w:style>
  <w:style w:type="paragraph" w:customStyle="1" w:styleId="66">
    <w:name w:val="xl80"/>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textAlignment w:val="center"/>
    </w:pPr>
    <w:rPr>
      <w:rFonts w:ascii="宋体" w:hAnsi="宋体" w:cs="宋体"/>
      <w:kern w:val="0"/>
      <w:sz w:val="24"/>
    </w:rPr>
  </w:style>
  <w:style w:type="paragraph" w:customStyle="1" w:styleId="67">
    <w:name w:val="xl8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napToGrid/>
      <w:spacing w:before="100" w:beforeAutospacing="1" w:after="100" w:afterAutospacing="1" w:line="240" w:lineRule="auto"/>
      <w:ind w:firstLine="0" w:firstLineChars="0"/>
      <w:jc w:val="center"/>
      <w:textAlignment w:val="center"/>
    </w:pPr>
    <w:rPr>
      <w:rFonts w:ascii="宋体" w:hAnsi="宋体" w:cs="宋体"/>
      <w:color w:val="000000"/>
      <w:kern w:val="0"/>
      <w:sz w:val="24"/>
    </w:rPr>
  </w:style>
  <w:style w:type="paragraph" w:customStyle="1" w:styleId="68">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napToGrid/>
      <w:spacing w:before="100" w:beforeAutospacing="1" w:after="100" w:afterAutospacing="1" w:line="240" w:lineRule="auto"/>
      <w:ind w:firstLine="0" w:firstLineChars="0"/>
      <w:jc w:val="center"/>
      <w:textAlignment w:val="center"/>
    </w:pPr>
    <w:rPr>
      <w:kern w:val="0"/>
      <w:sz w:val="24"/>
    </w:rPr>
  </w:style>
  <w:style w:type="paragraph" w:customStyle="1" w:styleId="69">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napToGrid/>
      <w:spacing w:before="100" w:beforeAutospacing="1" w:after="100" w:afterAutospacing="1" w:line="240" w:lineRule="auto"/>
      <w:ind w:firstLine="0" w:firstLineChars="0"/>
      <w:jc w:val="center"/>
      <w:textAlignment w:val="center"/>
    </w:pPr>
    <w:rPr>
      <w:color w:val="000000"/>
      <w:kern w:val="0"/>
      <w:sz w:val="24"/>
    </w:rPr>
  </w:style>
  <w:style w:type="paragraph" w:customStyle="1" w:styleId="70">
    <w:name w:val="xl8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napToGrid/>
      <w:spacing w:before="100" w:beforeAutospacing="1" w:after="100" w:afterAutospacing="1" w:line="240" w:lineRule="auto"/>
      <w:ind w:firstLine="0" w:firstLineChars="0"/>
      <w:jc w:val="center"/>
      <w:textAlignment w:val="center"/>
    </w:pPr>
    <w:rPr>
      <w:color w:val="000000"/>
      <w:kern w:val="0"/>
      <w:sz w:val="24"/>
    </w:rPr>
  </w:style>
  <w:style w:type="paragraph" w:customStyle="1" w:styleId="71">
    <w:name w:val="xl8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napToGrid/>
      <w:spacing w:before="100" w:beforeAutospacing="1" w:after="100" w:afterAutospacing="1" w:line="240" w:lineRule="auto"/>
      <w:ind w:firstLine="0" w:firstLineChars="0"/>
      <w:jc w:val="center"/>
      <w:textAlignment w:val="center"/>
    </w:pPr>
    <w:rPr>
      <w:color w:val="000000"/>
      <w:kern w:val="0"/>
      <w:sz w:val="24"/>
    </w:rPr>
  </w:style>
  <w:style w:type="paragraph" w:customStyle="1" w:styleId="72">
    <w:name w:val="xl87"/>
    <w:basedOn w:val="1"/>
    <w:qFormat/>
    <w:uiPriority w:val="0"/>
    <w:pPr>
      <w:widowControl/>
      <w:pBdr>
        <w:top w:val="single" w:color="auto" w:sz="4" w:space="0"/>
        <w:left w:val="single" w:color="auto" w:sz="4" w:space="0"/>
        <w:bottom w:val="single" w:color="auto" w:sz="4" w:space="0"/>
      </w:pBdr>
      <w:snapToGrid/>
      <w:spacing w:before="100" w:beforeAutospacing="1" w:after="100" w:afterAutospacing="1" w:line="240" w:lineRule="auto"/>
      <w:ind w:firstLine="0" w:firstLineChars="0"/>
      <w:jc w:val="center"/>
    </w:pPr>
    <w:rPr>
      <w:rFonts w:ascii="宋体" w:hAnsi="宋体" w:cs="宋体"/>
      <w:kern w:val="0"/>
      <w:sz w:val="20"/>
      <w:szCs w:val="20"/>
    </w:rPr>
  </w:style>
  <w:style w:type="paragraph" w:customStyle="1" w:styleId="73">
    <w:name w:val="xl88"/>
    <w:basedOn w:val="1"/>
    <w:qFormat/>
    <w:uiPriority w:val="0"/>
    <w:pPr>
      <w:widowControl/>
      <w:pBdr>
        <w:top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pPr>
    <w:rPr>
      <w:rFonts w:ascii="宋体" w:hAnsi="宋体" w:cs="宋体"/>
      <w:kern w:val="0"/>
      <w:sz w:val="20"/>
      <w:szCs w:val="20"/>
    </w:rPr>
  </w:style>
  <w:style w:type="paragraph" w:customStyle="1" w:styleId="74">
    <w:name w:val="xl89"/>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pPr>
    <w:rPr>
      <w:rFonts w:ascii="宋体" w:hAnsi="宋体" w:cs="宋体"/>
      <w:kern w:val="0"/>
      <w:sz w:val="20"/>
      <w:szCs w:val="20"/>
    </w:rPr>
  </w:style>
  <w:style w:type="character" w:customStyle="1" w:styleId="75">
    <w:name w:val="批注主题 字符"/>
    <w:basedOn w:val="42"/>
    <w:link w:val="28"/>
    <w:semiHidden/>
    <w:qFormat/>
    <w:uiPriority w:val="99"/>
    <w:rPr>
      <w:rFonts w:ascii="Times New Roman" w:hAnsi="Times New Roman" w:eastAsia="宋体" w:cs="Times New Roman"/>
      <w:b/>
      <w:bCs/>
      <w:sz w:val="28"/>
      <w:szCs w:val="24"/>
    </w:rPr>
  </w:style>
  <w:style w:type="character" w:customStyle="1" w:styleId="76">
    <w:name w:val="标题 3 字符"/>
    <w:basedOn w:val="32"/>
    <w:link w:val="4"/>
    <w:semiHidden/>
    <w:qFormat/>
    <w:uiPriority w:val="9"/>
    <w:rPr>
      <w:rFonts w:ascii="Times New Roman" w:hAnsi="Times New Roman" w:eastAsia="宋体" w:cs="Times New Roman"/>
      <w:b/>
      <w:bCs/>
      <w:sz w:val="32"/>
      <w:szCs w:val="32"/>
    </w:rPr>
  </w:style>
  <w:style w:type="table" w:customStyle="1" w:styleId="77">
    <w:name w:val="网格型1"/>
    <w:basedOn w:val="30"/>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8">
    <w:name w:val="四级标题"/>
    <w:basedOn w:val="38"/>
    <w:link w:val="79"/>
    <w:qFormat/>
    <w:uiPriority w:val="0"/>
    <w:pPr>
      <w:spacing w:before="50" w:after="50"/>
      <w:outlineLvl w:val="3"/>
    </w:pPr>
  </w:style>
  <w:style w:type="character" w:customStyle="1" w:styleId="79">
    <w:name w:val="四级标题 字符"/>
    <w:basedOn w:val="40"/>
    <w:link w:val="78"/>
    <w:qFormat/>
    <w:uiPriority w:val="0"/>
    <w:rPr>
      <w:rFonts w:ascii="Times New Roman" w:hAnsi="Times New Roman" w:eastAsia="宋体" w:cs="Times New Roman"/>
      <w:kern w:val="2"/>
      <w:sz w:val="32"/>
      <w:szCs w:val="32"/>
    </w:rPr>
  </w:style>
  <w:style w:type="paragraph" w:customStyle="1" w:styleId="80">
    <w:name w:val="4.四级标题"/>
    <w:basedOn w:val="1"/>
    <w:link w:val="81"/>
    <w:qFormat/>
    <w:uiPriority w:val="0"/>
    <w:pPr>
      <w:keepNext/>
      <w:keepLines/>
      <w:numPr>
        <w:ilvl w:val="3"/>
        <w:numId w:val="2"/>
      </w:numPr>
      <w:spacing w:before="50" w:beforeLines="50" w:after="50" w:afterLines="50" w:line="240" w:lineRule="auto"/>
      <w:ind w:firstLine="0" w:firstLineChars="0"/>
      <w:jc w:val="left"/>
      <w:outlineLvl w:val="3"/>
    </w:pPr>
    <w:rPr>
      <w:b/>
      <w:bCs/>
      <w:szCs w:val="30"/>
    </w:rPr>
  </w:style>
  <w:style w:type="character" w:customStyle="1" w:styleId="81">
    <w:name w:val="4.四级标题 字符"/>
    <w:basedOn w:val="32"/>
    <w:link w:val="80"/>
    <w:qFormat/>
    <w:uiPriority w:val="0"/>
    <w:rPr>
      <w:rFonts w:ascii="Times New Roman" w:hAnsi="Times New Roman" w:eastAsia="宋体" w:cs="Times New Roman"/>
      <w:b/>
      <w:bCs/>
      <w:kern w:val="2"/>
      <w:sz w:val="28"/>
      <w:szCs w:val="30"/>
    </w:rPr>
  </w:style>
  <w:style w:type="paragraph" w:customStyle="1" w:styleId="82">
    <w:name w:val="表格内容"/>
    <w:basedOn w:val="1"/>
    <w:link w:val="83"/>
    <w:qFormat/>
    <w:uiPriority w:val="0"/>
    <w:pPr>
      <w:snapToGrid/>
      <w:spacing w:line="120" w:lineRule="atLeast"/>
      <w:ind w:firstLine="0" w:firstLineChars="0"/>
    </w:pPr>
    <w:rPr>
      <w:sz w:val="21"/>
      <w:szCs w:val="20"/>
    </w:rPr>
  </w:style>
  <w:style w:type="character" w:customStyle="1" w:styleId="83">
    <w:name w:val="表格内容 字符"/>
    <w:basedOn w:val="32"/>
    <w:link w:val="82"/>
    <w:qFormat/>
    <w:uiPriority w:val="0"/>
    <w:rPr>
      <w:rFonts w:ascii="Times New Roman" w:hAnsi="Times New Roman" w:eastAsia="宋体" w:cs="Times New Roman"/>
      <w:szCs w:val="20"/>
    </w:rPr>
  </w:style>
  <w:style w:type="paragraph" w:customStyle="1" w:styleId="84">
    <w:name w:val="表格标题"/>
    <w:basedOn w:val="1"/>
    <w:link w:val="85"/>
    <w:qFormat/>
    <w:uiPriority w:val="0"/>
    <w:pPr>
      <w:snapToGrid/>
      <w:spacing w:line="240" w:lineRule="auto"/>
    </w:pPr>
    <w:rPr>
      <w:rFonts w:eastAsia="仿宋_GB2312"/>
      <w:b/>
      <w:sz w:val="24"/>
    </w:rPr>
  </w:style>
  <w:style w:type="character" w:customStyle="1" w:styleId="85">
    <w:name w:val="表格标题 Char"/>
    <w:link w:val="84"/>
    <w:qFormat/>
    <w:uiPriority w:val="0"/>
    <w:rPr>
      <w:rFonts w:ascii="Times New Roman" w:hAnsi="Times New Roman" w:eastAsia="仿宋_GB2312" w:cs="Times New Roman"/>
      <w:b/>
      <w:sz w:val="24"/>
      <w:szCs w:val="24"/>
    </w:rPr>
  </w:style>
  <w:style w:type="table" w:customStyle="1" w:styleId="86">
    <w:name w:val="网格型2"/>
    <w:basedOn w:val="30"/>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
    <w:name w:val="网格型3"/>
    <w:basedOn w:val="30"/>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
    <w:name w:val="网格型4"/>
    <w:basedOn w:val="30"/>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9">
    <w:name w:val="日期 字符"/>
    <w:basedOn w:val="32"/>
    <w:link w:val="18"/>
    <w:semiHidden/>
    <w:qFormat/>
    <w:uiPriority w:val="99"/>
    <w:rPr>
      <w:rFonts w:ascii="Times New Roman" w:hAnsi="Times New Roman" w:eastAsia="宋体" w:cs="Times New Roman"/>
      <w:sz w:val="28"/>
      <w:szCs w:val="24"/>
    </w:rPr>
  </w:style>
  <w:style w:type="character" w:customStyle="1" w:styleId="90">
    <w:name w:val="批注框文本 字符"/>
    <w:basedOn w:val="32"/>
    <w:link w:val="19"/>
    <w:semiHidden/>
    <w:qFormat/>
    <w:uiPriority w:val="99"/>
    <w:rPr>
      <w:rFonts w:ascii="Times New Roman" w:hAnsi="Times New Roman" w:eastAsia="宋体" w:cs="Times New Roman"/>
      <w:sz w:val="18"/>
      <w:szCs w:val="18"/>
    </w:rPr>
  </w:style>
  <w:style w:type="character" w:customStyle="1" w:styleId="91">
    <w:name w:val="页脚 字符"/>
    <w:basedOn w:val="32"/>
    <w:link w:val="20"/>
    <w:qFormat/>
    <w:uiPriority w:val="99"/>
    <w:rPr>
      <w:rFonts w:ascii="Times New Roman" w:hAnsi="Times New Roman" w:eastAsia="宋体" w:cs="Times New Roman"/>
      <w:kern w:val="2"/>
      <w:sz w:val="18"/>
      <w:szCs w:val="18"/>
    </w:rPr>
  </w:style>
  <w:style w:type="character" w:customStyle="1" w:styleId="92">
    <w:name w:val="标题 1 字符"/>
    <w:basedOn w:val="32"/>
    <w:link w:val="2"/>
    <w:qFormat/>
    <w:uiPriority w:val="9"/>
    <w:rPr>
      <w:rFonts w:ascii="Times New Roman" w:hAnsi="Times New Roman" w:eastAsia="宋体" w:cs="Times New Roman"/>
      <w:b/>
      <w:bCs/>
      <w:kern w:val="44"/>
      <w:sz w:val="32"/>
      <w:szCs w:val="44"/>
    </w:rPr>
  </w:style>
  <w:style w:type="character" w:customStyle="1" w:styleId="93">
    <w:name w:val="标题 4 字符"/>
    <w:basedOn w:val="32"/>
    <w:link w:val="5"/>
    <w:semiHidden/>
    <w:qFormat/>
    <w:uiPriority w:val="9"/>
    <w:rPr>
      <w:rFonts w:asciiTheme="majorHAnsi" w:hAnsiTheme="majorHAnsi" w:eastAsiaTheme="majorEastAsia" w:cstheme="majorBidi"/>
      <w:b/>
      <w:bCs/>
      <w:kern w:val="2"/>
      <w:sz w:val="28"/>
      <w:szCs w:val="28"/>
    </w:rPr>
  </w:style>
  <w:style w:type="table" w:customStyle="1" w:styleId="94">
    <w:name w:val="网格型36"/>
    <w:basedOn w:val="30"/>
    <w:qFormat/>
    <w:uiPriority w:val="0"/>
    <w:pPr>
      <w:widowControl w:val="0"/>
      <w:jc w:val="both"/>
    </w:pPr>
    <w:rPr>
      <w:rFonts w:ascii="Calibri" w:hAnsi="Calibri"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
    <w:name w:val="网格型5"/>
    <w:basedOn w:val="30"/>
    <w:unhideWhenUsed/>
    <w:qFormat/>
    <w:uiPriority w:val="5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6">
    <w:name w:val="未处理的提及1"/>
    <w:basedOn w:val="32"/>
    <w:semiHidden/>
    <w:unhideWhenUsed/>
    <w:qFormat/>
    <w:uiPriority w:val="99"/>
    <w:rPr>
      <w:color w:val="605E5C"/>
      <w:shd w:val="clear" w:color="auto" w:fill="E1DFDD"/>
    </w:rPr>
  </w:style>
  <w:style w:type="paragraph" w:customStyle="1" w:styleId="97">
    <w:name w:val="修订1"/>
    <w:hidden/>
    <w:semiHidden/>
    <w:qFormat/>
    <w:uiPriority w:val="99"/>
    <w:rPr>
      <w:rFonts w:ascii="Times New Roman" w:hAnsi="Times New Roman" w:eastAsia="宋体" w:cs="Times New Roman"/>
      <w:kern w:val="2"/>
      <w:sz w:val="28"/>
      <w:szCs w:val="24"/>
      <w:lang w:val="en-US" w:eastAsia="zh-CN" w:bidi="ar-SA"/>
    </w:rPr>
  </w:style>
  <w:style w:type="paragraph" w:styleId="98">
    <w:name w:val="List Paragraph"/>
    <w:basedOn w:val="1"/>
    <w:qFormat/>
    <w:uiPriority w:val="34"/>
    <w:pPr>
      <w:ind w:firstLine="420"/>
    </w:pPr>
  </w:style>
  <w:style w:type="paragraph" w:customStyle="1" w:styleId="99">
    <w:name w:val="xl81"/>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pPr>
    <w:rPr>
      <w:rFonts w:ascii="宋体" w:hAnsi="宋体" w:cs="宋体"/>
      <w:kern w:val="0"/>
      <w:sz w:val="24"/>
    </w:rPr>
  </w:style>
  <w:style w:type="table" w:customStyle="1" w:styleId="100">
    <w:name w:val="网格型6"/>
    <w:basedOn w:val="30"/>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1">
    <w:name w:val="修订2"/>
    <w:hidden/>
    <w:semiHidden/>
    <w:qFormat/>
    <w:uiPriority w:val="99"/>
    <w:rPr>
      <w:rFonts w:ascii="Times New Roman" w:hAnsi="Times New Roman" w:eastAsia="宋体" w:cs="Times New Roman"/>
      <w:kern w:val="2"/>
      <w:sz w:val="28"/>
      <w:szCs w:val="24"/>
      <w:lang w:val="en-US" w:eastAsia="zh-CN" w:bidi="ar-SA"/>
    </w:rPr>
  </w:style>
  <w:style w:type="character" w:customStyle="1" w:styleId="102">
    <w:name w:val="未处理的提及2"/>
    <w:basedOn w:val="32"/>
    <w:semiHidden/>
    <w:unhideWhenUsed/>
    <w:qFormat/>
    <w:uiPriority w:val="99"/>
    <w:rPr>
      <w:color w:val="605E5C"/>
      <w:shd w:val="clear" w:color="auto" w:fill="E1DFDD"/>
    </w:rPr>
  </w:style>
  <w:style w:type="character" w:customStyle="1" w:styleId="103">
    <w:name w:val="页眉 字符"/>
    <w:basedOn w:val="32"/>
    <w:link w:val="21"/>
    <w:qFormat/>
    <w:uiPriority w:val="99"/>
    <w:rPr>
      <w:kern w:val="2"/>
      <w:sz w:val="18"/>
      <w:szCs w:val="18"/>
    </w:rPr>
  </w:style>
  <w:style w:type="paragraph" w:customStyle="1" w:styleId="104">
    <w:name w:val="font8"/>
    <w:basedOn w:val="1"/>
    <w:qFormat/>
    <w:uiPriority w:val="0"/>
    <w:pPr>
      <w:widowControl/>
      <w:snapToGrid/>
      <w:spacing w:before="100" w:beforeAutospacing="1" w:after="100" w:afterAutospacing="1" w:line="240" w:lineRule="auto"/>
      <w:ind w:firstLine="0" w:firstLineChars="0"/>
      <w:jc w:val="left"/>
    </w:pPr>
    <w:rPr>
      <w:b/>
      <w:bCs/>
      <w:color w:val="000000"/>
      <w:kern w:val="0"/>
      <w:sz w:val="24"/>
    </w:rPr>
  </w:style>
  <w:style w:type="paragraph" w:customStyle="1" w:styleId="105">
    <w:name w:val="xl90"/>
    <w:basedOn w:val="1"/>
    <w:qFormat/>
    <w:uiPriority w:val="0"/>
    <w:pPr>
      <w:widowControl/>
      <w:pBdr>
        <w:top w:val="single" w:color="auto" w:sz="4" w:space="0"/>
        <w:left w:val="single" w:color="auto" w:sz="4" w:space="0"/>
        <w:right w:val="single" w:color="auto" w:sz="4" w:space="0"/>
      </w:pBdr>
      <w:snapToGrid/>
      <w:spacing w:before="100" w:beforeAutospacing="1" w:after="100" w:afterAutospacing="1" w:line="240" w:lineRule="auto"/>
      <w:ind w:firstLine="0" w:firstLineChars="0"/>
      <w:jc w:val="center"/>
    </w:pPr>
    <w:rPr>
      <w:kern w:val="0"/>
      <w:sz w:val="24"/>
    </w:rPr>
  </w:style>
  <w:style w:type="paragraph" w:customStyle="1" w:styleId="106">
    <w:name w:val="xl91"/>
    <w:basedOn w:val="1"/>
    <w:qFormat/>
    <w:uiPriority w:val="0"/>
    <w:pPr>
      <w:widowControl/>
      <w:pBdr>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pPr>
    <w:rPr>
      <w:kern w:val="0"/>
      <w:sz w:val="24"/>
    </w:rPr>
  </w:style>
  <w:style w:type="paragraph" w:customStyle="1" w:styleId="107">
    <w:name w:val="xl92"/>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pPr>
    <w:rPr>
      <w:rFonts w:ascii="宋体" w:hAnsi="宋体" w:cs="宋体"/>
      <w:kern w:val="0"/>
      <w:sz w:val="24"/>
    </w:rPr>
  </w:style>
  <w:style w:type="paragraph" w:customStyle="1" w:styleId="108">
    <w:name w:val="xl93"/>
    <w:basedOn w:val="1"/>
    <w:qFormat/>
    <w:uiPriority w:val="0"/>
    <w:pPr>
      <w:widowControl/>
      <w:pBdr>
        <w:top w:val="single" w:color="auto" w:sz="4" w:space="0"/>
        <w:left w:val="single" w:color="auto" w:sz="4" w:space="0"/>
        <w:right w:val="single" w:color="auto" w:sz="4" w:space="0"/>
      </w:pBdr>
      <w:snapToGrid/>
      <w:spacing w:before="100" w:beforeAutospacing="1" w:after="100" w:afterAutospacing="1" w:line="240" w:lineRule="auto"/>
      <w:ind w:firstLine="0" w:firstLineChars="0"/>
      <w:jc w:val="center"/>
    </w:pPr>
    <w:rPr>
      <w:rFonts w:ascii="宋体" w:hAnsi="宋体" w:cs="宋体"/>
      <w:kern w:val="0"/>
      <w:sz w:val="24"/>
    </w:rPr>
  </w:style>
  <w:style w:type="paragraph" w:customStyle="1" w:styleId="109">
    <w:name w:val="xl94"/>
    <w:basedOn w:val="1"/>
    <w:qFormat/>
    <w:uiPriority w:val="0"/>
    <w:pPr>
      <w:widowControl/>
      <w:pBdr>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pPr>
    <w:rPr>
      <w:rFonts w:ascii="宋体" w:hAnsi="宋体" w:cs="宋体"/>
      <w:kern w:val="0"/>
      <w:sz w:val="24"/>
    </w:rPr>
  </w:style>
  <w:style w:type="paragraph" w:customStyle="1" w:styleId="110">
    <w:name w:val="xl95"/>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pPr>
    <w:rPr>
      <w:b/>
      <w:bCs/>
      <w:kern w:val="0"/>
      <w:sz w:val="24"/>
    </w:rPr>
  </w:style>
  <w:style w:type="paragraph" w:customStyle="1" w:styleId="111">
    <w:name w:val="xl96"/>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pPr>
    <w:rPr>
      <w:rFonts w:ascii="宋体" w:hAnsi="宋体" w:cs="宋体"/>
      <w:b/>
      <w:bCs/>
      <w:kern w:val="0"/>
      <w:sz w:val="24"/>
    </w:rPr>
  </w:style>
  <w:style w:type="paragraph" w:customStyle="1" w:styleId="112">
    <w:name w:val="xl97"/>
    <w:basedOn w:val="1"/>
    <w:qFormat/>
    <w:uiPriority w:val="0"/>
    <w:pPr>
      <w:widowControl/>
      <w:pBdr>
        <w:top w:val="single" w:color="auto" w:sz="4" w:space="0"/>
        <w:left w:val="single" w:color="auto" w:sz="4" w:space="0"/>
      </w:pBdr>
      <w:snapToGrid/>
      <w:spacing w:before="100" w:beforeAutospacing="1" w:after="100" w:afterAutospacing="1" w:line="240" w:lineRule="auto"/>
      <w:ind w:firstLine="0" w:firstLineChars="0"/>
      <w:jc w:val="center"/>
    </w:pPr>
    <w:rPr>
      <w:kern w:val="0"/>
      <w:sz w:val="24"/>
    </w:rPr>
  </w:style>
  <w:style w:type="paragraph" w:customStyle="1" w:styleId="113">
    <w:name w:val="xl98"/>
    <w:basedOn w:val="1"/>
    <w:qFormat/>
    <w:uiPriority w:val="0"/>
    <w:pPr>
      <w:widowControl/>
      <w:pBdr>
        <w:left w:val="single" w:color="auto" w:sz="4" w:space="0"/>
        <w:bottom w:val="single" w:color="auto" w:sz="4" w:space="0"/>
      </w:pBdr>
      <w:snapToGrid/>
      <w:spacing w:before="100" w:beforeAutospacing="1" w:after="100" w:afterAutospacing="1" w:line="240" w:lineRule="auto"/>
      <w:ind w:firstLine="0" w:firstLineChars="0"/>
      <w:jc w:val="center"/>
    </w:pPr>
    <w:rPr>
      <w:kern w:val="0"/>
      <w:sz w:val="24"/>
    </w:rPr>
  </w:style>
  <w:style w:type="paragraph" w:customStyle="1" w:styleId="114">
    <w:name w:val="xl99"/>
    <w:basedOn w:val="1"/>
    <w:qFormat/>
    <w:uiPriority w:val="0"/>
    <w:pPr>
      <w:widowControl/>
      <w:pBdr>
        <w:top w:val="single" w:color="auto" w:sz="4" w:space="0"/>
        <w:left w:val="single" w:color="auto" w:sz="4" w:space="0"/>
        <w:bottom w:val="single" w:color="auto" w:sz="4" w:space="0"/>
      </w:pBdr>
      <w:shd w:val="clear" w:color="000000" w:fill="B4C6E7"/>
      <w:snapToGrid/>
      <w:spacing w:before="100" w:beforeAutospacing="1" w:after="100" w:afterAutospacing="1" w:line="240" w:lineRule="auto"/>
      <w:ind w:firstLine="0" w:firstLineChars="0"/>
      <w:jc w:val="center"/>
    </w:pPr>
    <w:rPr>
      <w:kern w:val="0"/>
      <w:sz w:val="24"/>
    </w:rPr>
  </w:style>
  <w:style w:type="paragraph" w:customStyle="1" w:styleId="115">
    <w:name w:val="xl100"/>
    <w:basedOn w:val="1"/>
    <w:qFormat/>
    <w:uiPriority w:val="0"/>
    <w:pPr>
      <w:widowControl/>
      <w:pBdr>
        <w:top w:val="single" w:color="auto" w:sz="4" w:space="0"/>
        <w:bottom w:val="single" w:color="auto" w:sz="4" w:space="0"/>
        <w:right w:val="single" w:color="auto" w:sz="4" w:space="0"/>
      </w:pBdr>
      <w:shd w:val="clear" w:color="000000" w:fill="B4C6E7"/>
      <w:snapToGrid/>
      <w:spacing w:before="100" w:beforeAutospacing="1" w:after="100" w:afterAutospacing="1" w:line="240" w:lineRule="auto"/>
      <w:ind w:firstLine="0" w:firstLineChars="0"/>
      <w:jc w:val="center"/>
    </w:pPr>
    <w:rPr>
      <w:kern w:val="0"/>
      <w:sz w:val="24"/>
    </w:rPr>
  </w:style>
  <w:style w:type="paragraph" w:customStyle="1" w:styleId="116">
    <w:name w:val="font9"/>
    <w:basedOn w:val="1"/>
    <w:qFormat/>
    <w:uiPriority w:val="0"/>
    <w:pPr>
      <w:widowControl/>
      <w:snapToGrid/>
      <w:spacing w:before="100" w:beforeAutospacing="1" w:after="100" w:afterAutospacing="1" w:line="240" w:lineRule="auto"/>
      <w:ind w:firstLine="0" w:firstLineChars="0"/>
      <w:jc w:val="left"/>
    </w:pPr>
    <w:rPr>
      <w:rFonts w:ascii="宋体" w:hAnsi="宋体" w:cs="宋体"/>
      <w:kern w:val="0"/>
      <w:sz w:val="18"/>
      <w:szCs w:val="18"/>
    </w:rPr>
  </w:style>
  <w:style w:type="paragraph" w:customStyle="1" w:styleId="117">
    <w:name w:val="xl63"/>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left"/>
    </w:pPr>
    <w:rPr>
      <w:rFonts w:ascii="宋体" w:hAnsi="宋体" w:cs="宋体"/>
      <w:kern w:val="0"/>
      <w:sz w:val="24"/>
    </w:rPr>
  </w:style>
  <w:style w:type="paragraph" w:customStyle="1" w:styleId="118">
    <w:name w:val="xl64"/>
    <w:basedOn w:val="1"/>
    <w:qFormat/>
    <w:uiPriority w:val="0"/>
    <w:pPr>
      <w:widowControl/>
      <w:pBdr>
        <w:top w:val="single" w:color="auto" w:sz="4" w:space="0"/>
        <w:left w:val="single" w:color="auto" w:sz="4" w:space="0"/>
        <w:bottom w:val="single" w:color="auto" w:sz="4" w:space="0"/>
        <w:right w:val="single" w:color="auto" w:sz="4" w:space="0"/>
      </w:pBdr>
      <w:snapToGrid/>
      <w:spacing w:before="100" w:beforeAutospacing="1" w:after="100" w:afterAutospacing="1" w:line="240" w:lineRule="auto"/>
      <w:ind w:firstLine="0" w:firstLineChars="0"/>
      <w:jc w:val="center"/>
    </w:pPr>
    <w:rPr>
      <w:b/>
      <w:bCs/>
      <w:kern w:val="0"/>
      <w:sz w:val="24"/>
    </w:rPr>
  </w:style>
  <w:style w:type="paragraph" w:customStyle="1" w:styleId="119">
    <w:name w:val="xl101"/>
    <w:basedOn w:val="1"/>
    <w:qFormat/>
    <w:uiPriority w:val="0"/>
    <w:pPr>
      <w:widowControl/>
      <w:pBdr>
        <w:left w:val="single" w:color="auto" w:sz="4" w:space="0"/>
        <w:bottom w:val="single" w:color="auto" w:sz="4" w:space="0"/>
      </w:pBdr>
      <w:snapToGrid/>
      <w:spacing w:before="100" w:beforeAutospacing="1" w:after="100" w:afterAutospacing="1" w:line="240" w:lineRule="auto"/>
      <w:ind w:firstLine="0" w:firstLineChars="0"/>
      <w:jc w:val="center"/>
    </w:pPr>
    <w:rPr>
      <w:kern w:val="0"/>
      <w:sz w:val="24"/>
    </w:rPr>
  </w:style>
  <w:style w:type="character" w:customStyle="1" w:styleId="120">
    <w:name w:val="未处理的提及3"/>
    <w:basedOn w:val="32"/>
    <w:semiHidden/>
    <w:unhideWhenUsed/>
    <w:qFormat/>
    <w:uiPriority w:val="99"/>
    <w:rPr>
      <w:color w:val="605E5C"/>
      <w:shd w:val="clear" w:color="auto" w:fill="E1DFDD"/>
    </w:rPr>
  </w:style>
  <w:style w:type="paragraph" w:customStyle="1" w:styleId="121">
    <w:name w:val="Revision"/>
    <w:hidden/>
    <w:semiHidden/>
    <w:qFormat/>
    <w:uiPriority w:val="99"/>
    <w:rPr>
      <w:rFonts w:ascii="Times New Roman" w:hAnsi="Times New Roman" w:eastAsia="宋体" w:cs="Times New Roman"/>
      <w:kern w:val="2"/>
      <w:sz w:val="28"/>
      <w:szCs w:val="24"/>
      <w:lang w:val="en-US" w:eastAsia="zh-CN" w:bidi="ar-SA"/>
    </w:rPr>
  </w:style>
  <w:style w:type="character" w:customStyle="1" w:styleId="122">
    <w:name w:val="Unresolved Mention"/>
    <w:basedOn w:val="32"/>
    <w:semiHidden/>
    <w:unhideWhenUsed/>
    <w:qFormat/>
    <w:uiPriority w:val="99"/>
    <w:rPr>
      <w:color w:val="605E5C"/>
      <w:shd w:val="clear" w:color="auto" w:fill="E1DFDD"/>
    </w:rPr>
  </w:style>
  <w:style w:type="character" w:customStyle="1" w:styleId="123">
    <w:name w:val="font11"/>
    <w:basedOn w:val="32"/>
    <w:qFormat/>
    <w:uiPriority w:val="0"/>
    <w:rPr>
      <w:rFonts w:hint="eastAsia" w:ascii="宋体" w:hAnsi="宋体" w:eastAsia="宋体"/>
      <w:color w:val="000000"/>
      <w:sz w:val="22"/>
      <w:szCs w:val="22"/>
      <w:u w:val="none"/>
    </w:rPr>
  </w:style>
  <w:style w:type="character" w:customStyle="1" w:styleId="124">
    <w:name w:val="font41"/>
    <w:basedOn w:val="32"/>
    <w:qFormat/>
    <w:uiPriority w:val="0"/>
    <w:rPr>
      <w:rFonts w:hint="eastAsia" w:ascii="宋体" w:hAnsi="宋体" w:eastAsia="宋体"/>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6" Type="http://schemas.openxmlformats.org/officeDocument/2006/relationships/fontTable" Target="fontTable.xml"/><Relationship Id="rId45" Type="http://schemas.openxmlformats.org/officeDocument/2006/relationships/customXml" Target="../customXml/item2.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29.jpeg"/><Relationship Id="rId41" Type="http://schemas.openxmlformats.org/officeDocument/2006/relationships/image" Target="media/image28.jpeg"/><Relationship Id="rId40" Type="http://schemas.openxmlformats.org/officeDocument/2006/relationships/image" Target="media/image27.jpeg"/><Relationship Id="rId4" Type="http://schemas.openxmlformats.org/officeDocument/2006/relationships/endnotes" Target="endnotes.xml"/><Relationship Id="rId39" Type="http://schemas.openxmlformats.org/officeDocument/2006/relationships/image" Target="media/image26.jpeg"/><Relationship Id="rId38" Type="http://schemas.openxmlformats.org/officeDocument/2006/relationships/image" Target="media/image25.jpeg"/><Relationship Id="rId37" Type="http://schemas.openxmlformats.org/officeDocument/2006/relationships/image" Target="media/image24.jpeg"/><Relationship Id="rId36" Type="http://schemas.openxmlformats.org/officeDocument/2006/relationships/image" Target="media/image23.jpeg"/><Relationship Id="rId35" Type="http://schemas.openxmlformats.org/officeDocument/2006/relationships/image" Target="media/image22.jpeg"/><Relationship Id="rId34" Type="http://schemas.openxmlformats.org/officeDocument/2006/relationships/image" Target="media/image21.jpeg"/><Relationship Id="rId33" Type="http://schemas.openxmlformats.org/officeDocument/2006/relationships/image" Target="media/image20.jpeg"/><Relationship Id="rId32" Type="http://schemas.openxmlformats.org/officeDocument/2006/relationships/image" Target="media/image19.jpeg"/><Relationship Id="rId31" Type="http://schemas.openxmlformats.org/officeDocument/2006/relationships/image" Target="media/image18.jpeg"/><Relationship Id="rId30" Type="http://schemas.openxmlformats.org/officeDocument/2006/relationships/image" Target="media/image17.jpeg"/><Relationship Id="rId3" Type="http://schemas.openxmlformats.org/officeDocument/2006/relationships/footnotes" Target="footnotes.xml"/><Relationship Id="rId29" Type="http://schemas.openxmlformats.org/officeDocument/2006/relationships/image" Target="media/image16.jpeg"/><Relationship Id="rId28" Type="http://schemas.openxmlformats.org/officeDocument/2006/relationships/image" Target="media/image15.jpeg"/><Relationship Id="rId27" Type="http://schemas.openxmlformats.org/officeDocument/2006/relationships/image" Target="media/image14.jpeg"/><Relationship Id="rId26" Type="http://schemas.openxmlformats.org/officeDocument/2006/relationships/image" Target="media/image13.jpeg"/><Relationship Id="rId25" Type="http://schemas.openxmlformats.org/officeDocument/2006/relationships/image" Target="media/image12.jpeg"/><Relationship Id="rId24" Type="http://schemas.openxmlformats.org/officeDocument/2006/relationships/image" Target="media/image11.jpeg"/><Relationship Id="rId23" Type="http://schemas.openxmlformats.org/officeDocument/2006/relationships/image" Target="media/image10.jpeg"/><Relationship Id="rId22" Type="http://schemas.openxmlformats.org/officeDocument/2006/relationships/image" Target="media/image9.jpeg"/><Relationship Id="rId21" Type="http://schemas.openxmlformats.org/officeDocument/2006/relationships/image" Target="media/image8.jpeg"/><Relationship Id="rId20" Type="http://schemas.openxmlformats.org/officeDocument/2006/relationships/image" Target="media/image7.jpeg"/><Relationship Id="rId2" Type="http://schemas.openxmlformats.org/officeDocument/2006/relationships/settings" Target="settings.xml"/><Relationship Id="rId19" Type="http://schemas.openxmlformats.org/officeDocument/2006/relationships/image" Target="media/image6.jpeg"/><Relationship Id="rId18" Type="http://schemas.openxmlformats.org/officeDocument/2006/relationships/image" Target="media/image5.jpeg"/><Relationship Id="rId17" Type="http://schemas.openxmlformats.org/officeDocument/2006/relationships/image" Target="media/image4.jpeg"/><Relationship Id="rId16" Type="http://schemas.openxmlformats.org/officeDocument/2006/relationships/image" Target="media/image3.jpeg"/><Relationship Id="rId15" Type="http://schemas.openxmlformats.org/officeDocument/2006/relationships/image" Target="media/image2.jpeg"/><Relationship Id="rId14" Type="http://schemas.openxmlformats.org/officeDocument/2006/relationships/image" Target="media/image1.jpeg"/><Relationship Id="rId13" Type="http://schemas.openxmlformats.org/officeDocument/2006/relationships/theme" Target="theme/theme1.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w="19050">
          <a:solidFill>
            <a:srgbClr val="EE0000"/>
          </a:solidFill>
          <a:prstDash val="dash"/>
        </a:ln>
      </a:spPr>
      <a:bodyPr/>
      <a:lstStyle/>
      <a:style>
        <a:lnRef idx="1">
          <a:schemeClr val="accent1"/>
        </a:lnRef>
        <a:fillRef idx="0">
          <a:schemeClr val="accent1"/>
        </a:fillRef>
        <a:effectRef idx="0">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SelectedStyle="\APASixthEditionOfficeOnline.xsl" Version="6"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776258C-C161-4CEE-83AF-A14C61BCE480}">
  <ds:schemaRefs/>
</ds:datastoreItem>
</file>

<file path=docProps/app.xml><?xml version="1.0" encoding="utf-8"?>
<Properties xmlns="http://schemas.openxmlformats.org/officeDocument/2006/extended-properties" xmlns:vt="http://schemas.openxmlformats.org/officeDocument/2006/docPropsVTypes">
  <Template>Normal</Template>
  <Pages>126</Pages>
  <Words>32058</Words>
  <Characters>40395</Characters>
  <Lines>2693</Lines>
  <Paragraphs>2898</Paragraphs>
  <TotalTime>2</TotalTime>
  <ScaleCrop>false</ScaleCrop>
  <LinksUpToDate>false</LinksUpToDate>
  <CharactersWithSpaces>69555</CharactersWithSpaces>
  <Application>WPS Office_11.8.2.12313_F1E327BC-269C-435d-A152-05C5408002CA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2026-01-21T18:21:00Z</dcterms:created>
  <dcterms:modified xsi:type="dcterms:W3CDTF">2026-05-07T12:14:11Z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2052-11.8.2.12313</vt:lpwstr>
  </property>
  <property fmtid="{D5CDD505-2E9C-101B-9397-08002B2CF9AE}" pid="3" name="ICV">
    <vt:lpwstr>5CCF42DD3D4CA7778711FC695E4F262F</vt:lpwstr>
  </property>
</Properties>
</file>