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0" w:firstLineChars="0"/>
        <w:jc w:val="left"/>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附件</w:t>
      </w:r>
      <w:r>
        <w:rPr>
          <w:rFonts w:hint="eastAsia" w:ascii="仿宋_GB2312" w:hAnsi="仿宋_GB2312" w:eastAsia="仿宋_GB2312" w:cs="仿宋_GB2312"/>
          <w:color w:val="000000"/>
          <w:sz w:val="32"/>
          <w:szCs w:val="32"/>
          <w:lang w:val="en-US" w:eastAsia="zh-CN"/>
        </w:rPr>
        <w:t>2</w:t>
      </w:r>
    </w:p>
    <w:p>
      <w:pPr>
        <w:spacing w:line="560" w:lineRule="exact"/>
        <w:ind w:firstLine="0" w:firstLineChars="0"/>
        <w:jc w:val="left"/>
        <w:rPr>
          <w:rFonts w:hint="eastAsia" w:ascii="仿宋_GB2312" w:hAnsi="仿宋_GB2312" w:eastAsia="仿宋_GB2312" w:cs="仿宋_GB2312"/>
          <w:color w:val="000000"/>
          <w:sz w:val="32"/>
          <w:szCs w:val="32"/>
          <w:lang w:val="en-US" w:eastAsia="zh-CN"/>
        </w:rPr>
      </w:pPr>
    </w:p>
    <w:p>
      <w:pPr>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《深圳市水务建设市场主体不良行为认定及应用管理办法》于 2026年4月1日到期失效。《考核细则》中不良行为的相关要求（删除线部分）同步废止，调整后的细则如下：</w:t>
      </w:r>
    </w:p>
    <w:p>
      <w:pPr>
        <w:spacing w:line="700" w:lineRule="exact"/>
        <w:jc w:val="center"/>
        <w:rPr>
          <w:rFonts w:hint="eastAsia" w:ascii="方正小标宋_GBK" w:hAnsi="方正小标宋_GBK" w:eastAsia="方正小标宋_GBK" w:cs="方正小标宋_GBK"/>
          <w:color w:val="000000"/>
          <w:sz w:val="44"/>
          <w:szCs w:val="44"/>
        </w:rPr>
      </w:pPr>
    </w:p>
    <w:p>
      <w:pPr>
        <w:spacing w:line="700" w:lineRule="exact"/>
        <w:jc w:val="center"/>
        <w:rPr>
          <w:rFonts w:hint="eastAsia" w:ascii="方正小标宋_GBK" w:hAnsi="方正小标宋_GBK" w:eastAsia="方正小标宋_GBK" w:cs="方正小标宋_GBK"/>
          <w:color w:val="000000"/>
          <w:sz w:val="44"/>
          <w:szCs w:val="44"/>
        </w:rPr>
      </w:pPr>
    </w:p>
    <w:p>
      <w:pPr>
        <w:spacing w:line="700" w:lineRule="exact"/>
        <w:jc w:val="center"/>
        <w:rPr>
          <w:rFonts w:ascii="华光简小标宋" w:hAnsi="华光简小标宋" w:eastAsia="方正小标宋_GBK"/>
          <w:color w:val="000000"/>
          <w:sz w:val="44"/>
          <w:szCs w:val="44"/>
        </w:rPr>
      </w:pPr>
      <w:r>
        <w:rPr>
          <w:rFonts w:hint="eastAsia" w:ascii="方正小标宋_GBK" w:hAnsi="方正小标宋_GBK" w:eastAsia="方正小标宋_GBK" w:cs="方正小标宋_GBK"/>
          <w:color w:val="000000"/>
          <w:sz w:val="44"/>
          <w:szCs w:val="44"/>
        </w:rPr>
        <w:t>深圳市观澜河流域管理中</w:t>
      </w:r>
      <w:bookmarkStart w:id="0" w:name="_GoBack"/>
      <w:bookmarkEnd w:id="0"/>
      <w:r>
        <w:rPr>
          <w:rFonts w:hint="eastAsia" w:ascii="方正小标宋_GBK" w:hAnsi="方正小标宋_GBK" w:eastAsia="方正小标宋_GBK" w:cs="方正小标宋_GBK"/>
          <w:color w:val="000000"/>
          <w:sz w:val="44"/>
          <w:szCs w:val="44"/>
        </w:rPr>
        <w:t>心调蓄池运行（营）维护考核实施细则（202</w:t>
      </w:r>
      <w:r>
        <w:rPr>
          <w:rFonts w:ascii="方正小标宋_GBK" w:hAnsi="方正小标宋_GBK" w:eastAsia="方正小标宋_GBK" w:cs="方正小标宋_GBK"/>
          <w:color w:val="000000"/>
          <w:sz w:val="44"/>
          <w:szCs w:val="44"/>
        </w:rPr>
        <w:t>2</w:t>
      </w:r>
      <w:r>
        <w:rPr>
          <w:rFonts w:hint="eastAsia" w:ascii="方正小标宋_GBK" w:hAnsi="方正小标宋_GBK" w:eastAsia="方正小标宋_GBK" w:cs="方正小标宋_GBK"/>
          <w:color w:val="000000"/>
          <w:sz w:val="44"/>
          <w:szCs w:val="44"/>
        </w:rPr>
        <w:t>年修订）（送审稿）</w:t>
      </w:r>
    </w:p>
    <w:p>
      <w:pPr>
        <w:spacing w:line="560" w:lineRule="exact"/>
        <w:rPr>
          <w:rFonts w:ascii="仿宋_GB2312" w:hAnsi="仿宋_GB2312" w:eastAsia="仿宋_GB2312" w:cs="仿宋_GB2312"/>
          <w:color w:val="000000"/>
          <w:sz w:val="32"/>
          <w:szCs w:val="32"/>
        </w:rPr>
      </w:pPr>
    </w:p>
    <w:p>
      <w:pPr>
        <w:spacing w:line="560" w:lineRule="exact"/>
        <w:outlineLvl w:val="0"/>
        <w:rPr>
          <w:rFonts w:ascii="黑体" w:hAnsi="黑体" w:eastAsia="黑体" w:cs="黑体"/>
          <w:color w:val="000000"/>
          <w:sz w:val="32"/>
          <w:szCs w:val="32"/>
        </w:rPr>
      </w:pPr>
      <w:r>
        <w:rPr>
          <w:rFonts w:hint="eastAsia" w:ascii="黑体" w:hAnsi="黑体" w:eastAsia="黑体" w:cs="黑体"/>
          <w:color w:val="000000"/>
          <w:sz w:val="32"/>
          <w:szCs w:val="32"/>
        </w:rPr>
        <w:t>1概述</w:t>
      </w:r>
    </w:p>
    <w:p>
      <w:pPr>
        <w:spacing w:line="560" w:lineRule="exact"/>
        <w:outlineLvl w:val="1"/>
        <w:rPr>
          <w:rFonts w:ascii="楷体" w:hAnsi="楷体" w:eastAsia="楷体" w:cs="楷体"/>
          <w:b/>
          <w:bCs/>
          <w:color w:val="000000"/>
          <w:sz w:val="32"/>
          <w:szCs w:val="32"/>
        </w:rPr>
      </w:pPr>
      <w:r>
        <w:rPr>
          <w:rFonts w:hint="eastAsia" w:ascii="楷体" w:hAnsi="楷体" w:eastAsia="楷体" w:cs="楷体"/>
          <w:b/>
          <w:bCs/>
          <w:color w:val="000000"/>
          <w:sz w:val="32"/>
          <w:szCs w:val="32"/>
        </w:rPr>
        <w:t>1.1考核目的</w:t>
      </w:r>
    </w:p>
    <w:p>
      <w:pPr>
        <w:spacing w:line="560" w:lineRule="exact"/>
        <w:ind w:firstLine="640" w:firstLineChars="200"/>
        <w:rPr>
          <w:rFonts w:ascii="华文仿宋" w:hAnsi="华文仿宋" w:eastAsia="华文仿宋"/>
          <w:color w:val="000000"/>
          <w:sz w:val="32"/>
          <w:szCs w:val="32"/>
        </w:rPr>
      </w:pPr>
      <w:r>
        <w:rPr>
          <w:rFonts w:hint="eastAsia" w:ascii="仿宋_GB2312" w:hAnsi="仿宋_GB2312" w:eastAsia="仿宋_GB2312" w:cs="仿宋_GB2312"/>
          <w:color w:val="000000"/>
          <w:sz w:val="32"/>
          <w:szCs w:val="32"/>
        </w:rPr>
        <w:t>为加强深圳市观澜河流域管理中心（以下简称“中心”）调蓄池的运行维护管理，中心对调蓄池运行维护成效实行严格合同考核，推行按效付费，严管重罚，以确保运行维护质量，充分发挥工程效益，保障河道水质，营造良好的生态环境。</w:t>
      </w:r>
    </w:p>
    <w:p>
      <w:pPr>
        <w:spacing w:line="560" w:lineRule="exact"/>
        <w:outlineLvl w:val="1"/>
        <w:rPr>
          <w:rFonts w:ascii="楷体" w:hAnsi="楷体" w:eastAsia="楷体" w:cs="楷体"/>
          <w:b/>
          <w:bCs/>
          <w:color w:val="000000"/>
          <w:sz w:val="32"/>
          <w:szCs w:val="32"/>
        </w:rPr>
      </w:pPr>
      <w:r>
        <w:rPr>
          <w:rFonts w:hint="eastAsia" w:ascii="楷体" w:hAnsi="楷体" w:eastAsia="楷体" w:cs="楷体"/>
          <w:b/>
          <w:bCs/>
          <w:color w:val="000000"/>
          <w:sz w:val="32"/>
          <w:szCs w:val="32"/>
        </w:rPr>
        <w:t>1.2 考核范围</w:t>
      </w:r>
    </w:p>
    <w:p>
      <w:pPr>
        <w:spacing w:line="560" w:lineRule="exact"/>
        <w:ind w:firstLine="640" w:firstLineChars="200"/>
        <w:rPr>
          <w:rFonts w:ascii="华文仿宋" w:hAnsi="华文仿宋" w:eastAsia="华文仿宋"/>
          <w:color w:val="000000"/>
          <w:sz w:val="32"/>
          <w:szCs w:val="32"/>
        </w:rPr>
      </w:pPr>
      <w:r>
        <w:rPr>
          <w:rFonts w:hint="eastAsia" w:ascii="仿宋_GB2312" w:hAnsi="仿宋_GB2312" w:eastAsia="仿宋_GB2312" w:cs="仿宋_GB2312"/>
          <w:color w:val="000000"/>
          <w:sz w:val="32"/>
          <w:szCs w:val="32"/>
        </w:rPr>
        <w:t>观澜河口调蓄池、观澜调蓄池及龙华河调蓄池运行（营）维护情况。</w:t>
      </w:r>
    </w:p>
    <w:p>
      <w:pPr>
        <w:spacing w:line="560" w:lineRule="exact"/>
        <w:outlineLvl w:val="1"/>
        <w:rPr>
          <w:rFonts w:ascii="楷体" w:hAnsi="楷体" w:eastAsia="楷体" w:cs="楷体"/>
          <w:b/>
          <w:bCs/>
          <w:color w:val="000000"/>
          <w:sz w:val="32"/>
          <w:szCs w:val="32"/>
        </w:rPr>
      </w:pPr>
      <w:r>
        <w:rPr>
          <w:rFonts w:hint="eastAsia" w:ascii="楷体" w:hAnsi="楷体" w:eastAsia="楷体" w:cs="楷体"/>
          <w:b/>
          <w:bCs/>
          <w:color w:val="000000"/>
          <w:sz w:val="32"/>
          <w:szCs w:val="32"/>
        </w:rPr>
        <w:t>1.3考核对象</w:t>
      </w:r>
    </w:p>
    <w:p>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sz w:val="32"/>
          <w:szCs w:val="32"/>
        </w:rPr>
        <w:t>观澜河口调蓄池、观澜调蓄池及龙华河调蓄池的运行（营）维护单位。</w:t>
      </w:r>
    </w:p>
    <w:p>
      <w:pPr>
        <w:spacing w:line="560" w:lineRule="exact"/>
        <w:outlineLvl w:val="0"/>
        <w:rPr>
          <w:rFonts w:ascii="黑体" w:hAnsi="黑体" w:eastAsia="黑体" w:cs="黑体"/>
          <w:color w:val="000000"/>
          <w:sz w:val="32"/>
          <w:szCs w:val="32"/>
        </w:rPr>
      </w:pPr>
      <w:r>
        <w:rPr>
          <w:rFonts w:hint="eastAsia" w:ascii="黑体" w:hAnsi="黑体" w:eastAsia="黑体" w:cs="黑体"/>
          <w:color w:val="000000"/>
          <w:sz w:val="32"/>
          <w:szCs w:val="32"/>
        </w:rPr>
        <w:t>2运行（营）维护单位考核</w:t>
      </w:r>
    </w:p>
    <w:p>
      <w:pPr>
        <w:spacing w:line="560" w:lineRule="exact"/>
        <w:outlineLvl w:val="1"/>
        <w:rPr>
          <w:rFonts w:ascii="楷体" w:hAnsi="楷体" w:eastAsia="楷体" w:cs="楷体"/>
          <w:b/>
          <w:bCs/>
          <w:color w:val="000000"/>
          <w:sz w:val="32"/>
          <w:szCs w:val="32"/>
        </w:rPr>
      </w:pPr>
      <w:r>
        <w:rPr>
          <w:rFonts w:hint="eastAsia" w:ascii="楷体" w:hAnsi="楷体" w:eastAsia="楷体" w:cs="楷体"/>
          <w:b/>
          <w:bCs/>
          <w:color w:val="000000"/>
          <w:sz w:val="32"/>
          <w:szCs w:val="32"/>
        </w:rPr>
        <w:t>2.1 考核组成</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考核采用检查评分的方式，考核工作由月检查评分、月工作失误评分及月工作奖励评分组成，按月汇总。考核工作由中心总负责。</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月检查评分由中心分管副主任主持，</w:t>
      </w:r>
      <w:r>
        <w:rPr>
          <w:rFonts w:hint="eastAsia" w:ascii="仿宋_GB2312" w:hAnsi="仿宋_GB2312" w:eastAsia="仿宋_GB2312" w:cs="仿宋_GB2312"/>
          <w:color w:val="000000"/>
          <w:sz w:val="32"/>
          <w:szCs w:val="32"/>
          <w:lang w:eastAsia="zh-CN"/>
        </w:rPr>
        <w:t>负责</w:t>
      </w:r>
      <w:r>
        <w:rPr>
          <w:rFonts w:hint="eastAsia" w:ascii="仿宋_GB2312" w:hAnsi="仿宋_GB2312" w:eastAsia="仿宋_GB2312" w:cs="仿宋_GB2312"/>
          <w:color w:val="000000"/>
          <w:sz w:val="32"/>
          <w:szCs w:val="32"/>
        </w:rPr>
        <w:t>运行（营）维护</w:t>
      </w:r>
      <w:r>
        <w:rPr>
          <w:rFonts w:hint="eastAsia" w:ascii="仿宋_GB2312" w:hAnsi="仿宋_GB2312" w:eastAsia="仿宋_GB2312" w:cs="仿宋_GB2312"/>
          <w:color w:val="000000"/>
          <w:sz w:val="32"/>
          <w:szCs w:val="32"/>
          <w:lang w:eastAsia="zh-CN"/>
        </w:rPr>
        <w:t>管理业务部门（以下简称业务部门）</w:t>
      </w:r>
      <w:r>
        <w:rPr>
          <w:rFonts w:hint="eastAsia" w:ascii="仿宋_GB2312" w:hAnsi="仿宋_GB2312" w:eastAsia="仿宋_GB2312" w:cs="仿宋_GB2312"/>
          <w:color w:val="000000"/>
          <w:sz w:val="32"/>
          <w:szCs w:val="32"/>
        </w:rPr>
        <w:t>组织实施，每月对调蓄池日常运行维护、机电设备运维、安全生产、信息化管理和人员情况管理等情况进行检查评分。根据检查结果填写《月检查评分表》（详见附表4.1，4.2），经中心</w:t>
      </w:r>
      <w:r>
        <w:rPr>
          <w:rFonts w:hint="eastAsia" w:ascii="仿宋_GB2312" w:hAnsi="仿宋_GB2312" w:eastAsia="仿宋_GB2312" w:cs="仿宋_GB2312"/>
          <w:color w:val="000000"/>
          <w:sz w:val="32"/>
          <w:szCs w:val="32"/>
          <w:lang w:eastAsia="zh-CN"/>
        </w:rPr>
        <w:t>业务部门</w:t>
      </w:r>
      <w:r>
        <w:rPr>
          <w:rFonts w:hint="eastAsia" w:ascii="仿宋_GB2312" w:hAnsi="仿宋_GB2312" w:eastAsia="仿宋_GB2312" w:cs="仿宋_GB2312"/>
          <w:color w:val="000000"/>
          <w:sz w:val="32"/>
          <w:szCs w:val="32"/>
        </w:rPr>
        <w:t>现场负责人、部门负责人审核，中心分管副主任复核后，呈报主任，书面通报运行（营）维护单位。</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月工作失误评分是每月对运行（营）维护工作被媒体曝光、被上级领导批评（包括市、区河长）、被市民投诉，排放水质不达标（仅适用于观澜河口调蓄池）等负面情况进行核查评分（详见附表4.3）。</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月工作奖励评分是每月对调蓄池运行（营）维护工作被正面宣传报道、另行配置创新型设备设施等情况进行核查评分（详见附表4.4）。</w:t>
      </w:r>
    </w:p>
    <w:p>
      <w:pPr>
        <w:spacing w:line="560" w:lineRule="exact"/>
        <w:outlineLvl w:val="1"/>
        <w:rPr>
          <w:rFonts w:ascii="楷体" w:hAnsi="楷体" w:eastAsia="楷体" w:cs="楷体"/>
          <w:b/>
          <w:bCs/>
          <w:color w:val="000000"/>
          <w:sz w:val="32"/>
          <w:szCs w:val="32"/>
        </w:rPr>
      </w:pPr>
      <w:r>
        <w:rPr>
          <w:rFonts w:hint="eastAsia" w:ascii="楷体" w:hAnsi="楷体" w:eastAsia="楷体" w:cs="楷体"/>
          <w:b/>
          <w:bCs/>
          <w:color w:val="000000"/>
          <w:sz w:val="32"/>
          <w:szCs w:val="32"/>
        </w:rPr>
        <w:t>2.2 分数构成</w:t>
      </w:r>
    </w:p>
    <w:p>
      <w:pPr>
        <w:spacing w:line="560" w:lineRule="exact"/>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月考核得分=月检查得分-月工作失误得分+月工作奖励得分</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月考核得分超100分的，按100分计。</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月检查得分-月工作失误得分＜80分，则：月考核得分=月检查得分-月工作失误得分。</w:t>
      </w:r>
    </w:p>
    <w:p>
      <w:pPr>
        <w:spacing w:line="560" w:lineRule="exact"/>
        <w:jc w:val="left"/>
        <w:outlineLvl w:val="1"/>
        <w:rPr>
          <w:rFonts w:ascii="楷体" w:hAnsi="楷体" w:eastAsia="楷体" w:cs="楷体"/>
          <w:b/>
          <w:bCs/>
          <w:color w:val="000000"/>
          <w:sz w:val="32"/>
          <w:szCs w:val="32"/>
        </w:rPr>
      </w:pPr>
      <w:r>
        <w:rPr>
          <w:rFonts w:hint="eastAsia" w:ascii="楷体" w:hAnsi="楷体" w:eastAsia="楷体" w:cs="楷体"/>
          <w:b/>
          <w:bCs/>
          <w:color w:val="000000"/>
          <w:sz w:val="32"/>
          <w:szCs w:val="32"/>
        </w:rPr>
        <w:t>2.3月考核认定及考核扣款</w:t>
      </w:r>
    </w:p>
    <w:p>
      <w:pPr>
        <w:spacing w:line="560" w:lineRule="exact"/>
        <w:ind w:firstLine="42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考核结果作为运行（营）维护费用的支付依据。月考核扣款额按以下方式确定：</w:t>
      </w:r>
    </w:p>
    <w:p>
      <w:pPr>
        <w:spacing w:line="560" w:lineRule="exact"/>
        <w:ind w:firstLine="42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月考核得分≥90分为优，月考核扣款额为零。</w:t>
      </w:r>
    </w:p>
    <w:p>
      <w:pPr>
        <w:spacing w:line="560" w:lineRule="exact"/>
        <w:ind w:firstLine="42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月考核得分＜90分为不合格，以90分为基准，每低0.01分扣除该月已完成工作运行（营）维护费的0.05%。</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月考核得分＜80分，扣除该月已完成工作运行（营）维护费的50%，并视实际情况发整改函或约谈项目法人。</w:t>
      </w:r>
    </w:p>
    <w:p>
      <w:pPr>
        <w:spacing w:line="560" w:lineRule="exact"/>
        <w:jc w:val="left"/>
        <w:outlineLvl w:val="1"/>
        <w:rPr>
          <w:rFonts w:ascii="楷体" w:hAnsi="楷体" w:eastAsia="楷体" w:cs="楷体"/>
          <w:b/>
          <w:bCs/>
          <w:color w:val="000000"/>
          <w:sz w:val="32"/>
          <w:szCs w:val="32"/>
        </w:rPr>
      </w:pPr>
      <w:r>
        <w:rPr>
          <w:rFonts w:hint="eastAsia" w:ascii="楷体" w:hAnsi="楷体" w:eastAsia="楷体" w:cs="楷体"/>
          <w:b/>
          <w:bCs/>
          <w:color w:val="000000"/>
          <w:sz w:val="32"/>
          <w:szCs w:val="32"/>
        </w:rPr>
        <w:t>2.4直接扣款</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出现以下情形从运行（营）维护费中进行直接扣款：</w:t>
      </w:r>
    </w:p>
    <w:p>
      <w:pPr>
        <w:spacing w:line="560" w:lineRule="exact"/>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人员配备扣款</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发现未按合同要求配备人员（包括人员数量或人员资质），按照项目或技术负责人1000元/人·次，管理团队其他人员800元/人·次，运行（营）维护人员每人每次200元/人·次，绿化养护、保洁、安保巡查人员100元/人·次的标准进行扣款。</w:t>
      </w:r>
    </w:p>
    <w:p>
      <w:pPr>
        <w:spacing w:line="560" w:lineRule="exact"/>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生产安全责任事故扣款</w:t>
      </w:r>
    </w:p>
    <w:p>
      <w:pPr>
        <w:spacing w:line="560" w:lineRule="exact"/>
        <w:ind w:firstLine="42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依据《生产安全事故报告和调查处理条例》等相关法律法规，如发生生产安全责任事故，责任认定为运行（营）维护单位的，将扣除该运行（营）维护单位月已完成工作运行（营）维护费的50%</w:t>
      </w:r>
      <w:r>
        <w:rPr>
          <w:rFonts w:hint="eastAsia" w:ascii="仿宋_GB2312" w:hAnsi="仿宋_GB2312" w:eastAsia="仿宋_GB2312" w:cs="仿宋_GB2312"/>
          <w:strike/>
          <w:color w:val="000000"/>
          <w:sz w:val="32"/>
          <w:szCs w:val="32"/>
        </w:rPr>
        <w:t>，并向市水行政主管部门报送不良行为认定</w:t>
      </w:r>
      <w:r>
        <w:rPr>
          <w:rFonts w:hint="eastAsia" w:ascii="仿宋_GB2312" w:hAnsi="仿宋_GB2312" w:eastAsia="仿宋_GB2312" w:cs="仿宋_GB2312"/>
          <w:color w:val="000000"/>
          <w:sz w:val="32"/>
          <w:szCs w:val="32"/>
        </w:rPr>
        <w:t>。</w:t>
      </w:r>
    </w:p>
    <w:p>
      <w:pPr>
        <w:spacing w:line="560" w:lineRule="exact"/>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环境污染责任事故扣款</w:t>
      </w:r>
    </w:p>
    <w:p>
      <w:pPr>
        <w:spacing w:line="560" w:lineRule="exact"/>
        <w:ind w:firstLine="42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依据《中华人民共和国环境保护法》等相关法律法规，如发生环境污染全责任事故，责任认定为运行（营）维护单位的，将扣除该运行（营）维护单位月已完成工作运行（营）维护费的50%</w:t>
      </w:r>
      <w:r>
        <w:rPr>
          <w:rFonts w:hint="eastAsia" w:ascii="仿宋_GB2312" w:hAnsi="仿宋_GB2312" w:eastAsia="仿宋_GB2312" w:cs="仿宋_GB2312"/>
          <w:strike/>
          <w:color w:val="000000"/>
          <w:sz w:val="32"/>
          <w:szCs w:val="32"/>
        </w:rPr>
        <w:t>，并向市水行政主管部门报送不良行为认定</w:t>
      </w:r>
      <w:r>
        <w:rPr>
          <w:rFonts w:hint="eastAsia" w:ascii="仿宋_GB2312" w:hAnsi="仿宋_GB2312" w:eastAsia="仿宋_GB2312" w:cs="仿宋_GB2312"/>
          <w:color w:val="000000"/>
          <w:sz w:val="32"/>
          <w:szCs w:val="32"/>
        </w:rPr>
        <w:t>。</w:t>
      </w:r>
    </w:p>
    <w:p>
      <w:pPr>
        <w:spacing w:line="560" w:lineRule="exact"/>
        <w:ind w:firstLine="642"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机电设备年度检修扣款</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由于运行（营）维护单位原因检修内容产生缺项、漏项或未在规定的期限内完成的，扣除机电设备年度检修项目全部费用的10%。</w:t>
      </w:r>
    </w:p>
    <w:p>
      <w:pPr>
        <w:spacing w:line="560" w:lineRule="exact"/>
        <w:jc w:val="left"/>
        <w:outlineLvl w:val="1"/>
        <w:rPr>
          <w:rFonts w:ascii="楷体" w:hAnsi="楷体" w:eastAsia="楷体" w:cs="楷体"/>
          <w:b/>
          <w:bCs/>
          <w:color w:val="000000"/>
          <w:sz w:val="32"/>
          <w:szCs w:val="32"/>
        </w:rPr>
      </w:pPr>
      <w:r>
        <w:rPr>
          <w:rFonts w:hint="eastAsia" w:ascii="楷体" w:hAnsi="楷体" w:eastAsia="楷体" w:cs="楷体"/>
          <w:b/>
          <w:bCs/>
          <w:color w:val="000000"/>
          <w:sz w:val="32"/>
          <w:szCs w:val="32"/>
        </w:rPr>
        <w:t>2.5工作量及费用调整</w:t>
      </w:r>
    </w:p>
    <w:p>
      <w:pPr>
        <w:spacing w:line="560" w:lineRule="exact"/>
        <w:ind w:firstLine="42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根据项目实际完成情况，未发生的工程量予以费用核减。</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常规项目中因施工原因或运行（营）维护对象未移交至中心，致使无法实施的工作量，工作量及费用相应核减。</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常规项目中的清淤工作，实际工作量少于招标工作量时，对相应工作量及费用进行核减。</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若未按合同要求完成进、出水水质检测，未提交符合规范要求的检测报告的，则不予支付相应水质检测费用。</w:t>
      </w:r>
    </w:p>
    <w:p>
      <w:pPr>
        <w:spacing w:line="560" w:lineRule="exact"/>
        <w:jc w:val="left"/>
        <w:outlineLvl w:val="1"/>
        <w:rPr>
          <w:rFonts w:ascii="楷体" w:hAnsi="楷体" w:eastAsia="楷体" w:cs="楷体"/>
          <w:b/>
          <w:bCs/>
          <w:strike/>
          <w:color w:val="000000"/>
          <w:sz w:val="32"/>
          <w:szCs w:val="32"/>
        </w:rPr>
      </w:pPr>
      <w:r>
        <w:rPr>
          <w:rFonts w:hint="eastAsia" w:ascii="楷体" w:hAnsi="楷体" w:eastAsia="楷体" w:cs="楷体"/>
          <w:b/>
          <w:bCs/>
          <w:color w:val="000000"/>
          <w:sz w:val="32"/>
          <w:szCs w:val="32"/>
        </w:rPr>
        <w:t>2.6 考核与</w:t>
      </w:r>
      <w:r>
        <w:rPr>
          <w:rFonts w:hint="eastAsia" w:ascii="楷体" w:hAnsi="楷体" w:eastAsia="楷体" w:cs="楷体"/>
          <w:b/>
          <w:bCs/>
          <w:strike w:val="0"/>
          <w:color w:val="000000"/>
          <w:sz w:val="32"/>
          <w:szCs w:val="32"/>
        </w:rPr>
        <w:t>履约</w:t>
      </w:r>
      <w:r>
        <w:rPr>
          <w:rFonts w:hint="eastAsia" w:ascii="楷体" w:hAnsi="楷体" w:eastAsia="楷体" w:cs="楷体"/>
          <w:b/>
          <w:bCs/>
          <w:color w:val="000000"/>
          <w:sz w:val="32"/>
          <w:szCs w:val="32"/>
        </w:rPr>
        <w:t>评价</w:t>
      </w:r>
    </w:p>
    <w:p>
      <w:pPr>
        <w:spacing w:line="560" w:lineRule="exact"/>
        <w:ind w:firstLine="640" w:firstLineChars="200"/>
        <w:rPr>
          <w:rFonts w:ascii="仿宋_GB2312" w:hAnsi="仿宋_GB2312" w:eastAsia="仿宋_GB2312" w:cs="仿宋_GB2312"/>
          <w:color w:val="000000"/>
          <w:sz w:val="32"/>
          <w:szCs w:val="32"/>
        </w:rPr>
      </w:pPr>
      <w:r>
        <w:rPr>
          <w:rFonts w:hint="eastAsia" w:ascii="华文仿宋" w:hAnsi="华文仿宋" w:eastAsia="华文仿宋"/>
          <w:color w:val="000000"/>
          <w:sz w:val="32"/>
          <w:szCs w:val="32"/>
        </w:rPr>
        <w:t>合同期满前一个月，由运行（营）维护单位提出履约评价申请，</w:t>
      </w:r>
      <w:r>
        <w:rPr>
          <w:rFonts w:hint="eastAsia" w:ascii="仿宋_GB2312" w:hAnsi="仿宋_GB2312" w:eastAsia="仿宋_GB2312" w:cs="仿宋_GB2312"/>
          <w:color w:val="000000"/>
          <w:sz w:val="32"/>
          <w:szCs w:val="32"/>
        </w:rPr>
        <w:t>中心分管副主任主持</w:t>
      </w:r>
      <w:r>
        <w:rPr>
          <w:rFonts w:hint="eastAsia" w:ascii="仿宋_GB2312" w:hAnsi="仿宋_GB2312" w:eastAsia="仿宋_GB2312" w:cs="仿宋_GB2312"/>
          <w:color w:val="000000"/>
          <w:sz w:val="32"/>
          <w:szCs w:val="32"/>
          <w:lang w:eastAsia="zh-CN"/>
        </w:rPr>
        <w:t>评价</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业务部门</w:t>
      </w:r>
      <w:r>
        <w:rPr>
          <w:rFonts w:hint="eastAsia" w:ascii="仿宋_GB2312" w:hAnsi="仿宋_GB2312" w:eastAsia="仿宋_GB2312" w:cs="仿宋_GB2312"/>
          <w:color w:val="000000"/>
          <w:sz w:val="32"/>
          <w:szCs w:val="32"/>
        </w:rPr>
        <w:t>组织实施，根据履约评价结果填写《</w:t>
      </w:r>
      <w:r>
        <w:rPr>
          <w:rFonts w:hint="eastAsia" w:ascii="仿宋_GB2312" w:hAnsi="仿宋_GB2312" w:eastAsia="仿宋_GB2312" w:cs="仿宋_GB2312"/>
          <w:color w:val="000000"/>
          <w:kern w:val="0"/>
          <w:sz w:val="32"/>
          <w:szCs w:val="32"/>
        </w:rPr>
        <w:t>调蓄池运行（营）维护履约评价表</w:t>
      </w:r>
      <w:r>
        <w:rPr>
          <w:rFonts w:hint="eastAsia" w:ascii="仿宋_GB2312" w:hAnsi="仿宋_GB2312" w:eastAsia="仿宋_GB2312" w:cs="仿宋_GB2312"/>
          <w:color w:val="000000"/>
          <w:sz w:val="32"/>
          <w:szCs w:val="32"/>
        </w:rPr>
        <w:t>》（详见附表4.5）</w:t>
      </w:r>
      <w:r>
        <w:rPr>
          <w:rFonts w:hint="eastAsia" w:ascii="仿宋_GB2312" w:hAnsi="仿宋_GB2312" w:eastAsia="仿宋_GB2312" w:cs="仿宋_GB2312"/>
          <w:color w:val="000000"/>
          <w:sz w:val="32"/>
          <w:szCs w:val="32"/>
          <w:lang w:eastAsia="zh-CN"/>
        </w:rPr>
        <w:t>。满</w:t>
      </w:r>
      <w:r>
        <w:rPr>
          <w:rFonts w:hint="eastAsia" w:ascii="仿宋_GB2312" w:hAnsi="仿宋_GB2312" w:eastAsia="仿宋_GB2312" w:cs="仿宋_GB2312"/>
          <w:color w:val="000000"/>
          <w:sz w:val="32"/>
          <w:szCs w:val="32"/>
        </w:rPr>
        <w:t>足以下条件履约评价为优：</w:t>
      </w:r>
    </w:p>
    <w:p>
      <w:pPr>
        <w:numPr>
          <w:ilvl w:val="0"/>
          <w:numId w:val="1"/>
        </w:numPr>
        <w:spacing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合同已履约各月月考核得分的算术平均值≥90分；</w:t>
      </w:r>
    </w:p>
    <w:p>
      <w:pPr>
        <w:numPr>
          <w:ilvl w:val="0"/>
          <w:numId w:val="1"/>
        </w:numPr>
        <w:spacing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月考核得分低于80分次数≤2次</w:t>
      </w:r>
      <w:r>
        <w:rPr>
          <w:rFonts w:ascii="仿宋_GB2312" w:hAnsi="仿宋_GB2312" w:eastAsia="仿宋_GB2312" w:cs="仿宋_GB2312"/>
          <w:color w:val="000000"/>
          <w:sz w:val="32"/>
          <w:szCs w:val="32"/>
        </w:rPr>
        <w:t>；</w:t>
      </w:r>
    </w:p>
    <w:p>
      <w:pPr>
        <w:spacing w:line="560" w:lineRule="exact"/>
        <w:ind w:firstLine="640" w:firstLineChars="200"/>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strike/>
          <w:color w:val="000000"/>
          <w:sz w:val="32"/>
          <w:szCs w:val="32"/>
        </w:rPr>
        <w:t>（3）</w:t>
      </w:r>
      <w:r>
        <w:rPr>
          <w:rFonts w:hint="eastAsia" w:ascii="华文仿宋" w:hAnsi="华文仿宋" w:eastAsia="华文仿宋"/>
          <w:strike/>
          <w:color w:val="000000"/>
          <w:sz w:val="32"/>
          <w:szCs w:val="32"/>
        </w:rPr>
        <w:t>运行（营）维护单位</w:t>
      </w:r>
      <w:r>
        <w:rPr>
          <w:rFonts w:hint="eastAsia" w:ascii="仿宋_GB2312" w:hAnsi="仿宋_GB2312" w:eastAsia="仿宋_GB2312" w:cs="仿宋_GB2312"/>
          <w:bCs/>
          <w:strike/>
          <w:color w:val="000000"/>
          <w:sz w:val="32"/>
          <w:szCs w:val="32"/>
        </w:rPr>
        <w:t>不存在深圳市水务局网站公告期内的较严重及以上不良行为</w:t>
      </w:r>
      <w:r>
        <w:rPr>
          <w:rFonts w:ascii="仿宋_GB2312" w:hAnsi="仿宋_GB2312" w:eastAsia="仿宋_GB2312" w:cs="仿宋_GB2312"/>
          <w:bCs/>
          <w:color w:val="000000"/>
          <w:sz w:val="32"/>
          <w:szCs w:val="32"/>
        </w:rPr>
        <w:t>。</w:t>
      </w:r>
    </w:p>
    <w:p>
      <w:pPr>
        <w:spacing w:line="560" w:lineRule="exact"/>
        <w:jc w:val="left"/>
        <w:outlineLvl w:val="1"/>
        <w:rPr>
          <w:rFonts w:ascii="楷体" w:hAnsi="楷体" w:eastAsia="楷体" w:cs="楷体"/>
          <w:b/>
          <w:bCs/>
          <w:color w:val="000000"/>
          <w:sz w:val="32"/>
          <w:szCs w:val="32"/>
        </w:rPr>
      </w:pPr>
      <w:r>
        <w:rPr>
          <w:rFonts w:ascii="楷体" w:hAnsi="楷体" w:eastAsia="楷体" w:cs="楷体"/>
          <w:b/>
          <w:bCs/>
          <w:strike w:val="0"/>
          <w:color w:val="000000"/>
          <w:sz w:val="32"/>
          <w:szCs w:val="32"/>
        </w:rPr>
        <w:t>2.7</w:t>
      </w:r>
      <w:r>
        <w:rPr>
          <w:rFonts w:hint="eastAsia" w:ascii="楷体" w:hAnsi="楷体" w:eastAsia="楷体" w:cs="楷体"/>
          <w:b/>
          <w:bCs/>
          <w:color w:val="000000"/>
          <w:sz w:val="32"/>
          <w:szCs w:val="32"/>
        </w:rPr>
        <w:t>合同续签</w:t>
      </w:r>
    </w:p>
    <w:p>
      <w:pPr>
        <w:spacing w:line="560" w:lineRule="exact"/>
        <w:ind w:firstLine="640" w:firstLineChars="200"/>
        <w:rPr>
          <w:rFonts w:ascii="仿宋_GB2312" w:hAnsi="仿宋_GB2312" w:eastAsia="仿宋_GB2312" w:cs="仿宋_GB2312"/>
          <w:strike/>
          <w:color w:val="000000"/>
          <w:sz w:val="32"/>
          <w:szCs w:val="32"/>
        </w:rPr>
      </w:pPr>
      <w:r>
        <w:rPr>
          <w:rFonts w:hint="eastAsia" w:ascii="仿宋_GB2312" w:hAnsi="仿宋_GB2312" w:eastAsia="仿宋_GB2312" w:cs="仿宋_GB2312"/>
          <w:color w:val="000000"/>
          <w:sz w:val="32"/>
          <w:szCs w:val="32"/>
        </w:rPr>
        <w:t>若履约评价为</w:t>
      </w:r>
      <w:r>
        <w:rPr>
          <w:rFonts w:hint="eastAsia" w:ascii="仿宋_GB2312" w:hAnsi="仿宋_GB2312" w:eastAsia="仿宋_GB2312" w:cs="仿宋_GB2312"/>
          <w:color w:val="000000"/>
          <w:sz w:val="32"/>
          <w:szCs w:val="32"/>
          <w:highlight w:val="none"/>
          <w:lang w:eastAsia="zh-CN"/>
        </w:rPr>
        <w:t>优</w:t>
      </w:r>
      <w:r>
        <w:rPr>
          <w:rFonts w:hint="eastAsia" w:ascii="仿宋_GB2312" w:hAnsi="仿宋_GB2312" w:eastAsia="仿宋_GB2312" w:cs="仿宋_GB2312"/>
          <w:color w:val="000000"/>
          <w:sz w:val="32"/>
          <w:szCs w:val="32"/>
        </w:rPr>
        <w:t>，满足以下条件可续签运行（营）维护合同，否则不予续签：</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（1）主任办公会审议；</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（2）符合市、局相关规定。</w:t>
      </w:r>
    </w:p>
    <w:p>
      <w:pPr>
        <w:spacing w:line="520" w:lineRule="exact"/>
        <w:outlineLvl w:val="0"/>
        <w:rPr>
          <w:rFonts w:ascii="黑体" w:hAnsi="黑体" w:eastAsia="黑体" w:cs="黑体"/>
          <w:color w:val="000000"/>
          <w:sz w:val="32"/>
          <w:szCs w:val="32"/>
        </w:rPr>
      </w:pPr>
      <w:r>
        <w:rPr>
          <w:rFonts w:hint="eastAsia" w:ascii="黑体" w:hAnsi="黑体" w:eastAsia="黑体" w:cs="黑体"/>
          <w:color w:val="000000"/>
          <w:sz w:val="32"/>
          <w:szCs w:val="32"/>
        </w:rPr>
        <w:t>3 其他</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（1）所有考核分数均四舍五入后保留2位小数。</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（2）本细则可依据实际情况适时修订。</w:t>
      </w:r>
    </w:p>
    <w:p>
      <w:pPr>
        <w:spacing w:line="520" w:lineRule="exact"/>
        <w:outlineLvl w:val="0"/>
        <w:rPr>
          <w:rFonts w:ascii="黑体" w:hAnsi="黑体" w:eastAsia="黑体" w:cs="黑体"/>
          <w:color w:val="000000"/>
          <w:sz w:val="32"/>
          <w:szCs w:val="32"/>
        </w:rPr>
      </w:pPr>
      <w:r>
        <w:rPr>
          <w:rFonts w:hint="eastAsia" w:ascii="黑体" w:hAnsi="黑体" w:eastAsia="黑体" w:cs="黑体"/>
          <w:color w:val="000000"/>
          <w:sz w:val="32"/>
          <w:szCs w:val="32"/>
        </w:rPr>
        <w:t>4 附表</w:t>
      </w:r>
    </w:p>
    <w:p>
      <w:pPr>
        <w:spacing w:line="520" w:lineRule="exact"/>
        <w:ind w:firstLine="640" w:firstLineChars="200"/>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4.1 观澜及龙华河调蓄池运行维护月检查评分表</w:t>
      </w:r>
    </w:p>
    <w:p>
      <w:pPr>
        <w:spacing w:line="520" w:lineRule="exact"/>
        <w:ind w:firstLine="640" w:firstLineChars="200"/>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4.2 观澜河口调蓄池运</w:t>
      </w:r>
      <w:r>
        <w:rPr>
          <w:rFonts w:hint="eastAsia" w:ascii="仿宋_GB2312" w:hAnsi="仿宋_GB2312" w:eastAsia="仿宋_GB2312" w:cs="仿宋_GB2312"/>
          <w:color w:val="000000"/>
          <w:sz w:val="32"/>
          <w:szCs w:val="32"/>
        </w:rPr>
        <w:t>营</w:t>
      </w:r>
      <w:r>
        <w:rPr>
          <w:rFonts w:hint="eastAsia" w:ascii="仿宋_GB2312" w:hAnsi="仿宋_GB2312" w:eastAsia="仿宋_GB2312" w:cs="仿宋_GB2312"/>
          <w:color w:val="000000"/>
          <w:kern w:val="0"/>
          <w:sz w:val="32"/>
          <w:szCs w:val="32"/>
        </w:rPr>
        <w:t>维护月检查评分表</w:t>
      </w:r>
    </w:p>
    <w:p>
      <w:pPr>
        <w:spacing w:line="520" w:lineRule="exact"/>
        <w:ind w:firstLine="640" w:firstLineChars="200"/>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4.3 调蓄池运行</w:t>
      </w:r>
      <w:r>
        <w:rPr>
          <w:rFonts w:hint="eastAsia" w:ascii="仿宋_GB2312" w:hAnsi="仿宋_GB2312" w:eastAsia="仿宋_GB2312" w:cs="仿宋_GB2312"/>
          <w:color w:val="000000"/>
          <w:sz w:val="32"/>
          <w:szCs w:val="32"/>
        </w:rPr>
        <w:t>（营）</w:t>
      </w:r>
      <w:r>
        <w:rPr>
          <w:rFonts w:hint="eastAsia" w:ascii="仿宋_GB2312" w:hAnsi="仿宋_GB2312" w:eastAsia="仿宋_GB2312" w:cs="仿宋_GB2312"/>
          <w:color w:val="000000"/>
          <w:kern w:val="0"/>
          <w:sz w:val="32"/>
          <w:szCs w:val="32"/>
        </w:rPr>
        <w:t>维护月工作失误评分表</w:t>
      </w:r>
    </w:p>
    <w:p>
      <w:pPr>
        <w:spacing w:line="520" w:lineRule="exact"/>
        <w:ind w:firstLine="640" w:firstLineChars="200"/>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4.4 调蓄池运行</w:t>
      </w:r>
      <w:r>
        <w:rPr>
          <w:rFonts w:hint="eastAsia" w:ascii="仿宋_GB2312" w:hAnsi="仿宋_GB2312" w:eastAsia="仿宋_GB2312" w:cs="仿宋_GB2312"/>
          <w:color w:val="000000"/>
          <w:sz w:val="32"/>
          <w:szCs w:val="32"/>
        </w:rPr>
        <w:t>（营）</w:t>
      </w:r>
      <w:r>
        <w:rPr>
          <w:rFonts w:hint="eastAsia" w:ascii="仿宋_GB2312" w:hAnsi="仿宋_GB2312" w:eastAsia="仿宋_GB2312" w:cs="仿宋_GB2312"/>
          <w:color w:val="000000"/>
          <w:kern w:val="0"/>
          <w:sz w:val="32"/>
          <w:szCs w:val="32"/>
        </w:rPr>
        <w:t>维护月工作奖励评分表</w:t>
      </w:r>
    </w:p>
    <w:p>
      <w:pPr>
        <w:spacing w:line="360" w:lineRule="auto"/>
        <w:ind w:firstLine="640" w:firstLineChars="200"/>
        <w:jc w:val="left"/>
        <w:outlineLvl w:val="1"/>
        <w:rPr>
          <w:rFonts w:ascii="方正小标宋_GBK" w:hAnsi="方正小标宋_GBK" w:eastAsia="方正小标宋_GBK" w:cs="方正小标宋_GBK"/>
          <w:color w:val="000000"/>
          <w:kern w:val="0"/>
          <w:sz w:val="32"/>
          <w:szCs w:val="32"/>
        </w:rPr>
      </w:pPr>
      <w:r>
        <w:rPr>
          <w:rFonts w:hint="eastAsia" w:ascii="仿宋_GB2312" w:hAnsi="仿宋_GB2312" w:eastAsia="仿宋_GB2312" w:cs="仿宋_GB2312"/>
          <w:color w:val="000000"/>
          <w:kern w:val="0"/>
          <w:sz w:val="32"/>
          <w:szCs w:val="32"/>
        </w:rPr>
        <w:t>4.5 调蓄池运行（营）维护履约评价表</w:t>
      </w:r>
      <w:r>
        <w:rPr>
          <w:rFonts w:ascii="宋体" w:hAnsi="宋体"/>
          <w:color w:val="000000"/>
          <w:szCs w:val="21"/>
        </w:rPr>
        <w:br w:type="page"/>
      </w:r>
      <w:r>
        <w:rPr>
          <w:rFonts w:hint="eastAsia" w:ascii="方正小标宋_GBK" w:hAnsi="方正小标宋_GBK" w:eastAsia="方正小标宋_GBK" w:cs="方正小标宋_GBK"/>
          <w:color w:val="000000"/>
          <w:kern w:val="0"/>
          <w:sz w:val="32"/>
          <w:szCs w:val="32"/>
        </w:rPr>
        <w:t>4.1  观澜及龙华河调蓄池运行维护月检查评分表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375"/>
        <w:gridCol w:w="630"/>
        <w:gridCol w:w="120"/>
        <w:gridCol w:w="450"/>
        <w:gridCol w:w="1270"/>
        <w:gridCol w:w="365"/>
        <w:gridCol w:w="1170"/>
        <w:gridCol w:w="1920"/>
        <w:gridCol w:w="865"/>
        <w:gridCol w:w="350"/>
        <w:gridCol w:w="720"/>
        <w:gridCol w:w="645"/>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70" w:hRule="atLeast"/>
        </w:trPr>
        <w:tc>
          <w:tcPr>
            <w:tcW w:w="1125" w:type="dxa"/>
            <w:gridSpan w:val="3"/>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 w:val="22"/>
              </w:rPr>
              <w:t>合同名称</w:t>
            </w:r>
          </w:p>
        </w:tc>
        <w:tc>
          <w:tcPr>
            <w:tcW w:w="7770" w:type="dxa"/>
            <w:gridSpan w:val="10"/>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70" w:hRule="atLeast"/>
        </w:trPr>
        <w:tc>
          <w:tcPr>
            <w:tcW w:w="1125" w:type="dxa"/>
            <w:gridSpan w:val="3"/>
            <w:tcBorders>
              <w:top w:val="single" w:color="000000" w:sz="8" w:space="0"/>
              <w:left w:val="single" w:color="000000" w:sz="8" w:space="0"/>
              <w:bottom w:val="nil"/>
              <w:right w:val="single" w:color="000000" w:sz="8" w:space="0"/>
            </w:tcBorders>
            <w:noWrap/>
            <w:vAlign w:val="center"/>
          </w:tcPr>
          <w:p>
            <w:pPr>
              <w:spacing w:line="360" w:lineRule="auto"/>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 w:val="22"/>
              </w:rPr>
              <w:t>检查时段</w:t>
            </w:r>
          </w:p>
        </w:tc>
        <w:tc>
          <w:tcPr>
            <w:tcW w:w="2085" w:type="dxa"/>
            <w:gridSpan w:val="3"/>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p>
        </w:tc>
        <w:tc>
          <w:tcPr>
            <w:tcW w:w="1170" w:type="dxa"/>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 w:val="22"/>
              </w:rPr>
              <w:t>填表时间</w:t>
            </w:r>
          </w:p>
        </w:tc>
        <w:tc>
          <w:tcPr>
            <w:tcW w:w="1920" w:type="dxa"/>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_GB2312" w:hAnsi="仿宋_GB2312" w:eastAsia="仿宋_GB2312" w:cs="仿宋_GB2312"/>
                <w:color w:val="000000"/>
                <w:kern w:val="0"/>
                <w:sz w:val="22"/>
              </w:rPr>
            </w:pPr>
          </w:p>
        </w:tc>
        <w:tc>
          <w:tcPr>
            <w:tcW w:w="865" w:type="dxa"/>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 w:val="22"/>
              </w:rPr>
              <w:t>填表人</w:t>
            </w:r>
          </w:p>
        </w:tc>
        <w:tc>
          <w:tcPr>
            <w:tcW w:w="1730" w:type="dxa"/>
            <w:gridSpan w:val="4"/>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420" w:hRule="atLeast"/>
        </w:trPr>
        <w:tc>
          <w:tcPr>
            <w:tcW w:w="375" w:type="dxa"/>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序号</w:t>
            </w:r>
          </w:p>
        </w:tc>
        <w:tc>
          <w:tcPr>
            <w:tcW w:w="630" w:type="dxa"/>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项目名称</w:t>
            </w:r>
          </w:p>
        </w:tc>
        <w:tc>
          <w:tcPr>
            <w:tcW w:w="570" w:type="dxa"/>
            <w:gridSpan w:val="2"/>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项目分值</w:t>
            </w:r>
          </w:p>
        </w:tc>
        <w:tc>
          <w:tcPr>
            <w:tcW w:w="1270" w:type="dxa"/>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子项内容</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评分标准</w:t>
            </w:r>
          </w:p>
        </w:tc>
        <w:tc>
          <w:tcPr>
            <w:tcW w:w="720" w:type="dxa"/>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项目得分</w:t>
            </w:r>
          </w:p>
        </w:tc>
        <w:tc>
          <w:tcPr>
            <w:tcW w:w="645" w:type="dxa"/>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5" w:type="dxa"/>
          <w:trHeight w:val="794" w:hRule="atLeast"/>
        </w:trPr>
        <w:tc>
          <w:tcPr>
            <w:tcW w:w="375" w:type="dxa"/>
            <w:vMerge w:val="restart"/>
            <w:tcBorders>
              <w:top w:val="single" w:color="000000" w:sz="8" w:space="0"/>
              <w:left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1</w:t>
            </w:r>
          </w:p>
        </w:tc>
        <w:tc>
          <w:tcPr>
            <w:tcW w:w="63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人员情况</w:t>
            </w:r>
          </w:p>
        </w:tc>
        <w:tc>
          <w:tcPr>
            <w:tcW w:w="570"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10</w:t>
            </w: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人员数量</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项目负责人、技术负责人、专业工程师、运行维护人员、安全管理员、安保人员、绿化保洁人员配备人数未达到招标文件及合同约定，一人次扣2分。</w:t>
            </w:r>
          </w:p>
        </w:tc>
        <w:tc>
          <w:tcPr>
            <w:tcW w:w="7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p>
        </w:tc>
        <w:tc>
          <w:tcPr>
            <w:tcW w:w="645"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运行维护人员包括电工、机械维护工、水利设施管养人员、信息化维护人员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397"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人员资质</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项目负责人、技术负责人、专业工程师、运行维护人员、安全管理员、安保人员、绿化保洁人员未达到招标文件要求资质，一人次扣2分。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3405"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人员管理</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（1）未经同意，项目负责人、技术负责人、专业工程师、运行维护人员、安全管理员、安保人员、绿化保洁人员擅离岗位的，一人次扣1.5分。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（2）在岗玩忽职守一人次扣1.5分。</w:t>
            </w:r>
          </w:p>
          <w:p>
            <w:pPr>
              <w:adjustRightInd w:val="0"/>
              <w:snapToGrid w:val="0"/>
              <w:jc w:val="left"/>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（3）安保人员监守自盗后未及时更换一次扣2分。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（4）专业工程师、运行维护人员、安保人员排班表未按要求报送排班表（每周五报送下周）至中心</w:t>
            </w:r>
            <w:r>
              <w:rPr>
                <w:rFonts w:hint="eastAsia" w:ascii="仿宋_GB2312" w:hAnsi="仿宋_GB2312" w:eastAsia="仿宋_GB2312" w:cs="仿宋_GB2312"/>
                <w:color w:val="000000"/>
                <w:kern w:val="0"/>
                <w:szCs w:val="21"/>
                <w:lang w:eastAsia="zh-CN"/>
              </w:rPr>
              <w:t>业务部门</w:t>
            </w:r>
            <w:r>
              <w:rPr>
                <w:rFonts w:hint="eastAsia" w:ascii="仿宋_GB2312" w:hAnsi="仿宋_GB2312" w:eastAsia="仿宋_GB2312" w:cs="仿宋_GB2312"/>
                <w:color w:val="000000"/>
                <w:kern w:val="0"/>
                <w:szCs w:val="21"/>
              </w:rPr>
              <w:t>，每次扣1.5分。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（5）现场未悬挂专业工程师、运行维护人员排班表，每次扣0.5分。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（6）项目负责人、技术负责人、专业工程师、运行维护人员、安全管理员、安保人员每月调班总次数超过3次的，每超过一次扣1分。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627" w:hRule="atLeast"/>
        </w:trPr>
        <w:tc>
          <w:tcPr>
            <w:tcW w:w="375" w:type="dxa"/>
            <w:vMerge w:val="continue"/>
            <w:tcBorders>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着装要求</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专业工程师、安保人员、运行维护人员、绿化保洁人员在岗时未按要求统一着装的，一人次扣0.5分。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5" w:type="dxa"/>
          <w:trHeight w:val="1004" w:hRule="atLeast"/>
        </w:trPr>
        <w:tc>
          <w:tcPr>
            <w:tcW w:w="375" w:type="dxa"/>
            <w:vMerge w:val="restart"/>
            <w:tcBorders>
              <w:top w:val="single" w:color="000000" w:sz="8" w:space="0"/>
              <w:left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2</w:t>
            </w:r>
          </w:p>
        </w:tc>
        <w:tc>
          <w:tcPr>
            <w:tcW w:w="63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厂区运维</w:t>
            </w:r>
          </w:p>
        </w:tc>
        <w:tc>
          <w:tcPr>
            <w:tcW w:w="570"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30</w:t>
            </w: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保洁(含机电站点)</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按招标文件、合同要求完成调蓄池管理范围内的保洁，包括堆积的泥沙、大件垃圾、建筑垃圾在规定时间内清理，考核标准为合格、不合格两个等级；合格不扣分，不合格最高扣6分。</w:t>
            </w:r>
          </w:p>
        </w:tc>
        <w:tc>
          <w:tcPr>
            <w:tcW w:w="7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256"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绿化管养(含机电站点)</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考察月度按招标文件、合同要求对合同范围内的乔木、灌木、草地进行管养，定期修剪、补植、浇灌、施肥等，达到相应绿化管养等级要求情况，考核标准为合格、不合格两个等级；合格不扣分，不合格最高扣6分。</w:t>
            </w: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745"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日常维修养护</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考察月度对合同范围内的设施损毁的处置及修复情况，考核标准为合格、不合格两个等级；合格不扣分，不合格最高扣4.5分。</w:t>
            </w: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029"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违法违规处置</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考察月度及时发现并有效制止非法倾倒、非法排污、违法施工、非法经营、盗窃、破坏等水事违法违规事件情况，考核标准为合格、不合格两个等级；合格不扣分，不合格最高扣3分。</w:t>
            </w: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5" w:type="dxa"/>
          <w:trHeight w:val="1965"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日常巡检及资料记录</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考察月度按招标文件、合同要求开展日常巡检、检查、涉河项目监督、突发处置等工作，发现问题及时上报。</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及时劝离未经允许驶入调蓄池管理范围内的机动车辆；突发事件运维人员20分钟内响应到场；暴雨预警信号发布后按要求启动相应预案；及时督促调蓄池管理范围内在建项目停工。</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按规范表格如实填写调蓄池检查情况，包括但不限于三级巡查、日常巡检、管养日志、水质检测、三级教育、技术交底、班前教育记录。</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考核标准为合格、不合格两个等级；合格不扣分，不合格最高扣3分。</w:t>
            </w: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305" w:hRule="atLeast"/>
        </w:trPr>
        <w:tc>
          <w:tcPr>
            <w:tcW w:w="375" w:type="dxa"/>
            <w:vMerge w:val="continue"/>
            <w:tcBorders>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四害消杀及白蚁等有害生物防治(含机电站点)</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考察月度按招标文件、合同要求开展四害消杀及白蚁等有害生物防治情况，考核标准为合格、不合格两个等级；合格不扣分，不合格最高扣3分。</w:t>
            </w: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856" w:hRule="atLeast"/>
        </w:trPr>
        <w:tc>
          <w:tcPr>
            <w:tcW w:w="375" w:type="dxa"/>
            <w:vMerge w:val="restart"/>
            <w:tcBorders>
              <w:top w:val="single" w:color="000000" w:sz="8" w:space="0"/>
              <w:left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3</w:t>
            </w:r>
          </w:p>
        </w:tc>
        <w:tc>
          <w:tcPr>
            <w:tcW w:w="63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机电设施运维</w:t>
            </w:r>
          </w:p>
        </w:tc>
        <w:tc>
          <w:tcPr>
            <w:tcW w:w="570"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30</w:t>
            </w: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管理图框</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（1）悬挂人员信息框、工作职责框、操作流程框、调度方案框等缺一项扣0.6分；框中信息出现错误每处扣0.6分。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（2）信息框（材质、尺寸等）未按要求制作扣1.5分。</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365"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厂房配套实施</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（1）设备、电气柜、操作开关标识牌缺一项扣2分。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（2）标识牌错误每处扣0.6分。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（3）标示牌（材质、尺寸等）未按要求制作扣1.5分。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（4）其它配套设施不完善每处扣该部分0.6分。</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5" w:type="dxa"/>
          <w:trHeight w:val="450"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设备运维及记录</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（1）发生人员或设备安全事故扣9分。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（2）未按调度方案或操作规程操作每次扣3分。（3）设备运行无运维记录或未填写操作票扣3分。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（4）设备无日巡检表扣3分。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（5）无设备运维月报表扣3分。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（6）相关记录不完整、不真实每处扣1.5分。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（7）记录中有不符合标准而未上报的每处扣1.5分。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（8）设备外观有明显缺陷的每处扣3分。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（9）耗材及备品备件进出库未登记签字每次扣1.5分。</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816"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设备保养（含应急抢修）及记录</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（1）未在规定时限内修复泵站或水闸（如配电设备、水泵机组、液压启闭机等）机电设备故障，发现出水口、河道水质异常情况扣9分。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（2）未按要求进行定期（如日养护、月养护、年养护等）维护保养每发现一项扣3分。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（3）未填写工作票、检修记录表扣3分，记录不规范不真实每处扣1.5分。</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141" w:hRule="atLeast"/>
        </w:trPr>
        <w:tc>
          <w:tcPr>
            <w:tcW w:w="375" w:type="dxa"/>
            <w:vMerge w:val="continue"/>
            <w:tcBorders>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备品备件及常用工具</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（1）未按要求配备备品备件的扣6分。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（2）备件包括：控制开关、接触器、继电器、软启动器、PLC模块等，缺项或型号与现场不符每项扣1.5分；下一月检查仍未补齐则双倍扣分，以此类推。</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727" w:hRule="atLeast"/>
        </w:trPr>
        <w:tc>
          <w:tcPr>
            <w:tcW w:w="375" w:type="dxa"/>
            <w:vMerge w:val="restart"/>
            <w:tcBorders>
              <w:top w:val="single" w:color="000000" w:sz="8" w:space="0"/>
              <w:left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4</w:t>
            </w:r>
          </w:p>
        </w:tc>
        <w:tc>
          <w:tcPr>
            <w:tcW w:w="63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安全生产</w:t>
            </w:r>
          </w:p>
        </w:tc>
        <w:tc>
          <w:tcPr>
            <w:tcW w:w="570"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10</w:t>
            </w: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安全生产制度及相关落实情况</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是否按照法律法规、招标文件及合同要求建立相关安全生产制度，开展安全生产演练，并提供相应材料及记录，未提供的每项扣1分。</w:t>
            </w:r>
          </w:p>
        </w:tc>
        <w:tc>
          <w:tcPr>
            <w:tcW w:w="7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5" w:type="dxa"/>
          <w:trHeight w:val="394"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安全用品和设施完善</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安全警示标识损坏未及时发现并更换的，每处扣1分。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802"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szCs w:val="21"/>
              </w:rPr>
            </w:pP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是否按招标文件及合同要求配备及养护安全救护用品（救生圈、救生绳、救生衣等），未满足要求的每处扣1分。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555"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szCs w:val="21"/>
              </w:rPr>
            </w:pP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安全防护设施损坏未及时发现并做好警示的，每处扣1分。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499"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安全隐患的排查与整改</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每月是否开展一次全面的安全隐患排查，并提供排查记录，未提供记录或未开展的扣1.5分。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5" w:type="dxa"/>
          <w:trHeight w:val="802"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szCs w:val="21"/>
              </w:rPr>
            </w:pP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发现的安全隐患(各方发现的所有隐患)是否及时整改，未及时整改的一项扣1分。不能立即处理的安全隐患点未做防护警示措施的每项扣1分。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90" w:hRule="atLeast"/>
        </w:trPr>
        <w:tc>
          <w:tcPr>
            <w:tcW w:w="375" w:type="dxa"/>
            <w:vMerge w:val="continue"/>
            <w:tcBorders>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szCs w:val="21"/>
              </w:rPr>
            </w:pP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安全隐患台账不完善的，扣1分。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90" w:hRule="atLeast"/>
        </w:trPr>
        <w:tc>
          <w:tcPr>
            <w:tcW w:w="375" w:type="dxa"/>
            <w:vMerge w:val="restart"/>
            <w:tcBorders>
              <w:top w:val="single" w:color="000000" w:sz="8" w:space="0"/>
              <w:left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w:t>
            </w:r>
          </w:p>
        </w:tc>
        <w:tc>
          <w:tcPr>
            <w:tcW w:w="630"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信息化管理</w:t>
            </w:r>
          </w:p>
        </w:tc>
        <w:tc>
          <w:tcPr>
            <w:tcW w:w="57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10</w:t>
            </w: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信息化系统</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（1）考勤、流域化调度等信息化系统维护：简单电气元件故障或系统软件故障，须在发生故障后24小时内排除，否则，每6小时扣0.5分，问题处理不彻底扣1分。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（2）主要设备故障，根据故障实际情况，双方沟通确定排除时间，每超过24小时扣1分，问题处理不彻底且态度懈怠扣1分。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（3）定期备份，完全没有扣1分，漏项一个扣0.5分数。</w:t>
            </w:r>
          </w:p>
        </w:tc>
        <w:tc>
          <w:tcPr>
            <w:tcW w:w="7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499"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视频系统维护</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（1）视频系统维护：中断或变形等故障，从发生故障起，1个监控点每24小时扣0.5分。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（2）视频延迟现象明显或导致系统错误，从发生故障起，每48小时扣1.5分。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（3）前端设备清洁不到位，设备摆放杂乱，线路不整洁，没有标注或标注不清，每一项扣0.5分。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5" w:type="dxa"/>
          <w:trHeight w:val="2093" w:hRule="atLeast"/>
        </w:trPr>
        <w:tc>
          <w:tcPr>
            <w:tcW w:w="375" w:type="dxa"/>
            <w:vMerge w:val="continue"/>
            <w:tcBorders>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自动化系统维护</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numPr>
                <w:ilvl w:val="0"/>
                <w:numId w:val="2"/>
              </w:num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自动化系统维护：简单电气元件故障或系统软件故障，须在发生故障后24小时内排除，否则，每6小时扣0.5分，问题处理不彻底扣1.5分。</w:t>
            </w:r>
          </w:p>
          <w:p>
            <w:pPr>
              <w:numPr>
                <w:ilvl w:val="0"/>
                <w:numId w:val="2"/>
              </w:num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主要设备故障，根据故障实际情况，双方沟通确定排除时间，每超过24小时扣1分，问题处理不彻底且态度懈怠扣1分。</w:t>
            </w:r>
          </w:p>
          <w:p>
            <w:pPr>
              <w:numPr>
                <w:ilvl w:val="0"/>
                <w:numId w:val="2"/>
              </w:num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自动化程序定期备份，完全没有扣1分，漏项一个扣0.5分。</w:t>
            </w:r>
          </w:p>
        </w:tc>
        <w:tc>
          <w:tcPr>
            <w:tcW w:w="720"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c>
          <w:tcPr>
            <w:tcW w:w="645" w:type="dxa"/>
            <w:vMerge w:val="continue"/>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left"/>
              <w:rPr>
                <w:rFonts w:ascii="仿宋_GB2312" w:hAnsi="仿宋_GB2312" w:eastAsia="仿宋_GB2312" w:cs="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597" w:hRule="atLeast"/>
        </w:trPr>
        <w:tc>
          <w:tcPr>
            <w:tcW w:w="375" w:type="dxa"/>
            <w:vMerge w:val="restart"/>
            <w:tcBorders>
              <w:top w:val="single" w:color="000000" w:sz="8" w:space="0"/>
              <w:left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6</w:t>
            </w:r>
          </w:p>
        </w:tc>
        <w:tc>
          <w:tcPr>
            <w:tcW w:w="630" w:type="dxa"/>
            <w:vMerge w:val="restart"/>
            <w:tcBorders>
              <w:top w:val="single" w:color="000000" w:sz="8" w:space="0"/>
              <w:left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管理工作</w:t>
            </w:r>
          </w:p>
        </w:tc>
        <w:tc>
          <w:tcPr>
            <w:tcW w:w="570" w:type="dxa"/>
            <w:gridSpan w:val="2"/>
            <w:vMerge w:val="restart"/>
            <w:tcBorders>
              <w:top w:val="single" w:color="000000" w:sz="8" w:space="0"/>
              <w:left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10</w:t>
            </w: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档案制度</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（1）制定完善、操作性强的保养检修制度、运行交接制度、档案管理制度、机电设施操作规程、岗位责任制度，每少一项，扣1分。</w:t>
            </w:r>
          </w:p>
          <w:p>
            <w:pPr>
              <w:adjustRightInd w:val="0"/>
              <w:snapToGrid w:val="0"/>
              <w:jc w:val="left"/>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2）日常巡检资料：各类设施日常巡查、检测监测记录资料完整、签章手续齐全，月度总结报告资料真实、完整、签章手续齐全，清单项目过程资料完整、手续齐全。每缺一项扣0.2分，五项以上缺失该项不给分。</w:t>
            </w:r>
          </w:p>
          <w:p>
            <w:pPr>
              <w:adjustRightInd w:val="0"/>
              <w:snapToGrid w:val="0"/>
              <w:jc w:val="left"/>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（3）建立“一池一档”，收集、整理、完善和更新调蓄池基础信息、动态信息以及调蓄池概况，按月及时更新，未建立扣1分，未更新、更新不全、有误扣0.5分。</w:t>
            </w:r>
          </w:p>
          <w:p>
            <w:pPr>
              <w:adjustRightInd w:val="0"/>
              <w:snapToGrid w:val="0"/>
              <w:jc w:val="left"/>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（4）建立“机电设备档案”，对机电设施（备）进行排查，并分类建档，对日常检修、年度检修、更新改造等相关内容及时更新。按月及时更新，未建立扣1分，未更新、更新不全、有误扣0.5分。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建立“安全生产资料档案”，将对水工设施、机电设施（备）等进行日常和专项安全巡查、安全隐患排查治理、安全生产演练、安全生产培训等安全生产工作开展情况的资料（包括运维单位和甲方的资料）进行整理归档。按月及时更新，未建立扣1分，未更新、更新不全、有误扣0.5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每月1日前提交上月“一池一档”、“机电设备档案”、“安全生产资料档案”装订版。未按时提交视为未完成该项工作，扣除该项分数。</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301"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b/>
                <w:bCs/>
                <w:color w:val="000000"/>
                <w:kern w:val="0"/>
                <w:szCs w:val="21"/>
              </w:rPr>
            </w:pPr>
          </w:p>
        </w:tc>
        <w:tc>
          <w:tcPr>
            <w:tcW w:w="630" w:type="dxa"/>
            <w:vMerge w:val="continue"/>
            <w:tcBorders>
              <w:left w:val="single" w:color="000000" w:sz="8" w:space="0"/>
              <w:right w:val="single" w:color="000000" w:sz="8" w:space="0"/>
            </w:tcBorders>
            <w:shd w:val="clear" w:color="auto" w:fill="auto"/>
            <w:noWrap/>
            <w:vAlign w:val="center"/>
          </w:tcPr>
          <w:p>
            <w:pPr>
              <w:adjustRightInd w:val="0"/>
              <w:snapToGrid w:val="0"/>
              <w:jc w:val="center"/>
              <w:rPr>
                <w:rFonts w:ascii="仿宋_GB2312" w:hAnsi="仿宋_GB2312" w:eastAsia="仿宋_GB2312" w:cs="仿宋_GB2312"/>
                <w:b/>
                <w:bCs/>
                <w:color w:val="000000"/>
                <w:kern w:val="0"/>
                <w:szCs w:val="21"/>
              </w:rPr>
            </w:pPr>
          </w:p>
        </w:tc>
        <w:tc>
          <w:tcPr>
            <w:tcW w:w="570" w:type="dxa"/>
            <w:gridSpan w:val="2"/>
            <w:vMerge w:val="continue"/>
            <w:tcBorders>
              <w:left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应急预案</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编制应急预案（含水上救援方案），须涵盖运维过程中各种突发事件，并根据实际需要或甲方要求适时更新（每年不少于一次），未建立扣1分，未更新、更新不全、有误扣0.5分。</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954"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培训</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（1）每月开展调蓄池运维、安保巡查或机电运维等工作培训至少一次，并如实记录培训情况，每月月底考核，当月无记录扣0.5分。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（2）安全生产培训：</w:t>
            </w:r>
          </w:p>
          <w:p>
            <w:pPr>
              <w:adjustRightInd w:val="0"/>
              <w:snapToGrid w:val="0"/>
              <w:jc w:val="left"/>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新进员工1个月内未开展三级教育的，扣1分。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第12个月考察，全体员工安全继续教育(包含急救、消防等方面)学时少于12学时的，培训档案资料不完善的，扣1分。</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289" w:hRule="atLeast"/>
        </w:trPr>
        <w:tc>
          <w:tcPr>
            <w:tcW w:w="375"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630" w:type="dxa"/>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570" w:type="dxa"/>
            <w:gridSpan w:val="2"/>
            <w:vMerge w:val="continue"/>
            <w:tcBorders>
              <w:left w:val="single" w:color="000000" w:sz="8" w:space="0"/>
              <w:right w:val="single" w:color="000000" w:sz="8" w:space="0"/>
            </w:tcBorders>
            <w:shd w:val="clear" w:color="auto" w:fill="auto"/>
            <w:noWrap/>
            <w:vAlign w:val="center"/>
          </w:tcPr>
          <w:p>
            <w:pPr>
              <w:adjustRightInd w:val="0"/>
              <w:snapToGrid w:val="0"/>
              <w:jc w:val="left"/>
              <w:rPr>
                <w:rFonts w:ascii="仿宋_GB2312" w:hAnsi="仿宋_GB2312" w:eastAsia="仿宋_GB2312" w:cs="仿宋_GB2312"/>
                <w:color w:val="000000"/>
                <w:szCs w:val="21"/>
              </w:rPr>
            </w:pPr>
          </w:p>
        </w:tc>
        <w:tc>
          <w:tcPr>
            <w:tcW w:w="127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宣传</w:t>
            </w:r>
          </w:p>
        </w:tc>
        <w:tc>
          <w:tcPr>
            <w:tcW w:w="467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xml:space="preserve">（1）结合世界水日、世界环境日、中国水周、城市节约用水宣传周、法制宣传日、扫黑除恶及日常河流保护等定期开展调蓄池水环境公益宣传，每月不足一次扣0.5分。 </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（2）重要节日、重大活动未按要求摆设植物造型，每次扣0.5分。</w:t>
            </w:r>
          </w:p>
          <w:p>
            <w:pPr>
              <w:adjustRightInd w:val="0"/>
              <w:snapToGrid w:val="0"/>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（3）遇重要公务活动，未按要求制作相应的宣传资料、展板、横幅、设施布置图等用品，每次扣0.5分。</w:t>
            </w:r>
          </w:p>
        </w:tc>
        <w:tc>
          <w:tcPr>
            <w:tcW w:w="7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c>
          <w:tcPr>
            <w:tcW w:w="64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134" w:hRule="atLeast"/>
        </w:trPr>
        <w:tc>
          <w:tcPr>
            <w:tcW w:w="1575" w:type="dxa"/>
            <w:gridSpan w:val="4"/>
            <w:tcBorders>
              <w:top w:val="nil"/>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月检查得分</w:t>
            </w:r>
          </w:p>
        </w:tc>
        <w:tc>
          <w:tcPr>
            <w:tcW w:w="5940" w:type="dxa"/>
            <w:gridSpan w:val="6"/>
            <w:tcBorders>
              <w:top w:val="nil"/>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p>
        </w:tc>
        <w:tc>
          <w:tcPr>
            <w:tcW w:w="1365" w:type="dxa"/>
            <w:gridSpan w:val="2"/>
            <w:tcBorders>
              <w:top w:val="nil"/>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Cs w:val="21"/>
              </w:rPr>
              <w:t>各项目得分累加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417" w:hRule="atLeast"/>
        </w:trPr>
        <w:tc>
          <w:tcPr>
            <w:tcW w:w="1575" w:type="dxa"/>
            <w:gridSpan w:val="4"/>
            <w:tcBorders>
              <w:top w:val="nil"/>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月考核</w:t>
            </w:r>
          </w:p>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得分</w:t>
            </w:r>
          </w:p>
        </w:tc>
        <w:tc>
          <w:tcPr>
            <w:tcW w:w="7305" w:type="dxa"/>
            <w:gridSpan w:val="8"/>
            <w:tcBorders>
              <w:top w:val="nil"/>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435" w:hRule="atLeast"/>
        </w:trPr>
        <w:tc>
          <w:tcPr>
            <w:tcW w:w="1575" w:type="dxa"/>
            <w:gridSpan w:val="4"/>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b/>
                <w:bCs/>
                <w:color w:val="000000"/>
                <w:kern w:val="0"/>
                <w:szCs w:val="21"/>
                <w:lang w:eastAsia="zh-CN"/>
              </w:rPr>
              <w:t>业务部门</w:t>
            </w:r>
            <w:r>
              <w:rPr>
                <w:rFonts w:hint="eastAsia" w:ascii="仿宋_GB2312" w:hAnsi="仿宋_GB2312" w:eastAsia="仿宋_GB2312" w:cs="仿宋_GB2312"/>
                <w:b/>
                <w:bCs/>
                <w:color w:val="000000"/>
                <w:kern w:val="0"/>
                <w:szCs w:val="21"/>
              </w:rPr>
              <w:t>现场负责人意见</w:t>
            </w:r>
          </w:p>
        </w:tc>
        <w:tc>
          <w:tcPr>
            <w:tcW w:w="7305" w:type="dxa"/>
            <w:gridSpan w:val="8"/>
            <w:tcBorders>
              <w:top w:val="single" w:color="000000" w:sz="8" w:space="0"/>
              <w:left w:val="single" w:color="000000" w:sz="8" w:space="0"/>
              <w:bottom w:val="single" w:color="000000" w:sz="8" w:space="0"/>
              <w:right w:val="single" w:color="000000" w:sz="8" w:space="0"/>
            </w:tcBorders>
            <w:noWrap/>
            <w:vAlign w:val="bottom"/>
          </w:tcPr>
          <w:p>
            <w:pPr>
              <w:adjustRightInd w:val="0"/>
              <w:snapToGrid w:val="0"/>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961" w:hRule="atLeast"/>
        </w:trPr>
        <w:tc>
          <w:tcPr>
            <w:tcW w:w="1575" w:type="dxa"/>
            <w:gridSpan w:val="4"/>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b/>
                <w:bCs/>
                <w:color w:val="000000"/>
                <w:kern w:val="0"/>
                <w:szCs w:val="21"/>
                <w:lang w:eastAsia="zh-CN"/>
              </w:rPr>
              <w:t>业务</w:t>
            </w:r>
            <w:r>
              <w:rPr>
                <w:rFonts w:hint="eastAsia" w:ascii="仿宋_GB2312" w:hAnsi="仿宋_GB2312" w:eastAsia="仿宋_GB2312" w:cs="仿宋_GB2312"/>
                <w:b/>
                <w:bCs/>
                <w:color w:val="000000"/>
                <w:kern w:val="0"/>
                <w:szCs w:val="21"/>
              </w:rPr>
              <w:t>部门负责人意见</w:t>
            </w:r>
          </w:p>
        </w:tc>
        <w:tc>
          <w:tcPr>
            <w:tcW w:w="7305" w:type="dxa"/>
            <w:gridSpan w:val="8"/>
            <w:tcBorders>
              <w:top w:val="single" w:color="000000" w:sz="8" w:space="0"/>
              <w:left w:val="single" w:color="000000" w:sz="8" w:space="0"/>
              <w:bottom w:val="single" w:color="000000" w:sz="8" w:space="0"/>
              <w:right w:val="single" w:color="000000" w:sz="8" w:space="0"/>
            </w:tcBorders>
            <w:noWrap/>
            <w:vAlign w:val="bottom"/>
          </w:tcPr>
          <w:p>
            <w:pPr>
              <w:adjustRightInd w:val="0"/>
              <w:snapToGrid w:val="0"/>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2131" w:hRule="atLeast"/>
        </w:trPr>
        <w:tc>
          <w:tcPr>
            <w:tcW w:w="1575" w:type="dxa"/>
            <w:gridSpan w:val="4"/>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分管副主任</w:t>
            </w:r>
          </w:p>
          <w:p>
            <w:pPr>
              <w:adjustRightInd w:val="0"/>
              <w:snapToGrid w:val="0"/>
              <w:jc w:val="center"/>
              <w:rPr>
                <w:rFonts w:ascii="仿宋_GB2312" w:hAnsi="仿宋_GB2312" w:eastAsia="仿宋_GB2312" w:cs="仿宋_GB2312"/>
                <w:color w:val="000000"/>
                <w:kern w:val="0"/>
                <w:szCs w:val="21"/>
              </w:rPr>
            </w:pPr>
            <w:r>
              <w:rPr>
                <w:rFonts w:hint="eastAsia" w:ascii="仿宋_GB2312" w:hAnsi="仿宋_GB2312" w:eastAsia="仿宋_GB2312" w:cs="仿宋_GB2312"/>
                <w:b/>
                <w:bCs/>
                <w:color w:val="000000"/>
                <w:kern w:val="0"/>
                <w:szCs w:val="21"/>
              </w:rPr>
              <w:t>意见</w:t>
            </w:r>
          </w:p>
        </w:tc>
        <w:tc>
          <w:tcPr>
            <w:tcW w:w="7305" w:type="dxa"/>
            <w:gridSpan w:val="8"/>
            <w:tcBorders>
              <w:top w:val="single" w:color="000000" w:sz="8" w:space="0"/>
              <w:left w:val="single" w:color="000000" w:sz="8" w:space="0"/>
              <w:bottom w:val="single" w:color="000000" w:sz="8" w:space="0"/>
              <w:right w:val="single" w:color="000000" w:sz="8" w:space="0"/>
            </w:tcBorders>
            <w:noWrap/>
            <w:vAlign w:val="bottom"/>
          </w:tcPr>
          <w:p>
            <w:pPr>
              <w:adjustRightInd w:val="0"/>
              <w:snapToGrid w:val="0"/>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Cs w:val="21"/>
              </w:rPr>
              <w:t>签名：                              日期：</w:t>
            </w:r>
          </w:p>
        </w:tc>
      </w:tr>
    </w:tbl>
    <w:p>
      <w:pPr>
        <w:spacing w:line="360" w:lineRule="auto"/>
        <w:jc w:val="center"/>
        <w:rPr>
          <w:rFonts w:ascii="仿宋" w:hAnsi="仿宋" w:eastAsia="仿宋"/>
          <w:color w:val="000000"/>
          <w:kern w:val="0"/>
          <w:sz w:val="28"/>
          <w:szCs w:val="28"/>
        </w:rPr>
        <w:sectPr>
          <w:footerReference r:id="rId3" w:type="default"/>
          <w:pgSz w:w="11906" w:h="16838"/>
          <w:pgMar w:top="2098" w:right="1474" w:bottom="1984" w:left="1588" w:header="0" w:footer="1474" w:gutter="0"/>
          <w:pgNumType w:start="1"/>
          <w:cols w:space="720" w:num="1"/>
          <w:docGrid w:type="lines" w:linePitch="312" w:charSpace="0"/>
        </w:sectPr>
      </w:pPr>
    </w:p>
    <w:p>
      <w:pPr>
        <w:spacing w:line="360" w:lineRule="auto"/>
        <w:jc w:val="center"/>
        <w:outlineLvl w:val="1"/>
        <w:rPr>
          <w:rFonts w:ascii="方正小标宋_GBK" w:hAnsi="方正小标宋_GBK" w:eastAsia="方正小标宋_GBK" w:cs="方正小标宋_GBK"/>
          <w:color w:val="000000"/>
          <w:kern w:val="0"/>
          <w:sz w:val="32"/>
          <w:szCs w:val="32"/>
        </w:rPr>
      </w:pPr>
      <w:r>
        <w:rPr>
          <w:rFonts w:hint="eastAsia" w:ascii="方正小标宋_GBK" w:hAnsi="方正小标宋_GBK" w:eastAsia="方正小标宋_GBK" w:cs="方正小标宋_GBK"/>
          <w:color w:val="000000"/>
          <w:kern w:val="0"/>
          <w:sz w:val="32"/>
          <w:szCs w:val="32"/>
        </w:rPr>
        <w:t>4.2  观澜河口调蓄池运营维护月检查评分表</w:t>
      </w:r>
    </w:p>
    <w:tbl>
      <w:tblPr>
        <w:tblStyle w:val="7"/>
        <w:tblW w:w="9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450"/>
        <w:gridCol w:w="660"/>
        <w:gridCol w:w="15"/>
        <w:gridCol w:w="555"/>
        <w:gridCol w:w="675"/>
        <w:gridCol w:w="555"/>
        <w:gridCol w:w="300"/>
        <w:gridCol w:w="1170"/>
        <w:gridCol w:w="1920"/>
        <w:gridCol w:w="795"/>
        <w:gridCol w:w="70"/>
        <w:gridCol w:w="545"/>
        <w:gridCol w:w="675"/>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97" w:hRule="atLeast"/>
        </w:trPr>
        <w:tc>
          <w:tcPr>
            <w:tcW w:w="1125" w:type="dxa"/>
            <w:gridSpan w:val="3"/>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 w:val="22"/>
              </w:rPr>
              <w:t>合同名称</w:t>
            </w:r>
          </w:p>
        </w:tc>
        <w:tc>
          <w:tcPr>
            <w:tcW w:w="8100" w:type="dxa"/>
            <w:gridSpan w:val="11"/>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97" w:hRule="atLeast"/>
        </w:trPr>
        <w:tc>
          <w:tcPr>
            <w:tcW w:w="1125" w:type="dxa"/>
            <w:gridSpan w:val="3"/>
            <w:tcBorders>
              <w:top w:val="single" w:color="000000" w:sz="8" w:space="0"/>
              <w:left w:val="single" w:color="000000" w:sz="8" w:space="0"/>
              <w:bottom w:val="single" w:color="000000" w:sz="8" w:space="0"/>
              <w:right w:val="single" w:color="000000" w:sz="8" w:space="0"/>
            </w:tcBorders>
            <w:noWrap/>
            <w:vAlign w:val="center"/>
          </w:tcPr>
          <w:p>
            <w:pPr>
              <w:spacing w:line="360" w:lineRule="auto"/>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 w:val="22"/>
              </w:rPr>
              <w:t>检查时段</w:t>
            </w:r>
          </w:p>
        </w:tc>
        <w:tc>
          <w:tcPr>
            <w:tcW w:w="2085" w:type="dxa"/>
            <w:gridSpan w:val="4"/>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p>
        </w:tc>
        <w:tc>
          <w:tcPr>
            <w:tcW w:w="1170" w:type="dxa"/>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 w:val="22"/>
              </w:rPr>
              <w:t>填表时间</w:t>
            </w:r>
          </w:p>
        </w:tc>
        <w:tc>
          <w:tcPr>
            <w:tcW w:w="1920" w:type="dxa"/>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color w:val="000000"/>
                <w:kern w:val="0"/>
                <w:sz w:val="22"/>
              </w:rPr>
            </w:pPr>
          </w:p>
        </w:tc>
        <w:tc>
          <w:tcPr>
            <w:tcW w:w="865" w:type="dxa"/>
            <w:gridSpan w:val="2"/>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 w:val="22"/>
              </w:rPr>
              <w:t>填表人</w:t>
            </w:r>
          </w:p>
        </w:tc>
        <w:tc>
          <w:tcPr>
            <w:tcW w:w="2060" w:type="dxa"/>
            <w:gridSpan w:val="3"/>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810" w:hRule="atLeast"/>
        </w:trPr>
        <w:tc>
          <w:tcPr>
            <w:tcW w:w="450" w:type="dxa"/>
            <w:tcBorders>
              <w:top w:val="single" w:color="000000" w:sz="8" w:space="0"/>
              <w:bottom w:val="single" w:color="000000" w:sz="8" w:space="0"/>
              <w:right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p>
        </w:tc>
        <w:tc>
          <w:tcPr>
            <w:tcW w:w="660" w:type="dxa"/>
            <w:tcBorders>
              <w:top w:val="single" w:color="000000" w:sz="8" w:space="0"/>
              <w:left w:val="single" w:color="000000" w:sz="8" w:space="0"/>
              <w:bottom w:val="single" w:color="000000" w:sz="8" w:space="0"/>
              <w:right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项目</w:t>
            </w:r>
          </w:p>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名称</w:t>
            </w:r>
          </w:p>
        </w:tc>
        <w:tc>
          <w:tcPr>
            <w:tcW w:w="570" w:type="dxa"/>
            <w:gridSpan w:val="2"/>
            <w:tcBorders>
              <w:top w:val="single" w:color="000000" w:sz="8" w:space="0"/>
              <w:left w:val="single" w:color="000000" w:sz="8" w:space="0"/>
              <w:bottom w:val="single" w:color="000000" w:sz="8" w:space="0"/>
              <w:right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项目</w:t>
            </w:r>
          </w:p>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分值</w:t>
            </w:r>
          </w:p>
        </w:tc>
        <w:tc>
          <w:tcPr>
            <w:tcW w:w="675" w:type="dxa"/>
            <w:tcBorders>
              <w:top w:val="single" w:color="000000" w:sz="8" w:space="0"/>
              <w:left w:val="single" w:color="000000" w:sz="8" w:space="0"/>
              <w:bottom w:val="single" w:color="000000" w:sz="8" w:space="0"/>
              <w:right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子项分值</w:t>
            </w:r>
          </w:p>
        </w:tc>
        <w:tc>
          <w:tcPr>
            <w:tcW w:w="555" w:type="dxa"/>
            <w:tcBorders>
              <w:top w:val="single" w:color="000000" w:sz="8" w:space="0"/>
              <w:left w:val="single" w:color="000000" w:sz="8" w:space="0"/>
              <w:bottom w:val="single" w:color="000000" w:sz="8" w:space="0"/>
              <w:right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子项内容</w:t>
            </w:r>
          </w:p>
        </w:tc>
        <w:tc>
          <w:tcPr>
            <w:tcW w:w="4185" w:type="dxa"/>
            <w:gridSpan w:val="4"/>
            <w:tcBorders>
              <w:top w:val="single" w:color="000000" w:sz="8" w:space="0"/>
              <w:left w:val="single" w:color="000000" w:sz="8" w:space="0"/>
              <w:bottom w:val="single" w:color="000000" w:sz="8" w:space="0"/>
              <w:right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评分标准</w:t>
            </w:r>
          </w:p>
        </w:tc>
        <w:tc>
          <w:tcPr>
            <w:tcW w:w="615" w:type="dxa"/>
            <w:gridSpan w:val="2"/>
            <w:tcBorders>
              <w:top w:val="single" w:color="000000" w:sz="8" w:space="0"/>
              <w:left w:val="single" w:color="000000" w:sz="8" w:space="0"/>
              <w:bottom w:val="single" w:color="000000" w:sz="8" w:space="0"/>
              <w:right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子项</w:t>
            </w:r>
          </w:p>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得分</w:t>
            </w:r>
          </w:p>
        </w:tc>
        <w:tc>
          <w:tcPr>
            <w:tcW w:w="675" w:type="dxa"/>
            <w:tcBorders>
              <w:top w:val="single" w:color="000000" w:sz="8" w:space="0"/>
              <w:left w:val="single" w:color="000000" w:sz="8" w:space="0"/>
              <w:bottom w:val="single" w:color="000000" w:sz="8" w:space="0"/>
              <w:right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项目</w:t>
            </w:r>
          </w:p>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得分</w:t>
            </w:r>
          </w:p>
        </w:tc>
        <w:tc>
          <w:tcPr>
            <w:tcW w:w="840" w:type="dxa"/>
            <w:tcBorders>
              <w:top w:val="single" w:color="000000" w:sz="8" w:space="0"/>
              <w:left w:val="single" w:color="000000" w:sz="8" w:space="0"/>
              <w:bottom w:val="single" w:color="000000" w:sz="8" w:space="0"/>
            </w:tcBorders>
            <w:shd w:val="clear" w:color="auto" w:fill="C7DAF1"/>
            <w:noWrap/>
            <w:vAlign w:val="center"/>
          </w:tcPr>
          <w:p>
            <w:pPr>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备注</w:t>
            </w: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821" w:hRule="atLeast"/>
        </w:trPr>
        <w:tc>
          <w:tcPr>
            <w:tcW w:w="450" w:type="dxa"/>
            <w:vMerge w:val="restart"/>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生产及运行管理</w:t>
            </w:r>
          </w:p>
        </w:tc>
        <w:tc>
          <w:tcPr>
            <w:tcW w:w="570" w:type="dxa"/>
            <w:gridSpan w:val="2"/>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24</w:t>
            </w: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工艺管理</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制定完善、操作性强的工艺运行管理制度、操作规程、岗位责任制度和工艺运行管理作业指导书，每少一项，扣0.5分。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restart"/>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07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生产技术及实施</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（1）制定科学、合理的年度、季度、月度生产计划，但未按计划有序实施或未按时进行有效总结，扣1分。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（2）未制定科学、合理的年度、季度、月度生产计划，不得分。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71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污泥处理</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（1）污泥含水率高于60%，扣3分。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（2）未向甲方报送合格运输单位、处置地点，该小项不得分。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（3）未送往向甲方报送的处置地点进行污泥处置，该小项不得分。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40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消毒</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（1）消毒设施未能正常运行，该小项不得分。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（2）消毒设施正常运行，但无安全防护措施或安全防护措施不完善，每次扣1分。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（3）消毒设施未能正常运行，无相关设备更新及维护保养记录， 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643"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格栅机</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（1）格栅机堵塞，该小项不得分。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（2）格栅机未能正常运行，无相关设备更新及维护保养记录，该小项不得分。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596"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提升泵房</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（1）无泵房管理制度，该小项不得分；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（2）有泵房管理制度但未上墙，扣1分；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（3）提升泵房设备故障，导致设备无法运行，该小项不得分；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（4）无相关设备更新及维护保养记录，该小项不得分。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13"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污泥脱水间</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（1）皮带输送机未能正常运行，每次扣1分。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（2）空气压缩机未能正常运行，每次扣1分。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（3）起重机未能正常运行，该小项不得分。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（4）无相关设备更新及维护保养记录，该小项不得分。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043"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除臭</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（1）除臭系统未运行或无除臭系统，厂界臭气不达标的，该小项不得分。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（2）被投诉臭气扰民且查实的，该小项不得分。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71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生化池</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（1）泥水混合不均匀，有明显泥水分层，此小项不得分；搅拌器未能正常运转，每台扣0.5分；非工艺原因曝气不均匀，每处扣0.5分。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（2）实时工艺参数监测不全或不合理，运行参数控制不到位，该小项不得分。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64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加磁</w:t>
            </w:r>
          </w:p>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高效沉淀池</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（1）出水堰配水不正常，出水堰严重漏水，此小项不得分。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（2）污泥浓度不正常，出现翻泥现象，此小项不得分。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（3）池面有大面积或大块浮泥、浮渣，直观感受差此项不得分。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200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突发情况备案管理</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厂内出现突发情况导致减产的，需在情况发生1小时内报告甲方，在完成维护或恢复生产后及时报告甲方，并在完成抢修后2个工作日内提供正式报告。</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（1）报告及备案，但不及时的，扣1分。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（2）出现应急情况未进行报备的，该小项不得分。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2105" w:hRule="atLeast"/>
        </w:trPr>
        <w:tc>
          <w:tcPr>
            <w:tcW w:w="450" w:type="dxa"/>
            <w:vMerge w:val="restart"/>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设备及设施运行管理</w:t>
            </w:r>
          </w:p>
        </w:tc>
        <w:tc>
          <w:tcPr>
            <w:tcW w:w="570" w:type="dxa"/>
            <w:gridSpan w:val="2"/>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20</w:t>
            </w: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配套设施及备品备件</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（1）维修车间配置未能满足厂内一定设备的维修要求，仓库库容未能满足厂内备用配件存放要求,扣1分。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（2）备品备件不足的，扣1分。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（3）备品备件的记录不及时、准确、可靠，扣1分。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（4）无备品备件，不得分。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restart"/>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322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设备运行</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r>
              <w:rPr>
                <w:rFonts w:hint="eastAsia" w:ascii="仿宋_GB2312" w:hAnsi="仿宋_GB2312" w:eastAsia="仿宋_GB2312" w:cs="仿宋_GB2312"/>
                <w:szCs w:val="21"/>
              </w:rPr>
              <w:t>非不可抗力原因或非其它不可避免外部原因导致的暂停服务，</w:t>
            </w:r>
            <w:r>
              <w:rPr>
                <w:rFonts w:hint="eastAsia" w:ascii="仿宋_GB2312" w:hAnsi="仿宋_GB2312" w:eastAsia="仿宋_GB2312" w:cs="仿宋_GB2312"/>
                <w:color w:val="000000"/>
                <w:szCs w:val="21"/>
              </w:rPr>
              <w:t>此小项不得分</w:t>
            </w:r>
            <w:r>
              <w:rPr>
                <w:rFonts w:hint="eastAsia" w:ascii="仿宋_GB2312" w:hAnsi="仿宋_GB2312" w:eastAsia="仿宋_GB2312" w:cs="仿宋_GB2312"/>
                <w:szCs w:val="21"/>
              </w:rPr>
              <w:t>；</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（2）厂内影响设备正常生产的运营设备故障或停机未报备，每次扣2分。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（3）污泥脱水环节：污泥输送机、污泥输送泵可与污泥脱水机、 污泥料仓联动运行不正常此小项不得分。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（4）所有设备外观整洁，螺栓齐全牢固；设备无腐蚀，无渗漏， 润滑充分；电气设备符合安全要求；附属设备工作正常；整机运 行平稳可靠，无异响；仪器仪表准确灵敏。单项不达标扣1分。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321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中控系统</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（1）数据、信号采集覆盖生产全过程，自控仪表的测量精度满足生产需要，无明显误差。数据、信号采集每缺一项扣1分，数据传输、测量精度不达到标准，每项扣0.5分。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（2）系统对监测控制系统的所有数据进行自动存档，具有专业的数据处理软件，能对历史数据进行查询、统计等处理。以上不符合要求的，每项扣1分。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（3）系统未能实时反映工艺参数、故障，不能实时报警的，该小项不得分。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946"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维护保养</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（1）厂内未制定设备及设施维护保养计划，扣2分。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（2）未定期进行检查和维护，扣2分。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（3）需进行计划性减产施工、维护的，需提前5个工作日征得甲方同意，在完成维护后及时报告甲方，报告及备案不及时的，扣3分，未进行报备的，维护保养部分不得分。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2693" w:hRule="atLeast"/>
        </w:trPr>
        <w:tc>
          <w:tcPr>
            <w:tcW w:w="450" w:type="dxa"/>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水质管理</w:t>
            </w:r>
          </w:p>
        </w:tc>
        <w:tc>
          <w:tcPr>
            <w:tcW w:w="570"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10</w:t>
            </w: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10</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在线监测系统</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（1）无自动取样设备或自动取样设备不能正常运行的，该项不得分。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（2）现场未安装在线仪表或不按工艺要求布设或参数设置不合理或运行不正常，每一项扣5分。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（3）数据异常、故障等情况未及时存档的异常数据，每少一项扣2分。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（4）在线监测数据异常未及时通报甲方，每次扣5分。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335" w:hRule="atLeast"/>
        </w:trPr>
        <w:tc>
          <w:tcPr>
            <w:tcW w:w="450" w:type="dxa"/>
            <w:vMerge w:val="restart"/>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安全管理</w:t>
            </w:r>
          </w:p>
        </w:tc>
        <w:tc>
          <w:tcPr>
            <w:tcW w:w="570" w:type="dxa"/>
            <w:gridSpan w:val="2"/>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26</w:t>
            </w: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安全检查</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（1）未能每日至少组织一次全厂常规检查该小项不得分。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（2）常规检查台账及安全隐患排除记录不齐全，每少一项扣1分。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restart"/>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57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安全事故</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出现安全责任事故的，安全管理部分不得分。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60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人员管控</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存在保安人员不在岗，或仪容着装不统一、不规整；保安岗亭杂乱，没有配备必要自卫装备，管理区围墙有隐患等；保安人员在岗履职尽责不到位，人员、车辆进入营院登记制度未严格落实，每项扣1分。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163"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危险品管理</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易燃、易爆品、剧毒等危险品日常管理不到位，未由专门部门负 责保管，使用时无规范手续，剧毒药品未设专柜双人双锁保管，每项扣1分。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69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作业防护</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从事危险作业无专人负责监护；作业现场未配备必需的安全保护措施和消防设施；工作人员在岗期间未遵守安全操作规程，未穿戴劳保用品（例如手套、眼镜或防护服等），未做好安全防范工作。每项扣2分。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29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安全标识</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易发生事故处未设有警示牌；有限空间外显眼处未张贴警示标志；操作人员维护或检修电气设备时未挂检修标志牌，作业时无人负责监护；厂区道路未设机动车辆限速行驶标志牌。每项扣1分。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13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设施隐患</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设施设备存在安全隐患，例如：损坏的电气设备未由及时修复；已开启的紫外线消毒灯管裸露空气中；电气设备外壳无有效的接发线。以上存在一项该小项不得分。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84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危险作业</w:t>
            </w:r>
          </w:p>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审批</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操作人员在需要进行高空、水下和有限空间等危险作业时，未报甲方且获得批准，安全管理部分不得分。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63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应急训练</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未定期组织演练、应急训练及安全会议，安全管理部分不得分。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2588"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安防装置</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构筑物明显位置未配备防护救生设施及用品；有毒、有害场所配备安全防护的仪器、仪表和设备，未设立必要的报警装置；未在有限空间内配置防护呼吸的逃离装置；未按照相关规定定期对消 防设施、避雷和防爆装置进行测试、维修；未定期检查和更换安全防护用品。定期检查和更换安全防护用品，确保功能完好。每发现一项过期或失去功能该项不得分。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748" w:hRule="atLeast"/>
        </w:trPr>
        <w:tc>
          <w:tcPr>
            <w:tcW w:w="450" w:type="dxa"/>
            <w:vMerge w:val="restart"/>
            <w:tcBorders>
              <w:top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restart"/>
            <w:tcBorders>
              <w:top w:val="single" w:color="000000" w:sz="8" w:space="0"/>
              <w:left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环境管理</w:t>
            </w:r>
          </w:p>
        </w:tc>
        <w:tc>
          <w:tcPr>
            <w:tcW w:w="570" w:type="dxa"/>
            <w:gridSpan w:val="2"/>
            <w:vMerge w:val="restart"/>
            <w:tcBorders>
              <w:top w:val="single" w:color="000000" w:sz="8" w:space="0"/>
              <w:left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10</w:t>
            </w: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szCs w:val="21"/>
              </w:rPr>
              <w:t>环境污染责任事故</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出现以下情形，环境管理部分不得分：</w:t>
            </w:r>
          </w:p>
          <w:p>
            <w:pPr>
              <w:rPr>
                <w:rFonts w:ascii="仿宋_GB2312" w:hAnsi="仿宋_GB2312" w:eastAsia="仿宋_GB2312" w:cs="仿宋_GB2312"/>
                <w:szCs w:val="21"/>
              </w:rPr>
            </w:pPr>
            <w:r>
              <w:rPr>
                <w:rFonts w:hint="eastAsia" w:ascii="仿宋_GB2312" w:hAnsi="仿宋_GB2312" w:eastAsia="仿宋_GB2312" w:cs="仿宋_GB2312"/>
                <w:szCs w:val="21"/>
              </w:rPr>
              <w:t>（1）合同期内出现环境污染责任事故的；</w:t>
            </w:r>
          </w:p>
          <w:p>
            <w:pPr>
              <w:rPr>
                <w:rFonts w:ascii="仿宋_GB2312" w:hAnsi="仿宋_GB2312" w:eastAsia="仿宋_GB2312" w:cs="仿宋_GB2312"/>
                <w:szCs w:val="21"/>
              </w:rPr>
            </w:pPr>
            <w:r>
              <w:rPr>
                <w:rFonts w:hint="eastAsia" w:ascii="仿宋_GB2312" w:hAnsi="仿宋_GB2312" w:eastAsia="仿宋_GB2312" w:cs="仿宋_GB2312"/>
                <w:szCs w:val="21"/>
              </w:rPr>
              <w:t>（2）存在偷排、故意漏排行为的；</w:t>
            </w:r>
          </w:p>
          <w:p>
            <w:pPr>
              <w:rPr>
                <w:rFonts w:ascii="仿宋_GB2312" w:hAnsi="仿宋_GB2312" w:eastAsia="仿宋_GB2312" w:cs="仿宋_GB2312"/>
                <w:color w:val="000000"/>
                <w:szCs w:val="21"/>
              </w:rPr>
            </w:pPr>
            <w:r>
              <w:rPr>
                <w:rFonts w:hint="eastAsia" w:ascii="仿宋_GB2312" w:hAnsi="仿宋_GB2312" w:eastAsia="仿宋_GB2312" w:cs="仿宋_GB2312"/>
                <w:szCs w:val="21"/>
              </w:rPr>
              <w:t>（3）未遵守国家及深圳市关于噪声、空气等环境保护的相关规定，臭气排放标准及噪声控制标准超标的。</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restart"/>
            <w:tcBorders>
              <w:top w:val="single" w:color="000000" w:sz="8" w:space="0"/>
              <w:left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restart"/>
            <w:tcBorders>
              <w:top w:val="single" w:color="000000" w:sz="8" w:space="0"/>
              <w:left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430" w:hRule="atLeast"/>
        </w:trPr>
        <w:tc>
          <w:tcPr>
            <w:tcW w:w="450" w:type="dxa"/>
            <w:vMerge w:val="continue"/>
            <w:tcBorders>
              <w:right w:val="single" w:color="000000" w:sz="8" w:space="0"/>
            </w:tcBorders>
            <w:noWrap/>
            <w:vAlign w:val="center"/>
          </w:tcPr>
          <w:p>
            <w:pPr>
              <w:jc w:val="center"/>
            </w:pPr>
          </w:p>
        </w:tc>
        <w:tc>
          <w:tcPr>
            <w:tcW w:w="660" w:type="dxa"/>
            <w:vMerge w:val="continue"/>
            <w:tcBorders>
              <w:left w:val="single" w:color="000000" w:sz="8" w:space="0"/>
              <w:right w:val="single" w:color="000000" w:sz="8" w:space="0"/>
            </w:tcBorders>
            <w:noWrap/>
            <w:vAlign w:val="center"/>
          </w:tcPr>
          <w:p>
            <w:pPr>
              <w:jc w:val="center"/>
            </w:pPr>
          </w:p>
        </w:tc>
        <w:tc>
          <w:tcPr>
            <w:tcW w:w="570" w:type="dxa"/>
            <w:gridSpan w:val="2"/>
            <w:vMerge w:val="continue"/>
            <w:tcBorders>
              <w:left w:val="single" w:color="000000" w:sz="8" w:space="0"/>
              <w:right w:val="single" w:color="000000" w:sz="8" w:space="0"/>
            </w:tcBorders>
            <w:noWrap/>
            <w:vAlign w:val="center"/>
          </w:tcPr>
          <w:p>
            <w:pPr>
              <w:jc w:val="cente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污泥淤泥处置</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szCs w:val="21"/>
              </w:rPr>
              <w:t>本项目产生的污泥及淤泥，堆放时间超过6小时，未将污泥及淤泥未运至合法的接纳场所的，每发现一次扣2分，至环境管理部分总分扣完为止。</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left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left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388" w:hRule="atLeast"/>
        </w:trPr>
        <w:tc>
          <w:tcPr>
            <w:tcW w:w="450" w:type="dxa"/>
            <w:vMerge w:val="continue"/>
            <w:tcBorders>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卫生保洁</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垃圾堆放、道路不通、环境绿化状况不良、外墙粉刷脱落等情况，未在固定时间内修复的，每项扣1分。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836"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绿化管养</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（1）景观绿化未进行管养的每处扣1分。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（2）修剪后的杂草未进行清理的每处扣0.5分。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94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办公及生活区</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办公室内物品摆放整齐，卫生整洁，淋浴室、卫生间设施齐全，无损坏，无异味。以上一项未满足要求扣1分。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335"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构筑物</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构筑物存在渗漏、鼓起、脱落等现象；构筑物及各种阀门、护栏 、爬梯、管道和支架等不完善，且未进行防腐处理；各种工艺管线未按要求张贴名称或标识。以上每项扣1分。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260" w:hRule="atLeast"/>
        </w:trPr>
        <w:tc>
          <w:tcPr>
            <w:tcW w:w="450" w:type="dxa"/>
            <w:vMerge w:val="restart"/>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档案及信息管理</w:t>
            </w:r>
          </w:p>
        </w:tc>
        <w:tc>
          <w:tcPr>
            <w:tcW w:w="570" w:type="dxa"/>
            <w:gridSpan w:val="2"/>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10</w:t>
            </w: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污水台帐</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（1）运行台帐记录不齐全或存在错误的，每缺一项扣1分。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（2）记录数据不真实或无运行台帐该小项不得分。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restart"/>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restart"/>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073"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污泥台帐</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（1）台帐不齐全或存在错误的，每缺一项扣1分。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（2）记录数据不真实或无台帐该小项不得分。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85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设备及在线仪表台帐</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（1）台帐不齐全或存在错误的，每缺一项扣1分。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（2）台帐记录不真实或无台帐该小项不得分。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93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中控系统</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（1）中控系统数据不齐全，每少一项扣1分；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（2）中控系统管理制度不完善，扣1分；无管理制度该小项不得 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200" w:hRule="atLeast"/>
        </w:trPr>
        <w:tc>
          <w:tcPr>
            <w:tcW w:w="450" w:type="dxa"/>
            <w:vMerge w:val="continue"/>
            <w:tcBorders>
              <w:top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60"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570" w:type="dxa"/>
            <w:gridSpan w:val="2"/>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555" w:type="dxa"/>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档案管理</w:t>
            </w:r>
          </w:p>
        </w:tc>
        <w:tc>
          <w:tcPr>
            <w:tcW w:w="4185" w:type="dxa"/>
            <w:gridSpan w:val="4"/>
            <w:tcBorders>
              <w:top w:val="single" w:color="000000" w:sz="8" w:space="0"/>
              <w:left w:val="single" w:color="000000" w:sz="8" w:space="0"/>
              <w:bottom w:val="single" w:color="000000" w:sz="8" w:space="0"/>
              <w:right w:val="single" w:color="000000" w:sz="8" w:space="0"/>
            </w:tcBorders>
            <w:noWrap/>
            <w:vAlign w:val="center"/>
          </w:tcPr>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（1）未建立档案管理制度，该小项不得分。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（2）档案管理制度不完善，扣1分。</w:t>
            </w:r>
          </w:p>
          <w:p>
            <w:pP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（3）内业资料未按档案管理制度进行归档，扣1分。</w:t>
            </w:r>
          </w:p>
        </w:tc>
        <w:tc>
          <w:tcPr>
            <w:tcW w:w="615"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675" w:type="dxa"/>
            <w:vMerge w:val="continue"/>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840" w:type="dxa"/>
            <w:vMerge w:val="continue"/>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13" w:hRule="atLeast"/>
        </w:trPr>
        <w:tc>
          <w:tcPr>
            <w:tcW w:w="2355" w:type="dxa"/>
            <w:gridSpan w:val="5"/>
            <w:tcBorders>
              <w:top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rPr>
              <w:t>月检查得分</w:t>
            </w:r>
          </w:p>
        </w:tc>
        <w:tc>
          <w:tcPr>
            <w:tcW w:w="5355" w:type="dxa"/>
            <w:gridSpan w:val="7"/>
            <w:tcBorders>
              <w:top w:val="single" w:color="000000" w:sz="8" w:space="0"/>
              <w:left w:val="single" w:color="000000" w:sz="8" w:space="0"/>
              <w:bottom w:val="single" w:color="000000" w:sz="8" w:space="0"/>
              <w:right w:val="single" w:color="000000" w:sz="8" w:space="0"/>
            </w:tcBorders>
            <w:noWrap/>
            <w:vAlign w:val="center"/>
          </w:tcPr>
          <w:p>
            <w:pPr>
              <w:jc w:val="center"/>
              <w:rPr>
                <w:rFonts w:ascii="仿宋_GB2312" w:hAnsi="仿宋_GB2312" w:eastAsia="仿宋_GB2312" w:cs="仿宋_GB2312"/>
                <w:color w:val="000000"/>
                <w:szCs w:val="21"/>
              </w:rPr>
            </w:pPr>
          </w:p>
        </w:tc>
        <w:tc>
          <w:tcPr>
            <w:tcW w:w="1515" w:type="dxa"/>
            <w:gridSpan w:val="2"/>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各项目得分累加</w:t>
            </w: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052" w:hRule="atLeast"/>
        </w:trPr>
        <w:tc>
          <w:tcPr>
            <w:tcW w:w="2355" w:type="dxa"/>
            <w:gridSpan w:val="5"/>
            <w:tcBorders>
              <w:top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kern w:val="0"/>
                <w:szCs w:val="21"/>
              </w:rPr>
              <w:t>月考核得分</w:t>
            </w:r>
          </w:p>
        </w:tc>
        <w:tc>
          <w:tcPr>
            <w:tcW w:w="6870" w:type="dxa"/>
            <w:gridSpan w:val="9"/>
            <w:tcBorders>
              <w:top w:val="single" w:color="000000" w:sz="8" w:space="0"/>
              <w:left w:val="single" w:color="000000" w:sz="8" w:space="0"/>
              <w:bottom w:val="single" w:color="000000" w:sz="8" w:space="0"/>
            </w:tcBorders>
            <w:noWrap/>
            <w:vAlign w:val="center"/>
          </w:tcPr>
          <w:p>
            <w:pPr>
              <w:jc w:val="center"/>
              <w:rPr>
                <w:rFonts w:ascii="仿宋_GB2312" w:hAnsi="仿宋_GB2312" w:eastAsia="仿宋_GB2312" w:cs="仿宋_GB2312"/>
                <w:color w:val="000000"/>
                <w:szCs w:val="21"/>
              </w:rPr>
            </w:pP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310" w:hRule="atLeast"/>
        </w:trPr>
        <w:tc>
          <w:tcPr>
            <w:tcW w:w="2355" w:type="dxa"/>
            <w:gridSpan w:val="5"/>
            <w:tcBorders>
              <w:top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lang w:eastAsia="zh-CN"/>
              </w:rPr>
              <w:t>业务部门</w:t>
            </w:r>
            <w:r>
              <w:rPr>
                <w:rFonts w:hint="eastAsia" w:ascii="仿宋_GB2312" w:hAnsi="仿宋_GB2312" w:eastAsia="仿宋_GB2312" w:cs="仿宋_GB2312"/>
                <w:b/>
                <w:bCs/>
                <w:color w:val="000000"/>
                <w:kern w:val="0"/>
                <w:szCs w:val="21"/>
              </w:rPr>
              <w:t>现场负责人</w:t>
            </w:r>
          </w:p>
          <w:p>
            <w:pPr>
              <w:adjustRightInd w:val="0"/>
              <w:snapToGrid w:val="0"/>
              <w:jc w:val="center"/>
              <w:rPr>
                <w:rFonts w:ascii="仿宋_GB2312" w:hAnsi="仿宋_GB2312" w:eastAsia="仿宋_GB2312" w:cs="仿宋_GB2312"/>
                <w:color w:val="000000"/>
                <w:szCs w:val="21"/>
              </w:rPr>
            </w:pPr>
            <w:r>
              <w:rPr>
                <w:rFonts w:hint="eastAsia" w:ascii="仿宋_GB2312" w:hAnsi="仿宋_GB2312" w:eastAsia="仿宋_GB2312" w:cs="仿宋_GB2312"/>
                <w:b/>
                <w:bCs/>
                <w:color w:val="000000"/>
                <w:kern w:val="0"/>
                <w:szCs w:val="21"/>
              </w:rPr>
              <w:t>意见</w:t>
            </w:r>
          </w:p>
        </w:tc>
        <w:tc>
          <w:tcPr>
            <w:tcW w:w="6870" w:type="dxa"/>
            <w:gridSpan w:val="9"/>
            <w:tcBorders>
              <w:top w:val="single" w:color="000000" w:sz="8" w:space="0"/>
              <w:left w:val="single" w:color="000000" w:sz="8" w:space="0"/>
              <w:bottom w:val="single" w:color="000000" w:sz="8" w:space="0"/>
            </w:tcBorders>
            <w:noWrap/>
            <w:vAlign w:val="bottom"/>
          </w:tcPr>
          <w:p>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签名：                              日期：</w:t>
            </w: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495" w:hRule="atLeast"/>
        </w:trPr>
        <w:tc>
          <w:tcPr>
            <w:tcW w:w="2355" w:type="dxa"/>
            <w:gridSpan w:val="5"/>
            <w:tcBorders>
              <w:top w:val="single" w:color="000000" w:sz="8" w:space="0"/>
              <w:bottom w:val="single" w:color="000000" w:sz="8" w:space="0"/>
              <w:right w:val="single" w:color="000000" w:sz="8" w:space="0"/>
            </w:tcBorders>
            <w:noWrap/>
            <w:vAlign w:val="center"/>
          </w:tcPr>
          <w:p>
            <w:pPr>
              <w:adjustRightInd w:val="0"/>
              <w:snapToGrid w:val="0"/>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lang w:eastAsia="zh-CN"/>
              </w:rPr>
              <w:t>业务</w:t>
            </w:r>
            <w:r>
              <w:rPr>
                <w:rFonts w:hint="eastAsia" w:ascii="仿宋_GB2312" w:hAnsi="仿宋_GB2312" w:eastAsia="仿宋_GB2312" w:cs="仿宋_GB2312"/>
                <w:b/>
                <w:bCs/>
                <w:color w:val="000000"/>
                <w:kern w:val="0"/>
                <w:szCs w:val="21"/>
              </w:rPr>
              <w:t>部门负责人</w:t>
            </w:r>
          </w:p>
          <w:p>
            <w:pPr>
              <w:adjustRightInd w:val="0"/>
              <w:snapToGrid w:val="0"/>
              <w:jc w:val="center"/>
              <w:rPr>
                <w:rFonts w:ascii="仿宋_GB2312" w:hAnsi="仿宋_GB2312" w:eastAsia="仿宋_GB2312" w:cs="仿宋_GB2312"/>
                <w:color w:val="000000"/>
                <w:szCs w:val="21"/>
              </w:rPr>
            </w:pPr>
            <w:r>
              <w:rPr>
                <w:rFonts w:hint="eastAsia" w:ascii="仿宋_GB2312" w:hAnsi="仿宋_GB2312" w:eastAsia="仿宋_GB2312" w:cs="仿宋_GB2312"/>
                <w:b/>
                <w:bCs/>
                <w:color w:val="000000"/>
                <w:kern w:val="0"/>
                <w:szCs w:val="21"/>
              </w:rPr>
              <w:t>意见</w:t>
            </w:r>
          </w:p>
        </w:tc>
        <w:tc>
          <w:tcPr>
            <w:tcW w:w="6870" w:type="dxa"/>
            <w:gridSpan w:val="9"/>
            <w:tcBorders>
              <w:top w:val="single" w:color="000000" w:sz="8" w:space="0"/>
              <w:left w:val="single" w:color="000000" w:sz="8" w:space="0"/>
              <w:bottom w:val="single" w:color="000000" w:sz="8" w:space="0"/>
            </w:tcBorders>
            <w:noWrap/>
            <w:vAlign w:val="bottom"/>
          </w:tcPr>
          <w:p>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rPr>
              <w:t>签名：                              日期：</w:t>
            </w:r>
          </w:p>
        </w:tc>
      </w:tr>
      <w:tr>
        <w:tblPrEx>
          <w:tblBorders>
            <w:top w:val="single" w:color="000000" w:sz="8" w:space="0"/>
            <w:left w:val="single" w:color="000000" w:sz="8" w:space="0"/>
            <w:bottom w:val="single" w:color="000000" w:sz="8" w:space="0"/>
            <w:right w:val="single" w:color="000000" w:sz="8" w:space="0"/>
            <w:insideH w:val="dotted" w:color="auto" w:sz="4" w:space="0"/>
            <w:insideV w:val="dotted" w:color="auto" w:sz="4" w:space="0"/>
          </w:tblBorders>
          <w:tblCellMar>
            <w:top w:w="120" w:type="dxa"/>
            <w:left w:w="60" w:type="dxa"/>
            <w:bottom w:w="120" w:type="dxa"/>
            <w:right w:w="60" w:type="dxa"/>
          </w:tblCellMar>
        </w:tblPrEx>
        <w:trPr>
          <w:trHeight w:val="1420" w:hRule="atLeast"/>
        </w:trPr>
        <w:tc>
          <w:tcPr>
            <w:tcW w:w="2355" w:type="dxa"/>
            <w:gridSpan w:val="5"/>
            <w:tcBorders>
              <w:top w:val="single" w:color="000000" w:sz="8" w:space="0"/>
              <w:right w:val="single" w:color="000000" w:sz="8" w:space="0"/>
            </w:tcBorders>
            <w:noWrap/>
            <w:vAlign w:val="center"/>
          </w:tcPr>
          <w:p>
            <w:pPr>
              <w:adjustRightInd w:val="0"/>
              <w:snapToGrid w:val="0"/>
              <w:jc w:val="center"/>
              <w:rPr>
                <w:rFonts w:ascii="仿宋" w:hAnsi="仿宋" w:eastAsia="仿宋"/>
                <w:b/>
                <w:bCs/>
                <w:color w:val="000000"/>
                <w:kern w:val="0"/>
                <w:szCs w:val="21"/>
              </w:rPr>
            </w:pPr>
            <w:r>
              <w:rPr>
                <w:rFonts w:ascii="仿宋" w:hAnsi="仿宋" w:eastAsia="仿宋"/>
                <w:b/>
                <w:bCs/>
                <w:color w:val="000000"/>
                <w:kern w:val="0"/>
                <w:szCs w:val="21"/>
              </w:rPr>
              <w:t>分管副主任</w:t>
            </w:r>
          </w:p>
          <w:p>
            <w:pPr>
              <w:adjustRightInd w:val="0"/>
              <w:snapToGrid w:val="0"/>
              <w:jc w:val="center"/>
              <w:rPr>
                <w:rFonts w:ascii="宋体" w:hAnsi="宋体"/>
                <w:color w:val="000000"/>
                <w:szCs w:val="21"/>
              </w:rPr>
            </w:pPr>
            <w:r>
              <w:rPr>
                <w:rFonts w:ascii="仿宋" w:hAnsi="仿宋" w:eastAsia="仿宋"/>
                <w:b/>
                <w:bCs/>
                <w:color w:val="000000"/>
                <w:kern w:val="0"/>
                <w:szCs w:val="21"/>
              </w:rPr>
              <w:t>意见</w:t>
            </w:r>
          </w:p>
        </w:tc>
        <w:tc>
          <w:tcPr>
            <w:tcW w:w="6870" w:type="dxa"/>
            <w:gridSpan w:val="9"/>
            <w:tcBorders>
              <w:top w:val="single" w:color="000000" w:sz="8" w:space="0"/>
              <w:left w:val="single" w:color="000000" w:sz="8" w:space="0"/>
            </w:tcBorders>
            <w:noWrap/>
            <w:vAlign w:val="bottom"/>
          </w:tcPr>
          <w:p>
            <w:pPr>
              <w:rPr>
                <w:rFonts w:ascii="宋体" w:hAnsi="宋体"/>
                <w:color w:val="000000"/>
                <w:szCs w:val="21"/>
              </w:rPr>
            </w:pPr>
            <w:r>
              <w:rPr>
                <w:rFonts w:hint="eastAsia" w:ascii="仿宋" w:hAnsi="仿宋" w:eastAsia="仿宋"/>
                <w:color w:val="000000"/>
                <w:kern w:val="0"/>
                <w:szCs w:val="21"/>
              </w:rPr>
              <w:t>签名：                              日期：</w:t>
            </w:r>
          </w:p>
        </w:tc>
      </w:tr>
    </w:tbl>
    <w:p>
      <w:pPr>
        <w:snapToGrid w:val="0"/>
        <w:jc w:val="left"/>
        <w:rPr>
          <w:rFonts w:ascii="微软雅黑" w:hAnsi="微软雅黑" w:eastAsia="微软雅黑"/>
          <w:color w:val="000000"/>
          <w:szCs w:val="21"/>
        </w:rPr>
        <w:sectPr>
          <w:pgSz w:w="11906" w:h="16838"/>
          <w:pgMar w:top="2098" w:right="1474" w:bottom="1984" w:left="1588" w:header="0" w:footer="1474" w:gutter="0"/>
          <w:cols w:space="720" w:num="1"/>
          <w:docGrid w:type="lines" w:linePitch="312" w:charSpace="0"/>
        </w:sectPr>
      </w:pPr>
    </w:p>
    <w:p>
      <w:pPr>
        <w:spacing w:line="360" w:lineRule="auto"/>
        <w:jc w:val="center"/>
        <w:outlineLvl w:val="1"/>
        <w:rPr>
          <w:rFonts w:ascii="方正小标宋_GBK" w:hAnsi="方正小标宋_GBK" w:eastAsia="方正小标宋_GBK" w:cs="方正小标宋_GBK"/>
          <w:color w:val="000000"/>
          <w:kern w:val="0"/>
          <w:sz w:val="32"/>
          <w:szCs w:val="32"/>
        </w:rPr>
      </w:pPr>
      <w:r>
        <w:rPr>
          <w:rFonts w:hint="eastAsia" w:ascii="方正小标宋_GBK" w:hAnsi="方正小标宋_GBK" w:eastAsia="方正小标宋_GBK" w:cs="方正小标宋_GBK"/>
          <w:color w:val="000000"/>
          <w:kern w:val="0"/>
          <w:sz w:val="32"/>
          <w:szCs w:val="32"/>
        </w:rPr>
        <w:t>4.3  调蓄池运行（营）维护月工作失误评分表</w:t>
      </w:r>
    </w:p>
    <w:tbl>
      <w:tblPr>
        <w:tblStyle w:val="7"/>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20" w:type="dxa"/>
          <w:left w:w="60" w:type="dxa"/>
          <w:bottom w:w="120" w:type="dxa"/>
          <w:right w:w="60" w:type="dxa"/>
        </w:tblCellMar>
      </w:tblPr>
      <w:tblGrid>
        <w:gridCol w:w="1125"/>
        <w:gridCol w:w="2207"/>
        <w:gridCol w:w="1035"/>
        <w:gridCol w:w="13"/>
        <w:gridCol w:w="1230"/>
        <w:gridCol w:w="690"/>
        <w:gridCol w:w="865"/>
        <w:gridCol w:w="1715"/>
        <w:gridCol w:w="1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1125" w:type="dxa"/>
            <w:tcBorders>
              <w:bottom w:val="single" w:color="auto" w:sz="4" w:space="0"/>
            </w:tcBorders>
            <w:noWrap/>
            <w:vAlign w:val="center"/>
          </w:tcPr>
          <w:p>
            <w:pPr>
              <w:adjustRightInd w:val="0"/>
              <w:snapToGrid w:val="0"/>
              <w:jc w:val="center"/>
              <w:rPr>
                <w:rFonts w:ascii="仿宋" w:hAnsi="仿宋" w:eastAsia="仿宋"/>
                <w:b/>
                <w:bCs/>
                <w:color w:val="000000"/>
                <w:kern w:val="0"/>
                <w:szCs w:val="21"/>
              </w:rPr>
            </w:pPr>
            <w:r>
              <w:rPr>
                <w:rFonts w:ascii="仿宋" w:hAnsi="仿宋" w:eastAsia="仿宋"/>
                <w:color w:val="000000"/>
                <w:kern w:val="0"/>
                <w:sz w:val="22"/>
              </w:rPr>
              <w:t>合同名称</w:t>
            </w:r>
          </w:p>
        </w:tc>
        <w:tc>
          <w:tcPr>
            <w:tcW w:w="7770" w:type="dxa"/>
            <w:gridSpan w:val="8"/>
            <w:tcBorders>
              <w:bottom w:val="single" w:color="auto" w:sz="4" w:space="0"/>
            </w:tcBorders>
            <w:noWrap/>
            <w:vAlign w:val="center"/>
          </w:tcPr>
          <w:p>
            <w:pPr>
              <w:adjustRightInd w:val="0"/>
              <w:snapToGrid w:val="0"/>
              <w:jc w:val="center"/>
              <w:rPr>
                <w:rFonts w:ascii="仿宋" w:hAnsi="仿宋" w:eastAsia="仿宋"/>
                <w:b/>
                <w:bCs/>
                <w:color w:val="00000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1125" w:type="dxa"/>
            <w:tcBorders>
              <w:top w:val="single" w:color="auto" w:sz="4" w:space="0"/>
              <w:left w:val="single" w:color="auto" w:sz="4" w:space="0"/>
              <w:bottom w:val="nil"/>
              <w:right w:val="single" w:color="auto" w:sz="4" w:space="0"/>
            </w:tcBorders>
            <w:noWrap/>
            <w:vAlign w:val="center"/>
          </w:tcPr>
          <w:p>
            <w:pPr>
              <w:spacing w:line="360" w:lineRule="auto"/>
              <w:jc w:val="center"/>
              <w:rPr>
                <w:rFonts w:ascii="仿宋" w:hAnsi="仿宋" w:eastAsia="仿宋"/>
                <w:b/>
                <w:bCs/>
                <w:color w:val="000000"/>
                <w:kern w:val="0"/>
                <w:szCs w:val="21"/>
              </w:rPr>
            </w:pPr>
            <w:r>
              <w:rPr>
                <w:rFonts w:hint="eastAsia" w:ascii="仿宋" w:hAnsi="仿宋" w:eastAsia="仿宋"/>
                <w:color w:val="000000"/>
                <w:kern w:val="0"/>
                <w:sz w:val="22"/>
              </w:rPr>
              <w:t>检查时段</w:t>
            </w:r>
          </w:p>
        </w:tc>
        <w:tc>
          <w:tcPr>
            <w:tcW w:w="2207" w:type="dxa"/>
            <w:tcBorders>
              <w:top w:val="single" w:color="auto" w:sz="4" w:space="0"/>
              <w:left w:val="single" w:color="auto" w:sz="4" w:space="0"/>
              <w:bottom w:val="nil"/>
              <w:right w:val="single" w:color="auto" w:sz="4" w:space="0"/>
            </w:tcBorders>
            <w:noWrap/>
            <w:vAlign w:val="center"/>
          </w:tcPr>
          <w:p>
            <w:pPr>
              <w:adjustRightInd w:val="0"/>
              <w:snapToGrid w:val="0"/>
              <w:jc w:val="center"/>
              <w:rPr>
                <w:rFonts w:ascii="仿宋" w:hAnsi="仿宋" w:eastAsia="仿宋"/>
                <w:b/>
                <w:bCs/>
                <w:color w:val="000000"/>
                <w:kern w:val="0"/>
                <w:szCs w:val="21"/>
              </w:rPr>
            </w:pPr>
          </w:p>
        </w:tc>
        <w:tc>
          <w:tcPr>
            <w:tcW w:w="1048" w:type="dxa"/>
            <w:gridSpan w:val="2"/>
            <w:tcBorders>
              <w:top w:val="single" w:color="auto" w:sz="4" w:space="0"/>
              <w:left w:val="single" w:color="auto" w:sz="4" w:space="0"/>
              <w:bottom w:val="nil"/>
              <w:right w:val="single" w:color="auto" w:sz="4" w:space="0"/>
            </w:tcBorders>
            <w:noWrap/>
            <w:vAlign w:val="center"/>
          </w:tcPr>
          <w:p>
            <w:pPr>
              <w:adjustRightInd w:val="0"/>
              <w:snapToGrid w:val="0"/>
              <w:jc w:val="center"/>
              <w:rPr>
                <w:rFonts w:ascii="仿宋" w:hAnsi="仿宋" w:eastAsia="仿宋"/>
                <w:b/>
                <w:bCs/>
                <w:color w:val="000000"/>
                <w:kern w:val="0"/>
                <w:szCs w:val="21"/>
              </w:rPr>
            </w:pPr>
            <w:r>
              <w:rPr>
                <w:rFonts w:ascii="仿宋" w:hAnsi="仿宋" w:eastAsia="仿宋"/>
                <w:color w:val="000000"/>
                <w:kern w:val="0"/>
                <w:sz w:val="22"/>
              </w:rPr>
              <w:t>填表时间</w:t>
            </w:r>
          </w:p>
        </w:tc>
        <w:tc>
          <w:tcPr>
            <w:tcW w:w="1920" w:type="dxa"/>
            <w:gridSpan w:val="2"/>
            <w:tcBorders>
              <w:top w:val="single" w:color="auto" w:sz="4" w:space="0"/>
              <w:left w:val="single" w:color="auto" w:sz="4" w:space="0"/>
              <w:bottom w:val="nil"/>
              <w:right w:val="single" w:color="auto" w:sz="4" w:space="0"/>
            </w:tcBorders>
            <w:noWrap/>
            <w:vAlign w:val="center"/>
          </w:tcPr>
          <w:p>
            <w:pPr>
              <w:adjustRightInd w:val="0"/>
              <w:snapToGrid w:val="0"/>
              <w:jc w:val="center"/>
              <w:rPr>
                <w:rFonts w:ascii="仿宋" w:hAnsi="仿宋" w:eastAsia="仿宋"/>
                <w:color w:val="000000"/>
                <w:kern w:val="0"/>
                <w:sz w:val="22"/>
              </w:rPr>
            </w:pPr>
          </w:p>
        </w:tc>
        <w:tc>
          <w:tcPr>
            <w:tcW w:w="865" w:type="dxa"/>
            <w:tcBorders>
              <w:top w:val="single" w:color="auto" w:sz="4" w:space="0"/>
              <w:left w:val="single" w:color="auto" w:sz="4" w:space="0"/>
              <w:bottom w:val="nil"/>
              <w:right w:val="single" w:color="auto" w:sz="4" w:space="0"/>
            </w:tcBorders>
            <w:noWrap/>
            <w:vAlign w:val="center"/>
          </w:tcPr>
          <w:p>
            <w:pPr>
              <w:adjustRightInd w:val="0"/>
              <w:snapToGrid w:val="0"/>
              <w:jc w:val="center"/>
              <w:rPr>
                <w:rFonts w:ascii="仿宋" w:hAnsi="仿宋" w:eastAsia="仿宋"/>
                <w:b/>
                <w:bCs/>
                <w:color w:val="000000"/>
                <w:kern w:val="0"/>
                <w:szCs w:val="21"/>
              </w:rPr>
            </w:pPr>
            <w:r>
              <w:rPr>
                <w:rFonts w:ascii="仿宋" w:hAnsi="仿宋" w:eastAsia="仿宋"/>
                <w:color w:val="000000"/>
                <w:kern w:val="0"/>
                <w:sz w:val="22"/>
              </w:rPr>
              <w:t>填表人</w:t>
            </w:r>
          </w:p>
        </w:tc>
        <w:tc>
          <w:tcPr>
            <w:tcW w:w="1730" w:type="dxa"/>
            <w:gridSpan w:val="2"/>
            <w:tcBorders>
              <w:top w:val="single" w:color="auto" w:sz="4" w:space="0"/>
              <w:left w:val="single" w:color="auto" w:sz="4" w:space="0"/>
              <w:bottom w:val="nil"/>
              <w:right w:val="single" w:color="auto" w:sz="4" w:space="0"/>
            </w:tcBorders>
            <w:noWrap/>
            <w:vAlign w:val="center"/>
          </w:tcPr>
          <w:p>
            <w:pPr>
              <w:adjustRightInd w:val="0"/>
              <w:snapToGrid w:val="0"/>
              <w:jc w:val="center"/>
              <w:rPr>
                <w:rFonts w:ascii="仿宋" w:hAnsi="仿宋" w:eastAsia="仿宋"/>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555"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 w:hAnsi="仿宋" w:eastAsia="仿宋"/>
                <w:b/>
                <w:bCs/>
                <w:color w:val="000000"/>
                <w:kern w:val="0"/>
                <w:szCs w:val="21"/>
              </w:rPr>
            </w:pPr>
            <w:r>
              <w:rPr>
                <w:rFonts w:ascii="仿宋" w:hAnsi="仿宋" w:eastAsia="仿宋"/>
                <w:b/>
                <w:bCs/>
                <w:color w:val="000000"/>
                <w:kern w:val="0"/>
                <w:szCs w:val="21"/>
              </w:rPr>
              <w:t>项目</w:t>
            </w:r>
          </w:p>
        </w:tc>
        <w:tc>
          <w:tcPr>
            <w:tcW w:w="1035" w:type="dxa"/>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 w:hAnsi="仿宋" w:eastAsia="仿宋"/>
                <w:b/>
                <w:bCs/>
                <w:color w:val="000000"/>
                <w:kern w:val="0"/>
                <w:szCs w:val="21"/>
              </w:rPr>
            </w:pPr>
            <w:r>
              <w:rPr>
                <w:rFonts w:ascii="仿宋" w:hAnsi="仿宋" w:eastAsia="仿宋"/>
                <w:b/>
                <w:bCs/>
                <w:color w:val="000000"/>
                <w:kern w:val="0"/>
                <w:szCs w:val="21"/>
              </w:rPr>
              <w:t>次数</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 w:hAnsi="仿宋" w:eastAsia="仿宋"/>
                <w:b/>
                <w:bCs/>
                <w:color w:val="000000"/>
                <w:kern w:val="0"/>
                <w:szCs w:val="21"/>
              </w:rPr>
            </w:pPr>
            <w:r>
              <w:rPr>
                <w:rFonts w:hint="eastAsia" w:ascii="仿宋" w:hAnsi="仿宋" w:eastAsia="仿宋"/>
                <w:b/>
                <w:bCs/>
                <w:color w:val="000000"/>
                <w:kern w:val="0"/>
                <w:szCs w:val="21"/>
              </w:rPr>
              <w:t>失误项目</w:t>
            </w:r>
          </w:p>
          <w:p>
            <w:pPr>
              <w:adjustRightInd w:val="0"/>
              <w:snapToGrid w:val="0"/>
              <w:jc w:val="center"/>
              <w:rPr>
                <w:rFonts w:ascii="仿宋" w:hAnsi="仿宋" w:eastAsia="仿宋"/>
                <w:b/>
                <w:bCs/>
                <w:color w:val="000000"/>
                <w:kern w:val="0"/>
                <w:szCs w:val="21"/>
              </w:rPr>
            </w:pPr>
            <w:r>
              <w:rPr>
                <w:rFonts w:hint="eastAsia" w:ascii="仿宋" w:hAnsi="仿宋" w:eastAsia="仿宋"/>
                <w:b/>
                <w:bCs/>
                <w:color w:val="000000"/>
                <w:kern w:val="0"/>
                <w:szCs w:val="21"/>
              </w:rPr>
              <w:t>记</w:t>
            </w:r>
            <w:r>
              <w:rPr>
                <w:rFonts w:ascii="仿宋" w:hAnsi="仿宋" w:eastAsia="仿宋"/>
                <w:b/>
                <w:bCs/>
                <w:color w:val="000000"/>
                <w:kern w:val="0"/>
                <w:szCs w:val="21"/>
              </w:rPr>
              <w:t>分</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DDEBF7"/>
            <w:noWrap/>
            <w:vAlign w:val="center"/>
          </w:tcPr>
          <w:p>
            <w:pPr>
              <w:adjustRightInd w:val="0"/>
              <w:snapToGrid w:val="0"/>
              <w:jc w:val="center"/>
              <w:rPr>
                <w:rFonts w:ascii="仿宋" w:hAnsi="仿宋" w:eastAsia="仿宋"/>
                <w:b/>
                <w:bCs/>
                <w:color w:val="000000"/>
                <w:kern w:val="0"/>
                <w:szCs w:val="21"/>
              </w:rPr>
            </w:pPr>
            <w:r>
              <w:rPr>
                <w:rFonts w:hint="eastAsia" w:ascii="仿宋" w:hAnsi="仿宋" w:eastAsia="仿宋"/>
                <w:b/>
                <w:bCs/>
                <w:color w:val="000000"/>
                <w:kern w:val="0"/>
                <w:szCs w:val="21"/>
              </w:rPr>
              <w:t>记</w:t>
            </w:r>
            <w:r>
              <w:rPr>
                <w:rFonts w:ascii="仿宋" w:hAnsi="仿宋" w:eastAsia="仿宋"/>
                <w:b/>
                <w:bCs/>
                <w:color w:val="000000"/>
                <w:kern w:val="0"/>
                <w:szCs w:val="21"/>
              </w:rPr>
              <w:t>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620"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 w:val="22"/>
              </w:rPr>
            </w:pPr>
            <w:r>
              <w:rPr>
                <w:rFonts w:ascii="仿宋" w:hAnsi="仿宋" w:eastAsia="仿宋"/>
                <w:color w:val="000000"/>
                <w:kern w:val="0"/>
                <w:sz w:val="22"/>
              </w:rPr>
              <w:t>被新闻媒体曝光，责任认定为运行维护单位的，每次</w:t>
            </w:r>
            <w:r>
              <w:rPr>
                <w:rFonts w:hint="eastAsia" w:ascii="仿宋" w:hAnsi="仿宋" w:eastAsia="仿宋"/>
                <w:color w:val="000000"/>
                <w:kern w:val="0"/>
                <w:sz w:val="22"/>
              </w:rPr>
              <w:t>记</w:t>
            </w:r>
            <w:r>
              <w:rPr>
                <w:rFonts w:ascii="仿宋" w:hAnsi="仿宋" w:eastAsia="仿宋"/>
                <w:color w:val="000000"/>
                <w:kern w:val="0"/>
                <w:sz w:val="22"/>
              </w:rPr>
              <w:t>5分。</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006"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 w:val="22"/>
              </w:rPr>
            </w:pPr>
            <w:r>
              <w:rPr>
                <w:rFonts w:ascii="仿宋" w:hAnsi="仿宋" w:eastAsia="仿宋"/>
                <w:color w:val="000000"/>
                <w:kern w:val="0"/>
                <w:sz w:val="22"/>
              </w:rPr>
              <w:t>被上级领导（包括市、区河长），经核查属实，每次</w:t>
            </w:r>
            <w:r>
              <w:rPr>
                <w:rFonts w:hint="eastAsia" w:ascii="仿宋" w:hAnsi="仿宋" w:eastAsia="仿宋"/>
                <w:color w:val="000000"/>
                <w:kern w:val="0"/>
                <w:sz w:val="22"/>
              </w:rPr>
              <w:t>记</w:t>
            </w:r>
            <w:r>
              <w:rPr>
                <w:rFonts w:ascii="仿宋" w:hAnsi="仿宋" w:eastAsia="仿宋"/>
                <w:color w:val="000000"/>
                <w:kern w:val="0"/>
                <w:sz w:val="22"/>
              </w:rPr>
              <w:t>5分。</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r>
              <w:rPr>
                <w:rFonts w:ascii="仿宋" w:hAnsi="仿宋" w:eastAsia="仿宋"/>
                <w:color w:val="000000"/>
                <w:kern w:val="0"/>
                <w:szCs w:val="21"/>
              </w:rPr>
              <w:t>　</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435"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 w:val="22"/>
              </w:rPr>
            </w:pPr>
            <w:r>
              <w:rPr>
                <w:rFonts w:ascii="仿宋" w:hAnsi="仿宋" w:eastAsia="仿宋"/>
                <w:color w:val="000000"/>
                <w:kern w:val="0"/>
                <w:sz w:val="22"/>
              </w:rPr>
              <w:t>被市民投诉，责任认定为运行维护单位的，每投诉一次，</w:t>
            </w:r>
            <w:r>
              <w:rPr>
                <w:rFonts w:hint="eastAsia" w:ascii="仿宋" w:hAnsi="仿宋" w:eastAsia="仿宋"/>
                <w:color w:val="000000"/>
                <w:kern w:val="0"/>
                <w:sz w:val="22"/>
              </w:rPr>
              <w:t>记</w:t>
            </w:r>
            <w:r>
              <w:rPr>
                <w:rFonts w:ascii="仿宋" w:hAnsi="仿宋" w:eastAsia="仿宋"/>
                <w:color w:val="000000"/>
                <w:kern w:val="0"/>
                <w:sz w:val="22"/>
              </w:rPr>
              <w:t>2分。</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r>
              <w:rPr>
                <w:rFonts w:ascii="仿宋" w:hAnsi="仿宋" w:eastAsia="仿宋"/>
                <w:color w:val="000000"/>
                <w:kern w:val="0"/>
                <w:szCs w:val="21"/>
              </w:rPr>
              <w:t>　</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980"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 w:val="22"/>
              </w:rPr>
            </w:pPr>
            <w:r>
              <w:rPr>
                <w:rFonts w:ascii="仿宋" w:hAnsi="仿宋" w:eastAsia="仿宋"/>
                <w:color w:val="000000"/>
                <w:kern w:val="0"/>
                <w:sz w:val="22"/>
              </w:rPr>
              <w:t>遇重大事项或活动，发生运维不及时、不达标、配合工作不到位等问题，每项每次</w:t>
            </w:r>
            <w:r>
              <w:rPr>
                <w:rFonts w:hint="eastAsia" w:ascii="仿宋" w:hAnsi="仿宋" w:eastAsia="仿宋"/>
                <w:color w:val="000000"/>
                <w:kern w:val="0"/>
                <w:sz w:val="22"/>
              </w:rPr>
              <w:t>记</w:t>
            </w:r>
            <w:r>
              <w:rPr>
                <w:rFonts w:ascii="仿宋" w:hAnsi="仿宋" w:eastAsia="仿宋"/>
                <w:color w:val="000000"/>
                <w:kern w:val="0"/>
                <w:sz w:val="22"/>
              </w:rPr>
              <w:t>5分。</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r>
              <w:rPr>
                <w:rFonts w:ascii="仿宋" w:hAnsi="仿宋" w:eastAsia="仿宋"/>
                <w:color w:val="000000"/>
                <w:kern w:val="0"/>
                <w:szCs w:val="21"/>
              </w:rPr>
              <w:t>　</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615"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left"/>
              <w:rPr>
                <w:rFonts w:ascii="微软雅黑" w:hAnsi="微软雅黑" w:eastAsia="微软雅黑"/>
                <w:color w:val="000000"/>
                <w:szCs w:val="21"/>
              </w:rPr>
            </w:pPr>
            <w:r>
              <w:rPr>
                <w:rFonts w:ascii="仿宋" w:hAnsi="仿宋" w:eastAsia="仿宋"/>
                <w:color w:val="000000"/>
                <w:kern w:val="0"/>
                <w:sz w:val="22"/>
              </w:rPr>
              <w:t>对主管部门、</w:t>
            </w:r>
            <w:r>
              <w:rPr>
                <w:rFonts w:hint="eastAsia" w:ascii="仿宋" w:hAnsi="仿宋" w:eastAsia="仿宋"/>
                <w:color w:val="000000"/>
                <w:kern w:val="0"/>
                <w:sz w:val="22"/>
              </w:rPr>
              <w:t>甲方</w:t>
            </w:r>
            <w:r>
              <w:rPr>
                <w:rFonts w:ascii="仿宋" w:hAnsi="仿宋" w:eastAsia="仿宋"/>
                <w:color w:val="000000"/>
                <w:kern w:val="0"/>
                <w:sz w:val="22"/>
              </w:rPr>
              <w:t>的工作要求</w:t>
            </w:r>
            <w:r>
              <w:rPr>
                <w:rFonts w:hint="eastAsia" w:ascii="仿宋" w:hAnsi="仿宋" w:eastAsia="仿宋"/>
                <w:color w:val="000000"/>
                <w:kern w:val="0"/>
                <w:sz w:val="22"/>
              </w:rPr>
              <w:t>、</w:t>
            </w:r>
            <w:r>
              <w:rPr>
                <w:rFonts w:ascii="仿宋" w:hAnsi="仿宋" w:eastAsia="仿宋"/>
                <w:color w:val="000000"/>
                <w:kern w:val="0"/>
                <w:sz w:val="22"/>
              </w:rPr>
              <w:t>书面指令、通知未及时完成或回复，每次</w:t>
            </w:r>
            <w:r>
              <w:rPr>
                <w:rFonts w:hint="eastAsia" w:ascii="仿宋" w:hAnsi="仿宋" w:eastAsia="仿宋"/>
                <w:color w:val="000000"/>
                <w:kern w:val="0"/>
                <w:sz w:val="22"/>
              </w:rPr>
              <w:t>记</w:t>
            </w:r>
            <w:r>
              <w:rPr>
                <w:rFonts w:ascii="仿宋" w:hAnsi="仿宋" w:eastAsia="仿宋"/>
                <w:color w:val="000000"/>
                <w:kern w:val="0"/>
                <w:sz w:val="22"/>
              </w:rPr>
              <w:t>3分。</w:t>
            </w:r>
          </w:p>
          <w:p>
            <w:pPr>
              <w:adjustRightInd w:val="0"/>
              <w:snapToGrid w:val="0"/>
              <w:rPr>
                <w:rFonts w:ascii="仿宋" w:hAnsi="仿宋" w:eastAsia="仿宋"/>
                <w:color w:val="000000"/>
                <w:kern w:val="0"/>
                <w:sz w:val="22"/>
              </w:rPr>
            </w:pPr>
            <w:r>
              <w:rPr>
                <w:rFonts w:ascii="仿宋" w:hAnsi="仿宋" w:eastAsia="仿宋"/>
                <w:color w:val="000000"/>
                <w:kern w:val="0"/>
                <w:sz w:val="22"/>
              </w:rPr>
              <w:t>无特殊情况或正当理由，拒绝执行</w:t>
            </w:r>
            <w:r>
              <w:rPr>
                <w:rFonts w:hint="eastAsia" w:ascii="仿宋" w:hAnsi="仿宋" w:eastAsia="仿宋"/>
                <w:color w:val="000000"/>
                <w:kern w:val="0"/>
                <w:sz w:val="22"/>
              </w:rPr>
              <w:t>甲方</w:t>
            </w:r>
            <w:r>
              <w:rPr>
                <w:rFonts w:ascii="仿宋" w:hAnsi="仿宋" w:eastAsia="仿宋"/>
                <w:color w:val="000000"/>
                <w:kern w:val="0"/>
                <w:sz w:val="22"/>
              </w:rPr>
              <w:t>指令、通知，每次扣</w:t>
            </w:r>
            <w:r>
              <w:rPr>
                <w:rFonts w:hint="eastAsia" w:ascii="仿宋" w:hAnsi="仿宋" w:eastAsia="仿宋"/>
                <w:color w:val="000000"/>
                <w:kern w:val="0"/>
                <w:sz w:val="22"/>
              </w:rPr>
              <w:t>记5</w:t>
            </w:r>
            <w:r>
              <w:rPr>
                <w:rFonts w:ascii="仿宋" w:hAnsi="仿宋" w:eastAsia="仿宋"/>
                <w:color w:val="000000"/>
                <w:kern w:val="0"/>
                <w:sz w:val="22"/>
              </w:rPr>
              <w:t>分。</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r>
              <w:rPr>
                <w:rFonts w:ascii="仿宋" w:hAnsi="仿宋" w:eastAsia="仿宋"/>
                <w:color w:val="000000"/>
                <w:kern w:val="0"/>
                <w:szCs w:val="21"/>
              </w:rPr>
              <w:t>　</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840"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 w:val="22"/>
              </w:rPr>
            </w:pPr>
            <w:r>
              <w:rPr>
                <w:rFonts w:ascii="仿宋" w:hAnsi="仿宋" w:eastAsia="仿宋"/>
                <w:color w:val="000000"/>
                <w:kern w:val="0"/>
                <w:sz w:val="22"/>
              </w:rPr>
              <w:t>未按招标文件、合同要求、运维设计及</w:t>
            </w:r>
            <w:r>
              <w:rPr>
                <w:rFonts w:hint="eastAsia" w:ascii="仿宋" w:hAnsi="仿宋" w:eastAsia="仿宋"/>
                <w:color w:val="000000"/>
                <w:kern w:val="0"/>
                <w:sz w:val="22"/>
              </w:rPr>
              <w:t>甲方</w:t>
            </w:r>
            <w:r>
              <w:rPr>
                <w:rFonts w:ascii="仿宋" w:hAnsi="仿宋" w:eastAsia="仿宋"/>
                <w:color w:val="000000"/>
                <w:kern w:val="0"/>
                <w:sz w:val="22"/>
              </w:rPr>
              <w:t>意见及时开展清淤工作，每次</w:t>
            </w:r>
            <w:r>
              <w:rPr>
                <w:rFonts w:hint="eastAsia" w:ascii="仿宋" w:hAnsi="仿宋" w:eastAsia="仿宋"/>
                <w:color w:val="000000"/>
                <w:kern w:val="0"/>
                <w:sz w:val="22"/>
              </w:rPr>
              <w:t>记</w:t>
            </w:r>
            <w:r>
              <w:rPr>
                <w:rFonts w:ascii="仿宋" w:hAnsi="仿宋" w:eastAsia="仿宋"/>
                <w:color w:val="000000"/>
                <w:kern w:val="0"/>
                <w:sz w:val="22"/>
              </w:rPr>
              <w:t>5分。</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r>
              <w:rPr>
                <w:rFonts w:ascii="仿宋" w:hAnsi="仿宋" w:eastAsia="仿宋"/>
                <w:color w:val="000000"/>
                <w:kern w:val="0"/>
                <w:szCs w:val="21"/>
              </w:rPr>
              <w:t>　</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213"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 w:val="22"/>
              </w:rPr>
            </w:pPr>
            <w:r>
              <w:rPr>
                <w:rFonts w:ascii="仿宋" w:hAnsi="仿宋" w:eastAsia="仿宋"/>
                <w:color w:val="000000"/>
                <w:kern w:val="0"/>
                <w:sz w:val="22"/>
              </w:rPr>
              <w:t>未按招标文件及中心要求在约定时间内配备调蓄池运维所需设备及工具，或配备设备及工具未在20日内维修更新的，每项</w:t>
            </w:r>
            <w:r>
              <w:rPr>
                <w:rFonts w:hint="eastAsia" w:ascii="仿宋" w:hAnsi="仿宋" w:eastAsia="仿宋"/>
                <w:color w:val="000000"/>
                <w:kern w:val="0"/>
                <w:sz w:val="22"/>
              </w:rPr>
              <w:t>记</w:t>
            </w:r>
            <w:r>
              <w:rPr>
                <w:rFonts w:ascii="仿宋" w:hAnsi="仿宋" w:eastAsia="仿宋"/>
                <w:color w:val="000000"/>
                <w:kern w:val="0"/>
                <w:sz w:val="22"/>
              </w:rPr>
              <w:t>2分。</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r>
              <w:rPr>
                <w:rFonts w:ascii="仿宋" w:hAnsi="仿宋" w:eastAsia="仿宋"/>
                <w:color w:val="000000"/>
                <w:kern w:val="0"/>
                <w:szCs w:val="21"/>
              </w:rPr>
              <w:t>　</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760"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 w:val="22"/>
              </w:rPr>
            </w:pPr>
            <w:r>
              <w:rPr>
                <w:rFonts w:ascii="仿宋" w:hAnsi="仿宋" w:eastAsia="仿宋"/>
                <w:color w:val="000000"/>
                <w:kern w:val="0"/>
                <w:sz w:val="22"/>
              </w:rPr>
              <w:t>国家、省、市、中心等安全生产文件和相关要求执行不到位的，每次</w:t>
            </w:r>
            <w:r>
              <w:rPr>
                <w:rFonts w:hint="eastAsia" w:ascii="仿宋" w:hAnsi="仿宋" w:eastAsia="仿宋"/>
                <w:color w:val="000000"/>
                <w:kern w:val="0"/>
                <w:sz w:val="22"/>
              </w:rPr>
              <w:t>记</w:t>
            </w:r>
            <w:r>
              <w:rPr>
                <w:rFonts w:ascii="仿宋" w:hAnsi="仿宋" w:eastAsia="仿宋"/>
                <w:color w:val="000000"/>
                <w:kern w:val="0"/>
                <w:sz w:val="22"/>
              </w:rPr>
              <w:t>5分。</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r>
              <w:rPr>
                <w:rFonts w:ascii="仿宋" w:hAnsi="仿宋" w:eastAsia="仿宋"/>
                <w:color w:val="000000"/>
                <w:kern w:val="0"/>
                <w:szCs w:val="21"/>
              </w:rPr>
              <w:t>　</w:t>
            </w: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760"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tabs>
                <w:tab w:val="left" w:pos="645"/>
              </w:tabs>
              <w:adjustRightInd w:val="0"/>
              <w:snapToGrid w:val="0"/>
              <w:rPr>
                <w:rFonts w:ascii="仿宋" w:hAnsi="仿宋" w:eastAsia="仿宋"/>
                <w:color w:val="000000"/>
                <w:kern w:val="0"/>
                <w:sz w:val="22"/>
              </w:rPr>
            </w:pPr>
            <w:r>
              <w:rPr>
                <w:rFonts w:hint="eastAsia" w:ascii="仿宋" w:hAnsi="仿宋" w:eastAsia="仿宋"/>
                <w:color w:val="000000"/>
                <w:kern w:val="0"/>
                <w:sz w:val="22"/>
              </w:rPr>
              <w:t>自检发现</w:t>
            </w:r>
            <w:r>
              <w:rPr>
                <w:rFonts w:ascii="仿宋" w:hAnsi="仿宋" w:eastAsia="仿宋"/>
                <w:color w:val="000000"/>
                <w:kern w:val="0"/>
                <w:sz w:val="22"/>
              </w:rPr>
              <w:t>排放水质不达标</w:t>
            </w:r>
            <w:r>
              <w:rPr>
                <w:rFonts w:hint="eastAsia" w:ascii="仿宋" w:hAnsi="仿宋" w:eastAsia="仿宋"/>
                <w:color w:val="000000"/>
                <w:kern w:val="0"/>
                <w:sz w:val="22"/>
              </w:rPr>
              <w:t>的，每次记5分，第三方检测发现排放水质不达标的，每次记10分。</w:t>
            </w:r>
            <w:r>
              <w:rPr>
                <w:rFonts w:ascii="仿宋" w:hAnsi="仿宋" w:eastAsia="仿宋"/>
                <w:color w:val="000000"/>
                <w:kern w:val="0"/>
                <w:sz w:val="22"/>
              </w:rPr>
              <w:t>（</w:t>
            </w:r>
            <w:r>
              <w:rPr>
                <w:rFonts w:hint="eastAsia" w:ascii="仿宋" w:hAnsi="仿宋" w:eastAsia="仿宋"/>
                <w:color w:val="000000"/>
                <w:kern w:val="0"/>
                <w:sz w:val="22"/>
              </w:rPr>
              <w:t>此项</w:t>
            </w:r>
            <w:r>
              <w:rPr>
                <w:rFonts w:ascii="仿宋" w:hAnsi="仿宋" w:eastAsia="仿宋"/>
                <w:color w:val="000000"/>
                <w:kern w:val="0"/>
                <w:sz w:val="22"/>
              </w:rPr>
              <w:t>仅</w:t>
            </w:r>
            <w:r>
              <w:rPr>
                <w:rFonts w:hint="eastAsia" w:ascii="仿宋" w:hAnsi="仿宋" w:eastAsia="仿宋"/>
                <w:color w:val="000000"/>
                <w:kern w:val="0"/>
                <w:sz w:val="22"/>
              </w:rPr>
              <w:t>适用于</w:t>
            </w:r>
            <w:r>
              <w:rPr>
                <w:rFonts w:ascii="仿宋" w:hAnsi="仿宋" w:eastAsia="仿宋"/>
                <w:color w:val="000000"/>
                <w:kern w:val="0"/>
                <w:sz w:val="22"/>
              </w:rPr>
              <w:t>观澜河口调蓄池）</w:t>
            </w:r>
          </w:p>
        </w:tc>
        <w:tc>
          <w:tcPr>
            <w:tcW w:w="103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p>
        </w:tc>
        <w:tc>
          <w:tcPr>
            <w:tcW w:w="1243"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420" w:hRule="atLeast"/>
        </w:trPr>
        <w:tc>
          <w:tcPr>
            <w:tcW w:w="3332" w:type="dxa"/>
            <w:gridSpan w:val="2"/>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 w:val="22"/>
              </w:rPr>
            </w:pPr>
            <w:r>
              <w:rPr>
                <w:rFonts w:hint="eastAsia" w:ascii="仿宋" w:hAnsi="仿宋" w:eastAsia="仿宋"/>
                <w:b/>
                <w:bCs/>
                <w:color w:val="000000"/>
                <w:kern w:val="0"/>
                <w:sz w:val="22"/>
              </w:rPr>
              <w:t>月工作失误得分</w:t>
            </w:r>
          </w:p>
        </w:tc>
        <w:tc>
          <w:tcPr>
            <w:tcW w:w="2278"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rPr>
                <w:rFonts w:ascii="仿宋" w:hAnsi="仿宋" w:eastAsia="仿宋"/>
                <w:color w:val="000000"/>
                <w:kern w:val="0"/>
                <w:szCs w:val="21"/>
              </w:rPr>
            </w:pPr>
            <w:r>
              <w:rPr>
                <w:rFonts w:ascii="仿宋" w:hAnsi="仿宋" w:eastAsia="仿宋"/>
                <w:color w:val="000000"/>
                <w:kern w:val="0"/>
                <w:szCs w:val="21"/>
              </w:rPr>
              <w:t>　</w:t>
            </w:r>
          </w:p>
          <w:p>
            <w:pPr>
              <w:adjustRightInd w:val="0"/>
              <w:snapToGrid w:val="0"/>
              <w:jc w:val="center"/>
              <w:rPr>
                <w:rFonts w:ascii="仿宋" w:hAnsi="仿宋" w:eastAsia="仿宋"/>
                <w:color w:val="000000"/>
                <w:kern w:val="0"/>
                <w:szCs w:val="21"/>
              </w:rPr>
            </w:pPr>
            <w:r>
              <w:rPr>
                <w:rFonts w:ascii="仿宋" w:hAnsi="仿宋" w:eastAsia="仿宋"/>
                <w:color w:val="000000"/>
                <w:kern w:val="0"/>
                <w:szCs w:val="21"/>
              </w:rPr>
              <w:t>　</w:t>
            </w:r>
          </w:p>
        </w:tc>
        <w:tc>
          <w:tcPr>
            <w:tcW w:w="327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adjustRightInd w:val="0"/>
              <w:snapToGrid w:val="0"/>
              <w:jc w:val="center"/>
              <w:rPr>
                <w:rFonts w:ascii="仿宋" w:hAnsi="仿宋" w:eastAsia="仿宋"/>
                <w:color w:val="000000"/>
                <w:kern w:val="0"/>
                <w:szCs w:val="21"/>
              </w:rPr>
            </w:pPr>
            <w:r>
              <w:rPr>
                <w:rFonts w:hint="eastAsia" w:ascii="仿宋" w:hAnsi="仿宋" w:eastAsia="仿宋"/>
                <w:color w:val="000000"/>
                <w:kern w:val="0"/>
                <w:szCs w:val="21"/>
              </w:rPr>
              <w:t>各失误项目记分累加</w:t>
            </w:r>
            <w:r>
              <w:rPr>
                <w:rFonts w:ascii="仿宋" w:hAnsi="仿宋" w:eastAsia="仿宋"/>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405" w:hRule="atLeast"/>
        </w:trPr>
        <w:tc>
          <w:tcPr>
            <w:tcW w:w="3332" w:type="dxa"/>
            <w:gridSpan w:val="2"/>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 w:hAnsi="仿宋" w:eastAsia="仿宋"/>
                <w:b/>
                <w:bCs/>
                <w:color w:val="000000"/>
                <w:kern w:val="0"/>
                <w:szCs w:val="21"/>
              </w:rPr>
            </w:pPr>
            <w:r>
              <w:rPr>
                <w:rFonts w:hint="eastAsia" w:ascii="仿宋" w:hAnsi="仿宋" w:eastAsia="仿宋"/>
                <w:b/>
                <w:bCs/>
                <w:color w:val="000000"/>
                <w:kern w:val="0"/>
                <w:szCs w:val="21"/>
                <w:lang w:eastAsia="zh-CN"/>
              </w:rPr>
              <w:t>业务部门</w:t>
            </w:r>
            <w:r>
              <w:rPr>
                <w:rFonts w:ascii="仿宋" w:hAnsi="仿宋" w:eastAsia="仿宋"/>
                <w:b/>
                <w:bCs/>
                <w:color w:val="000000"/>
                <w:kern w:val="0"/>
                <w:szCs w:val="21"/>
              </w:rPr>
              <w:t>现场负责人</w:t>
            </w:r>
          </w:p>
          <w:p>
            <w:pPr>
              <w:adjustRightInd w:val="0"/>
              <w:snapToGrid w:val="0"/>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5548" w:type="dxa"/>
            <w:gridSpan w:val="6"/>
            <w:tcBorders>
              <w:top w:val="single" w:color="000000" w:sz="8" w:space="0"/>
              <w:left w:val="single" w:color="000000" w:sz="8" w:space="0"/>
              <w:bottom w:val="single" w:color="000000" w:sz="8" w:space="0"/>
              <w:right w:val="single" w:color="000000" w:sz="8" w:space="0"/>
            </w:tcBorders>
            <w:noWrap/>
            <w:vAlign w:val="bottom"/>
          </w:tcPr>
          <w:p>
            <w:pPr>
              <w:adjustRightInd w:val="0"/>
              <w:snapToGrid w:val="0"/>
              <w:rPr>
                <w:rFonts w:ascii="仿宋" w:hAnsi="仿宋" w:eastAsia="仿宋"/>
                <w:color w:val="000000"/>
                <w:szCs w:val="21"/>
              </w:rPr>
            </w:pPr>
            <w:r>
              <w:rPr>
                <w:rFonts w:hint="eastAsia" w:ascii="仿宋" w:hAnsi="仿宋" w:eastAsia="仿宋"/>
                <w:color w:val="000000"/>
                <w:kern w:val="0"/>
                <w:szCs w:val="21"/>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895" w:hRule="atLeast"/>
        </w:trPr>
        <w:tc>
          <w:tcPr>
            <w:tcW w:w="3332" w:type="dxa"/>
            <w:gridSpan w:val="2"/>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 w:hAnsi="仿宋" w:eastAsia="仿宋"/>
                <w:b/>
                <w:bCs/>
                <w:color w:val="000000"/>
                <w:kern w:val="0"/>
                <w:szCs w:val="21"/>
              </w:rPr>
            </w:pPr>
            <w:r>
              <w:rPr>
                <w:rFonts w:hint="eastAsia" w:ascii="仿宋" w:hAnsi="仿宋" w:eastAsia="仿宋"/>
                <w:b/>
                <w:bCs/>
                <w:color w:val="000000"/>
                <w:kern w:val="0"/>
                <w:szCs w:val="21"/>
                <w:lang w:eastAsia="zh-CN"/>
              </w:rPr>
              <w:t>业务</w:t>
            </w:r>
            <w:r>
              <w:rPr>
                <w:rFonts w:ascii="仿宋" w:hAnsi="仿宋" w:eastAsia="仿宋"/>
                <w:b/>
                <w:bCs/>
                <w:color w:val="000000"/>
                <w:kern w:val="0"/>
                <w:szCs w:val="21"/>
              </w:rPr>
              <w:t>部门负责人</w:t>
            </w:r>
          </w:p>
          <w:p>
            <w:pPr>
              <w:adjustRightInd w:val="0"/>
              <w:snapToGrid w:val="0"/>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5548" w:type="dxa"/>
            <w:gridSpan w:val="6"/>
            <w:tcBorders>
              <w:top w:val="single" w:color="000000" w:sz="8" w:space="0"/>
              <w:left w:val="single" w:color="000000" w:sz="8" w:space="0"/>
              <w:bottom w:val="single" w:color="000000" w:sz="8" w:space="0"/>
              <w:right w:val="single" w:color="000000" w:sz="8" w:space="0"/>
            </w:tcBorders>
            <w:noWrap/>
            <w:vAlign w:val="bottom"/>
          </w:tcPr>
          <w:p>
            <w:pPr>
              <w:adjustRightInd w:val="0"/>
              <w:snapToGrid w:val="0"/>
              <w:rPr>
                <w:rFonts w:ascii="仿宋" w:hAnsi="仿宋" w:eastAsia="仿宋"/>
                <w:color w:val="000000"/>
                <w:szCs w:val="21"/>
              </w:rPr>
            </w:pPr>
            <w:r>
              <w:rPr>
                <w:rFonts w:hint="eastAsia" w:ascii="仿宋" w:hAnsi="仿宋" w:eastAsia="仿宋"/>
                <w:color w:val="000000"/>
                <w:kern w:val="0"/>
                <w:szCs w:val="21"/>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765" w:hRule="atLeast"/>
        </w:trPr>
        <w:tc>
          <w:tcPr>
            <w:tcW w:w="3332" w:type="dxa"/>
            <w:gridSpan w:val="2"/>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 w:hAnsi="仿宋" w:eastAsia="仿宋"/>
                <w:b/>
                <w:bCs/>
                <w:color w:val="000000"/>
                <w:kern w:val="0"/>
                <w:szCs w:val="21"/>
              </w:rPr>
            </w:pPr>
            <w:r>
              <w:rPr>
                <w:rFonts w:ascii="仿宋" w:hAnsi="仿宋" w:eastAsia="仿宋"/>
                <w:b/>
                <w:bCs/>
                <w:color w:val="000000"/>
                <w:kern w:val="0"/>
                <w:szCs w:val="21"/>
              </w:rPr>
              <w:t>分管副主任</w:t>
            </w:r>
          </w:p>
          <w:p>
            <w:pPr>
              <w:adjustRightInd w:val="0"/>
              <w:snapToGrid w:val="0"/>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5548" w:type="dxa"/>
            <w:gridSpan w:val="6"/>
            <w:tcBorders>
              <w:top w:val="single" w:color="000000" w:sz="8" w:space="0"/>
              <w:left w:val="single" w:color="000000" w:sz="8" w:space="0"/>
              <w:bottom w:val="single" w:color="000000" w:sz="8" w:space="0"/>
              <w:right w:val="single" w:color="000000" w:sz="8" w:space="0"/>
            </w:tcBorders>
            <w:noWrap/>
            <w:vAlign w:val="bottom"/>
          </w:tcPr>
          <w:p>
            <w:pPr>
              <w:adjustRightInd w:val="0"/>
              <w:snapToGrid w:val="0"/>
              <w:rPr>
                <w:rFonts w:ascii="仿宋" w:hAnsi="仿宋" w:eastAsia="仿宋"/>
                <w:color w:val="000000"/>
                <w:szCs w:val="21"/>
              </w:rPr>
            </w:pPr>
            <w:r>
              <w:rPr>
                <w:rFonts w:hint="eastAsia" w:ascii="仿宋" w:hAnsi="仿宋" w:eastAsia="仿宋"/>
                <w:color w:val="000000"/>
                <w:kern w:val="0"/>
                <w:szCs w:val="21"/>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gridAfter w:val="1"/>
          <w:wAfter w:w="15" w:type="dxa"/>
          <w:trHeight w:val="1815" w:hRule="atLeast"/>
        </w:trPr>
        <w:tc>
          <w:tcPr>
            <w:tcW w:w="3332" w:type="dxa"/>
            <w:gridSpan w:val="2"/>
            <w:tcBorders>
              <w:top w:val="single" w:color="000000" w:sz="8" w:space="0"/>
              <w:left w:val="single" w:color="000000" w:sz="8" w:space="0"/>
              <w:bottom w:val="single" w:color="000000" w:sz="8" w:space="0"/>
              <w:right w:val="single" w:color="000000" w:sz="8" w:space="0"/>
            </w:tcBorders>
            <w:noWrap/>
            <w:vAlign w:val="center"/>
          </w:tcPr>
          <w:p>
            <w:pPr>
              <w:jc w:val="center"/>
              <w:rPr>
                <w:rFonts w:ascii="仿宋" w:hAnsi="仿宋" w:eastAsia="仿宋"/>
                <w:b/>
                <w:bCs/>
                <w:color w:val="000000"/>
                <w:kern w:val="0"/>
                <w:szCs w:val="21"/>
              </w:rPr>
            </w:pPr>
            <w:r>
              <w:rPr>
                <w:rFonts w:ascii="仿宋" w:hAnsi="仿宋" w:eastAsia="仿宋"/>
                <w:b/>
                <w:bCs/>
                <w:color w:val="000000"/>
                <w:kern w:val="0"/>
                <w:szCs w:val="21"/>
              </w:rPr>
              <w:t>中心负责人</w:t>
            </w:r>
          </w:p>
          <w:p>
            <w:pPr>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5548" w:type="dxa"/>
            <w:gridSpan w:val="6"/>
            <w:tcBorders>
              <w:top w:val="single" w:color="000000" w:sz="8" w:space="0"/>
              <w:left w:val="single" w:color="000000" w:sz="8" w:space="0"/>
              <w:bottom w:val="single" w:color="000000" w:sz="8" w:space="0"/>
              <w:right w:val="single" w:color="000000" w:sz="8" w:space="0"/>
            </w:tcBorders>
            <w:noWrap/>
            <w:vAlign w:val="bottom"/>
          </w:tcPr>
          <w:p>
            <w:pPr>
              <w:rPr>
                <w:rFonts w:ascii="仿宋" w:hAnsi="仿宋" w:eastAsia="仿宋"/>
                <w:color w:val="000000"/>
                <w:kern w:val="0"/>
                <w:szCs w:val="21"/>
              </w:rPr>
            </w:pPr>
            <w:r>
              <w:rPr>
                <w:rFonts w:hint="eastAsia" w:ascii="仿宋" w:hAnsi="仿宋" w:eastAsia="仿宋"/>
                <w:color w:val="000000"/>
                <w:kern w:val="0"/>
                <w:szCs w:val="21"/>
              </w:rPr>
              <w:t>签名：                      日期：</w:t>
            </w:r>
          </w:p>
        </w:tc>
      </w:tr>
    </w:tbl>
    <w:p>
      <w:pPr>
        <w:snapToGrid w:val="0"/>
        <w:jc w:val="left"/>
        <w:rPr>
          <w:rFonts w:ascii="微软雅黑" w:hAnsi="微软雅黑" w:eastAsia="微软雅黑"/>
          <w:color w:val="000000"/>
          <w:szCs w:val="21"/>
        </w:rPr>
        <w:sectPr>
          <w:pgSz w:w="11906" w:h="16838"/>
          <w:pgMar w:top="2098" w:right="1474" w:bottom="1984" w:left="1588" w:header="0" w:footer="1474" w:gutter="0"/>
          <w:cols w:space="720" w:num="1"/>
          <w:docGrid w:type="lines" w:linePitch="312" w:charSpace="0"/>
        </w:sectPr>
      </w:pPr>
    </w:p>
    <w:p>
      <w:pPr>
        <w:spacing w:line="360" w:lineRule="auto"/>
        <w:jc w:val="center"/>
        <w:outlineLvl w:val="1"/>
        <w:rPr>
          <w:rFonts w:ascii="方正小标宋_GBK" w:hAnsi="方正小标宋_GBK" w:eastAsia="方正小标宋_GBK" w:cs="方正小标宋_GBK"/>
          <w:color w:val="000000"/>
          <w:kern w:val="0"/>
          <w:sz w:val="32"/>
          <w:szCs w:val="32"/>
        </w:rPr>
      </w:pPr>
      <w:r>
        <w:rPr>
          <w:rFonts w:hint="eastAsia" w:ascii="方正小标宋_GBK" w:hAnsi="方正小标宋_GBK" w:eastAsia="方正小标宋_GBK" w:cs="方正小标宋_GBK"/>
          <w:color w:val="000000"/>
          <w:kern w:val="0"/>
          <w:sz w:val="32"/>
          <w:szCs w:val="32"/>
        </w:rPr>
        <w:t>4.4  调蓄池运行（营）维护月工作奖励评分表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690"/>
        <w:gridCol w:w="435"/>
        <w:gridCol w:w="1515"/>
        <w:gridCol w:w="570"/>
        <w:gridCol w:w="1170"/>
        <w:gridCol w:w="720"/>
        <w:gridCol w:w="1200"/>
        <w:gridCol w:w="865"/>
        <w:gridCol w:w="95"/>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70" w:hRule="atLeast"/>
        </w:trPr>
        <w:tc>
          <w:tcPr>
            <w:tcW w:w="1125" w:type="dxa"/>
            <w:gridSpan w:val="2"/>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 w:hAnsi="仿宋" w:eastAsia="仿宋"/>
                <w:b/>
                <w:bCs/>
                <w:color w:val="000000"/>
                <w:kern w:val="0"/>
                <w:szCs w:val="21"/>
              </w:rPr>
            </w:pPr>
            <w:r>
              <w:rPr>
                <w:rFonts w:ascii="仿宋" w:hAnsi="仿宋" w:eastAsia="仿宋"/>
                <w:color w:val="000000"/>
                <w:kern w:val="0"/>
                <w:sz w:val="22"/>
              </w:rPr>
              <w:t>合同名称</w:t>
            </w:r>
          </w:p>
        </w:tc>
        <w:tc>
          <w:tcPr>
            <w:tcW w:w="7770" w:type="dxa"/>
            <w:gridSpan w:val="8"/>
            <w:tcBorders>
              <w:top w:val="single" w:color="000000" w:sz="8" w:space="0"/>
              <w:left w:val="single" w:color="000000" w:sz="8" w:space="0"/>
              <w:bottom w:val="single" w:color="000000" w:sz="8" w:space="0"/>
              <w:right w:val="single" w:color="000000" w:sz="8" w:space="0"/>
            </w:tcBorders>
            <w:noWrap/>
            <w:vAlign w:val="center"/>
          </w:tcPr>
          <w:p>
            <w:pPr>
              <w:adjustRightInd w:val="0"/>
              <w:snapToGrid w:val="0"/>
              <w:jc w:val="center"/>
              <w:rPr>
                <w:rFonts w:ascii="仿宋" w:hAnsi="仿宋" w:eastAsia="仿宋"/>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70" w:hRule="atLeast"/>
        </w:trPr>
        <w:tc>
          <w:tcPr>
            <w:tcW w:w="1125" w:type="dxa"/>
            <w:gridSpan w:val="2"/>
            <w:tcBorders>
              <w:top w:val="single" w:color="000000" w:sz="8" w:space="0"/>
              <w:left w:val="single" w:color="000000" w:sz="8" w:space="0"/>
              <w:bottom w:val="nil"/>
              <w:right w:val="single" w:color="000000" w:sz="8" w:space="0"/>
            </w:tcBorders>
            <w:noWrap/>
            <w:vAlign w:val="center"/>
          </w:tcPr>
          <w:p>
            <w:pPr>
              <w:spacing w:line="360" w:lineRule="auto"/>
              <w:jc w:val="center"/>
              <w:rPr>
                <w:rFonts w:ascii="仿宋" w:hAnsi="仿宋" w:eastAsia="仿宋"/>
                <w:b/>
                <w:bCs/>
                <w:color w:val="000000"/>
                <w:kern w:val="0"/>
                <w:szCs w:val="21"/>
              </w:rPr>
            </w:pPr>
            <w:r>
              <w:rPr>
                <w:rFonts w:hint="eastAsia" w:ascii="仿宋" w:hAnsi="仿宋" w:eastAsia="仿宋"/>
                <w:color w:val="000000"/>
                <w:kern w:val="0"/>
                <w:sz w:val="22"/>
              </w:rPr>
              <w:t>检查时段</w:t>
            </w:r>
          </w:p>
        </w:tc>
        <w:tc>
          <w:tcPr>
            <w:tcW w:w="2085" w:type="dxa"/>
            <w:gridSpan w:val="2"/>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 w:hAnsi="仿宋" w:eastAsia="仿宋"/>
                <w:b/>
                <w:bCs/>
                <w:color w:val="000000"/>
                <w:kern w:val="0"/>
                <w:szCs w:val="21"/>
              </w:rPr>
            </w:pPr>
          </w:p>
        </w:tc>
        <w:tc>
          <w:tcPr>
            <w:tcW w:w="1170" w:type="dxa"/>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 w:hAnsi="仿宋" w:eastAsia="仿宋"/>
                <w:b/>
                <w:bCs/>
                <w:color w:val="000000"/>
                <w:kern w:val="0"/>
                <w:szCs w:val="21"/>
              </w:rPr>
            </w:pPr>
            <w:r>
              <w:rPr>
                <w:rFonts w:ascii="仿宋" w:hAnsi="仿宋" w:eastAsia="仿宋"/>
                <w:color w:val="000000"/>
                <w:kern w:val="0"/>
                <w:sz w:val="22"/>
              </w:rPr>
              <w:t>填表时间</w:t>
            </w:r>
          </w:p>
        </w:tc>
        <w:tc>
          <w:tcPr>
            <w:tcW w:w="1920" w:type="dxa"/>
            <w:gridSpan w:val="2"/>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 w:hAnsi="仿宋" w:eastAsia="仿宋"/>
                <w:color w:val="000000"/>
                <w:kern w:val="0"/>
                <w:sz w:val="22"/>
              </w:rPr>
            </w:pPr>
          </w:p>
        </w:tc>
        <w:tc>
          <w:tcPr>
            <w:tcW w:w="865" w:type="dxa"/>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 w:hAnsi="仿宋" w:eastAsia="仿宋"/>
                <w:b/>
                <w:bCs/>
                <w:color w:val="000000"/>
                <w:kern w:val="0"/>
                <w:szCs w:val="21"/>
              </w:rPr>
            </w:pPr>
            <w:r>
              <w:rPr>
                <w:rFonts w:ascii="仿宋" w:hAnsi="仿宋" w:eastAsia="仿宋"/>
                <w:color w:val="000000"/>
                <w:kern w:val="0"/>
                <w:sz w:val="22"/>
              </w:rPr>
              <w:t>填表人</w:t>
            </w:r>
          </w:p>
        </w:tc>
        <w:tc>
          <w:tcPr>
            <w:tcW w:w="1730" w:type="dxa"/>
            <w:gridSpan w:val="2"/>
            <w:tcBorders>
              <w:top w:val="single" w:color="000000" w:sz="8" w:space="0"/>
              <w:left w:val="single" w:color="000000" w:sz="8" w:space="0"/>
              <w:bottom w:val="nil"/>
              <w:right w:val="single" w:color="000000" w:sz="8" w:space="0"/>
            </w:tcBorders>
            <w:noWrap/>
            <w:vAlign w:val="center"/>
          </w:tcPr>
          <w:p>
            <w:pPr>
              <w:adjustRightInd w:val="0"/>
              <w:snapToGrid w:val="0"/>
              <w:jc w:val="center"/>
              <w:rPr>
                <w:rFonts w:ascii="仿宋" w:hAnsi="仿宋" w:eastAsia="仿宋"/>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75" w:hRule="atLeast"/>
        </w:trPr>
        <w:tc>
          <w:tcPr>
            <w:tcW w:w="8895" w:type="dxa"/>
            <w:gridSpan w:val="10"/>
            <w:tcBorders>
              <w:top w:val="single" w:color="000000" w:sz="8" w:space="0"/>
              <w:left w:val="single" w:color="000000" w:sz="8" w:space="0"/>
              <w:bottom w:val="single" w:color="000000" w:sz="8" w:space="0"/>
              <w:right w:val="single" w:color="000000" w:sz="8" w:space="0"/>
            </w:tcBorders>
            <w:shd w:val="clear" w:color="auto" w:fill="DDEBF7"/>
            <w:noWrap/>
            <w:vAlign w:val="center"/>
          </w:tcPr>
          <w:p>
            <w:pPr>
              <w:jc w:val="left"/>
              <w:rPr>
                <w:rFonts w:ascii="仿宋" w:hAnsi="仿宋" w:eastAsia="仿宋"/>
                <w:b/>
                <w:bCs/>
                <w:color w:val="000000"/>
                <w:kern w:val="0"/>
                <w:szCs w:val="21"/>
              </w:rPr>
            </w:pPr>
            <w:r>
              <w:rPr>
                <w:rFonts w:ascii="仿宋" w:hAnsi="仿宋" w:eastAsia="仿宋"/>
                <w:b/>
                <w:bCs/>
                <w:color w:val="000000"/>
                <w:kern w:val="0"/>
                <w:szCs w:val="21"/>
              </w:rPr>
              <w:t>一、媒体宣传类奖励事项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55" w:hRule="atLeast"/>
        </w:trPr>
        <w:tc>
          <w:tcPr>
            <w:tcW w:w="690" w:type="dxa"/>
            <w:tcBorders>
              <w:top w:val="single" w:color="000000" w:sz="8" w:space="0"/>
              <w:left w:val="single" w:color="000000" w:sz="8" w:space="0"/>
              <w:bottom w:val="single" w:color="000000" w:sz="8" w:space="0"/>
              <w:right w:val="single" w:color="000000" w:sz="8" w:space="0"/>
            </w:tcBorders>
            <w:shd w:val="clear" w:color="auto" w:fill="DDEBF7"/>
            <w:noWrap/>
            <w:vAlign w:val="center"/>
          </w:tcPr>
          <w:p>
            <w:pPr>
              <w:spacing w:line="240" w:lineRule="exact"/>
              <w:jc w:val="center"/>
              <w:rPr>
                <w:rFonts w:ascii="仿宋" w:hAnsi="仿宋" w:eastAsia="仿宋"/>
                <w:b/>
                <w:bCs/>
                <w:color w:val="000000"/>
                <w:kern w:val="0"/>
                <w:szCs w:val="21"/>
              </w:rPr>
            </w:pPr>
            <w:r>
              <w:rPr>
                <w:rFonts w:ascii="仿宋" w:hAnsi="仿宋" w:eastAsia="仿宋"/>
                <w:b/>
                <w:bCs/>
                <w:color w:val="000000"/>
                <w:kern w:val="0"/>
                <w:szCs w:val="21"/>
              </w:rPr>
              <w:t>序号</w:t>
            </w:r>
          </w:p>
        </w:tc>
        <w:tc>
          <w:tcPr>
            <w:tcW w:w="4410" w:type="dxa"/>
            <w:gridSpan w:val="5"/>
            <w:tcBorders>
              <w:top w:val="single" w:color="000000" w:sz="8" w:space="0"/>
              <w:left w:val="single" w:color="000000" w:sz="8" w:space="0"/>
              <w:bottom w:val="single" w:color="000000" w:sz="8" w:space="0"/>
              <w:right w:val="single" w:color="000000" w:sz="8" w:space="0"/>
            </w:tcBorders>
            <w:shd w:val="clear" w:color="auto" w:fill="DDEBF7"/>
            <w:noWrap/>
            <w:vAlign w:val="center"/>
          </w:tcPr>
          <w:p>
            <w:pPr>
              <w:spacing w:line="240" w:lineRule="exact"/>
              <w:jc w:val="center"/>
              <w:rPr>
                <w:rFonts w:ascii="仿宋" w:hAnsi="仿宋" w:eastAsia="仿宋"/>
                <w:b/>
                <w:bCs/>
                <w:color w:val="000000"/>
                <w:kern w:val="0"/>
                <w:szCs w:val="21"/>
              </w:rPr>
            </w:pPr>
            <w:r>
              <w:rPr>
                <w:rFonts w:ascii="仿宋" w:hAnsi="仿宋" w:eastAsia="仿宋"/>
                <w:b/>
                <w:bCs/>
                <w:color w:val="000000"/>
                <w:kern w:val="0"/>
                <w:szCs w:val="21"/>
              </w:rPr>
              <w:t>报道内容</w:t>
            </w:r>
          </w:p>
        </w:tc>
        <w:tc>
          <w:tcPr>
            <w:tcW w:w="2160" w:type="dxa"/>
            <w:gridSpan w:val="3"/>
            <w:tcBorders>
              <w:top w:val="single" w:color="000000" w:sz="8" w:space="0"/>
              <w:left w:val="single" w:color="000000" w:sz="8" w:space="0"/>
              <w:bottom w:val="single" w:color="000000" w:sz="8" w:space="0"/>
              <w:right w:val="single" w:color="000000" w:sz="8" w:space="0"/>
            </w:tcBorders>
            <w:shd w:val="clear" w:color="auto" w:fill="DDEBF7"/>
            <w:noWrap/>
            <w:vAlign w:val="center"/>
          </w:tcPr>
          <w:p>
            <w:pPr>
              <w:spacing w:line="240" w:lineRule="exact"/>
              <w:jc w:val="center"/>
              <w:rPr>
                <w:rFonts w:ascii="仿宋" w:hAnsi="仿宋" w:eastAsia="仿宋"/>
                <w:b/>
                <w:bCs/>
                <w:color w:val="000000"/>
                <w:kern w:val="0"/>
                <w:szCs w:val="21"/>
              </w:rPr>
            </w:pPr>
            <w:r>
              <w:rPr>
                <w:rFonts w:ascii="仿宋" w:hAnsi="仿宋" w:eastAsia="仿宋"/>
                <w:b/>
                <w:bCs/>
                <w:color w:val="000000"/>
                <w:kern w:val="0"/>
                <w:szCs w:val="21"/>
              </w:rPr>
              <w:t>刊登媒体</w:t>
            </w:r>
          </w:p>
        </w:tc>
        <w:tc>
          <w:tcPr>
            <w:tcW w:w="1635" w:type="dxa"/>
            <w:tcBorders>
              <w:top w:val="single" w:color="000000" w:sz="8" w:space="0"/>
              <w:left w:val="single" w:color="000000" w:sz="8" w:space="0"/>
              <w:bottom w:val="single" w:color="000000" w:sz="8" w:space="0"/>
              <w:right w:val="single" w:color="000000" w:sz="8" w:space="0"/>
            </w:tcBorders>
            <w:shd w:val="clear" w:color="auto" w:fill="DDEBF7"/>
            <w:noWrap/>
            <w:vAlign w:val="center"/>
          </w:tcPr>
          <w:p>
            <w:pPr>
              <w:spacing w:line="240" w:lineRule="exact"/>
              <w:jc w:val="center"/>
              <w:rPr>
                <w:rFonts w:ascii="仿宋" w:hAnsi="仿宋" w:eastAsia="仿宋"/>
                <w:b/>
                <w:bCs/>
                <w:color w:val="000000"/>
                <w:kern w:val="0"/>
                <w:szCs w:val="21"/>
              </w:rPr>
            </w:pPr>
            <w:r>
              <w:rPr>
                <w:rFonts w:ascii="仿宋" w:hAnsi="仿宋" w:eastAsia="仿宋"/>
                <w:b/>
                <w:bCs/>
                <w:color w:val="000000"/>
                <w:kern w:val="0"/>
                <w:szCs w:val="21"/>
              </w:rPr>
              <w:t>奖励</w:t>
            </w:r>
            <w:r>
              <w:rPr>
                <w:rFonts w:hint="eastAsia" w:ascii="仿宋" w:hAnsi="仿宋" w:eastAsia="仿宋"/>
                <w:b/>
                <w:bCs/>
                <w:color w:val="000000"/>
                <w:kern w:val="0"/>
                <w:szCs w:val="21"/>
              </w:rPr>
              <w:t>记分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690" w:hRule="atLeast"/>
        </w:trPr>
        <w:tc>
          <w:tcPr>
            <w:tcW w:w="6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240" w:lineRule="exact"/>
              <w:jc w:val="center"/>
              <w:rPr>
                <w:rFonts w:ascii="仿宋" w:hAnsi="仿宋" w:eastAsia="仿宋"/>
                <w:color w:val="000000"/>
                <w:kern w:val="0"/>
                <w:sz w:val="22"/>
              </w:rPr>
            </w:pPr>
            <w:r>
              <w:rPr>
                <w:rFonts w:ascii="仿宋" w:hAnsi="仿宋" w:eastAsia="仿宋"/>
                <w:color w:val="000000"/>
                <w:kern w:val="0"/>
                <w:sz w:val="22"/>
              </w:rPr>
              <w:t>1</w:t>
            </w:r>
          </w:p>
        </w:tc>
        <w:tc>
          <w:tcPr>
            <w:tcW w:w="441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22"/>
              </w:rPr>
            </w:pPr>
          </w:p>
        </w:tc>
        <w:tc>
          <w:tcPr>
            <w:tcW w:w="216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36"/>
                <w:szCs w:val="36"/>
              </w:rPr>
            </w:pPr>
          </w:p>
        </w:tc>
        <w:tc>
          <w:tcPr>
            <w:tcW w:w="1635" w:type="dxa"/>
            <w:tcBorders>
              <w:top w:val="single" w:color="000000" w:sz="8" w:space="0"/>
              <w:left w:val="single" w:color="000000" w:sz="8" w:space="0"/>
              <w:bottom w:val="single" w:color="000000" w:sz="8" w:space="0"/>
              <w:right w:val="single" w:color="000000" w:sz="8" w:space="0"/>
            </w:tcBorders>
            <w:noWrap/>
          </w:tcPr>
          <w:p>
            <w:pPr>
              <w:spacing w:before="156" w:after="156" w:line="240" w:lineRule="exact"/>
              <w:jc w:val="center"/>
              <w:rPr>
                <w:rFonts w:ascii="仿宋" w:hAnsi="仿宋" w:eastAsia="仿宋"/>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50" w:hRule="atLeast"/>
        </w:trPr>
        <w:tc>
          <w:tcPr>
            <w:tcW w:w="6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240" w:lineRule="exact"/>
              <w:jc w:val="center"/>
              <w:rPr>
                <w:rFonts w:ascii="仿宋" w:hAnsi="仿宋" w:eastAsia="仿宋"/>
                <w:color w:val="000000"/>
                <w:kern w:val="0"/>
                <w:sz w:val="22"/>
              </w:rPr>
            </w:pPr>
            <w:r>
              <w:rPr>
                <w:rFonts w:ascii="仿宋" w:hAnsi="仿宋" w:eastAsia="仿宋"/>
                <w:color w:val="000000"/>
                <w:kern w:val="0"/>
                <w:sz w:val="22"/>
              </w:rPr>
              <w:t>2</w:t>
            </w:r>
          </w:p>
        </w:tc>
        <w:tc>
          <w:tcPr>
            <w:tcW w:w="441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22"/>
              </w:rPr>
            </w:pPr>
          </w:p>
        </w:tc>
        <w:tc>
          <w:tcPr>
            <w:tcW w:w="216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36"/>
                <w:szCs w:val="36"/>
              </w:rPr>
            </w:pPr>
          </w:p>
        </w:tc>
        <w:tc>
          <w:tcPr>
            <w:tcW w:w="1635" w:type="dxa"/>
            <w:tcBorders>
              <w:top w:val="single" w:color="000000" w:sz="8" w:space="0"/>
              <w:left w:val="single" w:color="000000" w:sz="8" w:space="0"/>
              <w:bottom w:val="single" w:color="000000" w:sz="8" w:space="0"/>
              <w:right w:val="single" w:color="000000" w:sz="8" w:space="0"/>
            </w:tcBorders>
            <w:noWrap/>
          </w:tcPr>
          <w:p>
            <w:pPr>
              <w:spacing w:before="156" w:after="156" w:line="240" w:lineRule="exact"/>
              <w:jc w:val="center"/>
              <w:rPr>
                <w:rFonts w:ascii="仿宋" w:hAnsi="仿宋" w:eastAsia="仿宋"/>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25" w:hRule="atLeast"/>
        </w:trPr>
        <w:tc>
          <w:tcPr>
            <w:tcW w:w="6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240" w:lineRule="exact"/>
              <w:jc w:val="center"/>
              <w:rPr>
                <w:rFonts w:ascii="仿宋" w:hAnsi="仿宋" w:eastAsia="仿宋"/>
                <w:color w:val="000000"/>
                <w:kern w:val="0"/>
                <w:sz w:val="22"/>
              </w:rPr>
            </w:pPr>
            <w:r>
              <w:rPr>
                <w:rFonts w:ascii="仿宋" w:hAnsi="仿宋" w:eastAsia="仿宋"/>
                <w:color w:val="000000"/>
                <w:kern w:val="0"/>
                <w:sz w:val="22"/>
              </w:rPr>
              <w:t>…</w:t>
            </w:r>
          </w:p>
        </w:tc>
        <w:tc>
          <w:tcPr>
            <w:tcW w:w="441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22"/>
              </w:rPr>
            </w:pPr>
          </w:p>
        </w:tc>
        <w:tc>
          <w:tcPr>
            <w:tcW w:w="216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36"/>
                <w:szCs w:val="36"/>
              </w:rPr>
            </w:pPr>
          </w:p>
        </w:tc>
        <w:tc>
          <w:tcPr>
            <w:tcW w:w="1635" w:type="dxa"/>
            <w:tcBorders>
              <w:top w:val="single" w:color="000000" w:sz="8" w:space="0"/>
              <w:left w:val="single" w:color="000000" w:sz="8" w:space="0"/>
              <w:bottom w:val="single" w:color="000000" w:sz="8" w:space="0"/>
              <w:right w:val="single" w:color="000000" w:sz="8" w:space="0"/>
            </w:tcBorders>
            <w:noWrap/>
          </w:tcPr>
          <w:p>
            <w:pPr>
              <w:spacing w:before="156" w:after="156" w:line="240" w:lineRule="exact"/>
              <w:jc w:val="center"/>
              <w:rPr>
                <w:rFonts w:ascii="仿宋" w:hAnsi="仿宋" w:eastAsia="仿宋"/>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35" w:hRule="atLeast"/>
        </w:trPr>
        <w:tc>
          <w:tcPr>
            <w:tcW w:w="8895" w:type="dxa"/>
            <w:gridSpan w:val="10"/>
            <w:tcBorders>
              <w:top w:val="single" w:color="000000" w:sz="8" w:space="0"/>
              <w:left w:val="single" w:color="000000" w:sz="8" w:space="0"/>
              <w:bottom w:val="single" w:color="000000" w:sz="8" w:space="0"/>
              <w:right w:val="single" w:color="000000" w:sz="8" w:space="0"/>
            </w:tcBorders>
            <w:shd w:val="clear" w:color="auto" w:fill="DDEBF7"/>
            <w:noWrap/>
            <w:vAlign w:val="center"/>
          </w:tcPr>
          <w:p>
            <w:pPr>
              <w:spacing w:line="240" w:lineRule="exact"/>
              <w:jc w:val="left"/>
              <w:rPr>
                <w:rFonts w:ascii="仿宋" w:hAnsi="仿宋" w:eastAsia="仿宋"/>
                <w:b/>
                <w:bCs/>
                <w:color w:val="000000"/>
                <w:kern w:val="0"/>
                <w:szCs w:val="21"/>
              </w:rPr>
            </w:pPr>
            <w:r>
              <w:rPr>
                <w:rFonts w:ascii="仿宋" w:hAnsi="仿宋" w:eastAsia="仿宋"/>
                <w:b/>
                <w:bCs/>
                <w:color w:val="000000"/>
                <w:kern w:val="0"/>
                <w:szCs w:val="21"/>
              </w:rPr>
              <w:t>二、创新投入类奖励事项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75" w:hRule="atLeast"/>
        </w:trPr>
        <w:tc>
          <w:tcPr>
            <w:tcW w:w="6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240" w:lineRule="exact"/>
              <w:jc w:val="center"/>
              <w:rPr>
                <w:rFonts w:ascii="仿宋" w:hAnsi="仿宋" w:eastAsia="仿宋"/>
                <w:b/>
                <w:bCs/>
                <w:color w:val="000000"/>
                <w:kern w:val="0"/>
                <w:szCs w:val="21"/>
              </w:rPr>
            </w:pPr>
            <w:r>
              <w:rPr>
                <w:rFonts w:ascii="仿宋" w:hAnsi="仿宋" w:eastAsia="仿宋"/>
                <w:b/>
                <w:bCs/>
                <w:color w:val="000000"/>
                <w:kern w:val="0"/>
                <w:szCs w:val="21"/>
              </w:rPr>
              <w:t>序号</w:t>
            </w:r>
          </w:p>
        </w:tc>
        <w:tc>
          <w:tcPr>
            <w:tcW w:w="441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b/>
                <w:bCs/>
                <w:color w:val="000000"/>
                <w:kern w:val="0"/>
                <w:sz w:val="22"/>
              </w:rPr>
            </w:pPr>
            <w:r>
              <w:rPr>
                <w:rFonts w:ascii="仿宋" w:hAnsi="仿宋" w:eastAsia="仿宋"/>
                <w:b/>
                <w:bCs/>
                <w:color w:val="000000"/>
                <w:kern w:val="0"/>
                <w:sz w:val="22"/>
              </w:rPr>
              <w:t>创新投入内容及成效</w:t>
            </w:r>
          </w:p>
        </w:tc>
        <w:tc>
          <w:tcPr>
            <w:tcW w:w="216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b/>
                <w:bCs/>
                <w:color w:val="000000"/>
                <w:kern w:val="0"/>
                <w:sz w:val="22"/>
              </w:rPr>
            </w:pPr>
            <w:r>
              <w:rPr>
                <w:rFonts w:ascii="仿宋" w:hAnsi="仿宋" w:eastAsia="仿宋"/>
                <w:b/>
                <w:bCs/>
                <w:color w:val="000000"/>
                <w:kern w:val="0"/>
                <w:sz w:val="22"/>
              </w:rPr>
              <w:t>创新投入成本</w:t>
            </w:r>
          </w:p>
        </w:tc>
        <w:tc>
          <w:tcPr>
            <w:tcW w:w="1635" w:type="dxa"/>
            <w:tcBorders>
              <w:top w:val="single" w:color="000000" w:sz="8" w:space="0"/>
              <w:left w:val="single" w:color="000000" w:sz="8" w:space="0"/>
              <w:bottom w:val="single" w:color="000000" w:sz="8" w:space="0"/>
              <w:right w:val="single" w:color="000000" w:sz="8" w:space="0"/>
            </w:tcBorders>
            <w:noWrap/>
          </w:tcPr>
          <w:p>
            <w:pPr>
              <w:spacing w:before="156" w:after="156" w:line="240" w:lineRule="exact"/>
              <w:jc w:val="center"/>
              <w:rPr>
                <w:rFonts w:ascii="仿宋" w:hAnsi="仿宋" w:eastAsia="仿宋"/>
                <w:b/>
                <w:bCs/>
                <w:color w:val="000000"/>
                <w:kern w:val="0"/>
                <w:szCs w:val="21"/>
              </w:rPr>
            </w:pPr>
            <w:r>
              <w:rPr>
                <w:rFonts w:ascii="仿宋" w:hAnsi="仿宋" w:eastAsia="仿宋"/>
                <w:b/>
                <w:bCs/>
                <w:color w:val="000000"/>
                <w:kern w:val="0"/>
                <w:szCs w:val="21"/>
              </w:rPr>
              <w:t>奖励</w:t>
            </w:r>
            <w:r>
              <w:rPr>
                <w:rFonts w:hint="eastAsia" w:ascii="仿宋" w:hAnsi="仿宋" w:eastAsia="仿宋"/>
                <w:b/>
                <w:bCs/>
                <w:color w:val="000000"/>
                <w:kern w:val="0"/>
                <w:szCs w:val="21"/>
              </w:rPr>
              <w:t>记分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25" w:hRule="atLeast"/>
        </w:trPr>
        <w:tc>
          <w:tcPr>
            <w:tcW w:w="6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240" w:lineRule="exact"/>
              <w:jc w:val="center"/>
              <w:rPr>
                <w:rFonts w:ascii="仿宋" w:hAnsi="仿宋" w:eastAsia="仿宋"/>
                <w:color w:val="000000"/>
                <w:kern w:val="0"/>
                <w:sz w:val="22"/>
              </w:rPr>
            </w:pPr>
            <w:r>
              <w:rPr>
                <w:rFonts w:ascii="仿宋" w:hAnsi="仿宋" w:eastAsia="仿宋"/>
                <w:color w:val="000000"/>
                <w:kern w:val="0"/>
                <w:sz w:val="22"/>
              </w:rPr>
              <w:t>1</w:t>
            </w:r>
          </w:p>
        </w:tc>
        <w:tc>
          <w:tcPr>
            <w:tcW w:w="441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22"/>
              </w:rPr>
            </w:pPr>
          </w:p>
        </w:tc>
        <w:tc>
          <w:tcPr>
            <w:tcW w:w="216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36"/>
                <w:szCs w:val="36"/>
              </w:rPr>
            </w:pPr>
          </w:p>
        </w:tc>
        <w:tc>
          <w:tcPr>
            <w:tcW w:w="1635" w:type="dxa"/>
            <w:tcBorders>
              <w:top w:val="single" w:color="000000" w:sz="8" w:space="0"/>
              <w:left w:val="single" w:color="000000" w:sz="8" w:space="0"/>
              <w:bottom w:val="single" w:color="000000" w:sz="8" w:space="0"/>
              <w:right w:val="single" w:color="000000" w:sz="8" w:space="0"/>
            </w:tcBorders>
            <w:noWrap/>
          </w:tcPr>
          <w:p>
            <w:pPr>
              <w:spacing w:before="156" w:after="156" w:line="240" w:lineRule="exact"/>
              <w:jc w:val="center"/>
              <w:rPr>
                <w:rFonts w:ascii="仿宋" w:hAnsi="仿宋" w:eastAsia="仿宋"/>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240" w:lineRule="exact"/>
              <w:jc w:val="center"/>
              <w:rPr>
                <w:rFonts w:ascii="仿宋" w:hAnsi="仿宋" w:eastAsia="仿宋"/>
                <w:color w:val="000000"/>
                <w:kern w:val="0"/>
                <w:sz w:val="22"/>
              </w:rPr>
            </w:pPr>
            <w:r>
              <w:rPr>
                <w:rFonts w:ascii="仿宋" w:hAnsi="仿宋" w:eastAsia="仿宋"/>
                <w:color w:val="000000"/>
                <w:kern w:val="0"/>
                <w:sz w:val="22"/>
              </w:rPr>
              <w:t>2</w:t>
            </w:r>
          </w:p>
        </w:tc>
        <w:tc>
          <w:tcPr>
            <w:tcW w:w="441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22"/>
              </w:rPr>
            </w:pPr>
          </w:p>
        </w:tc>
        <w:tc>
          <w:tcPr>
            <w:tcW w:w="216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36"/>
                <w:szCs w:val="36"/>
              </w:rPr>
            </w:pPr>
          </w:p>
        </w:tc>
        <w:tc>
          <w:tcPr>
            <w:tcW w:w="1635" w:type="dxa"/>
            <w:tcBorders>
              <w:top w:val="single" w:color="000000" w:sz="8" w:space="0"/>
              <w:left w:val="single" w:color="000000" w:sz="8" w:space="0"/>
              <w:bottom w:val="single" w:color="000000" w:sz="8" w:space="0"/>
              <w:right w:val="single" w:color="000000" w:sz="8" w:space="0"/>
            </w:tcBorders>
            <w:noWrap/>
          </w:tcPr>
          <w:p>
            <w:pPr>
              <w:spacing w:before="156" w:after="156" w:line="240" w:lineRule="exact"/>
              <w:jc w:val="center"/>
              <w:rPr>
                <w:rFonts w:ascii="仿宋" w:hAnsi="仿宋" w:eastAsia="仿宋"/>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15" w:hRule="atLeast"/>
        </w:trPr>
        <w:tc>
          <w:tcPr>
            <w:tcW w:w="6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240" w:lineRule="exact"/>
              <w:jc w:val="center"/>
              <w:rPr>
                <w:rFonts w:ascii="仿宋" w:hAnsi="仿宋" w:eastAsia="仿宋"/>
                <w:color w:val="000000"/>
                <w:kern w:val="0"/>
                <w:sz w:val="22"/>
              </w:rPr>
            </w:pPr>
            <w:r>
              <w:rPr>
                <w:rFonts w:ascii="仿宋" w:hAnsi="仿宋" w:eastAsia="仿宋"/>
                <w:color w:val="000000"/>
                <w:kern w:val="0"/>
                <w:sz w:val="22"/>
              </w:rPr>
              <w:t>…</w:t>
            </w:r>
          </w:p>
        </w:tc>
        <w:tc>
          <w:tcPr>
            <w:tcW w:w="4410"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22"/>
              </w:rPr>
            </w:pPr>
          </w:p>
        </w:tc>
        <w:tc>
          <w:tcPr>
            <w:tcW w:w="2160" w:type="dxa"/>
            <w:gridSpan w:val="3"/>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before="156" w:after="156" w:line="240" w:lineRule="exact"/>
              <w:jc w:val="center"/>
              <w:rPr>
                <w:rFonts w:ascii="仿宋" w:hAnsi="仿宋" w:eastAsia="仿宋"/>
                <w:color w:val="000000"/>
                <w:sz w:val="36"/>
                <w:szCs w:val="36"/>
              </w:rPr>
            </w:pPr>
          </w:p>
        </w:tc>
        <w:tc>
          <w:tcPr>
            <w:tcW w:w="1635" w:type="dxa"/>
            <w:tcBorders>
              <w:top w:val="single" w:color="000000" w:sz="8" w:space="0"/>
              <w:left w:val="single" w:color="000000" w:sz="8" w:space="0"/>
              <w:bottom w:val="single" w:color="000000" w:sz="8" w:space="0"/>
              <w:right w:val="single" w:color="000000" w:sz="8" w:space="0"/>
            </w:tcBorders>
            <w:noWrap/>
          </w:tcPr>
          <w:p>
            <w:pPr>
              <w:spacing w:before="156" w:after="156" w:line="240" w:lineRule="exact"/>
              <w:jc w:val="center"/>
              <w:rPr>
                <w:rFonts w:ascii="仿宋" w:hAnsi="仿宋" w:eastAsia="仿宋"/>
                <w:color w:val="000000"/>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25" w:hRule="atLeast"/>
        </w:trPr>
        <w:tc>
          <w:tcPr>
            <w:tcW w:w="2640" w:type="dxa"/>
            <w:gridSpan w:val="3"/>
            <w:tcBorders>
              <w:top w:val="single" w:color="000000" w:sz="8" w:space="0"/>
              <w:left w:val="single" w:color="000000" w:sz="8" w:space="0"/>
              <w:bottom w:val="single" w:color="000000" w:sz="8" w:space="0"/>
              <w:right w:val="single" w:color="000000" w:sz="8" w:space="0"/>
            </w:tcBorders>
            <w:noWrap/>
            <w:vAlign w:val="center"/>
          </w:tcPr>
          <w:p>
            <w:pPr>
              <w:spacing w:before="156" w:after="156" w:line="240" w:lineRule="exact"/>
              <w:jc w:val="center"/>
              <w:rPr>
                <w:rFonts w:ascii="仿宋" w:hAnsi="仿宋" w:eastAsia="仿宋"/>
                <w:b/>
                <w:bCs/>
                <w:color w:val="000000"/>
                <w:kern w:val="0"/>
                <w:sz w:val="36"/>
                <w:szCs w:val="36"/>
              </w:rPr>
            </w:pPr>
            <w:r>
              <w:rPr>
                <w:rFonts w:ascii="仿宋" w:hAnsi="仿宋" w:eastAsia="仿宋"/>
                <w:b/>
                <w:bCs/>
                <w:color w:val="000000"/>
                <w:kern w:val="0"/>
                <w:szCs w:val="21"/>
              </w:rPr>
              <w:t>月</w:t>
            </w:r>
            <w:r>
              <w:rPr>
                <w:rFonts w:hint="eastAsia" w:ascii="仿宋" w:hAnsi="仿宋" w:eastAsia="仿宋"/>
                <w:b/>
                <w:bCs/>
                <w:color w:val="000000"/>
                <w:kern w:val="0"/>
                <w:szCs w:val="21"/>
              </w:rPr>
              <w:t>工作</w:t>
            </w:r>
            <w:r>
              <w:rPr>
                <w:rFonts w:ascii="仿宋" w:hAnsi="仿宋" w:eastAsia="仿宋"/>
                <w:b/>
                <w:bCs/>
                <w:color w:val="000000"/>
                <w:kern w:val="0"/>
                <w:szCs w:val="21"/>
              </w:rPr>
              <w:t>奖励得分</w:t>
            </w:r>
          </w:p>
        </w:tc>
        <w:tc>
          <w:tcPr>
            <w:tcW w:w="4620" w:type="dxa"/>
            <w:gridSpan w:val="6"/>
            <w:tcBorders>
              <w:top w:val="single" w:color="000000" w:sz="8" w:space="0"/>
              <w:left w:val="single" w:color="000000" w:sz="8" w:space="0"/>
              <w:bottom w:val="single" w:color="000000" w:sz="8" w:space="0"/>
              <w:right w:val="single" w:color="000000" w:sz="8" w:space="0"/>
            </w:tcBorders>
            <w:noWrap/>
            <w:vAlign w:val="center"/>
          </w:tcPr>
          <w:p>
            <w:pPr>
              <w:spacing w:before="156" w:after="156" w:line="240" w:lineRule="exact"/>
              <w:jc w:val="center"/>
              <w:rPr>
                <w:rFonts w:ascii="仿宋" w:hAnsi="仿宋" w:eastAsia="仿宋"/>
                <w:b/>
                <w:bCs/>
                <w:color w:val="000000"/>
                <w:kern w:val="0"/>
                <w:sz w:val="36"/>
                <w:szCs w:val="36"/>
              </w:rPr>
            </w:pPr>
          </w:p>
        </w:tc>
        <w:tc>
          <w:tcPr>
            <w:tcW w:w="1635" w:type="dxa"/>
            <w:tcBorders>
              <w:top w:val="single" w:color="000000" w:sz="8" w:space="0"/>
              <w:left w:val="single" w:color="000000" w:sz="8" w:space="0"/>
              <w:bottom w:val="single" w:color="000000" w:sz="8" w:space="0"/>
              <w:right w:val="single" w:color="000000" w:sz="8" w:space="0"/>
            </w:tcBorders>
            <w:noWrap/>
          </w:tcPr>
          <w:p>
            <w:pPr>
              <w:spacing w:before="156" w:after="156" w:line="240" w:lineRule="exact"/>
              <w:jc w:val="center"/>
              <w:rPr>
                <w:rFonts w:ascii="仿宋" w:hAnsi="仿宋" w:eastAsia="仿宋"/>
                <w:color w:val="000000"/>
                <w:sz w:val="36"/>
                <w:szCs w:val="36"/>
              </w:rPr>
            </w:pPr>
            <w:r>
              <w:rPr>
                <w:rFonts w:ascii="仿宋" w:hAnsi="仿宋" w:eastAsia="仿宋"/>
                <w:color w:val="000000"/>
                <w:kern w:val="0"/>
                <w:sz w:val="22"/>
              </w:rPr>
              <w:t>各奖励事项</w:t>
            </w:r>
            <w:r>
              <w:rPr>
                <w:rFonts w:hint="eastAsia" w:ascii="仿宋" w:hAnsi="仿宋" w:eastAsia="仿宋"/>
                <w:color w:val="000000"/>
                <w:kern w:val="0"/>
                <w:sz w:val="22"/>
              </w:rPr>
              <w:t>记</w:t>
            </w:r>
            <w:r>
              <w:rPr>
                <w:rFonts w:ascii="仿宋" w:hAnsi="仿宋" w:eastAsia="仿宋"/>
                <w:color w:val="000000"/>
                <w:kern w:val="0"/>
                <w:sz w:val="22"/>
              </w:rPr>
              <w:t>分累加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701" w:hRule="atLeast"/>
        </w:trPr>
        <w:tc>
          <w:tcPr>
            <w:tcW w:w="2640" w:type="dxa"/>
            <w:gridSpan w:val="3"/>
            <w:tcBorders>
              <w:top w:val="single" w:color="000000" w:sz="8" w:space="0"/>
              <w:left w:val="single" w:color="000000" w:sz="8" w:space="0"/>
              <w:bottom w:val="single" w:color="000000" w:sz="8" w:space="0"/>
              <w:right w:val="single" w:color="000000" w:sz="8" w:space="0"/>
            </w:tcBorders>
            <w:noWrap/>
            <w:vAlign w:val="center"/>
          </w:tcPr>
          <w:p>
            <w:pPr>
              <w:jc w:val="center"/>
              <w:rPr>
                <w:rFonts w:ascii="仿宋" w:hAnsi="仿宋" w:eastAsia="仿宋"/>
                <w:b/>
                <w:bCs/>
                <w:color w:val="000000"/>
                <w:kern w:val="0"/>
                <w:szCs w:val="21"/>
              </w:rPr>
            </w:pPr>
            <w:r>
              <w:rPr>
                <w:rFonts w:hint="eastAsia" w:ascii="仿宋" w:hAnsi="仿宋" w:eastAsia="仿宋"/>
                <w:b/>
                <w:bCs/>
                <w:color w:val="000000"/>
                <w:kern w:val="0"/>
                <w:szCs w:val="21"/>
                <w:lang w:eastAsia="zh-CN"/>
              </w:rPr>
              <w:t>业务部门</w:t>
            </w:r>
            <w:r>
              <w:rPr>
                <w:rFonts w:ascii="仿宋" w:hAnsi="仿宋" w:eastAsia="仿宋"/>
                <w:b/>
                <w:bCs/>
                <w:color w:val="000000"/>
                <w:kern w:val="0"/>
                <w:szCs w:val="21"/>
              </w:rPr>
              <w:t>现场负责人</w:t>
            </w:r>
          </w:p>
          <w:p>
            <w:pPr>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6255" w:type="dxa"/>
            <w:gridSpan w:val="7"/>
            <w:tcBorders>
              <w:top w:val="single" w:color="000000" w:sz="8" w:space="0"/>
              <w:left w:val="single" w:color="000000" w:sz="8" w:space="0"/>
              <w:bottom w:val="single" w:color="000000" w:sz="8" w:space="0"/>
              <w:right w:val="single" w:color="000000" w:sz="8" w:space="0"/>
            </w:tcBorders>
            <w:noWrap/>
            <w:vAlign w:val="bottom"/>
          </w:tcPr>
          <w:p>
            <w:pPr>
              <w:rPr>
                <w:rFonts w:ascii="仿宋" w:hAnsi="仿宋" w:eastAsia="仿宋"/>
                <w:color w:val="000000"/>
                <w:szCs w:val="21"/>
              </w:rPr>
            </w:pPr>
            <w:r>
              <w:rPr>
                <w:rFonts w:hint="eastAsia" w:ascii="仿宋" w:hAnsi="仿宋" w:eastAsia="仿宋"/>
                <w:color w:val="000000"/>
                <w:kern w:val="0"/>
                <w:szCs w:val="21"/>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814" w:hRule="atLeast"/>
        </w:trPr>
        <w:tc>
          <w:tcPr>
            <w:tcW w:w="2640" w:type="dxa"/>
            <w:gridSpan w:val="3"/>
            <w:tcBorders>
              <w:top w:val="single" w:color="000000" w:sz="8" w:space="0"/>
              <w:left w:val="single" w:color="000000" w:sz="8" w:space="0"/>
              <w:bottom w:val="single" w:color="000000" w:sz="8" w:space="0"/>
              <w:right w:val="single" w:color="000000" w:sz="8" w:space="0"/>
            </w:tcBorders>
            <w:noWrap/>
            <w:vAlign w:val="center"/>
          </w:tcPr>
          <w:p>
            <w:pPr>
              <w:jc w:val="center"/>
              <w:rPr>
                <w:rFonts w:ascii="仿宋" w:hAnsi="仿宋" w:eastAsia="仿宋"/>
                <w:b/>
                <w:bCs/>
                <w:color w:val="000000"/>
                <w:kern w:val="0"/>
                <w:szCs w:val="21"/>
              </w:rPr>
            </w:pPr>
            <w:r>
              <w:rPr>
                <w:rFonts w:hint="eastAsia" w:ascii="仿宋" w:hAnsi="仿宋" w:eastAsia="仿宋"/>
                <w:b/>
                <w:bCs/>
                <w:color w:val="000000"/>
                <w:kern w:val="0"/>
                <w:szCs w:val="21"/>
                <w:lang w:eastAsia="zh-CN"/>
              </w:rPr>
              <w:t>业务</w:t>
            </w:r>
            <w:r>
              <w:rPr>
                <w:rFonts w:ascii="仿宋" w:hAnsi="仿宋" w:eastAsia="仿宋"/>
                <w:b/>
                <w:bCs/>
                <w:color w:val="000000"/>
                <w:kern w:val="0"/>
                <w:szCs w:val="21"/>
              </w:rPr>
              <w:t>部门负责人</w:t>
            </w:r>
          </w:p>
          <w:p>
            <w:pPr>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6255" w:type="dxa"/>
            <w:gridSpan w:val="7"/>
            <w:tcBorders>
              <w:top w:val="single" w:color="000000" w:sz="8" w:space="0"/>
              <w:left w:val="single" w:color="000000" w:sz="8" w:space="0"/>
              <w:bottom w:val="single" w:color="000000" w:sz="8" w:space="0"/>
              <w:right w:val="single" w:color="000000" w:sz="8" w:space="0"/>
            </w:tcBorders>
            <w:noWrap/>
            <w:vAlign w:val="bottom"/>
          </w:tcPr>
          <w:p>
            <w:pPr>
              <w:rPr>
                <w:rFonts w:ascii="仿宋" w:hAnsi="仿宋" w:eastAsia="仿宋"/>
                <w:color w:val="000000"/>
                <w:szCs w:val="21"/>
              </w:rPr>
            </w:pPr>
            <w:r>
              <w:rPr>
                <w:rFonts w:hint="eastAsia" w:ascii="仿宋" w:hAnsi="仿宋" w:eastAsia="仿宋"/>
                <w:color w:val="000000"/>
                <w:kern w:val="0"/>
                <w:szCs w:val="21"/>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984" w:hRule="atLeast"/>
        </w:trPr>
        <w:tc>
          <w:tcPr>
            <w:tcW w:w="2640" w:type="dxa"/>
            <w:gridSpan w:val="3"/>
            <w:tcBorders>
              <w:top w:val="single" w:color="000000" w:sz="8" w:space="0"/>
              <w:left w:val="single" w:color="000000" w:sz="8" w:space="0"/>
              <w:bottom w:val="single" w:color="000000" w:sz="8" w:space="0"/>
              <w:right w:val="single" w:color="000000" w:sz="8" w:space="0"/>
            </w:tcBorders>
            <w:noWrap/>
            <w:vAlign w:val="center"/>
          </w:tcPr>
          <w:p>
            <w:pPr>
              <w:jc w:val="center"/>
              <w:rPr>
                <w:rFonts w:ascii="仿宋" w:hAnsi="仿宋" w:eastAsia="仿宋"/>
                <w:b/>
                <w:bCs/>
                <w:color w:val="000000"/>
                <w:kern w:val="0"/>
                <w:szCs w:val="21"/>
              </w:rPr>
            </w:pPr>
            <w:r>
              <w:rPr>
                <w:rFonts w:ascii="仿宋" w:hAnsi="仿宋" w:eastAsia="仿宋"/>
                <w:b/>
                <w:bCs/>
                <w:color w:val="000000"/>
                <w:kern w:val="0"/>
                <w:szCs w:val="21"/>
              </w:rPr>
              <w:t>中心分管副主任</w:t>
            </w:r>
          </w:p>
          <w:p>
            <w:pPr>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6255" w:type="dxa"/>
            <w:gridSpan w:val="7"/>
            <w:tcBorders>
              <w:top w:val="single" w:color="000000" w:sz="8" w:space="0"/>
              <w:left w:val="single" w:color="000000" w:sz="8" w:space="0"/>
              <w:bottom w:val="single" w:color="000000" w:sz="8" w:space="0"/>
              <w:right w:val="single" w:color="000000" w:sz="8" w:space="0"/>
            </w:tcBorders>
            <w:noWrap/>
            <w:vAlign w:val="bottom"/>
          </w:tcPr>
          <w:p>
            <w:pPr>
              <w:rPr>
                <w:rFonts w:ascii="仿宋" w:hAnsi="仿宋" w:eastAsia="仿宋"/>
                <w:color w:val="000000"/>
                <w:szCs w:val="21"/>
              </w:rPr>
            </w:pPr>
            <w:r>
              <w:rPr>
                <w:rFonts w:hint="eastAsia" w:ascii="仿宋" w:hAnsi="仿宋" w:eastAsia="仿宋"/>
                <w:color w:val="000000"/>
                <w:kern w:val="0"/>
                <w:szCs w:val="21"/>
              </w:rPr>
              <w:t>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871" w:hRule="atLeast"/>
        </w:trPr>
        <w:tc>
          <w:tcPr>
            <w:tcW w:w="2640" w:type="dxa"/>
            <w:gridSpan w:val="3"/>
            <w:tcBorders>
              <w:top w:val="single" w:color="000000" w:sz="8" w:space="0"/>
              <w:left w:val="single" w:color="000000" w:sz="8" w:space="0"/>
              <w:bottom w:val="single" w:color="000000" w:sz="8" w:space="0"/>
              <w:right w:val="single" w:color="000000" w:sz="8" w:space="0"/>
            </w:tcBorders>
            <w:noWrap/>
            <w:vAlign w:val="center"/>
          </w:tcPr>
          <w:p>
            <w:pPr>
              <w:jc w:val="center"/>
              <w:rPr>
                <w:rFonts w:ascii="仿宋" w:hAnsi="仿宋" w:eastAsia="仿宋"/>
                <w:b/>
                <w:bCs/>
                <w:color w:val="000000"/>
                <w:kern w:val="0"/>
                <w:szCs w:val="21"/>
              </w:rPr>
            </w:pPr>
            <w:r>
              <w:rPr>
                <w:rFonts w:ascii="仿宋" w:hAnsi="仿宋" w:eastAsia="仿宋"/>
                <w:b/>
                <w:bCs/>
                <w:color w:val="000000"/>
                <w:kern w:val="0"/>
                <w:szCs w:val="21"/>
              </w:rPr>
              <w:t>中心负责人</w:t>
            </w:r>
          </w:p>
          <w:p>
            <w:pPr>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6255" w:type="dxa"/>
            <w:gridSpan w:val="7"/>
            <w:tcBorders>
              <w:top w:val="single" w:color="000000" w:sz="8" w:space="0"/>
              <w:left w:val="single" w:color="000000" w:sz="8" w:space="0"/>
              <w:bottom w:val="single" w:color="000000" w:sz="8" w:space="0"/>
              <w:right w:val="single" w:color="000000" w:sz="8" w:space="0"/>
            </w:tcBorders>
            <w:noWrap/>
            <w:vAlign w:val="bottom"/>
          </w:tcPr>
          <w:p>
            <w:pPr>
              <w:rPr>
                <w:rFonts w:ascii="仿宋" w:hAnsi="仿宋" w:eastAsia="仿宋"/>
                <w:color w:val="000000"/>
                <w:szCs w:val="21"/>
              </w:rPr>
            </w:pPr>
            <w:r>
              <w:rPr>
                <w:rFonts w:hint="eastAsia" w:ascii="仿宋" w:hAnsi="仿宋" w:eastAsia="仿宋"/>
                <w:color w:val="000000"/>
                <w:kern w:val="0"/>
                <w:szCs w:val="21"/>
              </w:rPr>
              <w:t>签名：                      日期：</w:t>
            </w:r>
          </w:p>
        </w:tc>
      </w:tr>
    </w:tbl>
    <w:p>
      <w:pPr>
        <w:spacing w:line="400" w:lineRule="exact"/>
        <w:jc w:val="left"/>
        <w:rPr>
          <w:rFonts w:ascii="仿宋" w:hAnsi="仿宋" w:eastAsia="仿宋"/>
          <w:color w:val="000000"/>
          <w:kern w:val="0"/>
          <w:szCs w:val="21"/>
        </w:rPr>
      </w:pPr>
      <w:r>
        <w:rPr>
          <w:rFonts w:hint="eastAsia" w:ascii="仿宋" w:hAnsi="仿宋" w:eastAsia="仿宋"/>
          <w:color w:val="000000"/>
          <w:kern w:val="0"/>
          <w:szCs w:val="21"/>
        </w:rPr>
        <w:t>备注：</w:t>
      </w:r>
    </w:p>
    <w:p>
      <w:pPr>
        <w:spacing w:line="400" w:lineRule="exact"/>
        <w:ind w:firstLine="420" w:firstLineChars="200"/>
        <w:jc w:val="left"/>
        <w:rPr>
          <w:rFonts w:ascii="华文仿宋" w:hAnsi="华文仿宋" w:eastAsia="华文仿宋"/>
          <w:color w:val="000000"/>
          <w:szCs w:val="21"/>
        </w:rPr>
      </w:pPr>
      <w:r>
        <w:rPr>
          <w:rFonts w:hint="eastAsia" w:ascii="华文仿宋" w:hAnsi="华文仿宋" w:eastAsia="华文仿宋"/>
          <w:color w:val="000000"/>
          <w:szCs w:val="21"/>
        </w:rPr>
        <w:t>1、报</w:t>
      </w:r>
      <w:r>
        <w:rPr>
          <w:rFonts w:ascii="华文仿宋" w:hAnsi="华文仿宋" w:eastAsia="华文仿宋"/>
          <w:color w:val="000000"/>
          <w:szCs w:val="21"/>
        </w:rPr>
        <w:t>刊、广播电视、官方网站和新闻媒体平台等有影响力的媒体，对调蓄池运行维护工作进行正面宣传、报道的情况，属实则每次记2分，同一事件被不同媒体报道的只按一次记。</w:t>
      </w:r>
    </w:p>
    <w:p>
      <w:pPr>
        <w:spacing w:line="400" w:lineRule="exact"/>
        <w:ind w:firstLine="420" w:firstLineChars="200"/>
        <w:jc w:val="left"/>
        <w:rPr>
          <w:rFonts w:ascii="华文仿宋" w:hAnsi="华文仿宋" w:eastAsia="华文仿宋"/>
          <w:color w:val="000000"/>
          <w:szCs w:val="21"/>
        </w:rPr>
      </w:pPr>
      <w:r>
        <w:rPr>
          <w:rFonts w:hint="eastAsia" w:ascii="华文仿宋" w:hAnsi="华文仿宋" w:eastAsia="华文仿宋"/>
          <w:color w:val="000000"/>
          <w:szCs w:val="21"/>
        </w:rPr>
        <w:t>2、</w:t>
      </w:r>
      <w:r>
        <w:rPr>
          <w:rFonts w:ascii="华文仿宋" w:hAnsi="华文仿宋" w:eastAsia="华文仿宋"/>
          <w:color w:val="000000"/>
          <w:szCs w:val="21"/>
        </w:rPr>
        <w:t>在合同及招投标文件要求的基础上，运行维护单位高标准配置或另行配置了创新型设备设施，增加投入的设备设施每项成本费用不少于合同价的百分之一，且能有效提升运行维护工作质量和效率的</w:t>
      </w:r>
      <w:r>
        <w:rPr>
          <w:rFonts w:hint="eastAsia" w:ascii="华文仿宋" w:hAnsi="华文仿宋" w:eastAsia="华文仿宋"/>
          <w:color w:val="000000"/>
          <w:szCs w:val="21"/>
        </w:rPr>
        <w:t>情况</w:t>
      </w:r>
      <w:r>
        <w:rPr>
          <w:rFonts w:ascii="华文仿宋" w:hAnsi="华文仿宋" w:eastAsia="华文仿宋"/>
          <w:color w:val="000000"/>
          <w:szCs w:val="21"/>
        </w:rPr>
        <w:t>，</w:t>
      </w:r>
      <w:r>
        <w:rPr>
          <w:rFonts w:hint="eastAsia" w:ascii="华文仿宋" w:hAnsi="华文仿宋" w:eastAsia="华文仿宋"/>
          <w:color w:val="000000"/>
          <w:szCs w:val="21"/>
        </w:rPr>
        <w:t>属实则</w:t>
      </w:r>
      <w:r>
        <w:rPr>
          <w:rFonts w:ascii="华文仿宋" w:hAnsi="华文仿宋" w:eastAsia="华文仿宋"/>
          <w:color w:val="000000"/>
          <w:szCs w:val="21"/>
        </w:rPr>
        <w:t>每项</w:t>
      </w:r>
      <w:r>
        <w:rPr>
          <w:rFonts w:hint="eastAsia" w:ascii="华文仿宋" w:hAnsi="华文仿宋" w:eastAsia="华文仿宋"/>
          <w:color w:val="000000"/>
          <w:szCs w:val="21"/>
        </w:rPr>
        <w:t>记</w:t>
      </w:r>
      <w:r>
        <w:rPr>
          <w:rFonts w:ascii="华文仿宋" w:hAnsi="华文仿宋" w:eastAsia="华文仿宋"/>
          <w:color w:val="000000"/>
          <w:szCs w:val="21"/>
        </w:rPr>
        <w:t>2分</w:t>
      </w:r>
      <w:r>
        <w:rPr>
          <w:rFonts w:hint="eastAsia" w:ascii="华文仿宋" w:hAnsi="华文仿宋" w:eastAsia="华文仿宋"/>
          <w:color w:val="000000"/>
          <w:szCs w:val="21"/>
        </w:rPr>
        <w:t>。</w:t>
      </w:r>
    </w:p>
    <w:p>
      <w:pPr>
        <w:widowControl/>
        <w:rPr>
          <w:rFonts w:ascii="华文仿宋" w:hAnsi="华文仿宋" w:eastAsia="华文仿宋"/>
          <w:color w:val="000000"/>
          <w:szCs w:val="21"/>
        </w:rPr>
      </w:pPr>
      <w:r>
        <w:rPr>
          <w:rFonts w:hint="eastAsia" w:ascii="华文仿宋" w:hAnsi="华文仿宋" w:eastAsia="华文仿宋"/>
          <w:color w:val="000000"/>
          <w:szCs w:val="21"/>
        </w:rPr>
        <w:t>3、</w:t>
      </w:r>
      <w:r>
        <w:rPr>
          <w:rFonts w:ascii="华文仿宋" w:hAnsi="华文仿宋" w:eastAsia="华文仿宋"/>
          <w:color w:val="000000"/>
          <w:szCs w:val="21"/>
        </w:rPr>
        <w:t>以月为单位进行加分统计。</w:t>
      </w:r>
    </w:p>
    <w:p>
      <w:pPr>
        <w:widowControl/>
        <w:rPr>
          <w:rFonts w:ascii="华文仿宋" w:hAnsi="华文仿宋" w:eastAsia="华文仿宋"/>
          <w:color w:val="000000"/>
          <w:szCs w:val="21"/>
        </w:rPr>
      </w:pPr>
    </w:p>
    <w:p>
      <w:pPr>
        <w:widowControl/>
        <w:rPr>
          <w:rFonts w:ascii="华文仿宋" w:hAnsi="华文仿宋" w:eastAsia="华文仿宋"/>
          <w:color w:val="000000"/>
          <w:szCs w:val="21"/>
        </w:rPr>
      </w:pPr>
    </w:p>
    <w:p>
      <w:pPr>
        <w:widowControl/>
        <w:rPr>
          <w:rFonts w:ascii="华文仿宋" w:hAnsi="华文仿宋" w:eastAsia="华文仿宋"/>
          <w:color w:val="000000"/>
          <w:szCs w:val="21"/>
        </w:rPr>
      </w:pPr>
    </w:p>
    <w:p>
      <w:pPr>
        <w:widowControl/>
        <w:rPr>
          <w:rFonts w:ascii="华文仿宋" w:hAnsi="华文仿宋" w:eastAsia="华文仿宋"/>
          <w:color w:val="000000"/>
          <w:szCs w:val="21"/>
        </w:rPr>
      </w:pPr>
    </w:p>
    <w:p>
      <w:pPr>
        <w:widowControl/>
        <w:jc w:val="left"/>
        <w:rPr>
          <w:rFonts w:ascii="华文仿宋" w:hAnsi="华文仿宋" w:eastAsia="华文仿宋"/>
          <w:color w:val="000000"/>
          <w:szCs w:val="21"/>
        </w:rPr>
      </w:pPr>
      <w:r>
        <w:rPr>
          <w:rFonts w:ascii="华文仿宋" w:hAnsi="华文仿宋" w:eastAsia="华文仿宋"/>
          <w:color w:val="000000"/>
          <w:szCs w:val="21"/>
        </w:rPr>
        <w:br w:type="page"/>
      </w:r>
    </w:p>
    <w:p>
      <w:pPr>
        <w:widowControl/>
        <w:jc w:val="center"/>
        <w:rPr>
          <w:rFonts w:ascii="方正小标宋_GBK" w:hAnsi="方正小标宋_GBK" w:eastAsia="方正小标宋_GBK" w:cs="方正小标宋_GBK"/>
          <w:color w:val="000000"/>
          <w:kern w:val="0"/>
          <w:sz w:val="32"/>
          <w:szCs w:val="32"/>
        </w:rPr>
      </w:pPr>
      <w:r>
        <w:rPr>
          <w:rFonts w:hint="eastAsia" w:ascii="方正小标宋_GBK" w:hAnsi="方正小标宋_GBK" w:eastAsia="方正小标宋_GBK" w:cs="方正小标宋_GBK"/>
          <w:color w:val="000000"/>
          <w:kern w:val="0"/>
          <w:sz w:val="32"/>
          <w:szCs w:val="32"/>
        </w:rPr>
        <w:t>4.5  调蓄池运行（营）维护履约评价表</w:t>
      </w:r>
    </w:p>
    <w:tbl>
      <w:tblPr>
        <w:tblStyle w:val="7"/>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20" w:type="dxa"/>
          <w:left w:w="60" w:type="dxa"/>
          <w:bottom w:w="120" w:type="dxa"/>
          <w:right w:w="60" w:type="dxa"/>
        </w:tblCellMar>
      </w:tblPr>
      <w:tblGrid>
        <w:gridCol w:w="1125"/>
        <w:gridCol w:w="725"/>
        <w:gridCol w:w="1830"/>
        <w:gridCol w:w="795"/>
        <w:gridCol w:w="1890"/>
        <w:gridCol w:w="720"/>
        <w:gridCol w:w="181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1125" w:type="dxa"/>
            <w:noWrap/>
            <w:vAlign w:val="center"/>
          </w:tcPr>
          <w:p>
            <w:pPr>
              <w:adjustRightInd w:val="0"/>
              <w:snapToGrid w:val="0"/>
              <w:jc w:val="center"/>
              <w:rPr>
                <w:rFonts w:ascii="仿宋" w:hAnsi="仿宋" w:eastAsia="仿宋"/>
                <w:b/>
                <w:bCs/>
                <w:color w:val="000000"/>
                <w:kern w:val="0"/>
                <w:szCs w:val="21"/>
              </w:rPr>
            </w:pPr>
            <w:r>
              <w:rPr>
                <w:rFonts w:hint="eastAsia" w:ascii="仿宋" w:hAnsi="仿宋" w:eastAsia="仿宋"/>
                <w:b/>
                <w:bCs/>
                <w:color w:val="000000"/>
                <w:kern w:val="0"/>
                <w:sz w:val="21"/>
                <w:szCs w:val="21"/>
              </w:rPr>
              <w:t>合同名称</w:t>
            </w:r>
          </w:p>
        </w:tc>
        <w:tc>
          <w:tcPr>
            <w:tcW w:w="7770" w:type="dxa"/>
            <w:gridSpan w:val="6"/>
            <w:noWrap/>
            <w:vAlign w:val="center"/>
          </w:tcPr>
          <w:p>
            <w:pPr>
              <w:adjustRightInd w:val="0"/>
              <w:snapToGrid w:val="0"/>
              <w:jc w:val="center"/>
              <w:rPr>
                <w:rFonts w:ascii="仿宋" w:hAnsi="仿宋" w:eastAsia="仿宋"/>
                <w:b/>
                <w:bCs/>
                <w:color w:val="00000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1125" w:type="dxa"/>
            <w:noWrap/>
            <w:vAlign w:val="center"/>
          </w:tcPr>
          <w:p>
            <w:pPr>
              <w:adjustRightInd w:val="0"/>
              <w:snapToGrid w:val="0"/>
              <w:spacing w:line="240" w:lineRule="auto"/>
              <w:jc w:val="center"/>
              <w:rPr>
                <w:rFonts w:hint="eastAsia" w:ascii="仿宋" w:hAnsi="仿宋" w:eastAsia="仿宋"/>
                <w:color w:val="000000"/>
                <w:kern w:val="0"/>
                <w:sz w:val="22"/>
                <w:lang w:eastAsia="zh-CN"/>
              </w:rPr>
            </w:pPr>
            <w:r>
              <w:rPr>
                <w:rFonts w:hint="eastAsia" w:ascii="仿宋" w:hAnsi="仿宋" w:eastAsia="仿宋"/>
                <w:b/>
                <w:bCs/>
                <w:color w:val="000000"/>
                <w:kern w:val="0"/>
                <w:sz w:val="21"/>
                <w:szCs w:val="21"/>
                <w:lang w:eastAsia="zh-CN"/>
              </w:rPr>
              <w:t>运行（营）维护单位</w:t>
            </w:r>
          </w:p>
        </w:tc>
        <w:tc>
          <w:tcPr>
            <w:tcW w:w="7770" w:type="dxa"/>
            <w:gridSpan w:val="6"/>
            <w:noWrap/>
            <w:vAlign w:val="center"/>
          </w:tcPr>
          <w:p>
            <w:pPr>
              <w:adjustRightInd w:val="0"/>
              <w:snapToGrid w:val="0"/>
              <w:jc w:val="center"/>
              <w:rPr>
                <w:rFonts w:ascii="仿宋" w:hAnsi="仿宋" w:eastAsia="仿宋"/>
                <w:b/>
                <w:bCs/>
                <w:color w:val="00000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1125" w:type="dxa"/>
            <w:noWrap/>
            <w:vAlign w:val="center"/>
          </w:tcPr>
          <w:p>
            <w:pPr>
              <w:adjustRightInd w:val="0"/>
              <w:snapToGrid w:val="0"/>
              <w:spacing w:line="240" w:lineRule="auto"/>
              <w:jc w:val="center"/>
              <w:rPr>
                <w:rFonts w:hint="eastAsia" w:ascii="仿宋" w:hAnsi="仿宋" w:eastAsia="仿宋"/>
                <w:b/>
                <w:bCs/>
                <w:color w:val="000000"/>
                <w:kern w:val="0"/>
                <w:sz w:val="21"/>
                <w:szCs w:val="21"/>
                <w:lang w:eastAsia="zh-CN"/>
              </w:rPr>
            </w:pPr>
            <w:r>
              <w:rPr>
                <w:rFonts w:hint="eastAsia" w:ascii="仿宋" w:hAnsi="仿宋" w:eastAsia="仿宋"/>
                <w:b/>
                <w:bCs/>
                <w:color w:val="000000"/>
                <w:kern w:val="0"/>
                <w:sz w:val="21"/>
                <w:szCs w:val="21"/>
                <w:lang w:eastAsia="zh-CN"/>
              </w:rPr>
              <w:t>已履约</w:t>
            </w:r>
          </w:p>
          <w:p>
            <w:pPr>
              <w:adjustRightInd w:val="0"/>
              <w:snapToGrid w:val="0"/>
              <w:spacing w:line="240" w:lineRule="auto"/>
              <w:jc w:val="center"/>
              <w:rPr>
                <w:rFonts w:hint="eastAsia" w:ascii="仿宋" w:hAnsi="仿宋" w:eastAsia="仿宋"/>
                <w:b/>
                <w:bCs/>
                <w:color w:val="000000"/>
                <w:kern w:val="0"/>
                <w:szCs w:val="21"/>
                <w:lang w:eastAsia="zh-CN"/>
              </w:rPr>
            </w:pPr>
            <w:r>
              <w:rPr>
                <w:rFonts w:hint="eastAsia" w:ascii="仿宋" w:hAnsi="仿宋" w:eastAsia="仿宋"/>
                <w:b/>
                <w:bCs/>
                <w:color w:val="000000"/>
                <w:kern w:val="0"/>
                <w:sz w:val="21"/>
                <w:szCs w:val="21"/>
                <w:lang w:eastAsia="zh-CN"/>
              </w:rPr>
              <w:t>时间</w:t>
            </w:r>
          </w:p>
        </w:tc>
        <w:tc>
          <w:tcPr>
            <w:tcW w:w="2555" w:type="dxa"/>
            <w:gridSpan w:val="2"/>
            <w:noWrap/>
            <w:vAlign w:val="center"/>
          </w:tcPr>
          <w:p>
            <w:pPr>
              <w:adjustRightInd w:val="0"/>
              <w:snapToGrid w:val="0"/>
              <w:jc w:val="left"/>
              <w:rPr>
                <w:rFonts w:hint="eastAsia" w:ascii="仿宋" w:hAnsi="仿宋" w:eastAsia="仿宋"/>
                <w:b w:val="0"/>
                <w:bCs w:val="0"/>
                <w:color w:val="000000"/>
                <w:kern w:val="0"/>
                <w:szCs w:val="21"/>
                <w:lang w:val="en-US" w:eastAsia="zh-CN"/>
              </w:rPr>
            </w:pPr>
            <w:r>
              <w:rPr>
                <w:rFonts w:hint="eastAsia" w:ascii="仿宋" w:hAnsi="仿宋" w:eastAsia="仿宋"/>
                <w:b w:val="0"/>
                <w:bCs w:val="0"/>
                <w:color w:val="000000"/>
                <w:kern w:val="0"/>
                <w:szCs w:val="21"/>
                <w:lang w:val="en-US" w:eastAsia="zh-CN"/>
              </w:rPr>
              <w:t>自      年    月    日</w:t>
            </w:r>
          </w:p>
          <w:p>
            <w:pPr>
              <w:adjustRightInd w:val="0"/>
              <w:snapToGrid w:val="0"/>
              <w:jc w:val="left"/>
              <w:rPr>
                <w:rFonts w:hint="default" w:ascii="仿宋" w:hAnsi="仿宋" w:eastAsia="仿宋"/>
                <w:b/>
                <w:bCs/>
                <w:color w:val="000000"/>
                <w:kern w:val="0"/>
                <w:szCs w:val="21"/>
                <w:lang w:val="en-US" w:eastAsia="zh-CN"/>
              </w:rPr>
            </w:pPr>
            <w:r>
              <w:rPr>
                <w:rFonts w:hint="eastAsia" w:ascii="仿宋" w:hAnsi="仿宋" w:eastAsia="仿宋"/>
                <w:b w:val="0"/>
                <w:bCs w:val="0"/>
                <w:color w:val="000000"/>
                <w:kern w:val="0"/>
                <w:szCs w:val="21"/>
                <w:lang w:val="en-US" w:eastAsia="zh-CN"/>
              </w:rPr>
              <w:t>至      年    月    日</w:t>
            </w:r>
          </w:p>
        </w:tc>
        <w:tc>
          <w:tcPr>
            <w:tcW w:w="795" w:type="dxa"/>
            <w:noWrap/>
            <w:vAlign w:val="center"/>
          </w:tcPr>
          <w:p>
            <w:pPr>
              <w:adjustRightInd w:val="0"/>
              <w:snapToGrid w:val="0"/>
              <w:jc w:val="center"/>
              <w:rPr>
                <w:rFonts w:ascii="仿宋" w:hAnsi="仿宋" w:eastAsia="仿宋"/>
                <w:color w:val="000000"/>
                <w:kern w:val="0"/>
                <w:sz w:val="22"/>
              </w:rPr>
            </w:pPr>
            <w:r>
              <w:rPr>
                <w:rFonts w:ascii="仿宋" w:hAnsi="仿宋" w:eastAsia="仿宋"/>
                <w:b/>
                <w:bCs/>
                <w:color w:val="000000"/>
                <w:kern w:val="0"/>
                <w:sz w:val="22"/>
              </w:rPr>
              <w:t>填表人</w:t>
            </w:r>
          </w:p>
        </w:tc>
        <w:tc>
          <w:tcPr>
            <w:tcW w:w="1890" w:type="dxa"/>
            <w:noWrap/>
            <w:vAlign w:val="center"/>
          </w:tcPr>
          <w:p>
            <w:pPr>
              <w:adjustRightInd w:val="0"/>
              <w:snapToGrid w:val="0"/>
              <w:jc w:val="center"/>
              <w:rPr>
                <w:rFonts w:ascii="仿宋" w:hAnsi="仿宋" w:eastAsia="仿宋"/>
                <w:color w:val="000000"/>
                <w:kern w:val="0"/>
                <w:sz w:val="22"/>
              </w:rPr>
            </w:pPr>
          </w:p>
        </w:tc>
        <w:tc>
          <w:tcPr>
            <w:tcW w:w="720" w:type="dxa"/>
            <w:noWrap/>
            <w:vAlign w:val="center"/>
          </w:tcPr>
          <w:p>
            <w:pPr>
              <w:adjustRightInd w:val="0"/>
              <w:snapToGrid w:val="0"/>
              <w:jc w:val="center"/>
              <w:rPr>
                <w:rFonts w:hint="eastAsia" w:ascii="仿宋" w:hAnsi="仿宋" w:eastAsia="仿宋"/>
                <w:color w:val="000000"/>
                <w:kern w:val="0"/>
                <w:sz w:val="22"/>
                <w:lang w:eastAsia="zh-CN"/>
              </w:rPr>
            </w:pPr>
            <w:r>
              <w:rPr>
                <w:rFonts w:hint="eastAsia" w:ascii="仿宋" w:hAnsi="仿宋" w:eastAsia="仿宋"/>
                <w:b/>
                <w:bCs/>
                <w:color w:val="000000"/>
                <w:kern w:val="0"/>
                <w:sz w:val="22"/>
                <w:lang w:eastAsia="zh-CN"/>
              </w:rPr>
              <w:t>填表时间</w:t>
            </w:r>
          </w:p>
        </w:tc>
        <w:tc>
          <w:tcPr>
            <w:tcW w:w="1810" w:type="dxa"/>
            <w:noWrap/>
            <w:vAlign w:val="center"/>
          </w:tcPr>
          <w:p>
            <w:pPr>
              <w:adjustRightInd w:val="0"/>
              <w:snapToGrid w:val="0"/>
              <w:jc w:val="center"/>
              <w:rPr>
                <w:rFonts w:ascii="仿宋" w:hAnsi="仿宋" w:eastAsia="仿宋"/>
                <w:b/>
                <w:bCs/>
                <w:color w:val="00000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1125" w:type="dxa"/>
            <w:vMerge w:val="restart"/>
            <w:noWrap/>
            <w:vAlign w:val="center"/>
          </w:tcPr>
          <w:p>
            <w:pPr>
              <w:adjustRightInd w:val="0"/>
              <w:snapToGrid w:val="0"/>
              <w:jc w:val="center"/>
              <w:rPr>
                <w:rFonts w:hint="eastAsia" w:ascii="仿宋" w:hAnsi="仿宋" w:eastAsia="仿宋"/>
                <w:b/>
                <w:bCs/>
                <w:color w:val="000000"/>
                <w:kern w:val="0"/>
                <w:szCs w:val="21"/>
                <w:lang w:eastAsia="zh-CN"/>
              </w:rPr>
            </w:pPr>
            <w:r>
              <w:rPr>
                <w:rFonts w:hint="eastAsia" w:ascii="仿宋" w:hAnsi="仿宋" w:eastAsia="仿宋"/>
                <w:b/>
                <w:bCs/>
                <w:color w:val="000000"/>
                <w:kern w:val="0"/>
                <w:szCs w:val="21"/>
                <w:lang w:eastAsia="zh-CN"/>
              </w:rPr>
              <w:t>履约评价内容</w:t>
            </w:r>
          </w:p>
        </w:tc>
        <w:tc>
          <w:tcPr>
            <w:tcW w:w="5240" w:type="dxa"/>
            <w:gridSpan w:val="4"/>
            <w:noWrap/>
            <w:vAlign w:val="center"/>
          </w:tcPr>
          <w:p>
            <w:pPr>
              <w:adjustRightInd w:val="0"/>
              <w:snapToGrid w:val="0"/>
              <w:jc w:val="left"/>
              <w:rPr>
                <w:rFonts w:ascii="仿宋" w:hAnsi="仿宋" w:eastAsia="仿宋"/>
                <w:b/>
                <w:bCs/>
                <w:color w:val="000000"/>
                <w:kern w:val="0"/>
                <w:szCs w:val="21"/>
              </w:rPr>
            </w:pPr>
            <w:r>
              <w:rPr>
                <w:rFonts w:hint="eastAsia" w:ascii="仿宋" w:hAnsi="仿宋" w:eastAsia="仿宋"/>
                <w:color w:val="000000"/>
                <w:kern w:val="0"/>
                <w:sz w:val="22"/>
              </w:rPr>
              <w:t>合同已履约各月月考核得</w:t>
            </w:r>
            <w:r>
              <w:rPr>
                <w:rFonts w:hint="eastAsia" w:ascii="仿宋" w:hAnsi="仿宋" w:eastAsia="仿宋"/>
                <w:color w:val="000000"/>
                <w:kern w:val="0"/>
                <w:sz w:val="22"/>
                <w:lang w:eastAsia="zh-CN"/>
              </w:rPr>
              <w:t>分</w:t>
            </w:r>
            <w:r>
              <w:rPr>
                <w:rFonts w:hint="eastAsia" w:ascii="仿宋" w:hAnsi="仿宋" w:eastAsia="仿宋"/>
                <w:color w:val="000000"/>
                <w:kern w:val="0"/>
                <w:sz w:val="22"/>
              </w:rPr>
              <w:t>算术平均值（分）</w:t>
            </w:r>
          </w:p>
        </w:tc>
        <w:tc>
          <w:tcPr>
            <w:tcW w:w="2530" w:type="dxa"/>
            <w:gridSpan w:val="2"/>
            <w:noWrap/>
            <w:vAlign w:val="center"/>
          </w:tcPr>
          <w:p>
            <w:pPr>
              <w:adjustRightInd w:val="0"/>
              <w:snapToGrid w:val="0"/>
              <w:jc w:val="center"/>
              <w:rPr>
                <w:rFonts w:ascii="仿宋" w:hAnsi="仿宋" w:eastAsia="仿宋"/>
                <w:b/>
                <w:bCs/>
                <w:color w:val="00000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1125" w:type="dxa"/>
            <w:vMerge w:val="continue"/>
            <w:noWrap/>
            <w:vAlign w:val="center"/>
          </w:tcPr>
          <w:p>
            <w:pPr>
              <w:adjustRightInd w:val="0"/>
              <w:snapToGrid w:val="0"/>
              <w:jc w:val="center"/>
              <w:rPr>
                <w:rFonts w:ascii="仿宋" w:hAnsi="仿宋" w:eastAsia="仿宋"/>
                <w:b/>
                <w:bCs/>
                <w:color w:val="000000"/>
                <w:kern w:val="0"/>
                <w:szCs w:val="21"/>
              </w:rPr>
            </w:pPr>
          </w:p>
        </w:tc>
        <w:tc>
          <w:tcPr>
            <w:tcW w:w="5240" w:type="dxa"/>
            <w:gridSpan w:val="4"/>
            <w:noWrap/>
            <w:vAlign w:val="center"/>
          </w:tcPr>
          <w:p>
            <w:pPr>
              <w:adjustRightInd w:val="0"/>
              <w:snapToGrid w:val="0"/>
              <w:jc w:val="left"/>
              <w:rPr>
                <w:rFonts w:ascii="仿宋" w:hAnsi="仿宋" w:eastAsia="仿宋"/>
                <w:b/>
                <w:bCs/>
                <w:color w:val="000000"/>
                <w:kern w:val="0"/>
                <w:szCs w:val="21"/>
              </w:rPr>
            </w:pPr>
            <w:r>
              <w:rPr>
                <w:rFonts w:hint="eastAsia" w:ascii="仿宋" w:hAnsi="仿宋" w:eastAsia="仿宋"/>
                <w:color w:val="000000"/>
                <w:kern w:val="0"/>
                <w:sz w:val="22"/>
              </w:rPr>
              <w:t>合同月考核得分低于80分次数</w:t>
            </w:r>
            <w:r>
              <w:rPr>
                <w:rFonts w:hint="eastAsia" w:ascii="仿宋" w:hAnsi="仿宋" w:eastAsia="仿宋"/>
                <w:b w:val="0"/>
                <w:bCs w:val="0"/>
                <w:color w:val="000000"/>
                <w:kern w:val="0"/>
                <w:sz w:val="22"/>
                <w:szCs w:val="24"/>
              </w:rPr>
              <w:t>（</w:t>
            </w:r>
            <w:r>
              <w:rPr>
                <w:rFonts w:hint="eastAsia" w:ascii="仿宋" w:hAnsi="仿宋" w:eastAsia="仿宋"/>
                <w:b w:val="0"/>
                <w:bCs w:val="0"/>
                <w:color w:val="000000"/>
                <w:kern w:val="0"/>
                <w:sz w:val="22"/>
                <w:szCs w:val="24"/>
                <w:lang w:eastAsia="zh-CN"/>
              </w:rPr>
              <w:t>如有请列出</w:t>
            </w:r>
            <w:r>
              <w:rPr>
                <w:rFonts w:hint="eastAsia" w:ascii="仿宋" w:hAnsi="仿宋" w:eastAsia="仿宋"/>
                <w:b w:val="0"/>
                <w:bCs w:val="0"/>
                <w:i w:val="0"/>
                <w:iCs w:val="0"/>
                <w:color w:val="000000"/>
                <w:kern w:val="0"/>
                <w:sz w:val="22"/>
                <w:szCs w:val="24"/>
                <w:highlight w:val="none"/>
              </w:rPr>
              <w:t>相关月份及分数</w:t>
            </w:r>
            <w:r>
              <w:rPr>
                <w:rFonts w:hint="eastAsia" w:ascii="仿宋" w:hAnsi="仿宋" w:eastAsia="仿宋"/>
                <w:b w:val="0"/>
                <w:bCs w:val="0"/>
                <w:color w:val="000000"/>
                <w:kern w:val="0"/>
                <w:sz w:val="22"/>
                <w:szCs w:val="24"/>
              </w:rPr>
              <w:t>）</w:t>
            </w:r>
          </w:p>
        </w:tc>
        <w:tc>
          <w:tcPr>
            <w:tcW w:w="2530" w:type="dxa"/>
            <w:gridSpan w:val="2"/>
            <w:noWrap/>
            <w:vAlign w:val="center"/>
          </w:tcPr>
          <w:p>
            <w:pPr>
              <w:adjustRightInd w:val="0"/>
              <w:snapToGrid w:val="0"/>
              <w:jc w:val="center"/>
              <w:rPr>
                <w:rFonts w:hint="eastAsia" w:ascii="仿宋" w:hAnsi="仿宋" w:eastAsia="仿宋"/>
                <w:b/>
                <w:bCs/>
                <w:color w:val="000000"/>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1125" w:type="dxa"/>
            <w:vMerge w:val="continue"/>
            <w:noWrap/>
            <w:vAlign w:val="center"/>
          </w:tcPr>
          <w:p>
            <w:pPr>
              <w:adjustRightInd w:val="0"/>
              <w:snapToGrid w:val="0"/>
              <w:jc w:val="center"/>
              <w:rPr>
                <w:rFonts w:ascii="仿宋" w:hAnsi="仿宋" w:eastAsia="仿宋"/>
                <w:b/>
                <w:bCs/>
                <w:color w:val="000000"/>
                <w:kern w:val="0"/>
                <w:szCs w:val="21"/>
              </w:rPr>
            </w:pPr>
          </w:p>
        </w:tc>
        <w:tc>
          <w:tcPr>
            <w:tcW w:w="5240" w:type="dxa"/>
            <w:gridSpan w:val="4"/>
            <w:noWrap/>
            <w:vAlign w:val="center"/>
          </w:tcPr>
          <w:p>
            <w:pPr>
              <w:adjustRightInd w:val="0"/>
              <w:snapToGrid w:val="0"/>
              <w:jc w:val="left"/>
              <w:rPr>
                <w:rFonts w:hint="eastAsia" w:ascii="仿宋" w:hAnsi="仿宋" w:eastAsia="仿宋"/>
                <w:b/>
                <w:bCs/>
                <w:color w:val="000000"/>
                <w:kern w:val="0"/>
                <w:szCs w:val="21"/>
                <w:lang w:eastAsia="zh-CN"/>
              </w:rPr>
            </w:pPr>
            <w:r>
              <w:rPr>
                <w:rFonts w:hint="eastAsia" w:ascii="仿宋" w:hAnsi="仿宋" w:eastAsia="仿宋"/>
                <w:strike/>
                <w:color w:val="000000"/>
                <w:kern w:val="0"/>
                <w:sz w:val="22"/>
              </w:rPr>
              <w:t>运行（营）维护单位是否存在公告期内的较严重及以上不良行为</w:t>
            </w:r>
            <w:r>
              <w:rPr>
                <w:rFonts w:hint="eastAsia" w:ascii="仿宋" w:hAnsi="仿宋" w:eastAsia="仿宋"/>
                <w:strike/>
                <w:color w:val="000000"/>
                <w:kern w:val="0"/>
                <w:sz w:val="22"/>
                <w:lang w:eastAsia="zh-CN"/>
              </w:rPr>
              <w:t>（如有请列出不良行为等级及公告起止时间）</w:t>
            </w:r>
          </w:p>
        </w:tc>
        <w:tc>
          <w:tcPr>
            <w:tcW w:w="2530" w:type="dxa"/>
            <w:gridSpan w:val="2"/>
            <w:noWrap/>
            <w:vAlign w:val="center"/>
          </w:tcPr>
          <w:p>
            <w:pPr>
              <w:adjustRightInd w:val="0"/>
              <w:snapToGrid w:val="0"/>
              <w:jc w:val="center"/>
              <w:rPr>
                <w:rFonts w:ascii="仿宋" w:hAnsi="仿宋" w:eastAsia="仿宋"/>
                <w:b/>
                <w:bCs/>
                <w:color w:val="00000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570" w:hRule="atLeast"/>
        </w:trPr>
        <w:tc>
          <w:tcPr>
            <w:tcW w:w="6365" w:type="dxa"/>
            <w:gridSpan w:val="5"/>
            <w:noWrap/>
            <w:vAlign w:val="center"/>
          </w:tcPr>
          <w:p>
            <w:pPr>
              <w:adjustRightInd w:val="0"/>
              <w:snapToGrid w:val="0"/>
              <w:jc w:val="center"/>
              <w:rPr>
                <w:rFonts w:hint="eastAsia" w:ascii="仿宋" w:hAnsi="仿宋" w:eastAsia="仿宋"/>
                <w:b/>
                <w:bCs/>
                <w:color w:val="000000"/>
                <w:kern w:val="0"/>
                <w:szCs w:val="21"/>
                <w:lang w:val="en" w:eastAsia="zh-CN"/>
              </w:rPr>
            </w:pPr>
            <w:r>
              <w:rPr>
                <w:rFonts w:hint="eastAsia" w:ascii="仿宋" w:hAnsi="仿宋" w:eastAsia="仿宋"/>
                <w:b/>
                <w:bCs/>
                <w:color w:val="000000"/>
                <w:kern w:val="0"/>
                <w:sz w:val="22"/>
              </w:rPr>
              <w:t>履约评价</w:t>
            </w:r>
            <w:r>
              <w:rPr>
                <w:rFonts w:hint="eastAsia" w:ascii="仿宋" w:hAnsi="仿宋" w:eastAsia="仿宋"/>
                <w:b/>
                <w:bCs/>
                <w:color w:val="000000"/>
                <w:kern w:val="0"/>
                <w:sz w:val="22"/>
                <w:lang w:eastAsia="zh-CN"/>
              </w:rPr>
              <w:t>结果</w:t>
            </w:r>
          </w:p>
        </w:tc>
        <w:tc>
          <w:tcPr>
            <w:tcW w:w="2530" w:type="dxa"/>
            <w:gridSpan w:val="2"/>
            <w:noWrap/>
            <w:vAlign w:val="center"/>
          </w:tcPr>
          <w:p>
            <w:pPr>
              <w:adjustRightInd w:val="0"/>
              <w:snapToGrid w:val="0"/>
              <w:jc w:val="center"/>
              <w:rPr>
                <w:rFonts w:ascii="仿宋" w:hAnsi="仿宋" w:eastAsia="仿宋"/>
                <w:b/>
                <w:bCs/>
                <w:color w:val="00000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1502" w:hRule="atLeast"/>
        </w:trPr>
        <w:tc>
          <w:tcPr>
            <w:tcW w:w="1850" w:type="dxa"/>
            <w:gridSpan w:val="2"/>
            <w:noWrap/>
            <w:vAlign w:val="center"/>
          </w:tcPr>
          <w:p>
            <w:pPr>
              <w:jc w:val="center"/>
              <w:rPr>
                <w:rFonts w:ascii="仿宋" w:hAnsi="仿宋" w:eastAsia="仿宋"/>
                <w:b/>
                <w:bCs/>
                <w:color w:val="000000"/>
                <w:kern w:val="0"/>
                <w:szCs w:val="21"/>
              </w:rPr>
            </w:pPr>
            <w:r>
              <w:rPr>
                <w:rFonts w:hint="eastAsia" w:ascii="仿宋" w:hAnsi="仿宋" w:eastAsia="仿宋"/>
                <w:b/>
                <w:bCs/>
                <w:color w:val="000000"/>
                <w:kern w:val="0"/>
                <w:szCs w:val="21"/>
                <w:lang w:eastAsia="zh-CN"/>
              </w:rPr>
              <w:t>业务</w:t>
            </w:r>
            <w:r>
              <w:rPr>
                <w:rFonts w:ascii="仿宋" w:hAnsi="仿宋" w:eastAsia="仿宋"/>
                <w:b/>
                <w:bCs/>
                <w:color w:val="000000"/>
                <w:kern w:val="0"/>
                <w:szCs w:val="21"/>
              </w:rPr>
              <w:t>部</w:t>
            </w:r>
            <w:r>
              <w:rPr>
                <w:rFonts w:hint="eastAsia" w:ascii="仿宋" w:hAnsi="仿宋" w:eastAsia="仿宋"/>
                <w:b/>
                <w:bCs/>
                <w:color w:val="000000"/>
                <w:kern w:val="0"/>
                <w:szCs w:val="21"/>
                <w:lang w:eastAsia="zh-CN"/>
              </w:rPr>
              <w:t>门</w:t>
            </w:r>
            <w:r>
              <w:rPr>
                <w:rFonts w:ascii="仿宋" w:hAnsi="仿宋" w:eastAsia="仿宋"/>
                <w:b/>
                <w:bCs/>
                <w:color w:val="000000"/>
                <w:kern w:val="0"/>
                <w:szCs w:val="21"/>
              </w:rPr>
              <w:t>现场负责人意见</w:t>
            </w:r>
          </w:p>
        </w:tc>
        <w:tc>
          <w:tcPr>
            <w:tcW w:w="7045" w:type="dxa"/>
            <w:gridSpan w:val="5"/>
            <w:noWrap/>
            <w:vAlign w:val="bottom"/>
          </w:tcPr>
          <w:p>
            <w:pPr>
              <w:rPr>
                <w:rFonts w:ascii="仿宋" w:hAnsi="仿宋" w:eastAsia="仿宋"/>
                <w:color w:val="000000"/>
                <w:szCs w:val="21"/>
              </w:rPr>
            </w:pPr>
            <w:r>
              <w:rPr>
                <w:rFonts w:hint="eastAsia" w:ascii="仿宋" w:hAnsi="仿宋" w:eastAsia="仿宋"/>
                <w:color w:val="000000"/>
                <w:kern w:val="0"/>
                <w:szCs w:val="21"/>
              </w:rPr>
              <w:t>签名：                      日期：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1354" w:hRule="atLeast"/>
        </w:trPr>
        <w:tc>
          <w:tcPr>
            <w:tcW w:w="1850" w:type="dxa"/>
            <w:gridSpan w:val="2"/>
            <w:noWrap/>
            <w:vAlign w:val="center"/>
          </w:tcPr>
          <w:p>
            <w:pPr>
              <w:jc w:val="center"/>
              <w:rPr>
                <w:rFonts w:ascii="仿宋" w:hAnsi="仿宋" w:eastAsia="仿宋"/>
                <w:b/>
                <w:bCs/>
                <w:color w:val="000000"/>
                <w:kern w:val="0"/>
                <w:szCs w:val="21"/>
              </w:rPr>
            </w:pPr>
            <w:r>
              <w:rPr>
                <w:rFonts w:hint="eastAsia" w:ascii="仿宋" w:hAnsi="仿宋" w:eastAsia="仿宋"/>
                <w:b/>
                <w:bCs/>
                <w:color w:val="000000"/>
                <w:kern w:val="0"/>
                <w:szCs w:val="21"/>
                <w:lang w:eastAsia="zh-CN"/>
              </w:rPr>
              <w:t>业务</w:t>
            </w:r>
            <w:r>
              <w:rPr>
                <w:rFonts w:ascii="仿宋" w:hAnsi="仿宋" w:eastAsia="仿宋"/>
                <w:b/>
                <w:bCs/>
                <w:color w:val="000000"/>
                <w:kern w:val="0"/>
                <w:szCs w:val="21"/>
              </w:rPr>
              <w:t>部门负责人</w:t>
            </w:r>
          </w:p>
          <w:p>
            <w:pPr>
              <w:jc w:val="center"/>
              <w:rPr>
                <w:rFonts w:ascii="仿宋" w:hAnsi="仿宋" w:eastAsia="仿宋"/>
                <w:b/>
                <w:bCs/>
                <w:color w:val="000000"/>
                <w:kern w:val="0"/>
                <w:szCs w:val="21"/>
              </w:rPr>
            </w:pPr>
            <w:r>
              <w:rPr>
                <w:rFonts w:ascii="仿宋" w:hAnsi="仿宋" w:eastAsia="仿宋"/>
                <w:b/>
                <w:bCs/>
                <w:color w:val="000000"/>
                <w:kern w:val="0"/>
                <w:szCs w:val="21"/>
              </w:rPr>
              <w:t>意见</w:t>
            </w:r>
          </w:p>
        </w:tc>
        <w:tc>
          <w:tcPr>
            <w:tcW w:w="7045" w:type="dxa"/>
            <w:gridSpan w:val="5"/>
            <w:noWrap/>
            <w:vAlign w:val="bottom"/>
          </w:tcPr>
          <w:p>
            <w:pPr>
              <w:rPr>
                <w:rFonts w:ascii="仿宋" w:hAnsi="仿宋" w:eastAsia="仿宋"/>
                <w:color w:val="000000"/>
                <w:szCs w:val="21"/>
              </w:rPr>
            </w:pPr>
            <w:r>
              <w:rPr>
                <w:rFonts w:hint="eastAsia" w:ascii="仿宋" w:hAnsi="仿宋" w:eastAsia="仿宋"/>
                <w:color w:val="000000"/>
                <w:kern w:val="0"/>
                <w:szCs w:val="21"/>
              </w:rPr>
              <w:t>签名：                      日期：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20" w:type="dxa"/>
            <w:left w:w="60" w:type="dxa"/>
            <w:bottom w:w="120" w:type="dxa"/>
            <w:right w:w="60" w:type="dxa"/>
          </w:tblCellMar>
        </w:tblPrEx>
        <w:trPr>
          <w:trHeight w:val="1599" w:hRule="atLeast"/>
        </w:trPr>
        <w:tc>
          <w:tcPr>
            <w:tcW w:w="1850" w:type="dxa"/>
            <w:gridSpan w:val="2"/>
            <w:noWrap/>
            <w:vAlign w:val="center"/>
          </w:tcPr>
          <w:p>
            <w:pPr>
              <w:jc w:val="center"/>
              <w:rPr>
                <w:rFonts w:ascii="仿宋" w:hAnsi="仿宋" w:eastAsia="仿宋"/>
                <w:b/>
                <w:bCs/>
                <w:color w:val="000000"/>
                <w:kern w:val="0"/>
                <w:szCs w:val="21"/>
              </w:rPr>
            </w:pPr>
            <w:r>
              <w:rPr>
                <w:rFonts w:ascii="仿宋" w:hAnsi="仿宋" w:eastAsia="仿宋"/>
                <w:b/>
                <w:bCs/>
                <w:color w:val="000000"/>
                <w:kern w:val="0"/>
                <w:szCs w:val="21"/>
              </w:rPr>
              <w:t>中心分管副主任</w:t>
            </w:r>
          </w:p>
          <w:p>
            <w:pPr>
              <w:jc w:val="center"/>
              <w:rPr>
                <w:rFonts w:hint="eastAsia" w:ascii="仿宋" w:hAnsi="仿宋" w:eastAsia="仿宋"/>
                <w:color w:val="000000"/>
                <w:kern w:val="0"/>
                <w:sz w:val="22"/>
              </w:rPr>
            </w:pPr>
            <w:r>
              <w:rPr>
                <w:rFonts w:ascii="仿宋" w:hAnsi="仿宋" w:eastAsia="仿宋"/>
                <w:b/>
                <w:bCs/>
                <w:color w:val="000000"/>
                <w:kern w:val="0"/>
                <w:szCs w:val="21"/>
              </w:rPr>
              <w:t>意见</w:t>
            </w:r>
          </w:p>
        </w:tc>
        <w:tc>
          <w:tcPr>
            <w:tcW w:w="7045" w:type="dxa"/>
            <w:gridSpan w:val="5"/>
            <w:noWrap/>
            <w:vAlign w:val="bottom"/>
          </w:tcPr>
          <w:p>
            <w:pPr>
              <w:rPr>
                <w:rFonts w:ascii="仿宋" w:hAnsi="仿宋" w:eastAsia="仿宋"/>
                <w:b/>
                <w:bCs/>
                <w:color w:val="000000"/>
                <w:kern w:val="0"/>
                <w:szCs w:val="21"/>
              </w:rPr>
            </w:pPr>
            <w:r>
              <w:rPr>
                <w:rFonts w:hint="eastAsia" w:ascii="仿宋" w:hAnsi="仿宋" w:eastAsia="仿宋"/>
                <w:color w:val="000000"/>
                <w:kern w:val="0"/>
                <w:szCs w:val="21"/>
              </w:rPr>
              <w:t>签名：                      日期：</w:t>
            </w:r>
          </w:p>
        </w:tc>
      </w:tr>
    </w:tbl>
    <w:p>
      <w:pPr>
        <w:widowControl/>
        <w:adjustRightInd w:val="0"/>
        <w:snapToGrid w:val="0"/>
        <w:spacing w:line="20" w:lineRule="exact"/>
        <w:rPr>
          <w:rFonts w:hint="eastAsia" w:ascii="方正小标宋_GBK" w:hAnsi="方正小标宋_GBK" w:eastAsia="方正小标宋_GBK" w:cs="方正小标宋_GBK"/>
          <w:color w:val="000000"/>
          <w:kern w:val="0"/>
          <w:sz w:val="32"/>
          <w:szCs w:val="32"/>
        </w:rPr>
      </w:pPr>
    </w:p>
    <w:p>
      <w:pPr>
        <w:widowControl/>
        <w:adjustRightInd w:val="0"/>
        <w:snapToGrid w:val="0"/>
        <w:spacing w:line="20" w:lineRule="exact"/>
        <w:rPr>
          <w:rFonts w:hint="eastAsia" w:ascii="方正小标宋_GBK" w:hAnsi="方正小标宋_GBK" w:eastAsia="方正小标宋_GBK" w:cs="方正小标宋_GBK"/>
          <w:color w:val="000000"/>
          <w:kern w:val="0"/>
          <w:sz w:val="72"/>
          <w:szCs w:val="72"/>
        </w:rPr>
      </w:pPr>
    </w:p>
    <w:p>
      <w:pPr>
        <w:widowControl/>
        <w:adjustRightInd w:val="0"/>
        <w:snapToGrid w:val="0"/>
        <w:spacing w:line="20" w:lineRule="exact"/>
        <w:rPr>
          <w:rFonts w:hint="eastAsia" w:ascii="方正小标宋_GBK" w:hAnsi="方正小标宋_GBK" w:eastAsia="方正小标宋_GBK" w:cs="方正小标宋_GBK"/>
          <w:color w:val="000000"/>
          <w:kern w:val="0"/>
          <w:sz w:val="72"/>
          <w:szCs w:val="72"/>
        </w:rPr>
      </w:pPr>
    </w:p>
    <w:p>
      <w:pPr>
        <w:widowControl/>
        <w:adjustRightInd w:val="0"/>
        <w:snapToGrid w:val="0"/>
        <w:spacing w:line="20" w:lineRule="exact"/>
        <w:rPr>
          <w:rFonts w:ascii="方正小标宋_GBK" w:hAnsi="方正小标宋_GBK" w:eastAsia="方正小标宋_GBK" w:cs="方正小标宋_GBK"/>
          <w:color w:val="000000"/>
          <w:kern w:val="0"/>
          <w:sz w:val="72"/>
          <w:szCs w:val="7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Wingdings 2"/>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华光简小标宋">
    <w:altName w:val="方正小标宋_GBK"/>
    <w:panose1 w:val="00000000000000000000"/>
    <w:charset w:val="00"/>
    <w:family w:val="auto"/>
    <w:pitch w:val="default"/>
    <w:sig w:usb0="00000000" w:usb1="00000000" w:usb2="00000000"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ascii="宋体" w:hAnsi="宋体"/>
        <w:color w:val="000000"/>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FgAAAGRycy9QSwECFAAUAAAACACHTuJAaGmC&#10;S9MAAAAFAQAADwAAAAAAAAABACAAAAA4AAAAZHJzL2Rvd25yZXYueG1sUEsBAhQAFAAAAAgAh07i&#10;QGMy/XLYAQAAsQMAAA4AAAAAAAAAAQAgAAAAOAEAAGRycy9lMm9Eb2MueG1sUEsFBgAAAAAGAAYA&#10;WQEAAIIFAAAAAA==&#10;">
              <v:fill on="f" focussize="0,0"/>
              <v:stroke on="f" weight="1.2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jc w:val="left"/>
                          </w:pPr>
                        </w:p>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FgAAAGRycy9QSwECFAAUAAAACACHTuJAaGmC&#10;S9MAAAAFAQAADwAAAAAAAAABACAAAAA4AAAAZHJzL2Rvd25yZXYueG1sUEsBAhQAFAAAAAgAh07i&#10;QDDDS/3YAQAAsQMAAA4AAAAAAAAAAQAgAAAAOAEAAGRycy9lMm9Eb2MueG1sUEsFBgAAAAAGAAYA&#10;WQEAAIIFAAAAAA==&#10;">
              <v:fill on="f" focussize="0,0"/>
              <v:stroke on="f" weight="1.25pt"/>
              <v:imagedata o:title=""/>
              <o:lock v:ext="edit" aspectratio="f"/>
              <v:textbox inset="0mm,0mm,0mm,0mm" style="mso-fit-shape-to-text:t;">
                <w:txbxContent>
                  <w:p>
                    <w:pPr>
                      <w:jc w:val="left"/>
                    </w:pPr>
                  </w:p>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1FEA3B"/>
    <w:multiLevelType w:val="singleLevel"/>
    <w:tmpl w:val="BA1FEA3B"/>
    <w:lvl w:ilvl="0" w:tentative="0">
      <w:start w:val="1"/>
      <w:numFmt w:val="decimal"/>
      <w:suff w:val="nothing"/>
      <w:lvlText w:val="（%1）"/>
      <w:lvlJc w:val="left"/>
    </w:lvl>
  </w:abstractNum>
  <w:abstractNum w:abstractNumId="1">
    <w:nsid w:val="7FC52F90"/>
    <w:multiLevelType w:val="singleLevel"/>
    <w:tmpl w:val="7FC52F90"/>
    <w:lvl w:ilvl="0" w:tentative="0">
      <w:start w:val="1"/>
      <w:numFmt w:val="decimal"/>
      <w:suff w:val="nothing"/>
      <w:lvlText w:val="（%1）"/>
      <w:lvlJc w:val="left"/>
      <w:pPr>
        <w:ind w:left="64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MmZjMWRkZDlkYjVhZWQyYjI0NWU1MTE0OTdhNzgifQ=="/>
  </w:docVars>
  <w:rsids>
    <w:rsidRoot w:val="00D73339"/>
    <w:rsid w:val="00011789"/>
    <w:rsid w:val="001420FC"/>
    <w:rsid w:val="0034188D"/>
    <w:rsid w:val="004421E2"/>
    <w:rsid w:val="00457722"/>
    <w:rsid w:val="004F2DAB"/>
    <w:rsid w:val="00554BF1"/>
    <w:rsid w:val="008A0040"/>
    <w:rsid w:val="0090631C"/>
    <w:rsid w:val="00917802"/>
    <w:rsid w:val="009518A0"/>
    <w:rsid w:val="009847E2"/>
    <w:rsid w:val="009A3018"/>
    <w:rsid w:val="00A761D6"/>
    <w:rsid w:val="00AC505B"/>
    <w:rsid w:val="00D73339"/>
    <w:rsid w:val="00DD59F5"/>
    <w:rsid w:val="00E565BB"/>
    <w:rsid w:val="01110E7C"/>
    <w:rsid w:val="01242D74"/>
    <w:rsid w:val="01E171AB"/>
    <w:rsid w:val="02301599"/>
    <w:rsid w:val="02317CCE"/>
    <w:rsid w:val="02423B47"/>
    <w:rsid w:val="03DF7242"/>
    <w:rsid w:val="05B23A14"/>
    <w:rsid w:val="062D0CC5"/>
    <w:rsid w:val="067514E0"/>
    <w:rsid w:val="079054FC"/>
    <w:rsid w:val="0A2C5145"/>
    <w:rsid w:val="0A435F10"/>
    <w:rsid w:val="0A594135"/>
    <w:rsid w:val="0A7F4BEE"/>
    <w:rsid w:val="0AAD4360"/>
    <w:rsid w:val="0ADF36BB"/>
    <w:rsid w:val="0B3A6BE3"/>
    <w:rsid w:val="0B6672E5"/>
    <w:rsid w:val="0B726D6E"/>
    <w:rsid w:val="0B885FA1"/>
    <w:rsid w:val="0B8A6BBC"/>
    <w:rsid w:val="0CFF1664"/>
    <w:rsid w:val="0E6D4CF3"/>
    <w:rsid w:val="0E7ED7ED"/>
    <w:rsid w:val="10255A35"/>
    <w:rsid w:val="10607FCE"/>
    <w:rsid w:val="10683C8F"/>
    <w:rsid w:val="110F5844"/>
    <w:rsid w:val="12EF7196"/>
    <w:rsid w:val="130A453F"/>
    <w:rsid w:val="130D00A9"/>
    <w:rsid w:val="141169DD"/>
    <w:rsid w:val="14E06C48"/>
    <w:rsid w:val="163A5C3E"/>
    <w:rsid w:val="1682705B"/>
    <w:rsid w:val="16A23959"/>
    <w:rsid w:val="17A44579"/>
    <w:rsid w:val="18A62E1E"/>
    <w:rsid w:val="1BAF74B8"/>
    <w:rsid w:val="1C983248"/>
    <w:rsid w:val="1DB21DBA"/>
    <w:rsid w:val="1E612042"/>
    <w:rsid w:val="1EB930C3"/>
    <w:rsid w:val="1FC0361C"/>
    <w:rsid w:val="21935275"/>
    <w:rsid w:val="22FE23D4"/>
    <w:rsid w:val="23764A49"/>
    <w:rsid w:val="23C07624"/>
    <w:rsid w:val="242B3FFB"/>
    <w:rsid w:val="244073AB"/>
    <w:rsid w:val="244A6DEE"/>
    <w:rsid w:val="25707240"/>
    <w:rsid w:val="274A7C22"/>
    <w:rsid w:val="278CB892"/>
    <w:rsid w:val="27E226BE"/>
    <w:rsid w:val="2800008A"/>
    <w:rsid w:val="2A4F08D5"/>
    <w:rsid w:val="2B1E23C9"/>
    <w:rsid w:val="2BEF1F21"/>
    <w:rsid w:val="2C195A73"/>
    <w:rsid w:val="2D06215F"/>
    <w:rsid w:val="2D25282D"/>
    <w:rsid w:val="2E871171"/>
    <w:rsid w:val="2EEE3FA2"/>
    <w:rsid w:val="2F602F19"/>
    <w:rsid w:val="2F9F6D45"/>
    <w:rsid w:val="2FEE2B8F"/>
    <w:rsid w:val="2FF42C1A"/>
    <w:rsid w:val="300D651A"/>
    <w:rsid w:val="30454D62"/>
    <w:rsid w:val="30BD6432"/>
    <w:rsid w:val="30E26EC0"/>
    <w:rsid w:val="310B1CEA"/>
    <w:rsid w:val="31F04350"/>
    <w:rsid w:val="335E1929"/>
    <w:rsid w:val="345920A7"/>
    <w:rsid w:val="347B94CD"/>
    <w:rsid w:val="35454D0F"/>
    <w:rsid w:val="35552635"/>
    <w:rsid w:val="36652167"/>
    <w:rsid w:val="376B6C36"/>
    <w:rsid w:val="39B00EE5"/>
    <w:rsid w:val="39ED05CA"/>
    <w:rsid w:val="3A1A6B03"/>
    <w:rsid w:val="3A473380"/>
    <w:rsid w:val="3A505A22"/>
    <w:rsid w:val="3A617782"/>
    <w:rsid w:val="3C5DBE79"/>
    <w:rsid w:val="3E1774C6"/>
    <w:rsid w:val="3E712470"/>
    <w:rsid w:val="3F010ABB"/>
    <w:rsid w:val="3F957AA2"/>
    <w:rsid w:val="3FBB4AD5"/>
    <w:rsid w:val="41542947"/>
    <w:rsid w:val="43643787"/>
    <w:rsid w:val="43BB38BA"/>
    <w:rsid w:val="4489516D"/>
    <w:rsid w:val="44B55915"/>
    <w:rsid w:val="46A4022E"/>
    <w:rsid w:val="47C053DB"/>
    <w:rsid w:val="49006A92"/>
    <w:rsid w:val="4C817B07"/>
    <w:rsid w:val="4CE37E8B"/>
    <w:rsid w:val="4E4A583D"/>
    <w:rsid w:val="4E7A0DC6"/>
    <w:rsid w:val="4ED40988"/>
    <w:rsid w:val="4EDE30EA"/>
    <w:rsid w:val="4F4E1517"/>
    <w:rsid w:val="4FB71C68"/>
    <w:rsid w:val="4FE13D32"/>
    <w:rsid w:val="514E1E01"/>
    <w:rsid w:val="51555F6F"/>
    <w:rsid w:val="518F1597"/>
    <w:rsid w:val="521F70E2"/>
    <w:rsid w:val="52894251"/>
    <w:rsid w:val="534120CE"/>
    <w:rsid w:val="53716335"/>
    <w:rsid w:val="5442248E"/>
    <w:rsid w:val="54C11E47"/>
    <w:rsid w:val="5605761E"/>
    <w:rsid w:val="56E93D05"/>
    <w:rsid w:val="573715FB"/>
    <w:rsid w:val="575D74A3"/>
    <w:rsid w:val="58921674"/>
    <w:rsid w:val="58B622E2"/>
    <w:rsid w:val="59921352"/>
    <w:rsid w:val="59E7690B"/>
    <w:rsid w:val="59EF7610"/>
    <w:rsid w:val="5A911827"/>
    <w:rsid w:val="5AB153C4"/>
    <w:rsid w:val="5B8265BE"/>
    <w:rsid w:val="5BB67906"/>
    <w:rsid w:val="5C6656F6"/>
    <w:rsid w:val="5C711611"/>
    <w:rsid w:val="5D487145"/>
    <w:rsid w:val="5D992CB2"/>
    <w:rsid w:val="5DB757FE"/>
    <w:rsid w:val="5DC03875"/>
    <w:rsid w:val="5DE82CD4"/>
    <w:rsid w:val="5E413448"/>
    <w:rsid w:val="5E926A64"/>
    <w:rsid w:val="5EDF882F"/>
    <w:rsid w:val="60674A29"/>
    <w:rsid w:val="60741668"/>
    <w:rsid w:val="608519CB"/>
    <w:rsid w:val="60D55FC1"/>
    <w:rsid w:val="61BF4CB6"/>
    <w:rsid w:val="62475CDD"/>
    <w:rsid w:val="62516336"/>
    <w:rsid w:val="62C24C86"/>
    <w:rsid w:val="63304C32"/>
    <w:rsid w:val="63DD06AE"/>
    <w:rsid w:val="648C6816"/>
    <w:rsid w:val="663D4F99"/>
    <w:rsid w:val="6716557D"/>
    <w:rsid w:val="697B72A1"/>
    <w:rsid w:val="69A916AE"/>
    <w:rsid w:val="6ABB324C"/>
    <w:rsid w:val="6AED3CBB"/>
    <w:rsid w:val="6B8D46BD"/>
    <w:rsid w:val="6BB7122A"/>
    <w:rsid w:val="6D07204C"/>
    <w:rsid w:val="6D501991"/>
    <w:rsid w:val="6DC71B55"/>
    <w:rsid w:val="6EF78F41"/>
    <w:rsid w:val="6FA229EC"/>
    <w:rsid w:val="6FFE8818"/>
    <w:rsid w:val="70F26AC5"/>
    <w:rsid w:val="71911720"/>
    <w:rsid w:val="719F2875"/>
    <w:rsid w:val="722233EB"/>
    <w:rsid w:val="72276DD9"/>
    <w:rsid w:val="72CC0C0C"/>
    <w:rsid w:val="72EA27DE"/>
    <w:rsid w:val="74BD4000"/>
    <w:rsid w:val="75483879"/>
    <w:rsid w:val="756A20CE"/>
    <w:rsid w:val="75AE7032"/>
    <w:rsid w:val="75BFDFD8"/>
    <w:rsid w:val="75C1487F"/>
    <w:rsid w:val="76F592B7"/>
    <w:rsid w:val="77AF380A"/>
    <w:rsid w:val="7897231C"/>
    <w:rsid w:val="78C73AA7"/>
    <w:rsid w:val="790C5A35"/>
    <w:rsid w:val="792B617E"/>
    <w:rsid w:val="797C0845"/>
    <w:rsid w:val="79E363C4"/>
    <w:rsid w:val="7B29221B"/>
    <w:rsid w:val="7B414FD6"/>
    <w:rsid w:val="7BD21BD4"/>
    <w:rsid w:val="7BFF4D7B"/>
    <w:rsid w:val="7BFFF108"/>
    <w:rsid w:val="7CB21E1C"/>
    <w:rsid w:val="7CCC70BC"/>
    <w:rsid w:val="7CCE61A7"/>
    <w:rsid w:val="7CD754E4"/>
    <w:rsid w:val="7CEA7E34"/>
    <w:rsid w:val="7D010909"/>
    <w:rsid w:val="7D056EF1"/>
    <w:rsid w:val="7D8C3A48"/>
    <w:rsid w:val="7DDD6BD6"/>
    <w:rsid w:val="7DFC1560"/>
    <w:rsid w:val="7DFF88F1"/>
    <w:rsid w:val="7E21448E"/>
    <w:rsid w:val="7E3F4B29"/>
    <w:rsid w:val="7E779B46"/>
    <w:rsid w:val="7F3650F5"/>
    <w:rsid w:val="7FF71EB5"/>
    <w:rsid w:val="9FFA7389"/>
    <w:rsid w:val="AFD3FF29"/>
    <w:rsid w:val="B6FFD3C7"/>
    <w:rsid w:val="B7BF6E6E"/>
    <w:rsid w:val="BAFF67AA"/>
    <w:rsid w:val="BBAEBE2F"/>
    <w:rsid w:val="BDFB3240"/>
    <w:rsid w:val="BF65BBC7"/>
    <w:rsid w:val="BFF84211"/>
    <w:rsid w:val="CFEDF757"/>
    <w:rsid w:val="DABF4A00"/>
    <w:rsid w:val="DCFF07AD"/>
    <w:rsid w:val="EBE65B67"/>
    <w:rsid w:val="EBF668DE"/>
    <w:rsid w:val="ECDB801F"/>
    <w:rsid w:val="EDFFE9BB"/>
    <w:rsid w:val="F3DE7E48"/>
    <w:rsid w:val="F59E389A"/>
    <w:rsid w:val="F7B571DF"/>
    <w:rsid w:val="F7ED833E"/>
    <w:rsid w:val="F9F312D5"/>
    <w:rsid w:val="FB3FABCF"/>
    <w:rsid w:val="FBBD80B1"/>
    <w:rsid w:val="FD1F92A8"/>
    <w:rsid w:val="FEEF8FF6"/>
    <w:rsid w:val="FFBE5E08"/>
    <w:rsid w:val="FFCE71B1"/>
    <w:rsid w:val="FFDFC3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link w:val="9"/>
    <w:qFormat/>
    <w:uiPriority w:val="0"/>
    <w:pPr>
      <w:keepNext/>
      <w:keepLines/>
      <w:spacing w:before="280" w:after="290" w:line="376" w:lineRule="auto"/>
      <w:outlineLvl w:val="4"/>
    </w:pPr>
    <w:rPr>
      <w:rFonts w:ascii="Calibri" w:hAnsi="Calibri" w:eastAsia="宋体" w:cs="Times New Roman"/>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unhideWhenUsed/>
    <w:qFormat/>
    <w:uiPriority w:val="99"/>
    <w:pPr>
      <w:tabs>
        <w:tab w:val="center" w:pos="4153"/>
        <w:tab w:val="right" w:pos="8306"/>
      </w:tabs>
      <w:snapToGrid w:val="0"/>
      <w:jc w:val="left"/>
    </w:pPr>
    <w:rPr>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itle"/>
    <w:basedOn w:val="1"/>
    <w:next w:val="1"/>
    <w:qFormat/>
    <w:uiPriority w:val="10"/>
    <w:pPr>
      <w:spacing w:before="240" w:after="60"/>
      <w:jc w:val="center"/>
      <w:outlineLvl w:val="0"/>
    </w:pPr>
    <w:rPr>
      <w:rFonts w:ascii="Cambria" w:hAnsi="Cambria" w:eastAsia="宋体" w:cs="Times New Roman"/>
      <w:b/>
      <w:bCs/>
      <w:sz w:val="32"/>
      <w:szCs w:val="32"/>
    </w:rPr>
  </w:style>
  <w:style w:type="character" w:customStyle="1" w:styleId="9">
    <w:name w:val="标题 5 Char"/>
    <w:basedOn w:val="8"/>
    <w:link w:val="2"/>
    <w:qFormat/>
    <w:uiPriority w:val="0"/>
    <w:rPr>
      <w:rFonts w:ascii="Calibri" w:hAnsi="Calibri" w:eastAsia="宋体" w:cs="Times New Roman"/>
      <w:b/>
      <w:bCs/>
      <w:sz w:val="28"/>
      <w:szCs w:val="28"/>
    </w:rPr>
  </w:style>
  <w:style w:type="character" w:customStyle="1" w:styleId="10">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23</Pages>
  <Words>9789</Words>
  <Characters>9989</Characters>
  <Lines>84</Lines>
  <Paragraphs>23</Paragraphs>
  <TotalTime>21</TotalTime>
  <ScaleCrop>false</ScaleCrop>
  <LinksUpToDate>false</LinksUpToDate>
  <CharactersWithSpaces>10535</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2021-08-22T22:56:00Z</dcterms:created>
  <dc:creator>Administrator</dc:creator>
  <cp:lastModifiedBy>Dian</cp:lastModifiedBy>
  <dcterms:modified xsi:type="dcterms:W3CDTF">2026-07-03T10:06:41Z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0ADB48251ED107758EE60A6ACE4030F9</vt:lpwstr>
  </property>
</Properties>
</file>