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F9D786">
      <w:r>
        <w:rPr>
          <w:rFonts w:hint="eastAsia"/>
        </w:rPr>
        <w:t>广东格嘉家具有限公司投标文件中提供的《中小企业声明函》未对“三龙头直饮水机”作出响应，不符合《资格性审查表》第9条要求，作投标无效处理。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C1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2026-07-15T11:30:26Z</dcterms:created>
  <dc:creator>15755</dc:creator>
  <cp:lastModifiedBy>DLJ</cp:lastModifiedBy>
  <dcterms:modified xsi:type="dcterms:W3CDTF">2026-07-15T11:30:33Z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eyJoZGlkIjoiZjk3NDcwYzkzMzkwZjgzNzBlNzI3ZjFmOTk5ZTQ2MzQiLCJ1c2VySWQiOiIyMjc1MTQ3NjgifQ==</vt:lpwstr>
  </property>
  <property fmtid="{D5CDD505-2E9C-101B-9397-08002B2CF9AE}" pid="4" name="ICV">
    <vt:lpwstr>ADA8DABA87E04EEA81229C70801F3D10_12</vt:lpwstr>
  </property>
</Properties>
</file>