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33F9E7">
      <w:pPr>
        <w:jc w:val="center"/>
        <w:rPr>
          <w:rFonts w:hint="eastAsia" w:ascii="宋体" w:hAnsi="宋体" w:eastAsia="宋体" w:cs="宋体"/>
          <w:b/>
          <w:sz w:val="120"/>
          <w:szCs w:val="120"/>
        </w:rPr>
      </w:pPr>
      <w:r>
        <w:rPr>
          <w:rFonts w:hint="eastAsia" w:ascii="宋体" w:hAnsi="宋体" w:eastAsia="宋体" w:cs="宋体"/>
          <w:b/>
          <w:sz w:val="120"/>
          <w:szCs w:val="120"/>
        </w:rPr>
        <w:t>政府采购</w:t>
      </w:r>
    </w:p>
    <w:p w14:paraId="7C06CC16">
      <w:pPr>
        <w:jc w:val="center"/>
        <w:rPr>
          <w:rFonts w:hint="eastAsia" w:ascii="宋体" w:hAnsi="宋体" w:eastAsia="宋体" w:cs="宋体"/>
          <w:b/>
          <w:sz w:val="120"/>
          <w:szCs w:val="120"/>
        </w:rPr>
      </w:pPr>
      <w:r>
        <w:rPr>
          <w:rFonts w:hint="eastAsia" w:ascii="宋体" w:hAnsi="宋体" w:eastAsia="宋体" w:cs="宋体"/>
          <w:b/>
          <w:sz w:val="120"/>
          <w:szCs w:val="120"/>
        </w:rPr>
        <w:t>招标文件</w:t>
      </w:r>
    </w:p>
    <w:p w14:paraId="2BD0588A">
      <w:pPr>
        <w:rPr>
          <w:rFonts w:hint="eastAsia" w:ascii="宋体" w:hAnsi="宋体" w:eastAsia="宋体" w:cs="宋体"/>
        </w:rPr>
      </w:pPr>
    </w:p>
    <w:p w14:paraId="72E169F1">
      <w:pPr>
        <w:pStyle w:val="24"/>
        <w:rPr>
          <w:rFonts w:hint="eastAsia" w:ascii="宋体" w:hAnsi="宋体" w:eastAsia="宋体" w:cs="宋体"/>
        </w:rPr>
      </w:pPr>
    </w:p>
    <w:p w14:paraId="4CAA2B26">
      <w:pPr>
        <w:pStyle w:val="24"/>
        <w:rPr>
          <w:rFonts w:hint="eastAsia" w:ascii="宋体" w:hAnsi="宋体" w:eastAsia="宋体" w:cs="宋体"/>
        </w:rPr>
      </w:pPr>
    </w:p>
    <w:p w14:paraId="37464086">
      <w:pPr>
        <w:pStyle w:val="24"/>
        <w:rPr>
          <w:rFonts w:hint="eastAsia" w:ascii="宋体" w:hAnsi="宋体" w:eastAsia="宋体" w:cs="宋体"/>
        </w:rPr>
      </w:pPr>
    </w:p>
    <w:p w14:paraId="1D2627DA">
      <w:pPr>
        <w:pStyle w:val="24"/>
        <w:rPr>
          <w:rFonts w:hint="eastAsia" w:ascii="宋体" w:hAnsi="宋体" w:eastAsia="宋体" w:cs="宋体"/>
        </w:rPr>
      </w:pPr>
    </w:p>
    <w:p w14:paraId="5BD3A17F">
      <w:pPr>
        <w:pStyle w:val="24"/>
        <w:rPr>
          <w:rFonts w:hint="eastAsia" w:ascii="宋体" w:hAnsi="宋体" w:eastAsia="宋体" w:cs="宋体"/>
        </w:rPr>
      </w:pPr>
    </w:p>
    <w:p w14:paraId="60E77407">
      <w:pPr>
        <w:pStyle w:val="24"/>
        <w:rPr>
          <w:rFonts w:hint="eastAsia" w:ascii="宋体" w:hAnsi="宋体" w:eastAsia="宋体" w:cs="宋体"/>
        </w:rPr>
      </w:pPr>
    </w:p>
    <w:p w14:paraId="2A5B2A27">
      <w:pPr>
        <w:pStyle w:val="24"/>
        <w:rPr>
          <w:rFonts w:hint="eastAsia" w:ascii="宋体" w:hAnsi="宋体" w:eastAsia="宋体" w:cs="宋体"/>
        </w:rPr>
      </w:pPr>
    </w:p>
    <w:p w14:paraId="066CEC71">
      <w:pPr>
        <w:pStyle w:val="24"/>
        <w:rPr>
          <w:rFonts w:hint="eastAsia" w:ascii="宋体" w:hAnsi="宋体" w:eastAsia="宋体" w:cs="宋体"/>
        </w:rPr>
      </w:pPr>
    </w:p>
    <w:p w14:paraId="1BB76F76">
      <w:pPr>
        <w:rPr>
          <w:rFonts w:hint="eastAsia" w:ascii="宋体" w:hAnsi="宋体" w:eastAsia="宋体" w:cs="宋体"/>
        </w:rPr>
      </w:pPr>
    </w:p>
    <w:p w14:paraId="673BD57C">
      <w:pPr>
        <w:ind w:right="-276" w:rightChars="-115"/>
        <w:rPr>
          <w:rFonts w:hint="eastAsia" w:ascii="宋体" w:hAnsi="宋体" w:eastAsia="宋体" w:cs="宋体"/>
          <w:b/>
          <w:sz w:val="44"/>
          <w:szCs w:val="44"/>
        </w:rPr>
      </w:pPr>
      <w:r>
        <w:rPr>
          <w:rFonts w:hint="eastAsia" w:ascii="宋体" w:hAnsi="宋体" w:eastAsia="宋体" w:cs="宋体"/>
          <w:b/>
          <w:sz w:val="44"/>
          <w:szCs w:val="44"/>
        </w:rPr>
        <w:t>项目编号：AOMC-2026-098（SZDL2026001243）</w:t>
      </w:r>
    </w:p>
    <w:p w14:paraId="7D79EB28">
      <w:pPr>
        <w:ind w:right="-276" w:rightChars="-115"/>
        <w:rPr>
          <w:rFonts w:hint="eastAsia" w:ascii="宋体" w:hAnsi="宋体" w:eastAsia="宋体" w:cs="宋体"/>
          <w:b/>
          <w:sz w:val="44"/>
          <w:szCs w:val="44"/>
        </w:rPr>
      </w:pPr>
      <w:r>
        <w:rPr>
          <w:rFonts w:hint="eastAsia" w:ascii="宋体" w:hAnsi="宋体" w:eastAsia="宋体" w:cs="宋体"/>
          <w:b/>
          <w:sz w:val="44"/>
          <w:szCs w:val="44"/>
        </w:rPr>
        <w:t>项目名称：南方科技大学教学及学生生活管理服务项目</w:t>
      </w:r>
    </w:p>
    <w:p w14:paraId="493F5A10">
      <w:pPr>
        <w:pStyle w:val="2"/>
        <w:rPr>
          <w:rFonts w:hint="eastAsia" w:ascii="宋体" w:hAnsi="宋体" w:eastAsia="宋体" w:cs="宋体"/>
          <w:sz w:val="44"/>
          <w:szCs w:val="44"/>
        </w:rPr>
      </w:pPr>
      <w:r>
        <w:rPr>
          <w:rFonts w:hint="eastAsia" w:ascii="宋体" w:hAnsi="宋体" w:eastAsia="宋体" w:cs="宋体"/>
          <w:sz w:val="44"/>
          <w:szCs w:val="44"/>
        </w:rPr>
        <w:t xml:space="preserve">  </w:t>
      </w:r>
    </w:p>
    <w:p w14:paraId="1E6EED75">
      <w:pPr>
        <w:pStyle w:val="2"/>
        <w:rPr>
          <w:rFonts w:hint="eastAsia" w:ascii="宋体" w:hAnsi="宋体" w:eastAsia="宋体" w:cs="宋体"/>
          <w:sz w:val="44"/>
          <w:szCs w:val="44"/>
        </w:rPr>
      </w:pPr>
    </w:p>
    <w:p w14:paraId="20986C96">
      <w:pPr>
        <w:pStyle w:val="2"/>
        <w:rPr>
          <w:rFonts w:hint="eastAsia" w:ascii="宋体" w:hAnsi="宋体" w:eastAsia="宋体" w:cs="宋体"/>
          <w:sz w:val="44"/>
          <w:szCs w:val="44"/>
        </w:rPr>
      </w:pPr>
    </w:p>
    <w:p w14:paraId="128A6A1F">
      <w:pPr>
        <w:rPr>
          <w:rFonts w:hint="eastAsia" w:ascii="宋体" w:hAnsi="宋体" w:eastAsia="宋体" w:cs="宋体"/>
          <w:sz w:val="44"/>
          <w:szCs w:val="44"/>
        </w:rPr>
      </w:pPr>
    </w:p>
    <w:p w14:paraId="6315E081">
      <w:pPr>
        <w:pStyle w:val="43"/>
      </w:pPr>
    </w:p>
    <w:p w14:paraId="5952AC5F">
      <w:pPr>
        <w:jc w:val="center"/>
        <w:rPr>
          <w:rFonts w:hint="eastAsia" w:ascii="宋体" w:hAnsi="宋体" w:eastAsia="宋体" w:cs="宋体"/>
          <w:b/>
          <w:color w:val="000000"/>
          <w:sz w:val="44"/>
          <w:szCs w:val="44"/>
        </w:rPr>
      </w:pPr>
    </w:p>
    <w:p w14:paraId="53ABADD9">
      <w:pPr>
        <w:jc w:val="center"/>
        <w:rPr>
          <w:rFonts w:hint="eastAsia" w:ascii="宋体" w:hAnsi="宋体" w:eastAsia="宋体" w:cs="宋体"/>
          <w:b/>
          <w:color w:val="000000"/>
          <w:sz w:val="44"/>
          <w:szCs w:val="44"/>
        </w:rPr>
      </w:pPr>
      <w:r>
        <w:rPr>
          <w:rFonts w:hint="eastAsia" w:ascii="宋体" w:hAnsi="宋体" w:eastAsia="宋体" w:cs="宋体"/>
          <w:b/>
          <w:color w:val="000000"/>
          <w:sz w:val="44"/>
          <w:szCs w:val="44"/>
        </w:rPr>
        <w:t>深圳市南科大资产经营管理有限公司</w:t>
      </w:r>
    </w:p>
    <w:p w14:paraId="7C3948E7">
      <w:pPr>
        <w:spacing w:line="360" w:lineRule="auto"/>
        <w:ind w:firstLine="880" w:firstLineChars="200"/>
        <w:rPr>
          <w:rFonts w:hint="eastAsia" w:ascii="宋体" w:hAnsi="宋体" w:eastAsia="宋体" w:cs="宋体"/>
          <w:color w:val="000000"/>
          <w:sz w:val="44"/>
          <w:szCs w:val="44"/>
        </w:rPr>
      </w:pPr>
    </w:p>
    <w:p w14:paraId="3CAEB569">
      <w:pPr>
        <w:jc w:val="center"/>
        <w:rPr>
          <w:rFonts w:hint="eastAsia" w:ascii="宋体" w:hAnsi="宋体" w:eastAsia="宋体" w:cs="宋体"/>
        </w:rPr>
      </w:pPr>
      <w:r>
        <w:rPr>
          <w:rFonts w:hint="eastAsia" w:ascii="宋体" w:hAnsi="宋体" w:eastAsia="宋体" w:cs="宋体"/>
          <w:b/>
          <w:bCs/>
          <w:color w:val="000000"/>
          <w:sz w:val="44"/>
          <w:szCs w:val="44"/>
        </w:rPr>
        <w:t xml:space="preserve">二〇二六年  </w:t>
      </w:r>
      <w:r>
        <w:rPr>
          <w:rFonts w:hint="eastAsia" w:ascii="宋体" w:hAnsi="宋体" w:eastAsia="宋体" w:cs="宋体"/>
          <w:b/>
          <w:sz w:val="44"/>
          <w:szCs w:val="44"/>
        </w:rPr>
        <w:t>中国·深圳</w:t>
      </w:r>
    </w:p>
    <w:p w14:paraId="157261C7">
      <w:pPr>
        <w:jc w:val="center"/>
        <w:rPr>
          <w:rFonts w:hint="eastAsia" w:ascii="宋体" w:hAnsi="宋体" w:eastAsia="宋体" w:cs="宋体"/>
          <w:color w:val="000000"/>
          <w:kern w:val="44"/>
          <w:sz w:val="32"/>
          <w:szCs w:val="32"/>
        </w:rPr>
      </w:pPr>
      <w:r>
        <w:rPr>
          <w:rFonts w:hint="eastAsia" w:ascii="宋体" w:hAnsi="宋体" w:eastAsia="宋体" w:cs="宋体"/>
          <w:b/>
          <w:bCs/>
          <w:color w:val="000000"/>
          <w:kern w:val="44"/>
          <w:sz w:val="32"/>
          <w:szCs w:val="32"/>
        </w:rPr>
        <w:t>警示条款</w:t>
      </w:r>
    </w:p>
    <w:p w14:paraId="601DC098">
      <w:pPr>
        <w:pStyle w:val="2"/>
        <w:rPr>
          <w:rFonts w:hint="eastAsia" w:ascii="宋体" w:hAnsi="宋体" w:eastAsia="宋体" w:cs="宋体"/>
        </w:rPr>
      </w:pPr>
    </w:p>
    <w:p w14:paraId="707274FC">
      <w:pPr>
        <w:spacing w:line="360" w:lineRule="auto"/>
        <w:ind w:firstLine="480" w:firstLineChars="200"/>
        <w:rPr>
          <w:rFonts w:hint="eastAsia" w:ascii="宋体" w:hAnsi="宋体" w:eastAsia="宋体" w:cs="宋体"/>
        </w:rPr>
      </w:pPr>
      <w:r>
        <w:rPr>
          <w:rFonts w:hint="eastAsia" w:ascii="宋体" w:hAnsi="宋体" w:eastAsia="宋体" w:cs="宋体"/>
        </w:rPr>
        <w:t>一、</w:t>
      </w:r>
      <w:r>
        <w:rPr>
          <w:rFonts w:hint="eastAsia" w:ascii="宋体" w:hAnsi="宋体" w:eastAsia="宋体" w:cs="宋体"/>
          <w:b/>
          <w:bCs/>
        </w:rPr>
        <w:t>《深圳经济特区政府采购条例》第五十七条</w:t>
      </w:r>
      <w:r>
        <w:rPr>
          <w:rFonts w:hint="eastAsia" w:ascii="宋体" w:hAnsi="宋体" w:eastAsia="宋体" w:cs="宋体"/>
        </w:rPr>
        <w:t xml:space="preserve">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1FEEBB8">
      <w:pPr>
        <w:spacing w:line="360" w:lineRule="auto"/>
        <w:ind w:firstLine="480" w:firstLineChars="200"/>
        <w:rPr>
          <w:rFonts w:hint="eastAsia" w:ascii="宋体" w:hAnsi="宋体" w:eastAsia="宋体" w:cs="宋体"/>
        </w:rPr>
      </w:pPr>
      <w:r>
        <w:rPr>
          <w:rFonts w:hint="eastAsia" w:ascii="宋体" w:hAnsi="宋体" w:eastAsia="宋体" w:cs="宋体"/>
        </w:rPr>
        <w:t>（一）在采购活动中应当回避而未回避的；</w:t>
      </w:r>
    </w:p>
    <w:p w14:paraId="5BA5DB91">
      <w:pPr>
        <w:spacing w:line="360" w:lineRule="auto"/>
        <w:ind w:firstLine="480" w:firstLineChars="200"/>
        <w:rPr>
          <w:rFonts w:hint="eastAsia" w:ascii="宋体" w:hAnsi="宋体" w:eastAsia="宋体" w:cs="宋体"/>
        </w:rPr>
      </w:pPr>
      <w:r>
        <w:rPr>
          <w:rFonts w:hint="eastAsia" w:ascii="宋体" w:hAnsi="宋体" w:eastAsia="宋体" w:cs="宋体"/>
        </w:rPr>
        <w:t>（二）未按本条例规定签订、履行采购合同，造成严重后果的；</w:t>
      </w:r>
    </w:p>
    <w:p w14:paraId="04E52EE8">
      <w:pPr>
        <w:spacing w:line="360" w:lineRule="auto"/>
        <w:ind w:firstLine="480" w:firstLineChars="200"/>
        <w:rPr>
          <w:rFonts w:hint="eastAsia" w:ascii="宋体" w:hAnsi="宋体" w:eastAsia="宋体" w:cs="宋体"/>
        </w:rPr>
      </w:pPr>
      <w:r>
        <w:rPr>
          <w:rFonts w:hint="eastAsia" w:ascii="宋体" w:hAnsi="宋体" w:eastAsia="宋体" w:cs="宋体"/>
        </w:rPr>
        <w:t>（三）隐瞒真实情况，提供虚假资料的；</w:t>
      </w:r>
    </w:p>
    <w:p w14:paraId="67453CF7">
      <w:pPr>
        <w:spacing w:line="360" w:lineRule="auto"/>
        <w:ind w:firstLine="480" w:firstLineChars="200"/>
        <w:rPr>
          <w:rFonts w:hint="eastAsia" w:ascii="宋体" w:hAnsi="宋体" w:eastAsia="宋体" w:cs="宋体"/>
        </w:rPr>
      </w:pPr>
      <w:r>
        <w:rPr>
          <w:rFonts w:hint="eastAsia" w:ascii="宋体" w:hAnsi="宋体" w:eastAsia="宋体" w:cs="宋体"/>
        </w:rPr>
        <w:t>（四）以非法手段排斥其他供应商参与竞争的；</w:t>
      </w:r>
    </w:p>
    <w:p w14:paraId="6640C2E5">
      <w:pPr>
        <w:spacing w:line="360" w:lineRule="auto"/>
        <w:ind w:firstLine="480" w:firstLineChars="200"/>
        <w:rPr>
          <w:rFonts w:hint="eastAsia" w:ascii="宋体" w:hAnsi="宋体" w:eastAsia="宋体" w:cs="宋体"/>
        </w:rPr>
      </w:pPr>
      <w:r>
        <w:rPr>
          <w:rFonts w:hint="eastAsia" w:ascii="宋体" w:hAnsi="宋体" w:eastAsia="宋体" w:cs="宋体"/>
        </w:rPr>
        <w:t>（五）与其他采购参加人串通投标的；</w:t>
      </w:r>
    </w:p>
    <w:p w14:paraId="5D81ABFF">
      <w:pPr>
        <w:spacing w:line="360" w:lineRule="auto"/>
        <w:ind w:firstLine="480" w:firstLineChars="200"/>
        <w:rPr>
          <w:rFonts w:hint="eastAsia" w:ascii="宋体" w:hAnsi="宋体" w:eastAsia="宋体" w:cs="宋体"/>
        </w:rPr>
      </w:pPr>
      <w:r>
        <w:rPr>
          <w:rFonts w:hint="eastAsia" w:ascii="宋体" w:hAnsi="宋体" w:eastAsia="宋体" w:cs="宋体"/>
        </w:rPr>
        <w:t>（六）恶意投诉的；</w:t>
      </w:r>
    </w:p>
    <w:p w14:paraId="52B0498D">
      <w:pPr>
        <w:spacing w:line="360" w:lineRule="auto"/>
        <w:ind w:firstLine="480" w:firstLineChars="200"/>
        <w:rPr>
          <w:rFonts w:hint="eastAsia" w:ascii="宋体" w:hAnsi="宋体" w:eastAsia="宋体" w:cs="宋体"/>
        </w:rPr>
      </w:pPr>
      <w:r>
        <w:rPr>
          <w:rFonts w:hint="eastAsia" w:ascii="宋体" w:hAnsi="宋体" w:eastAsia="宋体" w:cs="宋体"/>
        </w:rPr>
        <w:t>（七）向采购项目相关人行贿或者提供其他不当利益的；</w:t>
      </w:r>
    </w:p>
    <w:p w14:paraId="50027FFC">
      <w:pPr>
        <w:spacing w:line="360" w:lineRule="auto"/>
        <w:ind w:firstLine="480" w:firstLineChars="200"/>
        <w:rPr>
          <w:rFonts w:hint="eastAsia" w:ascii="宋体" w:hAnsi="宋体" w:eastAsia="宋体" w:cs="宋体"/>
        </w:rPr>
      </w:pPr>
      <w:r>
        <w:rPr>
          <w:rFonts w:hint="eastAsia" w:ascii="宋体" w:hAnsi="宋体" w:eastAsia="宋体" w:cs="宋体"/>
        </w:rPr>
        <w:t>（八）阻碍、抗拒主管部门监督检查的；</w:t>
      </w:r>
    </w:p>
    <w:p w14:paraId="0AF4D79E">
      <w:pPr>
        <w:spacing w:line="360" w:lineRule="auto"/>
        <w:ind w:firstLine="480" w:firstLineChars="200"/>
        <w:rPr>
          <w:rFonts w:hint="eastAsia" w:ascii="宋体" w:hAnsi="宋体" w:eastAsia="宋体" w:cs="宋体"/>
        </w:rPr>
      </w:pPr>
      <w:r>
        <w:rPr>
          <w:rFonts w:hint="eastAsia" w:ascii="宋体" w:hAnsi="宋体" w:eastAsia="宋体" w:cs="宋体"/>
        </w:rPr>
        <w:t>（九）其他违反本条例规定的行为。</w:t>
      </w:r>
    </w:p>
    <w:p w14:paraId="6E007F8B">
      <w:pPr>
        <w:spacing w:line="360" w:lineRule="auto"/>
        <w:ind w:firstLine="480" w:firstLineChars="200"/>
        <w:rPr>
          <w:rFonts w:hint="eastAsia" w:ascii="宋体" w:hAnsi="宋体" w:eastAsia="宋体" w:cs="宋体"/>
        </w:rPr>
      </w:pPr>
      <w:r>
        <w:rPr>
          <w:rFonts w:hint="eastAsia" w:ascii="宋体" w:hAnsi="宋体" w:eastAsia="宋体" w:cs="宋体"/>
        </w:rPr>
        <w:t>二、</w:t>
      </w:r>
      <w:r>
        <w:rPr>
          <w:rFonts w:hint="eastAsia" w:ascii="宋体" w:hAnsi="宋体" w:eastAsia="宋体" w:cs="宋体"/>
          <w:b/>
          <w:bCs/>
        </w:rPr>
        <w:t>《深圳经济特区政府采购条例实施细则》第七十五条</w:t>
      </w:r>
      <w:r>
        <w:rPr>
          <w:rFonts w:hint="eastAsia" w:ascii="宋体" w:hAnsi="宋体" w:eastAsia="宋体" w:cs="宋体"/>
        </w:rPr>
        <w:t> 供应商有下列情形的，属于采购条例所称的串通投标行为，按照采购条例第五十七条有关规定处理：（一）投标供应商之间相互约定给予未中标的供应商利益补偿；（二）不同投标供应商的法定代表人、主要经营负责人、项目投标授权代表人、项目负责人、主要技术人员为同一人、属同一单位或者在同一单位缴纳社会保险；（三）不同投标供应商的投标文件由同一单位或者同一人编制，或者由同一人分阶段参与编制的；（四）不同投标供应商的投标文件或部分投标文件相互混装；（五）不同投标供应商的投标文件内容存在非正常一致；（六）由同一单位工作人员为两家以上（含两家）供应商进行同一项投标活动的；（七）主管部门依照法律、法规认定的其他情形。</w:t>
      </w:r>
    </w:p>
    <w:p w14:paraId="2429EBB6">
      <w:pPr>
        <w:spacing w:line="360" w:lineRule="auto"/>
        <w:ind w:firstLine="480" w:firstLineChars="200"/>
        <w:rPr>
          <w:rFonts w:hint="eastAsia" w:ascii="宋体" w:hAnsi="宋体" w:eastAsia="宋体" w:cs="宋体"/>
        </w:rPr>
      </w:pPr>
      <w:r>
        <w:rPr>
          <w:rFonts w:hint="eastAsia" w:ascii="宋体" w:hAnsi="宋体" w:eastAsia="宋体" w:cs="宋体"/>
        </w:rPr>
        <w:t>三、</w:t>
      </w:r>
      <w:r>
        <w:rPr>
          <w:rFonts w:hint="eastAsia" w:ascii="宋体" w:hAnsi="宋体" w:eastAsia="宋体" w:cs="宋体"/>
          <w:b/>
          <w:bCs/>
        </w:rPr>
        <w:t>《深圳经济特区政府采购条例实施细则》第七十七条</w:t>
      </w:r>
      <w:r>
        <w:rPr>
          <w:rFonts w:hint="eastAsia" w:ascii="宋体" w:hAnsi="宋体" w:eastAsia="宋体" w:cs="宋体"/>
        </w:rPr>
        <w:t> 供应商有下列情形之一的，属于隐瞒真实情况，提供虚假资料，按照采购条例第五十七的有关规定处理：（一）通过转让或者租借等方式从其他单位获取资格或者资质证书投标的；（二）由其他单位或者其他单位负责人在投标供应商编制的投标文件上加盖印章或者签字的；（三）项目负责人或者主要技术人员不是本单位人员的；（四）投标保证金不是从投标供应商基本账户转出的；（五）其他隐瞒真实情况、提供虚假资料的行为。</w:t>
      </w:r>
    </w:p>
    <w:p w14:paraId="77447477">
      <w:pPr>
        <w:spacing w:line="360" w:lineRule="auto"/>
        <w:ind w:firstLine="480" w:firstLineChars="200"/>
        <w:rPr>
          <w:rFonts w:hint="eastAsia" w:ascii="宋体" w:hAnsi="宋体" w:eastAsia="宋体" w:cs="宋体"/>
        </w:rPr>
      </w:pPr>
      <w:r>
        <w:rPr>
          <w:rFonts w:hint="eastAsia" w:ascii="宋体" w:hAnsi="宋体" w:eastAsia="宋体" w:cs="宋体"/>
        </w:rPr>
        <w:t>投标供应商不能提供项目负责人或者主要技术人员的劳动合同、社会保险等劳动关系证明材料的，视为存在前款第（三）项规定的情形。</w:t>
      </w:r>
    </w:p>
    <w:p w14:paraId="1834E0C9">
      <w:pPr>
        <w:rPr>
          <w:rFonts w:hint="eastAsia" w:ascii="宋体" w:hAnsi="宋体" w:eastAsia="宋体" w:cs="宋体"/>
          <w:color w:val="FF0000"/>
          <w:sz w:val="36"/>
          <w:szCs w:val="36"/>
        </w:rPr>
      </w:pPr>
      <w:r>
        <w:rPr>
          <w:rFonts w:hint="eastAsia" w:ascii="宋体" w:hAnsi="宋体" w:eastAsia="宋体" w:cs="宋体"/>
          <w:color w:val="FF0000"/>
          <w:sz w:val="36"/>
          <w:szCs w:val="36"/>
        </w:rPr>
        <w:br w:type="page"/>
      </w:r>
    </w:p>
    <w:p w14:paraId="3FA033B2">
      <w:pPr>
        <w:jc w:val="center"/>
        <w:rPr>
          <w:rFonts w:hint="eastAsia" w:ascii="宋体" w:hAnsi="宋体" w:eastAsia="宋体" w:cs="宋体"/>
          <w:b/>
          <w:bCs/>
          <w:color w:val="FF0000"/>
          <w:kern w:val="44"/>
          <w:sz w:val="44"/>
          <w:szCs w:val="44"/>
        </w:rPr>
      </w:pPr>
      <w:r>
        <w:rPr>
          <w:rFonts w:hint="eastAsia" w:ascii="宋体" w:hAnsi="宋体" w:eastAsia="宋体" w:cs="宋体"/>
          <w:b/>
          <w:bCs/>
          <w:color w:val="FF0000"/>
          <w:kern w:val="44"/>
          <w:sz w:val="32"/>
          <w:szCs w:val="32"/>
        </w:rPr>
        <w:t>特别警示条款</w:t>
      </w:r>
    </w:p>
    <w:p w14:paraId="7FEC01BC">
      <w:pPr>
        <w:widowControl w:val="0"/>
        <w:spacing w:after="240" w:afterLines="100" w:line="400" w:lineRule="exact"/>
        <w:jc w:val="both"/>
        <w:rPr>
          <w:rFonts w:hint="eastAsia" w:ascii="宋体" w:hAnsi="宋体" w:eastAsia="宋体" w:cs="宋体"/>
          <w:b/>
          <w:bCs/>
          <w:color w:val="FF0000"/>
        </w:rPr>
      </w:pPr>
    </w:p>
    <w:p w14:paraId="1C0B93D8">
      <w:pPr>
        <w:widowControl w:val="0"/>
        <w:spacing w:after="240" w:afterLines="100" w:line="360" w:lineRule="auto"/>
        <w:ind w:firstLine="482" w:firstLineChars="200"/>
        <w:jc w:val="both"/>
        <w:rPr>
          <w:rFonts w:hint="eastAsia" w:ascii="宋体" w:hAnsi="宋体" w:eastAsia="宋体" w:cs="宋体"/>
          <w:b/>
          <w:bCs/>
          <w:color w:val="FF0000"/>
        </w:rPr>
      </w:pPr>
      <w:r>
        <w:rPr>
          <w:rFonts w:hint="eastAsia" w:ascii="宋体" w:hAnsi="宋体" w:eastAsia="宋体" w:cs="宋体"/>
          <w:b/>
          <w:bCs/>
          <w:color w:val="FF0000"/>
        </w:rPr>
        <w:t>参与本项目政府采购活动的供应商应认真阅读以下特别警示条款，不得存在以下所列禁止情形，一旦发现，将被处以记入供应商诚信档案、罚款、取消参与政府采购资格、吊销营业执照等处罚；构成犯罪的，依法追究刑事责任。</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7497"/>
      </w:tblGrid>
      <w:tr w14:paraId="6FBC9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11" w:type="dxa"/>
            <w:vAlign w:val="center"/>
          </w:tcPr>
          <w:p w14:paraId="03337367">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序号</w:t>
            </w:r>
          </w:p>
        </w:tc>
        <w:tc>
          <w:tcPr>
            <w:tcW w:w="7711" w:type="dxa"/>
            <w:vAlign w:val="center"/>
          </w:tcPr>
          <w:p w14:paraId="67DEF727">
            <w:pPr>
              <w:widowControl w:val="0"/>
              <w:spacing w:line="360" w:lineRule="auto"/>
              <w:jc w:val="center"/>
              <w:rPr>
                <w:rFonts w:hint="eastAsia" w:ascii="宋体" w:hAnsi="宋体" w:eastAsia="宋体" w:cs="宋体"/>
                <w:color w:val="FF0000"/>
              </w:rPr>
            </w:pPr>
            <w:r>
              <w:rPr>
                <w:rFonts w:hint="eastAsia" w:ascii="宋体" w:hAnsi="宋体" w:eastAsia="宋体" w:cs="宋体"/>
                <w:b/>
                <w:bCs/>
                <w:color w:val="FF0000"/>
              </w:rPr>
              <w:t>供应商参与投标禁止情形</w:t>
            </w:r>
          </w:p>
        </w:tc>
      </w:tr>
      <w:tr w14:paraId="18352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30129054">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1</w:t>
            </w:r>
          </w:p>
        </w:tc>
        <w:tc>
          <w:tcPr>
            <w:tcW w:w="7711" w:type="dxa"/>
            <w:vAlign w:val="center"/>
          </w:tcPr>
          <w:p w14:paraId="5337A155">
            <w:pPr>
              <w:widowControl w:val="0"/>
              <w:spacing w:line="360" w:lineRule="auto"/>
              <w:jc w:val="left"/>
              <w:rPr>
                <w:rFonts w:hint="eastAsia" w:ascii="宋体" w:hAnsi="宋体" w:eastAsia="宋体" w:cs="宋体"/>
                <w:color w:val="FF0000"/>
              </w:rPr>
            </w:pPr>
            <w:r>
              <w:rPr>
                <w:rFonts w:hint="eastAsia" w:ascii="宋体" w:hAnsi="宋体" w:eastAsia="宋体" w:cs="宋体"/>
                <w:color w:val="FF0000"/>
              </w:rPr>
              <w:t>与其他投标供应商的法定代表人、主要经营负责人、投标授权代表人、项目负责人、主要技术人员为</w:t>
            </w:r>
            <w:r>
              <w:rPr>
                <w:rFonts w:hint="eastAsia" w:ascii="宋体" w:hAnsi="宋体" w:eastAsia="宋体" w:cs="宋体"/>
                <w:b/>
                <w:bCs/>
                <w:color w:val="FF0000"/>
              </w:rPr>
              <w:t>同一人、属同一单位或者在同一单位缴纳社会保险</w:t>
            </w:r>
            <w:r>
              <w:rPr>
                <w:rFonts w:hint="eastAsia" w:ascii="宋体" w:hAnsi="宋体" w:eastAsia="宋体" w:cs="宋体"/>
                <w:color w:val="FF0000"/>
              </w:rPr>
              <w:t>。</w:t>
            </w:r>
          </w:p>
        </w:tc>
      </w:tr>
      <w:tr w14:paraId="0800A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vAlign w:val="center"/>
          </w:tcPr>
          <w:p w14:paraId="4AA38497">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2</w:t>
            </w:r>
          </w:p>
        </w:tc>
        <w:tc>
          <w:tcPr>
            <w:tcW w:w="7711" w:type="dxa"/>
            <w:vAlign w:val="center"/>
          </w:tcPr>
          <w:p w14:paraId="7E22616E">
            <w:pPr>
              <w:widowControl w:val="0"/>
              <w:spacing w:line="360" w:lineRule="auto"/>
              <w:jc w:val="left"/>
              <w:rPr>
                <w:rFonts w:hint="eastAsia" w:ascii="宋体" w:hAnsi="宋体" w:eastAsia="宋体" w:cs="宋体"/>
                <w:color w:val="FF0000"/>
              </w:rPr>
            </w:pPr>
            <w:r>
              <w:rPr>
                <w:rFonts w:hint="eastAsia" w:ascii="宋体" w:hAnsi="宋体" w:eastAsia="宋体" w:cs="宋体"/>
                <w:color w:val="FF0000"/>
              </w:rPr>
              <w:t>参与本项目政府采购活动时，与其他投标供应商存在单位负责人为</w:t>
            </w:r>
            <w:r>
              <w:rPr>
                <w:rFonts w:hint="eastAsia" w:ascii="宋体" w:hAnsi="宋体" w:eastAsia="宋体" w:cs="宋体"/>
                <w:b/>
                <w:bCs/>
                <w:color w:val="FF0000"/>
              </w:rPr>
              <w:t>同一人或直接控股、管理关系</w:t>
            </w:r>
            <w:r>
              <w:rPr>
                <w:rFonts w:hint="eastAsia" w:ascii="宋体" w:hAnsi="宋体" w:eastAsia="宋体" w:cs="宋体"/>
                <w:color w:val="FF0000"/>
              </w:rPr>
              <w:t>。</w:t>
            </w:r>
          </w:p>
        </w:tc>
      </w:tr>
      <w:tr w14:paraId="2D4BC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1" w:type="dxa"/>
            <w:vAlign w:val="center"/>
          </w:tcPr>
          <w:p w14:paraId="1CB5AA10">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3</w:t>
            </w:r>
          </w:p>
        </w:tc>
        <w:tc>
          <w:tcPr>
            <w:tcW w:w="7711" w:type="dxa"/>
            <w:vAlign w:val="center"/>
          </w:tcPr>
          <w:p w14:paraId="0049E110">
            <w:pPr>
              <w:widowControl w:val="0"/>
              <w:spacing w:line="360" w:lineRule="auto"/>
              <w:jc w:val="left"/>
              <w:rPr>
                <w:rFonts w:hint="eastAsia" w:ascii="宋体" w:hAnsi="宋体" w:eastAsia="宋体" w:cs="宋体"/>
                <w:color w:val="FF0000"/>
              </w:rPr>
            </w:pPr>
            <w:r>
              <w:rPr>
                <w:rFonts w:hint="eastAsia" w:ascii="宋体" w:hAnsi="宋体" w:eastAsia="宋体" w:cs="宋体"/>
                <w:color w:val="FF0000"/>
              </w:rPr>
              <w:t>与其他投标供应商的投标文件或部分投标文件</w:t>
            </w:r>
            <w:r>
              <w:rPr>
                <w:rFonts w:hint="eastAsia" w:ascii="宋体" w:hAnsi="宋体" w:eastAsia="宋体" w:cs="宋体"/>
                <w:b/>
                <w:bCs/>
                <w:color w:val="FF0000"/>
              </w:rPr>
              <w:t>相互混装或存在非正常一致</w:t>
            </w:r>
            <w:r>
              <w:rPr>
                <w:rFonts w:hint="eastAsia" w:ascii="宋体" w:hAnsi="宋体" w:eastAsia="宋体" w:cs="宋体"/>
                <w:color w:val="FF0000"/>
              </w:rPr>
              <w:t>。</w:t>
            </w:r>
          </w:p>
        </w:tc>
      </w:tr>
      <w:tr w14:paraId="12A3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trPr>
        <w:tc>
          <w:tcPr>
            <w:tcW w:w="811" w:type="dxa"/>
            <w:vAlign w:val="center"/>
          </w:tcPr>
          <w:p w14:paraId="501B358F">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4</w:t>
            </w:r>
          </w:p>
        </w:tc>
        <w:tc>
          <w:tcPr>
            <w:tcW w:w="7711" w:type="dxa"/>
            <w:vAlign w:val="center"/>
          </w:tcPr>
          <w:p w14:paraId="3EE2820C">
            <w:pPr>
              <w:widowControl w:val="0"/>
              <w:spacing w:line="360" w:lineRule="auto"/>
              <w:jc w:val="left"/>
              <w:rPr>
                <w:rFonts w:hint="eastAsia" w:ascii="宋体" w:hAnsi="宋体" w:eastAsia="宋体" w:cs="宋体"/>
                <w:color w:val="FF0000"/>
                <w:kern w:val="2"/>
              </w:rPr>
            </w:pPr>
            <w:r>
              <w:rPr>
                <w:rFonts w:hint="eastAsia" w:ascii="宋体" w:hAnsi="宋体" w:eastAsia="宋体" w:cs="宋体"/>
                <w:color w:val="FF0000"/>
              </w:rPr>
              <w:t>与其他投标供应商的投标文件由</w:t>
            </w:r>
            <w:r>
              <w:rPr>
                <w:rFonts w:hint="eastAsia" w:ascii="宋体" w:hAnsi="宋体" w:eastAsia="宋体" w:cs="宋体"/>
                <w:b/>
                <w:bCs/>
                <w:color w:val="FF0000"/>
              </w:rPr>
              <w:t>同一单位或者同一人编制</w:t>
            </w:r>
            <w:r>
              <w:rPr>
                <w:rFonts w:hint="eastAsia" w:ascii="宋体" w:hAnsi="宋体" w:eastAsia="宋体" w:cs="宋体"/>
                <w:color w:val="FF0000"/>
              </w:rPr>
              <w:t>，或者使用</w:t>
            </w:r>
            <w:r>
              <w:rPr>
                <w:rFonts w:hint="eastAsia" w:ascii="宋体" w:hAnsi="宋体" w:eastAsia="宋体" w:cs="宋体"/>
                <w:b/>
                <w:bCs/>
                <w:color w:val="FF0000"/>
              </w:rPr>
              <w:t>同一设备编制</w:t>
            </w:r>
            <w:r>
              <w:rPr>
                <w:rFonts w:hint="eastAsia" w:ascii="宋体" w:hAnsi="宋体" w:eastAsia="宋体" w:cs="宋体"/>
                <w:color w:val="FF0000"/>
              </w:rPr>
              <w:t>（“文件制作机器码”“文件创建标识码”一致）。</w:t>
            </w:r>
          </w:p>
        </w:tc>
      </w:tr>
      <w:tr w14:paraId="3603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811" w:type="dxa"/>
            <w:vAlign w:val="center"/>
          </w:tcPr>
          <w:p w14:paraId="30A3DB51">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5</w:t>
            </w:r>
          </w:p>
        </w:tc>
        <w:tc>
          <w:tcPr>
            <w:tcW w:w="7711" w:type="dxa"/>
            <w:vAlign w:val="center"/>
          </w:tcPr>
          <w:p w14:paraId="1921854D">
            <w:pPr>
              <w:widowControl w:val="0"/>
              <w:spacing w:line="360" w:lineRule="auto"/>
              <w:jc w:val="left"/>
              <w:rPr>
                <w:rFonts w:hint="eastAsia" w:ascii="宋体" w:hAnsi="宋体" w:eastAsia="宋体" w:cs="宋体"/>
                <w:color w:val="FF0000"/>
              </w:rPr>
            </w:pPr>
            <w:r>
              <w:rPr>
                <w:rFonts w:hint="eastAsia" w:ascii="宋体" w:hAnsi="宋体" w:eastAsia="宋体" w:cs="宋体"/>
                <w:color w:val="FF0000"/>
              </w:rPr>
              <w:t>提供</w:t>
            </w:r>
            <w:r>
              <w:rPr>
                <w:rFonts w:hint="eastAsia" w:ascii="宋体" w:hAnsi="宋体" w:eastAsia="宋体" w:cs="宋体"/>
                <w:b/>
                <w:bCs/>
                <w:color w:val="FF0000"/>
              </w:rPr>
              <w:t>未经出具机构核实</w:t>
            </w:r>
            <w:r>
              <w:rPr>
                <w:rFonts w:hint="eastAsia" w:ascii="宋体" w:hAnsi="宋体" w:eastAsia="宋体" w:cs="宋体"/>
                <w:color w:val="FF0000"/>
              </w:rPr>
              <w:t>的虚假的检验检测报告、业绩材料、社保缴纳证明、学历学位证书、职称认证证书等材料。</w:t>
            </w:r>
          </w:p>
        </w:tc>
      </w:tr>
      <w:tr w14:paraId="4638F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11" w:type="dxa"/>
            <w:vAlign w:val="center"/>
          </w:tcPr>
          <w:p w14:paraId="40E16A6F">
            <w:pPr>
              <w:widowControl w:val="0"/>
              <w:spacing w:line="360" w:lineRule="auto"/>
              <w:jc w:val="center"/>
              <w:rPr>
                <w:rFonts w:hint="eastAsia" w:ascii="宋体" w:hAnsi="宋体" w:eastAsia="宋体" w:cs="宋体"/>
                <w:color w:val="FF0000"/>
              </w:rPr>
            </w:pPr>
            <w:r>
              <w:rPr>
                <w:rFonts w:hint="eastAsia" w:ascii="宋体" w:hAnsi="宋体" w:eastAsia="宋体" w:cs="宋体"/>
                <w:color w:val="FF0000"/>
              </w:rPr>
              <w:t>6</w:t>
            </w:r>
          </w:p>
        </w:tc>
        <w:tc>
          <w:tcPr>
            <w:tcW w:w="7711" w:type="dxa"/>
            <w:vAlign w:val="center"/>
          </w:tcPr>
          <w:p w14:paraId="22BCF613">
            <w:pPr>
              <w:widowControl w:val="0"/>
              <w:spacing w:line="360" w:lineRule="auto"/>
              <w:jc w:val="left"/>
              <w:rPr>
                <w:rFonts w:hint="eastAsia" w:ascii="宋体" w:hAnsi="宋体" w:eastAsia="宋体" w:cs="宋体"/>
                <w:color w:val="FF0000"/>
                <w:kern w:val="2"/>
              </w:rPr>
            </w:pPr>
            <w:r>
              <w:rPr>
                <w:rFonts w:hint="eastAsia" w:ascii="宋体" w:hAnsi="宋体" w:eastAsia="宋体" w:cs="宋体"/>
                <w:color w:val="FF0000"/>
              </w:rPr>
              <w:t>擅自将投标密钥或电子营业执照出借他人使用或未妥善保管。</w:t>
            </w:r>
          </w:p>
        </w:tc>
      </w:tr>
    </w:tbl>
    <w:p w14:paraId="117E71A9">
      <w:pPr>
        <w:pStyle w:val="5"/>
        <w:rPr>
          <w:rFonts w:hint="eastAsia" w:cs="宋体"/>
          <w:sz w:val="40"/>
          <w:szCs w:val="40"/>
        </w:rPr>
        <w:sectPr>
          <w:footerReference r:id="rId3" w:type="default"/>
          <w:pgSz w:w="11906" w:h="16838"/>
          <w:pgMar w:top="1440" w:right="1800" w:bottom="1440" w:left="1800" w:header="720" w:footer="720" w:gutter="0"/>
          <w:pgNumType w:fmt="numberInDash" w:start="1"/>
          <w:cols w:space="720" w:num="1"/>
        </w:sectPr>
      </w:pPr>
    </w:p>
    <w:p w14:paraId="3ADB2C86">
      <w:pPr>
        <w:pStyle w:val="5"/>
        <w:spacing w:line="360" w:lineRule="auto"/>
        <w:rPr>
          <w:rFonts w:hint="eastAsia" w:cs="宋体"/>
          <w:color w:val="000000"/>
          <w:sz w:val="32"/>
          <w:szCs w:val="32"/>
        </w:rPr>
      </w:pPr>
      <w:r>
        <w:rPr>
          <w:rFonts w:hint="eastAsia" w:cs="宋体"/>
          <w:color w:val="000000"/>
          <w:sz w:val="32"/>
          <w:szCs w:val="32"/>
        </w:rPr>
        <w:t>南方科技大学教学及学生生活管理服务项目</w:t>
      </w:r>
    </w:p>
    <w:p w14:paraId="0547D924">
      <w:pPr>
        <w:pStyle w:val="5"/>
        <w:spacing w:line="360" w:lineRule="auto"/>
        <w:rPr>
          <w:rFonts w:hint="eastAsia" w:cs="宋体"/>
          <w:sz w:val="32"/>
          <w:szCs w:val="32"/>
        </w:rPr>
      </w:pPr>
      <w:r>
        <w:rPr>
          <w:rFonts w:hint="eastAsia" w:cs="宋体"/>
          <w:sz w:val="32"/>
          <w:szCs w:val="32"/>
        </w:rPr>
        <w:t>项目信息</w:t>
      </w:r>
    </w:p>
    <w:tbl>
      <w:tblPr>
        <w:tblStyle w:val="26"/>
        <w:tblW w:w="7938" w:type="dxa"/>
        <w:jc w:val="center"/>
        <w:tblLayout w:type="fixed"/>
        <w:tblCellMar>
          <w:top w:w="0" w:type="dxa"/>
          <w:left w:w="108" w:type="dxa"/>
          <w:bottom w:w="0" w:type="dxa"/>
          <w:right w:w="108" w:type="dxa"/>
        </w:tblCellMar>
      </w:tblPr>
      <w:tblGrid>
        <w:gridCol w:w="2722"/>
        <w:gridCol w:w="5216"/>
      </w:tblGrid>
      <w:tr w14:paraId="2A430928">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3061DFFE">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项目编号：</w:t>
            </w:r>
          </w:p>
        </w:tc>
        <w:tc>
          <w:tcPr>
            <w:tcW w:w="5216" w:type="dxa"/>
            <w:tcMar>
              <w:top w:w="45" w:type="dxa"/>
              <w:left w:w="45" w:type="dxa"/>
              <w:bottom w:w="45" w:type="dxa"/>
              <w:right w:w="45" w:type="dxa"/>
            </w:tcMar>
            <w:vAlign w:val="center"/>
          </w:tcPr>
          <w:p w14:paraId="35DAE9AB">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AOMC-2026-098（SZDL2026001243）</w:t>
            </w:r>
          </w:p>
        </w:tc>
      </w:tr>
      <w:tr w14:paraId="66AFDB66">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68C31AAC">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项目名称：</w:t>
            </w:r>
          </w:p>
        </w:tc>
        <w:tc>
          <w:tcPr>
            <w:tcW w:w="5216" w:type="dxa"/>
            <w:tcMar>
              <w:top w:w="45" w:type="dxa"/>
              <w:left w:w="45" w:type="dxa"/>
              <w:bottom w:w="45" w:type="dxa"/>
              <w:right w:w="45" w:type="dxa"/>
            </w:tcMar>
            <w:vAlign w:val="center"/>
          </w:tcPr>
          <w:p w14:paraId="1FE31BD7">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南方科技大学教学及学生生活管理服务项目</w:t>
            </w:r>
          </w:p>
        </w:tc>
      </w:tr>
      <w:tr w14:paraId="0AC08153">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0380BF29">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包号：</w:t>
            </w:r>
          </w:p>
        </w:tc>
        <w:tc>
          <w:tcPr>
            <w:tcW w:w="5216" w:type="dxa"/>
            <w:tcMar>
              <w:top w:w="45" w:type="dxa"/>
              <w:left w:w="45" w:type="dxa"/>
              <w:bottom w:w="45" w:type="dxa"/>
              <w:right w:w="45" w:type="dxa"/>
            </w:tcMar>
            <w:vAlign w:val="center"/>
          </w:tcPr>
          <w:p w14:paraId="7D3238F8">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A</w:t>
            </w:r>
          </w:p>
        </w:tc>
      </w:tr>
      <w:tr w14:paraId="180BE83C">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162E111D">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项目类型：</w:t>
            </w:r>
          </w:p>
        </w:tc>
        <w:tc>
          <w:tcPr>
            <w:tcW w:w="5216" w:type="dxa"/>
            <w:tcMar>
              <w:top w:w="45" w:type="dxa"/>
              <w:left w:w="45" w:type="dxa"/>
              <w:bottom w:w="45" w:type="dxa"/>
              <w:right w:w="45" w:type="dxa"/>
            </w:tcMar>
            <w:vAlign w:val="center"/>
          </w:tcPr>
          <w:p w14:paraId="005355B6">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服务类</w:t>
            </w:r>
          </w:p>
        </w:tc>
      </w:tr>
      <w:tr w14:paraId="36DF74B2">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1BD8F35B">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采购方式：</w:t>
            </w:r>
          </w:p>
        </w:tc>
        <w:tc>
          <w:tcPr>
            <w:tcW w:w="5216" w:type="dxa"/>
            <w:tcMar>
              <w:top w:w="45" w:type="dxa"/>
              <w:left w:w="45" w:type="dxa"/>
              <w:bottom w:w="45" w:type="dxa"/>
              <w:right w:w="45" w:type="dxa"/>
            </w:tcMar>
            <w:vAlign w:val="center"/>
          </w:tcPr>
          <w:p w14:paraId="6CFCBCAF">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公开招标</w:t>
            </w:r>
          </w:p>
        </w:tc>
      </w:tr>
      <w:tr w14:paraId="1E624C26">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358C9287">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货币类型：</w:t>
            </w:r>
          </w:p>
        </w:tc>
        <w:tc>
          <w:tcPr>
            <w:tcW w:w="5216" w:type="dxa"/>
            <w:tcMar>
              <w:top w:w="45" w:type="dxa"/>
              <w:left w:w="45" w:type="dxa"/>
              <w:bottom w:w="45" w:type="dxa"/>
              <w:right w:w="45" w:type="dxa"/>
            </w:tcMar>
            <w:vAlign w:val="center"/>
          </w:tcPr>
          <w:p w14:paraId="6CDE11EB">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人民币</w:t>
            </w:r>
          </w:p>
        </w:tc>
      </w:tr>
      <w:tr w14:paraId="50ED5242">
        <w:tblPrEx>
          <w:tblCellMar>
            <w:top w:w="0" w:type="dxa"/>
            <w:left w:w="108" w:type="dxa"/>
            <w:bottom w:w="0" w:type="dxa"/>
            <w:right w:w="108" w:type="dxa"/>
          </w:tblCellMar>
        </w:tblPrEx>
        <w:trPr>
          <w:trHeight w:val="737" w:hRule="atLeast"/>
          <w:jc w:val="center"/>
        </w:trPr>
        <w:tc>
          <w:tcPr>
            <w:tcW w:w="2722" w:type="dxa"/>
            <w:tcMar>
              <w:top w:w="45" w:type="dxa"/>
              <w:left w:w="45" w:type="dxa"/>
              <w:bottom w:w="45" w:type="dxa"/>
              <w:right w:w="45" w:type="dxa"/>
            </w:tcMar>
            <w:vAlign w:val="center"/>
          </w:tcPr>
          <w:p w14:paraId="3C10174F">
            <w:pPr>
              <w:snapToGrid w:val="0"/>
              <w:spacing w:line="360" w:lineRule="auto"/>
              <w:jc w:val="right"/>
              <w:rPr>
                <w:rFonts w:hint="eastAsia" w:ascii="宋体" w:hAnsi="宋体" w:eastAsia="宋体" w:cs="宋体"/>
                <w:sz w:val="32"/>
                <w:szCs w:val="32"/>
              </w:rPr>
            </w:pPr>
            <w:r>
              <w:rPr>
                <w:rFonts w:hint="eastAsia" w:ascii="宋体" w:hAnsi="宋体" w:eastAsia="宋体" w:cs="宋体"/>
                <w:sz w:val="32"/>
                <w:szCs w:val="32"/>
              </w:rPr>
              <w:t>评标方法：</w:t>
            </w:r>
          </w:p>
        </w:tc>
        <w:tc>
          <w:tcPr>
            <w:tcW w:w="5216" w:type="dxa"/>
            <w:tcMar>
              <w:top w:w="45" w:type="dxa"/>
              <w:left w:w="45" w:type="dxa"/>
              <w:bottom w:w="45" w:type="dxa"/>
              <w:right w:w="45" w:type="dxa"/>
            </w:tcMar>
            <w:vAlign w:val="center"/>
          </w:tcPr>
          <w:p w14:paraId="505B12CE">
            <w:pPr>
              <w:snapToGrid w:val="0"/>
              <w:spacing w:line="360" w:lineRule="auto"/>
              <w:rPr>
                <w:rFonts w:hint="eastAsia" w:ascii="宋体" w:hAnsi="宋体" w:eastAsia="宋体" w:cs="宋体"/>
                <w:sz w:val="32"/>
                <w:szCs w:val="32"/>
              </w:rPr>
            </w:pPr>
            <w:r>
              <w:rPr>
                <w:rFonts w:hint="eastAsia" w:ascii="宋体" w:hAnsi="宋体" w:eastAsia="宋体" w:cs="宋体"/>
                <w:sz w:val="32"/>
                <w:szCs w:val="32"/>
              </w:rPr>
              <w:t>综合评分法（新价格分算法）</w:t>
            </w:r>
          </w:p>
        </w:tc>
      </w:tr>
    </w:tbl>
    <w:p w14:paraId="3B799D9F">
      <w:pPr>
        <w:rPr>
          <w:rFonts w:hint="eastAsia" w:ascii="宋体" w:hAnsi="宋体" w:eastAsia="宋体" w:cs="宋体"/>
          <w:b/>
          <w:bCs/>
          <w:sz w:val="32"/>
          <w:szCs w:val="32"/>
        </w:rPr>
      </w:pPr>
      <w:r>
        <w:rPr>
          <w:rFonts w:hint="eastAsia" w:ascii="宋体" w:hAnsi="宋体" w:eastAsia="宋体" w:cs="宋体"/>
          <w:b/>
          <w:bCs/>
          <w:sz w:val="32"/>
          <w:szCs w:val="32"/>
        </w:rPr>
        <w:br w:type="page"/>
      </w:r>
    </w:p>
    <w:p w14:paraId="43A0A8F7">
      <w:pPr>
        <w:pStyle w:val="21"/>
        <w:jc w:val="center"/>
        <w:outlineLvl w:val="1"/>
        <w:rPr>
          <w:rFonts w:hint="eastAsia" w:ascii="宋体" w:hAnsi="宋体" w:eastAsia="宋体" w:cs="宋体"/>
          <w:b/>
          <w:bCs/>
          <w:kern w:val="2"/>
          <w:sz w:val="32"/>
          <w:szCs w:val="32"/>
        </w:rPr>
      </w:pPr>
      <w:r>
        <w:rPr>
          <w:rFonts w:hint="eastAsia" w:ascii="宋体" w:hAnsi="宋体" w:eastAsia="宋体" w:cs="宋体"/>
          <w:b/>
          <w:bCs/>
          <w:kern w:val="2"/>
          <w:sz w:val="32"/>
          <w:szCs w:val="32"/>
        </w:rPr>
        <w:t>资格性审查表</w:t>
      </w:r>
    </w:p>
    <w:tbl>
      <w:tblPr>
        <w:tblStyle w:val="26"/>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17A617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057EDB29">
            <w:pPr>
              <w:jc w:val="center"/>
              <w:rPr>
                <w:rFonts w:hint="eastAsia" w:ascii="宋体" w:hAnsi="宋体" w:eastAsia="宋体" w:cs="宋体"/>
                <w:sz w:val="28"/>
                <w:szCs w:val="28"/>
              </w:rPr>
            </w:pPr>
            <w:r>
              <w:rPr>
                <w:rFonts w:hint="eastAsia" w:ascii="宋体" w:hAnsi="宋体" w:eastAsia="宋体" w:cs="宋体"/>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EAA55AF">
            <w:pPr>
              <w:jc w:val="center"/>
              <w:rPr>
                <w:rFonts w:hint="eastAsia" w:ascii="宋体" w:hAnsi="宋体" w:eastAsia="宋体" w:cs="宋体"/>
                <w:sz w:val="28"/>
                <w:szCs w:val="28"/>
              </w:rPr>
            </w:pPr>
            <w:r>
              <w:rPr>
                <w:rFonts w:hint="eastAsia" w:ascii="宋体" w:hAnsi="宋体" w:eastAsia="宋体" w:cs="宋体"/>
                <w:sz w:val="28"/>
                <w:szCs w:val="28"/>
              </w:rPr>
              <w:t>内容</w:t>
            </w:r>
          </w:p>
        </w:tc>
      </w:tr>
      <w:tr w14:paraId="4CB034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9E83B6A">
            <w:pPr>
              <w:jc w:val="center"/>
              <w:rPr>
                <w:rFonts w:hint="eastAsia" w:ascii="宋体" w:hAnsi="宋体" w:eastAsia="宋体" w:cs="宋体"/>
                <w:szCs w:val="21"/>
              </w:rPr>
            </w:pPr>
            <w:r>
              <w:rPr>
                <w:rFonts w:hint="eastAsia" w:ascii="宋体" w:hAnsi="宋体" w:eastAsia="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D3C4858">
            <w:pPr>
              <w:rPr>
                <w:rFonts w:hint="eastAsia" w:ascii="宋体" w:hAnsi="宋体" w:eastAsia="宋体" w:cs="宋体"/>
                <w:szCs w:val="21"/>
              </w:rPr>
            </w:pPr>
            <w:r>
              <w:rPr>
                <w:rFonts w:hint="eastAsia" w:ascii="宋体" w:hAnsi="宋体" w:eastAsia="宋体" w:cs="宋体"/>
              </w:rPr>
              <w:t>投标人不具备招标文件所列的资格要求，或未提交相应的资格证明资料（详见招标公告 投标人资格要求）。</w:t>
            </w:r>
          </w:p>
        </w:tc>
      </w:tr>
    </w:tbl>
    <w:p w14:paraId="1EEC5E71">
      <w:pPr>
        <w:pStyle w:val="21"/>
        <w:jc w:val="center"/>
        <w:outlineLvl w:val="1"/>
        <w:rPr>
          <w:rFonts w:hint="eastAsia" w:ascii="宋体" w:hAnsi="宋体" w:eastAsia="宋体" w:cs="宋体"/>
          <w:b/>
          <w:bCs/>
          <w:sz w:val="32"/>
          <w:szCs w:val="32"/>
        </w:rPr>
      </w:pPr>
      <w:r>
        <w:rPr>
          <w:rFonts w:hint="eastAsia" w:ascii="宋体" w:hAnsi="宋体" w:eastAsia="宋体" w:cs="宋体"/>
          <w:b/>
          <w:bCs/>
          <w:sz w:val="32"/>
          <w:szCs w:val="32"/>
        </w:rPr>
        <w:t>符合性审查表</w:t>
      </w:r>
    </w:p>
    <w:tbl>
      <w:tblPr>
        <w:tblStyle w:val="26"/>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794"/>
        <w:gridCol w:w="8278"/>
      </w:tblGrid>
      <w:tr w14:paraId="3FFA97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6CEFDACE">
            <w:pPr>
              <w:jc w:val="center"/>
              <w:rPr>
                <w:rFonts w:hint="eastAsia" w:ascii="宋体" w:hAnsi="宋体" w:eastAsia="宋体" w:cs="宋体"/>
                <w:sz w:val="28"/>
                <w:szCs w:val="28"/>
              </w:rPr>
            </w:pPr>
            <w:r>
              <w:rPr>
                <w:rFonts w:hint="eastAsia" w:ascii="宋体" w:hAnsi="宋体" w:eastAsia="宋体" w:cs="宋体"/>
                <w:sz w:val="28"/>
                <w:szCs w:val="28"/>
              </w:rPr>
              <w:t>序号</w:t>
            </w:r>
          </w:p>
        </w:tc>
        <w:tc>
          <w:tcPr>
            <w:tcW w:w="8278" w:type="dxa"/>
            <w:tcBorders>
              <w:top w:val="single" w:color="000000" w:sz="8" w:space="0"/>
              <w:left w:val="single" w:color="000000" w:sz="8" w:space="0"/>
              <w:bottom w:val="single" w:color="000000" w:sz="8" w:space="0"/>
              <w:right w:val="single" w:color="000000" w:sz="8" w:space="0"/>
            </w:tcBorders>
            <w:shd w:val="clear" w:color="auto" w:fill="E6EFFA"/>
            <w:vAlign w:val="center"/>
          </w:tcPr>
          <w:p w14:paraId="48AA1529">
            <w:pPr>
              <w:jc w:val="center"/>
              <w:rPr>
                <w:rFonts w:hint="eastAsia" w:ascii="宋体" w:hAnsi="宋体" w:eastAsia="宋体" w:cs="宋体"/>
                <w:sz w:val="28"/>
                <w:szCs w:val="28"/>
              </w:rPr>
            </w:pPr>
            <w:r>
              <w:rPr>
                <w:rFonts w:hint="eastAsia" w:ascii="宋体" w:hAnsi="宋体" w:eastAsia="宋体" w:cs="宋体"/>
                <w:sz w:val="28"/>
                <w:szCs w:val="28"/>
              </w:rPr>
              <w:t>内容</w:t>
            </w:r>
          </w:p>
        </w:tc>
      </w:tr>
      <w:tr w14:paraId="696E23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B8CCF75">
            <w:pPr>
              <w:jc w:val="center"/>
              <w:rPr>
                <w:rFonts w:hint="eastAsia" w:ascii="宋体" w:hAnsi="宋体" w:eastAsia="宋体" w:cs="宋体"/>
                <w:szCs w:val="21"/>
              </w:rPr>
            </w:pPr>
            <w:r>
              <w:rPr>
                <w:rFonts w:hint="eastAsia" w:ascii="宋体" w:hAnsi="宋体" w:eastAsia="宋体" w:cs="宋体"/>
                <w:szCs w:val="21"/>
              </w:rPr>
              <w:t>1</w:t>
            </w:r>
          </w:p>
        </w:tc>
        <w:tc>
          <w:tcPr>
            <w:tcW w:w="8278" w:type="dxa"/>
            <w:tcBorders>
              <w:top w:val="single" w:color="000000" w:sz="8" w:space="0"/>
              <w:left w:val="single" w:color="000000" w:sz="8" w:space="0"/>
              <w:bottom w:val="single" w:color="000000" w:sz="8" w:space="0"/>
              <w:right w:val="single" w:color="000000" w:sz="8" w:space="0"/>
            </w:tcBorders>
          </w:tcPr>
          <w:p w14:paraId="33FF6FBB">
            <w:pPr>
              <w:rPr>
                <w:rFonts w:hint="eastAsia" w:ascii="宋体" w:hAnsi="宋体" w:eastAsia="宋体" w:cs="宋体"/>
                <w:szCs w:val="21"/>
              </w:rPr>
            </w:pPr>
            <w:r>
              <w:rPr>
                <w:rFonts w:hint="eastAsia" w:ascii="宋体" w:hAnsi="宋体" w:eastAsia="宋体" w:cs="宋体"/>
                <w:szCs w:val="21"/>
              </w:rPr>
              <w:t>将一个包或一个标段的内容拆开投标；</w:t>
            </w:r>
          </w:p>
        </w:tc>
      </w:tr>
      <w:tr w14:paraId="00AD50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15721DB">
            <w:pPr>
              <w:jc w:val="center"/>
              <w:rPr>
                <w:rFonts w:hint="eastAsia" w:ascii="宋体" w:hAnsi="宋体" w:eastAsia="宋体" w:cs="宋体"/>
                <w:szCs w:val="21"/>
              </w:rPr>
            </w:pPr>
            <w:r>
              <w:rPr>
                <w:rFonts w:hint="eastAsia" w:ascii="宋体" w:hAnsi="宋体" w:eastAsia="宋体" w:cs="宋体"/>
                <w:szCs w:val="21"/>
              </w:rPr>
              <w:t>2</w:t>
            </w:r>
          </w:p>
        </w:tc>
        <w:tc>
          <w:tcPr>
            <w:tcW w:w="8278" w:type="dxa"/>
            <w:tcBorders>
              <w:top w:val="single" w:color="000000" w:sz="8" w:space="0"/>
              <w:left w:val="single" w:color="000000" w:sz="8" w:space="0"/>
              <w:bottom w:val="single" w:color="000000" w:sz="8" w:space="0"/>
              <w:right w:val="single" w:color="000000" w:sz="8" w:space="0"/>
            </w:tcBorders>
          </w:tcPr>
          <w:p w14:paraId="46BAA088">
            <w:pPr>
              <w:rPr>
                <w:rFonts w:hint="eastAsia" w:ascii="宋体" w:hAnsi="宋体" w:eastAsia="宋体" w:cs="宋体"/>
                <w:szCs w:val="21"/>
              </w:rPr>
            </w:pPr>
            <w:r>
              <w:rPr>
                <w:rFonts w:hint="eastAsia" w:ascii="宋体" w:hAnsi="宋体" w:eastAsia="宋体" w:cs="宋体"/>
                <w:szCs w:val="21"/>
              </w:rPr>
              <w:t>对同一项目投标时，提供两套以上的投标方案（招标文件另有规定的除外）；</w:t>
            </w:r>
          </w:p>
        </w:tc>
      </w:tr>
      <w:tr w14:paraId="104089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3EEA471">
            <w:pPr>
              <w:jc w:val="center"/>
              <w:rPr>
                <w:rFonts w:hint="eastAsia" w:ascii="宋体" w:hAnsi="宋体" w:eastAsia="宋体" w:cs="宋体"/>
                <w:szCs w:val="21"/>
              </w:rPr>
            </w:pPr>
            <w:r>
              <w:rPr>
                <w:rFonts w:hint="eastAsia" w:ascii="宋体" w:hAnsi="宋体" w:eastAsia="宋体" w:cs="宋体"/>
                <w:szCs w:val="21"/>
              </w:rPr>
              <w:t>3</w:t>
            </w:r>
          </w:p>
        </w:tc>
        <w:tc>
          <w:tcPr>
            <w:tcW w:w="8278" w:type="dxa"/>
            <w:tcBorders>
              <w:top w:val="single" w:color="000000" w:sz="8" w:space="0"/>
              <w:left w:val="single" w:color="000000" w:sz="8" w:space="0"/>
              <w:bottom w:val="single" w:color="000000" w:sz="8" w:space="0"/>
              <w:right w:val="single" w:color="000000" w:sz="8" w:space="0"/>
            </w:tcBorders>
          </w:tcPr>
          <w:p w14:paraId="4527504E">
            <w:pPr>
              <w:rPr>
                <w:rFonts w:hint="eastAsia" w:ascii="宋体" w:hAnsi="宋体" w:eastAsia="宋体" w:cs="宋体"/>
                <w:szCs w:val="21"/>
              </w:rPr>
            </w:pPr>
            <w:r>
              <w:rPr>
                <w:rFonts w:hint="eastAsia" w:ascii="宋体" w:hAnsi="宋体" w:eastAsia="宋体" w:cs="宋体"/>
                <w:szCs w:val="21"/>
              </w:rPr>
              <w:t>分项报价或投标总价高于预算金额（最高投标限价）的；</w:t>
            </w:r>
          </w:p>
        </w:tc>
      </w:tr>
      <w:tr w14:paraId="03E86D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6F08E5F">
            <w:pPr>
              <w:jc w:val="center"/>
              <w:rPr>
                <w:rFonts w:hint="eastAsia" w:ascii="宋体" w:hAnsi="宋体" w:eastAsia="宋体" w:cs="宋体"/>
                <w:szCs w:val="21"/>
              </w:rPr>
            </w:pPr>
            <w:r>
              <w:rPr>
                <w:rFonts w:hint="eastAsia" w:ascii="宋体" w:hAnsi="宋体" w:eastAsia="宋体" w:cs="宋体"/>
                <w:szCs w:val="21"/>
              </w:rPr>
              <w:t>4</w:t>
            </w:r>
          </w:p>
        </w:tc>
        <w:tc>
          <w:tcPr>
            <w:tcW w:w="8278" w:type="dxa"/>
            <w:tcBorders>
              <w:top w:val="single" w:color="000000" w:sz="8" w:space="0"/>
              <w:left w:val="single" w:color="000000" w:sz="8" w:space="0"/>
              <w:bottom w:val="single" w:color="000000" w:sz="8" w:space="0"/>
              <w:right w:val="single" w:color="000000" w:sz="8" w:space="0"/>
            </w:tcBorders>
          </w:tcPr>
          <w:p w14:paraId="25929846">
            <w:pPr>
              <w:rPr>
                <w:rFonts w:hint="eastAsia" w:ascii="宋体" w:hAnsi="宋体" w:eastAsia="宋体" w:cs="宋体"/>
                <w:szCs w:val="21"/>
              </w:rPr>
            </w:pPr>
            <w:r>
              <w:rPr>
                <w:rFonts w:hint="eastAsia" w:ascii="宋体" w:hAnsi="宋体" w:cs="宋体"/>
                <w:color w:val="000000"/>
                <w:szCs w:val="21"/>
                <w:lang w:bidi="ar"/>
              </w:rPr>
              <w:t>异常低价投标（响应）且投标（响应）供应商不能提供书面说明、证明材料，或者提供的书面说明、证明材料不能证明其报价合理性的</w:t>
            </w:r>
            <w:r>
              <w:rPr>
                <w:rFonts w:hint="eastAsia" w:ascii="宋体" w:hAnsi="宋体" w:eastAsia="宋体" w:cs="宋体"/>
                <w:color w:val="000000"/>
                <w:szCs w:val="21"/>
                <w:lang w:bidi="ar"/>
              </w:rPr>
              <w:t>；</w:t>
            </w:r>
          </w:p>
        </w:tc>
      </w:tr>
      <w:tr w14:paraId="0849C3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06AB76D8">
            <w:pPr>
              <w:jc w:val="center"/>
              <w:rPr>
                <w:rFonts w:hint="eastAsia" w:ascii="宋体" w:hAnsi="宋体" w:eastAsia="宋体" w:cs="宋体"/>
                <w:szCs w:val="21"/>
              </w:rPr>
            </w:pPr>
            <w:r>
              <w:rPr>
                <w:rFonts w:hint="eastAsia" w:ascii="宋体" w:hAnsi="宋体" w:eastAsia="宋体" w:cs="宋体"/>
                <w:szCs w:val="21"/>
              </w:rPr>
              <w:t>5</w:t>
            </w:r>
          </w:p>
        </w:tc>
        <w:tc>
          <w:tcPr>
            <w:tcW w:w="8278" w:type="dxa"/>
            <w:tcBorders>
              <w:top w:val="single" w:color="000000" w:sz="8" w:space="0"/>
              <w:left w:val="single" w:color="000000" w:sz="8" w:space="0"/>
              <w:bottom w:val="single" w:color="000000" w:sz="8" w:space="0"/>
              <w:right w:val="single" w:color="000000" w:sz="8" w:space="0"/>
            </w:tcBorders>
          </w:tcPr>
          <w:p w14:paraId="7AFAF303">
            <w:pPr>
              <w:rPr>
                <w:rFonts w:hint="eastAsia" w:ascii="宋体" w:hAnsi="宋体" w:eastAsia="宋体" w:cs="宋体"/>
                <w:szCs w:val="21"/>
              </w:rPr>
            </w:pPr>
            <w:r>
              <w:rPr>
                <w:rFonts w:hint="eastAsia" w:ascii="宋体" w:hAnsi="宋体" w:eastAsia="宋体" w:cs="宋体"/>
                <w:szCs w:val="21"/>
              </w:rPr>
              <w:t>所投产品、工程、服务在商务、技术等方面没有实质性满足招标文件要求的（是否实质性满足招标文件要求，由评标委员会根据《实质性条款响应情况表》做出评判）；</w:t>
            </w:r>
          </w:p>
        </w:tc>
      </w:tr>
      <w:tr w14:paraId="230579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0D5917A">
            <w:pPr>
              <w:jc w:val="center"/>
              <w:rPr>
                <w:rFonts w:hint="eastAsia" w:ascii="宋体" w:hAnsi="宋体" w:eastAsia="宋体" w:cs="宋体"/>
                <w:szCs w:val="21"/>
              </w:rPr>
            </w:pPr>
            <w:r>
              <w:rPr>
                <w:rFonts w:hint="eastAsia" w:ascii="宋体" w:hAnsi="宋体" w:eastAsia="宋体" w:cs="宋体"/>
                <w:szCs w:val="21"/>
              </w:rPr>
              <w:t>6</w:t>
            </w:r>
          </w:p>
        </w:tc>
        <w:tc>
          <w:tcPr>
            <w:tcW w:w="8278" w:type="dxa"/>
            <w:tcBorders>
              <w:top w:val="single" w:color="000000" w:sz="8" w:space="0"/>
              <w:left w:val="single" w:color="000000" w:sz="8" w:space="0"/>
              <w:bottom w:val="single" w:color="000000" w:sz="8" w:space="0"/>
              <w:right w:val="single" w:color="000000" w:sz="8" w:space="0"/>
            </w:tcBorders>
          </w:tcPr>
          <w:p w14:paraId="6C3AB382">
            <w:pPr>
              <w:rPr>
                <w:rFonts w:hint="eastAsia" w:ascii="宋体" w:hAnsi="宋体" w:eastAsia="宋体" w:cs="宋体"/>
                <w:szCs w:val="21"/>
              </w:rPr>
            </w:pPr>
            <w:r>
              <w:rPr>
                <w:rFonts w:hint="eastAsia" w:ascii="宋体" w:hAnsi="宋体" w:eastAsia="宋体" w:cs="宋体"/>
                <w:szCs w:val="21"/>
              </w:rPr>
              <w:t>未按招标文件所提供的样式填写《投标函》；未按招标文件所提供的《政府采购投标及履约承诺函》进行承诺；未按招标文件对投标文件组成的要求提供投标文件的（投标文件组成不完整）；</w:t>
            </w:r>
          </w:p>
        </w:tc>
      </w:tr>
      <w:tr w14:paraId="57C0E8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240AD77D">
            <w:pPr>
              <w:jc w:val="center"/>
              <w:rPr>
                <w:rFonts w:hint="eastAsia" w:ascii="宋体" w:hAnsi="宋体" w:eastAsia="宋体" w:cs="宋体"/>
                <w:szCs w:val="21"/>
              </w:rPr>
            </w:pPr>
            <w:r>
              <w:rPr>
                <w:rFonts w:hint="eastAsia" w:ascii="宋体" w:hAnsi="宋体" w:eastAsia="宋体" w:cs="宋体"/>
                <w:szCs w:val="21"/>
              </w:rPr>
              <w:t>7</w:t>
            </w:r>
          </w:p>
        </w:tc>
        <w:tc>
          <w:tcPr>
            <w:tcW w:w="8278" w:type="dxa"/>
            <w:tcBorders>
              <w:top w:val="single" w:color="000000" w:sz="8" w:space="0"/>
              <w:left w:val="single" w:color="000000" w:sz="8" w:space="0"/>
              <w:bottom w:val="single" w:color="000000" w:sz="8" w:space="0"/>
              <w:right w:val="single" w:color="000000" w:sz="8" w:space="0"/>
            </w:tcBorders>
          </w:tcPr>
          <w:p w14:paraId="4EF99473">
            <w:pPr>
              <w:rPr>
                <w:rFonts w:hint="eastAsia" w:ascii="宋体" w:hAnsi="宋体" w:eastAsia="宋体" w:cs="宋体"/>
                <w:szCs w:val="21"/>
              </w:rPr>
            </w:pPr>
            <w:r>
              <w:rPr>
                <w:rFonts w:hint="eastAsia" w:ascii="宋体" w:hAnsi="宋体" w:eastAsia="宋体" w:cs="宋体"/>
                <w:szCs w:val="21"/>
              </w:rPr>
              <w:t>投标报价有缺漏项目或对招标文件规定的服务清单项目及数量进行修改；</w:t>
            </w:r>
          </w:p>
        </w:tc>
      </w:tr>
      <w:tr w14:paraId="1CFED50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1EB3B9B1">
            <w:pPr>
              <w:jc w:val="center"/>
              <w:rPr>
                <w:rFonts w:hint="eastAsia" w:ascii="宋体" w:hAnsi="宋体" w:eastAsia="宋体" w:cs="宋体"/>
                <w:szCs w:val="21"/>
              </w:rPr>
            </w:pPr>
            <w:r>
              <w:rPr>
                <w:rFonts w:hint="eastAsia" w:ascii="宋体" w:hAnsi="宋体" w:eastAsia="宋体" w:cs="宋体"/>
                <w:szCs w:val="21"/>
              </w:rPr>
              <w:t>8</w:t>
            </w:r>
          </w:p>
        </w:tc>
        <w:tc>
          <w:tcPr>
            <w:tcW w:w="8278" w:type="dxa"/>
            <w:tcBorders>
              <w:top w:val="single" w:color="000000" w:sz="8" w:space="0"/>
              <w:left w:val="single" w:color="000000" w:sz="8" w:space="0"/>
              <w:bottom w:val="single" w:color="000000" w:sz="8" w:space="0"/>
              <w:right w:val="single" w:color="000000" w:sz="8" w:space="0"/>
            </w:tcBorders>
          </w:tcPr>
          <w:p w14:paraId="6FE7719F">
            <w:pPr>
              <w:rPr>
                <w:rFonts w:hint="eastAsia" w:ascii="宋体" w:hAnsi="宋体" w:eastAsia="宋体" w:cs="宋体"/>
                <w:szCs w:val="21"/>
              </w:rPr>
            </w:pPr>
            <w:r>
              <w:rPr>
                <w:rFonts w:hint="eastAsia" w:ascii="宋体" w:hAnsi="宋体" w:eastAsia="宋体" w:cs="宋体"/>
                <w:szCs w:val="21"/>
              </w:rPr>
              <w:t>投标文件存在列放位置错误，导致属于信息公开情形的没有被公开；</w:t>
            </w:r>
          </w:p>
        </w:tc>
      </w:tr>
      <w:tr w14:paraId="7A17C8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74029F6">
            <w:pPr>
              <w:jc w:val="center"/>
              <w:rPr>
                <w:rFonts w:hint="eastAsia" w:ascii="宋体" w:hAnsi="宋体" w:eastAsia="宋体" w:cs="宋体"/>
                <w:szCs w:val="21"/>
              </w:rPr>
            </w:pPr>
            <w:r>
              <w:rPr>
                <w:rFonts w:hint="eastAsia" w:ascii="宋体" w:hAnsi="宋体" w:eastAsia="宋体" w:cs="宋体"/>
                <w:szCs w:val="21"/>
              </w:rPr>
              <w:t>9</w:t>
            </w:r>
          </w:p>
        </w:tc>
        <w:tc>
          <w:tcPr>
            <w:tcW w:w="8278" w:type="dxa"/>
            <w:tcBorders>
              <w:top w:val="single" w:color="000000" w:sz="8" w:space="0"/>
              <w:left w:val="single" w:color="000000" w:sz="8" w:space="0"/>
              <w:bottom w:val="single" w:color="000000" w:sz="8" w:space="0"/>
              <w:right w:val="single" w:color="000000" w:sz="8" w:space="0"/>
            </w:tcBorders>
          </w:tcPr>
          <w:p w14:paraId="7396C530">
            <w:pPr>
              <w:rPr>
                <w:rFonts w:hint="eastAsia" w:ascii="宋体" w:hAnsi="宋体" w:eastAsia="宋体" w:cs="宋体"/>
                <w:szCs w:val="21"/>
              </w:rPr>
            </w:pPr>
            <w:r>
              <w:rPr>
                <w:rFonts w:hint="eastAsia" w:ascii="宋体" w:hAnsi="宋体" w:eastAsia="宋体" w:cs="宋体"/>
                <w:szCs w:val="21"/>
              </w:rPr>
              <w:t>投标文件电子文档带病毒；</w:t>
            </w:r>
          </w:p>
        </w:tc>
      </w:tr>
      <w:tr w14:paraId="4ED142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7D6D557E">
            <w:pPr>
              <w:jc w:val="center"/>
              <w:rPr>
                <w:rFonts w:hint="eastAsia" w:ascii="宋体" w:hAnsi="宋体" w:eastAsia="宋体" w:cs="宋体"/>
                <w:szCs w:val="21"/>
              </w:rPr>
            </w:pPr>
            <w:r>
              <w:rPr>
                <w:rFonts w:hint="eastAsia" w:ascii="宋体" w:hAnsi="宋体" w:eastAsia="宋体" w:cs="宋体"/>
                <w:szCs w:val="21"/>
              </w:rPr>
              <w:t>10</w:t>
            </w:r>
          </w:p>
        </w:tc>
        <w:tc>
          <w:tcPr>
            <w:tcW w:w="8278" w:type="dxa"/>
            <w:tcBorders>
              <w:top w:val="single" w:color="000000" w:sz="8" w:space="0"/>
              <w:left w:val="single" w:color="000000" w:sz="8" w:space="0"/>
              <w:bottom w:val="single" w:color="000000" w:sz="8" w:space="0"/>
              <w:right w:val="single" w:color="000000" w:sz="8" w:space="0"/>
            </w:tcBorders>
          </w:tcPr>
          <w:p w14:paraId="6675C346">
            <w:pPr>
              <w:rPr>
                <w:rFonts w:hint="eastAsia" w:ascii="宋体" w:hAnsi="宋体" w:eastAsia="宋体" w:cs="宋体"/>
                <w:szCs w:val="21"/>
              </w:rPr>
            </w:pPr>
            <w:r>
              <w:rPr>
                <w:rFonts w:hint="eastAsia" w:ascii="宋体" w:hAnsi="宋体" w:eastAsia="宋体" w:cs="宋体"/>
                <w:szCs w:val="21"/>
              </w:rPr>
              <w:t>投标文件用不属于本公司的电子密钥进行加密的；</w:t>
            </w:r>
          </w:p>
        </w:tc>
      </w:tr>
      <w:tr w14:paraId="11FAC0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4CDFBC99">
            <w:pPr>
              <w:jc w:val="center"/>
              <w:rPr>
                <w:rFonts w:hint="eastAsia" w:ascii="宋体" w:hAnsi="宋体" w:eastAsia="宋体" w:cs="宋体"/>
                <w:szCs w:val="21"/>
              </w:rPr>
            </w:pPr>
            <w:r>
              <w:rPr>
                <w:rFonts w:hint="eastAsia" w:ascii="宋体" w:hAnsi="宋体" w:eastAsia="宋体" w:cs="宋体"/>
                <w:szCs w:val="21"/>
              </w:rPr>
              <w:t>11</w:t>
            </w:r>
          </w:p>
        </w:tc>
        <w:tc>
          <w:tcPr>
            <w:tcW w:w="8278" w:type="dxa"/>
            <w:tcBorders>
              <w:top w:val="single" w:color="000000" w:sz="8" w:space="0"/>
              <w:left w:val="single" w:color="000000" w:sz="8" w:space="0"/>
              <w:bottom w:val="single" w:color="000000" w:sz="8" w:space="0"/>
              <w:right w:val="single" w:color="000000" w:sz="8" w:space="0"/>
            </w:tcBorders>
          </w:tcPr>
          <w:p w14:paraId="3E53052F">
            <w:pPr>
              <w:rPr>
                <w:rFonts w:hint="eastAsia" w:ascii="宋体" w:hAnsi="宋体" w:eastAsia="宋体" w:cs="宋体"/>
                <w:szCs w:val="21"/>
              </w:rPr>
            </w:pPr>
            <w:r>
              <w:rPr>
                <w:rFonts w:hint="eastAsia" w:ascii="宋体" w:hAnsi="宋体" w:eastAsia="宋体" w:cs="宋体"/>
                <w:szCs w:val="21"/>
              </w:rPr>
              <w:t>误选了非本项目的最新加密规则文件，导致投标文件不能在开标时解密；</w:t>
            </w:r>
          </w:p>
        </w:tc>
      </w:tr>
      <w:tr w14:paraId="4717C5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794" w:type="dxa"/>
            <w:tcBorders>
              <w:top w:val="single" w:color="000000" w:sz="8" w:space="0"/>
              <w:left w:val="single" w:color="000000" w:sz="8" w:space="0"/>
              <w:bottom w:val="single" w:color="000000" w:sz="8" w:space="0"/>
              <w:right w:val="single" w:color="000000" w:sz="8" w:space="0"/>
            </w:tcBorders>
          </w:tcPr>
          <w:p w14:paraId="5BB6F171">
            <w:pPr>
              <w:jc w:val="center"/>
              <w:rPr>
                <w:rFonts w:hint="eastAsia" w:ascii="宋体" w:hAnsi="宋体" w:eastAsia="宋体" w:cs="宋体"/>
                <w:szCs w:val="21"/>
              </w:rPr>
            </w:pPr>
            <w:r>
              <w:rPr>
                <w:rFonts w:hint="eastAsia" w:ascii="宋体" w:hAnsi="宋体" w:eastAsia="宋体" w:cs="宋体"/>
                <w:szCs w:val="21"/>
              </w:rPr>
              <w:t>12</w:t>
            </w:r>
          </w:p>
        </w:tc>
        <w:tc>
          <w:tcPr>
            <w:tcW w:w="8278" w:type="dxa"/>
            <w:tcBorders>
              <w:top w:val="single" w:color="000000" w:sz="8" w:space="0"/>
              <w:left w:val="single" w:color="000000" w:sz="8" w:space="0"/>
              <w:bottom w:val="single" w:color="000000" w:sz="8" w:space="0"/>
              <w:right w:val="single" w:color="000000" w:sz="8" w:space="0"/>
            </w:tcBorders>
          </w:tcPr>
          <w:p w14:paraId="14597630">
            <w:pPr>
              <w:rPr>
                <w:rFonts w:hint="eastAsia" w:ascii="宋体" w:hAnsi="宋体" w:eastAsia="宋体" w:cs="宋体"/>
                <w:szCs w:val="21"/>
              </w:rPr>
            </w:pPr>
            <w:r>
              <w:rPr>
                <w:rFonts w:hint="eastAsia" w:ascii="宋体" w:hAnsi="宋体" w:eastAsia="宋体" w:cs="宋体"/>
                <w:szCs w:val="21"/>
              </w:rPr>
              <w:t>法律、法规规定的其他情形。</w:t>
            </w:r>
          </w:p>
        </w:tc>
      </w:tr>
    </w:tbl>
    <w:p w14:paraId="760A97C3">
      <w:pPr>
        <w:rPr>
          <w:rFonts w:hint="eastAsia" w:ascii="宋体" w:hAnsi="宋体" w:eastAsia="宋体" w:cs="宋体"/>
          <w:b/>
        </w:rPr>
      </w:pPr>
      <w:r>
        <w:rPr>
          <w:rFonts w:hint="eastAsia" w:ascii="宋体" w:hAnsi="宋体" w:eastAsia="宋体" w:cs="宋体"/>
          <w:b/>
        </w:rPr>
        <w:t>《资格性审查表》和《符合性审查表》初审不通过，按投标无效处理。</w:t>
      </w:r>
    </w:p>
    <w:tbl>
      <w:tblPr>
        <w:tblStyle w:val="26"/>
        <w:tblW w:w="834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Layout w:type="fixed"/>
        <w:tblCellMar>
          <w:top w:w="20" w:type="dxa"/>
          <w:left w:w="108" w:type="dxa"/>
          <w:bottom w:w="20" w:type="dxa"/>
          <w:right w:w="108" w:type="dxa"/>
        </w:tblCellMar>
      </w:tblPr>
      <w:tblGrid>
        <w:gridCol w:w="8342"/>
      </w:tblGrid>
      <w:tr w14:paraId="661CC1F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PrEx>
        <w:trPr>
          <w:trHeight w:val="551" w:hRule="atLeast"/>
          <w:jc w:val="center"/>
        </w:trPr>
        <w:tc>
          <w:tcPr>
            <w:tcW w:w="8342" w:type="dxa"/>
            <w:shd w:val="clear" w:color="auto" w:fill="FFFFFF"/>
            <w:vAlign w:val="center"/>
          </w:tcPr>
          <w:p w14:paraId="0F6D1073">
            <w:pPr>
              <w:jc w:val="center"/>
              <w:rPr>
                <w:rFonts w:hint="eastAsia" w:ascii="黑体" w:hAnsi="黑体" w:eastAsia="黑体" w:cs="黑体"/>
                <w:color w:val="000000"/>
                <w:sz w:val="28"/>
                <w:szCs w:val="28"/>
              </w:rPr>
            </w:pPr>
            <w:r>
              <w:rPr>
                <w:rFonts w:hint="eastAsia" w:ascii="宋体" w:hAnsi="宋体" w:eastAsia="宋体" w:cs="宋体"/>
                <w:b/>
                <w:bCs/>
                <w:color w:val="000000"/>
                <w:sz w:val="28"/>
                <w:szCs w:val="28"/>
              </w:rPr>
              <w:t>关于启动异常低价投标（响应）审查程序的规定</w:t>
            </w:r>
          </w:p>
        </w:tc>
      </w:tr>
      <w:tr w14:paraId="23E3E0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shd w:val="clear" w:color="auto" w:fill="FFFFFF"/>
          <w:tblCellMar>
            <w:top w:w="20" w:type="dxa"/>
            <w:left w:w="108" w:type="dxa"/>
            <w:bottom w:w="20" w:type="dxa"/>
            <w:right w:w="108" w:type="dxa"/>
          </w:tblCellMar>
        </w:tblPrEx>
        <w:trPr>
          <w:trHeight w:val="2488" w:hRule="atLeast"/>
          <w:jc w:val="center"/>
        </w:trPr>
        <w:tc>
          <w:tcPr>
            <w:tcW w:w="8342" w:type="dxa"/>
            <w:shd w:val="clear" w:color="auto" w:fill="FFFFFF"/>
            <w:vAlign w:val="center"/>
          </w:tcPr>
          <w:p w14:paraId="78496DA0">
            <w:pPr>
              <w:spacing w:line="360" w:lineRule="auto"/>
              <w:rPr>
                <w:rFonts w:hint="eastAsia" w:ascii="宋体" w:hAnsi="宋体" w:eastAsia="宋体" w:cs="宋体"/>
                <w:color w:val="000000"/>
                <w:szCs w:val="21"/>
              </w:rPr>
            </w:pPr>
            <w:r>
              <w:rPr>
                <w:rFonts w:hint="eastAsia" w:ascii="宋体" w:hAnsi="宋体" w:eastAsia="宋体" w:cs="宋体"/>
                <w:color w:val="000000"/>
                <w:szCs w:val="21"/>
              </w:rPr>
              <w:t>根据《关于推动解决政府采购异常低价问题的通知》 （财库〔2026〕2号）要求，结合本项目实际情况，本项目</w:t>
            </w:r>
            <w:r>
              <w:rPr>
                <w:rFonts w:hint="eastAsia" w:ascii="宋体" w:hAnsi="宋体" w:eastAsia="宋体" w:cs="宋体"/>
                <w:color w:val="000000"/>
                <w:szCs w:val="21"/>
                <w:lang w:bidi="ar"/>
              </w:rPr>
              <w:t>评审中出现下列异常低价情形之一的，评审委员会应当启动异常低价投标（响应）审查程序：</w:t>
            </w:r>
          </w:p>
          <w:p w14:paraId="33FF97F9">
            <w:pPr>
              <w:spacing w:line="360" w:lineRule="auto"/>
              <w:rPr>
                <w:rFonts w:hint="eastAsia" w:ascii="宋体" w:hAnsi="宋体" w:eastAsia="宋体" w:cs="宋体"/>
                <w:color w:val="000000"/>
                <w:szCs w:val="21"/>
                <w:lang w:bidi="ar"/>
              </w:rPr>
            </w:pPr>
            <w:r>
              <w:rPr>
                <w:rFonts w:hint="eastAsia" w:ascii="宋体" w:hAnsi="宋体" w:eastAsia="宋体" w:cs="宋体"/>
                <w:b/>
                <w:bCs/>
                <w:color w:val="000000"/>
                <w:szCs w:val="21"/>
                <w:lang w:bidi="ar"/>
              </w:rPr>
              <w:t>1.异常低价情形：</w:t>
            </w:r>
          </w:p>
          <w:p w14:paraId="6F76073E">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（1）投标（响应）报价低于全部通过符合性审查供应商投标（响应）报价平均值</w:t>
            </w:r>
            <w:r>
              <w:rPr>
                <w:rFonts w:hint="eastAsia" w:ascii="宋体" w:hAnsi="宋体" w:eastAsia="宋体" w:cs="宋体"/>
                <w:szCs w:val="21"/>
                <w:u w:val="single"/>
              </w:rPr>
              <w:t xml:space="preserve">  50  %</w:t>
            </w:r>
            <w:r>
              <w:rPr>
                <w:rFonts w:hint="eastAsia" w:ascii="宋体" w:hAnsi="宋体" w:eastAsia="宋体" w:cs="宋体"/>
              </w:rPr>
              <w:t>（由采购人在50%-65%之间选择）</w:t>
            </w:r>
            <w:r>
              <w:rPr>
                <w:rFonts w:hint="eastAsia" w:ascii="宋体" w:hAnsi="宋体" w:eastAsia="宋体" w:cs="宋体"/>
                <w:color w:val="000000"/>
                <w:szCs w:val="21"/>
                <w:lang w:bidi="ar"/>
              </w:rPr>
              <w:t>的，即投标（响应）报价&lt;全部通过符合性审查供应商投标（响应）报价平均值×</w:t>
            </w:r>
            <w:r>
              <w:rPr>
                <w:rFonts w:hint="eastAsia" w:ascii="宋体" w:hAnsi="宋体" w:eastAsia="宋体" w:cs="宋体"/>
                <w:szCs w:val="21"/>
                <w:u w:val="single"/>
              </w:rPr>
              <w:t xml:space="preserve">  50  %</w:t>
            </w:r>
            <w:r>
              <w:rPr>
                <w:rFonts w:hint="eastAsia" w:ascii="宋体" w:hAnsi="宋体" w:eastAsia="宋体" w:cs="宋体"/>
              </w:rPr>
              <w:t>（由采购人在50%-65%之间选择）</w:t>
            </w:r>
            <w:r>
              <w:rPr>
                <w:rFonts w:hint="eastAsia" w:ascii="宋体" w:hAnsi="宋体" w:eastAsia="宋体" w:cs="宋体"/>
                <w:color w:val="000000"/>
                <w:szCs w:val="21"/>
                <w:lang w:bidi="ar"/>
              </w:rPr>
              <w:t>的；</w:t>
            </w:r>
          </w:p>
          <w:p w14:paraId="1E00C2EC">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（2）投标（响应）报价低于通过符合性审查的</w:t>
            </w:r>
            <w:r>
              <w:rPr>
                <w:rFonts w:hint="eastAsia" w:ascii="宋体" w:hAnsi="宋体" w:eastAsia="宋体" w:cs="宋体"/>
                <w:b/>
                <w:bCs/>
                <w:color w:val="000000"/>
                <w:szCs w:val="21"/>
                <w:lang w:bidi="ar"/>
              </w:rPr>
              <w:t>次低报价供应商</w:t>
            </w:r>
            <w:r>
              <w:rPr>
                <w:rFonts w:hint="eastAsia" w:ascii="宋体" w:hAnsi="宋体" w:eastAsia="宋体" w:cs="宋体"/>
                <w:color w:val="000000"/>
                <w:szCs w:val="21"/>
                <w:lang w:bidi="ar"/>
              </w:rPr>
              <w:t>投标（响应）报价</w:t>
            </w:r>
            <w:r>
              <w:rPr>
                <w:rFonts w:hint="eastAsia" w:ascii="宋体" w:hAnsi="宋体" w:eastAsia="宋体" w:cs="宋体"/>
                <w:szCs w:val="21"/>
                <w:u w:val="single"/>
              </w:rPr>
              <w:t xml:space="preserve">  50  %</w:t>
            </w:r>
            <w:r>
              <w:rPr>
                <w:rFonts w:hint="eastAsia" w:ascii="宋体" w:hAnsi="宋体" w:eastAsia="宋体" w:cs="宋体"/>
              </w:rPr>
              <w:t>（由采购人在50%-65%之间选择）</w:t>
            </w:r>
            <w:r>
              <w:rPr>
                <w:rFonts w:hint="eastAsia" w:ascii="宋体" w:hAnsi="宋体" w:eastAsia="宋体" w:cs="宋体"/>
                <w:color w:val="000000"/>
                <w:szCs w:val="21"/>
                <w:lang w:bidi="ar"/>
              </w:rPr>
              <w:t>的，即投标（响应）报价&lt;通过符合性审查的</w:t>
            </w:r>
            <w:r>
              <w:rPr>
                <w:rFonts w:hint="eastAsia" w:ascii="宋体" w:hAnsi="宋体" w:eastAsia="宋体" w:cs="宋体"/>
                <w:b/>
                <w:bCs/>
                <w:color w:val="000000"/>
                <w:szCs w:val="21"/>
                <w:lang w:bidi="ar"/>
              </w:rPr>
              <w:t>次低报价供应商</w:t>
            </w:r>
            <w:r>
              <w:rPr>
                <w:rFonts w:hint="eastAsia" w:ascii="宋体" w:hAnsi="宋体" w:eastAsia="宋体" w:cs="宋体"/>
                <w:color w:val="000000"/>
                <w:szCs w:val="21"/>
                <w:lang w:bidi="ar"/>
              </w:rPr>
              <w:t>投标（响应）报价×</w:t>
            </w:r>
            <w:r>
              <w:rPr>
                <w:rFonts w:hint="eastAsia" w:ascii="宋体" w:hAnsi="宋体" w:eastAsia="宋体" w:cs="宋体"/>
                <w:szCs w:val="21"/>
                <w:u w:val="single"/>
              </w:rPr>
              <w:t xml:space="preserve">  50  %</w:t>
            </w:r>
            <w:r>
              <w:rPr>
                <w:rFonts w:hint="eastAsia" w:ascii="宋体" w:hAnsi="宋体" w:eastAsia="宋体" w:cs="宋体"/>
              </w:rPr>
              <w:t>（由采购人在50%-65%之间选择）</w:t>
            </w:r>
            <w:r>
              <w:rPr>
                <w:rFonts w:hint="eastAsia" w:ascii="宋体" w:hAnsi="宋体" w:eastAsia="宋体" w:cs="宋体"/>
                <w:color w:val="000000"/>
                <w:szCs w:val="21"/>
                <w:lang w:bidi="ar"/>
              </w:rPr>
              <w:t>的；</w:t>
            </w:r>
          </w:p>
          <w:p w14:paraId="1E4292B5">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（3）投标（响应）报价低于采购项目最高限价</w:t>
            </w:r>
            <w:r>
              <w:rPr>
                <w:rFonts w:hint="eastAsia" w:ascii="宋体" w:hAnsi="宋体" w:eastAsia="宋体" w:cs="宋体"/>
                <w:szCs w:val="21"/>
                <w:u w:val="single"/>
              </w:rPr>
              <w:t xml:space="preserve">  45  %</w:t>
            </w:r>
            <w:r>
              <w:rPr>
                <w:rFonts w:hint="eastAsia" w:ascii="宋体" w:hAnsi="宋体" w:eastAsia="宋体" w:cs="宋体"/>
                <w:color w:val="000000"/>
                <w:szCs w:val="21"/>
                <w:lang w:bidi="ar"/>
              </w:rPr>
              <w:t>（由采购人在45%-65%之间选择）的，即投标（响应）报价&lt;采购项目最高限价×</w:t>
            </w:r>
            <w:r>
              <w:rPr>
                <w:rFonts w:hint="eastAsia" w:ascii="宋体" w:hAnsi="宋体" w:eastAsia="宋体" w:cs="宋体"/>
                <w:szCs w:val="21"/>
                <w:u w:val="single"/>
              </w:rPr>
              <w:t xml:space="preserve">  45  %</w:t>
            </w:r>
            <w:r>
              <w:rPr>
                <w:rFonts w:hint="eastAsia" w:ascii="宋体" w:hAnsi="宋体" w:eastAsia="宋体" w:cs="宋体"/>
                <w:color w:val="000000"/>
                <w:szCs w:val="21"/>
                <w:lang w:bidi="ar"/>
              </w:rPr>
              <w:t>（由采购人在45%-65%之间选择）；</w:t>
            </w:r>
          </w:p>
          <w:p w14:paraId="7B02DB5A">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（4）评审委员会基于专业判断，认为供应商报价过低，有可能影响产品质量或者不能诚信履约的其他情形。</w:t>
            </w:r>
          </w:p>
          <w:p w14:paraId="37A61557">
            <w:pPr>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lang w:bidi="ar"/>
              </w:rPr>
              <w:t>注：相关法律法规对供应商报价有规定的，从其规定。</w:t>
            </w:r>
          </w:p>
          <w:p w14:paraId="798D7801">
            <w:pPr>
              <w:numPr>
                <w:ilvl w:val="0"/>
                <w:numId w:val="1"/>
              </w:num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书面说明及必要的证明材料的时间为</w:t>
            </w:r>
            <w:r>
              <w:rPr>
                <w:rFonts w:hint="eastAsia" w:ascii="宋体" w:hAnsi="宋体" w:eastAsia="宋体" w:cs="宋体"/>
                <w:color w:val="FF0000"/>
                <w:szCs w:val="21"/>
                <w:u w:val="single"/>
                <w:lang w:bidi="ar"/>
              </w:rPr>
              <w:t>30</w:t>
            </w:r>
            <w:r>
              <w:rPr>
                <w:rFonts w:hint="eastAsia" w:ascii="宋体" w:hAnsi="宋体" w:eastAsia="宋体" w:cs="宋体"/>
                <w:color w:val="000000"/>
                <w:szCs w:val="21"/>
                <w:lang w:bidi="ar"/>
              </w:rPr>
              <w:t>分钟（采购人可以根据实际修改此处时间（时间≧30分钟））。其中，属于第（3）项情形，供应商已随投标（响应）文件一并提交相关书面说明及必要的证明材料的，在评审现场可不再重复提交。</w:t>
            </w:r>
          </w:p>
          <w:p w14:paraId="4341B08E">
            <w:pPr>
              <w:spacing w:line="360" w:lineRule="auto"/>
              <w:rPr>
                <w:rFonts w:hint="eastAsia" w:ascii="宋体" w:hAnsi="宋体" w:eastAsia="宋体" w:cs="宋体"/>
                <w:color w:val="000000"/>
                <w:szCs w:val="21"/>
              </w:rPr>
            </w:pPr>
            <w:r>
              <w:rPr>
                <w:rFonts w:hint="eastAsia" w:ascii="宋体" w:hAnsi="宋体" w:eastAsia="宋体" w:cs="宋体"/>
                <w:color w:val="000000"/>
                <w:szCs w:val="21"/>
                <w:lang w:bidi="ar"/>
              </w:rPr>
              <w:t>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w:t>
            </w:r>
            <w:r>
              <w:rPr>
                <w:rFonts w:hint="eastAsia" w:ascii="宋体" w:hAnsi="宋体" w:eastAsia="宋体" w:cs="宋体"/>
                <w:b/>
                <w:bCs/>
                <w:color w:val="FF0000"/>
                <w:szCs w:val="21"/>
                <w:lang w:bidi="ar"/>
              </w:rPr>
              <w:t>应当将其作为无效投标（响应）处理。</w:t>
            </w:r>
          </w:p>
          <w:p w14:paraId="4A1F0A88">
            <w:pPr>
              <w:spacing w:line="360" w:lineRule="auto"/>
              <w:rPr>
                <w:rFonts w:ascii="宋体" w:hAnsi="宋体" w:cs="宋体"/>
                <w:color w:val="000000"/>
                <w:szCs w:val="21"/>
              </w:rPr>
            </w:pPr>
            <w:r>
              <w:rPr>
                <w:rFonts w:hint="eastAsia" w:ascii="宋体" w:hAnsi="宋体" w:eastAsia="宋体" w:cs="宋体"/>
                <w:b/>
                <w:bCs/>
                <w:color w:val="FF0000"/>
                <w:szCs w:val="21"/>
                <w:lang w:bidi="ar"/>
              </w:rPr>
              <w:t>4.异常低价投标（响应）审查的启动原因、审查意见和审查结果将在评审报告中记录，并随供应商提供的相关书面说明及证明材料，以及评审委员会有关互联网浏览、查询历史一并归档。</w:t>
            </w:r>
          </w:p>
        </w:tc>
      </w:tr>
    </w:tbl>
    <w:p w14:paraId="781BA683">
      <w:pPr>
        <w:rPr>
          <w:rFonts w:hint="eastAsia" w:ascii="宋体" w:hAnsi="宋体" w:eastAsia="宋体" w:cs="宋体"/>
          <w:b/>
        </w:rPr>
      </w:pPr>
    </w:p>
    <w:p w14:paraId="57CFE813">
      <w:pPr>
        <w:jc w:val="both"/>
        <w:rPr>
          <w:rFonts w:hint="eastAsia" w:ascii="宋体" w:hAnsi="宋体" w:eastAsia="宋体" w:cs="宋体"/>
          <w:b/>
        </w:rPr>
      </w:pPr>
    </w:p>
    <w:p w14:paraId="5E06FDBD">
      <w:pPr>
        <w:pStyle w:val="6"/>
        <w:jc w:val="center"/>
        <w:rPr>
          <w:rFonts w:hint="eastAsia" w:cs="宋体"/>
        </w:rPr>
        <w:sectPr>
          <w:pgSz w:w="11906" w:h="16838"/>
          <w:pgMar w:top="1440" w:right="1800" w:bottom="1440" w:left="1800" w:header="720" w:footer="720" w:gutter="0"/>
          <w:pgNumType w:fmt="numberInDash"/>
          <w:cols w:space="720" w:num="1"/>
        </w:sectPr>
      </w:pPr>
    </w:p>
    <w:p w14:paraId="4D411786">
      <w:pPr>
        <w:pStyle w:val="6"/>
        <w:jc w:val="center"/>
        <w:rPr>
          <w:rFonts w:hint="eastAsia" w:cs="宋体"/>
          <w:szCs w:val="24"/>
        </w:rPr>
      </w:pPr>
      <w:r>
        <w:rPr>
          <w:rFonts w:hint="eastAsia" w:cs="宋体"/>
          <w:szCs w:val="28"/>
        </w:rPr>
        <w:t>综合评分法评标信息</w:t>
      </w:r>
    </w:p>
    <w:tbl>
      <w:tblPr>
        <w:tblStyle w:val="26"/>
        <w:tblW w:w="8635" w:type="dxa"/>
        <w:tblCellSpacing w:w="0" w:type="dxa"/>
        <w:tblInd w:w="0" w:type="dxa"/>
        <w:tblLayout w:type="fixed"/>
        <w:tblCellMar>
          <w:top w:w="45" w:type="dxa"/>
          <w:left w:w="45" w:type="dxa"/>
          <w:bottom w:w="45" w:type="dxa"/>
          <w:right w:w="45" w:type="dxa"/>
        </w:tblCellMar>
      </w:tblPr>
      <w:tblGrid>
        <w:gridCol w:w="8635"/>
      </w:tblGrid>
      <w:tr w14:paraId="3AF2DB52">
        <w:tblPrEx>
          <w:tblCellMar>
            <w:top w:w="45" w:type="dxa"/>
            <w:left w:w="45" w:type="dxa"/>
            <w:bottom w:w="45" w:type="dxa"/>
            <w:right w:w="45" w:type="dxa"/>
          </w:tblCellMar>
        </w:tblPrEx>
        <w:trPr>
          <w:trHeight w:val="90" w:hRule="atLeast"/>
          <w:tblCellSpacing w:w="0" w:type="dxa"/>
        </w:trPr>
        <w:tc>
          <w:tcPr>
            <w:tcW w:w="8635" w:type="dxa"/>
            <w:tcBorders>
              <w:top w:val="nil"/>
              <w:left w:val="nil"/>
              <w:bottom w:val="nil"/>
              <w:right w:val="nil"/>
            </w:tcBorders>
            <w:vAlign w:val="center"/>
          </w:tcPr>
          <w:tbl>
            <w:tblPr>
              <w:tblStyle w:val="26"/>
              <w:tblW w:w="9281" w:type="dxa"/>
              <w:jc w:val="center"/>
              <w:tblCellSpacing w:w="0" w:type="dxa"/>
              <w:tblLayout w:type="fixed"/>
              <w:tblCellMar>
                <w:top w:w="45" w:type="dxa"/>
                <w:left w:w="45" w:type="dxa"/>
                <w:bottom w:w="45" w:type="dxa"/>
                <w:right w:w="45" w:type="dxa"/>
              </w:tblCellMar>
            </w:tblPr>
            <w:tblGrid>
              <w:gridCol w:w="9281"/>
            </w:tblGrid>
            <w:tr w14:paraId="42CB1C93">
              <w:trPr>
                <w:tblCellSpacing w:w="0" w:type="dxa"/>
                <w:jc w:val="center"/>
              </w:trPr>
              <w:tc>
                <w:tcPr>
                  <w:tcW w:w="9281" w:type="dxa"/>
                  <w:vAlign w:val="center"/>
                </w:tcPr>
                <w:p w14:paraId="55303DAE">
                  <w:pPr>
                    <w:widowControl w:val="0"/>
                    <w:spacing w:line="360" w:lineRule="auto"/>
                    <w:jc w:val="both"/>
                    <w:rPr>
                      <w:rFonts w:hint="eastAsia" w:ascii="宋体" w:hAnsi="宋体" w:eastAsia="宋体" w:cs="宋体"/>
                      <w:b/>
                      <w:bCs/>
                      <w:kern w:val="2"/>
                    </w:rPr>
                  </w:pPr>
                </w:p>
                <w:p w14:paraId="36BB196C">
                  <w:pPr>
                    <w:widowControl w:val="0"/>
                    <w:spacing w:line="360" w:lineRule="auto"/>
                    <w:ind w:firstLine="482" w:firstLineChars="200"/>
                    <w:jc w:val="both"/>
                    <w:rPr>
                      <w:rFonts w:hint="eastAsia" w:ascii="宋体" w:hAnsi="宋体" w:eastAsia="宋体" w:cs="宋体"/>
                      <w:b/>
                      <w:bCs/>
                      <w:kern w:val="2"/>
                    </w:rPr>
                  </w:pPr>
                  <w:r>
                    <w:rPr>
                      <w:rFonts w:hint="eastAsia" w:ascii="宋体" w:hAnsi="宋体" w:eastAsia="宋体" w:cs="宋体"/>
                      <w:b/>
                      <w:bCs/>
                      <w:kern w:val="2"/>
                    </w:rPr>
                    <w:t>一、评标方法：综合评分法（新价格分算法）</w:t>
                  </w:r>
                </w:p>
              </w:tc>
            </w:tr>
            <w:tr w14:paraId="0051B474">
              <w:tblPrEx>
                <w:tblCellMar>
                  <w:top w:w="45" w:type="dxa"/>
                  <w:left w:w="45" w:type="dxa"/>
                  <w:bottom w:w="45" w:type="dxa"/>
                  <w:right w:w="45" w:type="dxa"/>
                </w:tblCellMar>
              </w:tblPrEx>
              <w:trPr>
                <w:tblCellSpacing w:w="0" w:type="dxa"/>
                <w:jc w:val="center"/>
              </w:trPr>
              <w:tc>
                <w:tcPr>
                  <w:tcW w:w="9281" w:type="dxa"/>
                  <w:vAlign w:val="center"/>
                </w:tcPr>
                <w:p w14:paraId="0514132A">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综合评分法，是指投标文件满足招标文件全部实质性要求，且按照评审因素的量化指标评审得分最高的投标人为中标候选人的评标方法。 </w:t>
                  </w:r>
                </w:p>
                <w:p w14:paraId="6E2FEAFA">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价格分计算方法：</w:t>
                  </w:r>
                </w:p>
                <w:p w14:paraId="3F5665EB">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采用低价优先法计算，即满足招标文件要求且投标价格最低的投标报价为评标基准价，其价格分为满分。其他投标人的价格分统一按照下列公式计算： </w:t>
                  </w:r>
                </w:p>
                <w:p w14:paraId="7090ADD4">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投标报价得分=(评标基准价／投标报价)×100 </w:t>
                  </w:r>
                </w:p>
                <w:p w14:paraId="79698676">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评标总得分＝F1×A1＋F2×A2＋……＋Fn×An </w:t>
                  </w:r>
                </w:p>
                <w:p w14:paraId="60586529">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F1、F2……Fn分别为各项评审因素的得分； </w:t>
                  </w:r>
                </w:p>
                <w:p w14:paraId="3A2DBF52">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A1、A2、……An 分别为各项评审因素所占的权重(A1＋A2＋……＋An＝1)。 </w:t>
                  </w:r>
                </w:p>
                <w:p w14:paraId="08117613">
                  <w:pPr>
                    <w:widowControl w:val="0"/>
                    <w:spacing w:line="360" w:lineRule="auto"/>
                    <w:jc w:val="both"/>
                    <w:rPr>
                      <w:rFonts w:hint="eastAsia" w:ascii="宋体" w:hAnsi="宋体" w:eastAsia="宋体" w:cs="宋体"/>
                      <w:kern w:val="2"/>
                    </w:rPr>
                  </w:pPr>
                  <w:r>
                    <w:rPr>
                      <w:rFonts w:hint="eastAsia" w:ascii="宋体" w:hAnsi="宋体" w:eastAsia="宋体" w:cs="宋体"/>
                      <w:kern w:val="2"/>
                    </w:rPr>
                    <w:t xml:space="preserve">    评标过程中，不得去掉报价中的最高报价和最低报价。 </w:t>
                  </w:r>
                </w:p>
                <w:p w14:paraId="20EB5CBE">
                  <w:pPr>
                    <w:widowControl w:val="0"/>
                    <w:spacing w:line="360" w:lineRule="auto"/>
                    <w:jc w:val="both"/>
                    <w:rPr>
                      <w:rFonts w:hint="eastAsia" w:ascii="宋体" w:hAnsi="宋体" w:eastAsia="宋体" w:cs="宋体"/>
                      <w:b/>
                      <w:bCs/>
                      <w:kern w:val="2"/>
                    </w:rPr>
                  </w:pPr>
                  <w:r>
                    <w:rPr>
                      <w:rFonts w:hint="eastAsia" w:ascii="宋体" w:hAnsi="宋体" w:eastAsia="宋体" w:cs="宋体"/>
                      <w:kern w:val="2"/>
                    </w:rPr>
                    <w:t xml:space="preserve">    此方法适用于货物类、服务类、工程类项目。 </w:t>
                  </w:r>
                </w:p>
              </w:tc>
            </w:tr>
          </w:tbl>
          <w:p w14:paraId="598467EF">
            <w:pPr>
              <w:rPr>
                <w:rFonts w:hint="eastAsia" w:ascii="宋体" w:hAnsi="宋体" w:eastAsia="宋体" w:cs="宋体"/>
                <w:b/>
                <w:bCs/>
              </w:rPr>
            </w:pPr>
          </w:p>
          <w:p w14:paraId="47941298">
            <w:pPr>
              <w:numPr>
                <w:ilvl w:val="0"/>
                <w:numId w:val="2"/>
              </w:numPr>
              <w:spacing w:line="360" w:lineRule="auto"/>
              <w:rPr>
                <w:rFonts w:hint="eastAsia" w:ascii="宋体" w:hAnsi="宋体" w:eastAsia="宋体" w:cs="宋体"/>
                <w:b/>
                <w:bCs/>
              </w:rPr>
            </w:pPr>
            <w:r>
              <w:rPr>
                <w:rFonts w:hint="eastAsia" w:ascii="宋体" w:hAnsi="宋体" w:eastAsia="宋体" w:cs="宋体"/>
                <w:b/>
                <w:bCs/>
              </w:rPr>
              <w:t>评标信息</w:t>
            </w:r>
          </w:p>
          <w:tbl>
            <w:tblPr>
              <w:tblStyle w:val="26"/>
              <w:tblW w:w="8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408"/>
              <w:gridCol w:w="1198"/>
              <w:gridCol w:w="750"/>
              <w:gridCol w:w="5091"/>
            </w:tblGrid>
            <w:tr w14:paraId="08AB0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vAlign w:val="center"/>
                </w:tcPr>
                <w:p w14:paraId="169A201F">
                  <w:pPr>
                    <w:wordWrap w:val="0"/>
                    <w:spacing w:line="360" w:lineRule="auto"/>
                    <w:jc w:val="center"/>
                    <w:rPr>
                      <w:rFonts w:hint="eastAsia" w:ascii="宋体" w:hAnsi="宋体" w:eastAsia="宋体" w:cs="宋体"/>
                    </w:rPr>
                  </w:pPr>
                  <w:r>
                    <w:rPr>
                      <w:rFonts w:hint="eastAsia" w:ascii="宋体" w:hAnsi="宋体" w:eastAsia="宋体" w:cs="宋体"/>
                    </w:rPr>
                    <w:t>序号</w:t>
                  </w:r>
                </w:p>
              </w:tc>
              <w:tc>
                <w:tcPr>
                  <w:tcW w:w="2356" w:type="dxa"/>
                  <w:gridSpan w:val="3"/>
                  <w:tcBorders>
                    <w:top w:val="single" w:color="auto" w:sz="4" w:space="0"/>
                    <w:left w:val="single" w:color="auto" w:sz="4" w:space="0"/>
                    <w:bottom w:val="single" w:color="auto" w:sz="4" w:space="0"/>
                    <w:right w:val="single" w:color="auto" w:sz="4" w:space="0"/>
                  </w:tcBorders>
                  <w:vAlign w:val="center"/>
                </w:tcPr>
                <w:p w14:paraId="31CF0301">
                  <w:pPr>
                    <w:wordWrap w:val="0"/>
                    <w:spacing w:line="360" w:lineRule="auto"/>
                    <w:jc w:val="center"/>
                    <w:rPr>
                      <w:rFonts w:hint="eastAsia" w:ascii="宋体" w:hAnsi="宋体" w:eastAsia="宋体" w:cs="宋体"/>
                    </w:rPr>
                  </w:pPr>
                  <w:r>
                    <w:rPr>
                      <w:rFonts w:hint="eastAsia" w:ascii="宋体" w:hAnsi="宋体" w:eastAsia="宋体" w:cs="宋体"/>
                    </w:rPr>
                    <w:t>评分项</w:t>
                  </w:r>
                </w:p>
              </w:tc>
              <w:tc>
                <w:tcPr>
                  <w:tcW w:w="5091" w:type="dxa"/>
                  <w:tcBorders>
                    <w:top w:val="single" w:color="auto" w:sz="4" w:space="0"/>
                    <w:left w:val="single" w:color="auto" w:sz="4" w:space="0"/>
                    <w:bottom w:val="single" w:color="auto" w:sz="4" w:space="0"/>
                    <w:right w:val="single" w:color="auto" w:sz="4" w:space="0"/>
                  </w:tcBorders>
                  <w:vAlign w:val="center"/>
                </w:tcPr>
                <w:p w14:paraId="6DB30A9D">
                  <w:pPr>
                    <w:wordWrap w:val="0"/>
                    <w:spacing w:line="360" w:lineRule="auto"/>
                    <w:jc w:val="center"/>
                    <w:rPr>
                      <w:rFonts w:hint="eastAsia" w:ascii="宋体" w:hAnsi="宋体" w:eastAsia="宋体" w:cs="宋体"/>
                    </w:rPr>
                  </w:pPr>
                  <w:r>
                    <w:rPr>
                      <w:rFonts w:hint="eastAsia" w:ascii="宋体" w:hAnsi="宋体" w:eastAsia="宋体" w:cs="宋体"/>
                    </w:rPr>
                    <w:t>权重</w:t>
                  </w:r>
                </w:p>
              </w:tc>
            </w:tr>
            <w:tr w14:paraId="6E075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vAlign w:val="center"/>
                </w:tcPr>
                <w:p w14:paraId="2529AB39">
                  <w:pPr>
                    <w:wordWrap w:val="0"/>
                    <w:spacing w:line="360" w:lineRule="auto"/>
                    <w:jc w:val="center"/>
                    <w:rPr>
                      <w:rFonts w:hint="eastAsia" w:ascii="宋体" w:hAnsi="宋体" w:eastAsia="宋体" w:cs="宋体"/>
                    </w:rPr>
                  </w:pPr>
                  <w:r>
                    <w:rPr>
                      <w:rFonts w:hint="eastAsia" w:ascii="宋体" w:hAnsi="宋体" w:eastAsia="宋体" w:cs="宋体"/>
                    </w:rPr>
                    <w:t>1</w:t>
                  </w:r>
                </w:p>
              </w:tc>
              <w:tc>
                <w:tcPr>
                  <w:tcW w:w="2356" w:type="dxa"/>
                  <w:gridSpan w:val="3"/>
                  <w:tcBorders>
                    <w:top w:val="single" w:color="auto" w:sz="4" w:space="0"/>
                    <w:left w:val="single" w:color="auto" w:sz="4" w:space="0"/>
                    <w:bottom w:val="single" w:color="auto" w:sz="4" w:space="0"/>
                    <w:right w:val="single" w:color="auto" w:sz="4" w:space="0"/>
                  </w:tcBorders>
                  <w:vAlign w:val="center"/>
                </w:tcPr>
                <w:p w14:paraId="4A9A6D4B">
                  <w:pPr>
                    <w:wordWrap w:val="0"/>
                    <w:spacing w:line="360" w:lineRule="auto"/>
                    <w:jc w:val="center"/>
                    <w:rPr>
                      <w:rFonts w:hint="eastAsia" w:ascii="宋体" w:hAnsi="宋体" w:eastAsia="宋体" w:cs="宋体"/>
                    </w:rPr>
                  </w:pPr>
                  <w:r>
                    <w:rPr>
                      <w:rFonts w:hint="eastAsia" w:ascii="宋体" w:hAnsi="宋体" w:eastAsia="宋体" w:cs="宋体"/>
                    </w:rPr>
                    <w:t>价格</w:t>
                  </w:r>
                </w:p>
              </w:tc>
              <w:tc>
                <w:tcPr>
                  <w:tcW w:w="5091" w:type="dxa"/>
                  <w:tcBorders>
                    <w:top w:val="single" w:color="auto" w:sz="4" w:space="0"/>
                    <w:left w:val="single" w:color="auto" w:sz="4" w:space="0"/>
                    <w:bottom w:val="single" w:color="auto" w:sz="4" w:space="0"/>
                    <w:right w:val="single" w:color="auto" w:sz="4" w:space="0"/>
                  </w:tcBorders>
                  <w:vAlign w:val="center"/>
                </w:tcPr>
                <w:p w14:paraId="215FA9F1">
                  <w:pPr>
                    <w:wordWrap w:val="0"/>
                    <w:spacing w:line="360" w:lineRule="auto"/>
                    <w:jc w:val="center"/>
                    <w:rPr>
                      <w:rFonts w:hint="eastAsia" w:ascii="宋体" w:hAnsi="宋体" w:eastAsia="宋体" w:cs="宋体"/>
                    </w:rPr>
                  </w:pPr>
                  <w:r>
                    <w:rPr>
                      <w:rFonts w:hint="eastAsia" w:ascii="宋体" w:hAnsi="宋体" w:eastAsia="宋体" w:cs="宋体"/>
                    </w:rPr>
                    <w:t>10</w:t>
                  </w:r>
                </w:p>
              </w:tc>
            </w:tr>
            <w:tr w14:paraId="0ABB1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vAlign w:val="center"/>
                </w:tcPr>
                <w:p w14:paraId="2AD2211D">
                  <w:pPr>
                    <w:wordWrap w:val="0"/>
                    <w:spacing w:line="360" w:lineRule="auto"/>
                    <w:jc w:val="center"/>
                    <w:rPr>
                      <w:rFonts w:hint="eastAsia" w:ascii="宋体" w:hAnsi="宋体" w:eastAsia="宋体" w:cs="宋体"/>
                    </w:rPr>
                  </w:pPr>
                  <w:r>
                    <w:rPr>
                      <w:rFonts w:hint="eastAsia" w:ascii="宋体" w:hAnsi="宋体" w:eastAsia="宋体" w:cs="宋体"/>
                    </w:rPr>
                    <w:t>2</w:t>
                  </w:r>
                </w:p>
              </w:tc>
              <w:tc>
                <w:tcPr>
                  <w:tcW w:w="2356" w:type="dxa"/>
                  <w:gridSpan w:val="3"/>
                  <w:tcBorders>
                    <w:top w:val="single" w:color="auto" w:sz="4" w:space="0"/>
                    <w:left w:val="single" w:color="auto" w:sz="4" w:space="0"/>
                    <w:bottom w:val="single" w:color="auto" w:sz="4" w:space="0"/>
                    <w:right w:val="single" w:color="auto" w:sz="4" w:space="0"/>
                  </w:tcBorders>
                  <w:vAlign w:val="center"/>
                </w:tcPr>
                <w:p w14:paraId="5A4D2B7A">
                  <w:pPr>
                    <w:wordWrap w:val="0"/>
                    <w:spacing w:line="360" w:lineRule="auto"/>
                    <w:jc w:val="center"/>
                    <w:rPr>
                      <w:rFonts w:hint="eastAsia" w:ascii="宋体" w:hAnsi="宋体" w:eastAsia="宋体" w:cs="宋体"/>
                    </w:rPr>
                  </w:pPr>
                  <w:r>
                    <w:rPr>
                      <w:rFonts w:hint="eastAsia" w:ascii="宋体" w:hAnsi="宋体" w:eastAsia="宋体" w:cs="宋体"/>
                    </w:rPr>
                    <w:t>技术</w:t>
                  </w:r>
                </w:p>
              </w:tc>
              <w:tc>
                <w:tcPr>
                  <w:tcW w:w="5091" w:type="dxa"/>
                  <w:tcBorders>
                    <w:top w:val="single" w:color="auto" w:sz="4" w:space="0"/>
                    <w:left w:val="single" w:color="auto" w:sz="4" w:space="0"/>
                    <w:bottom w:val="single" w:color="auto" w:sz="4" w:space="0"/>
                    <w:right w:val="single" w:color="auto" w:sz="4" w:space="0"/>
                  </w:tcBorders>
                  <w:vAlign w:val="center"/>
                </w:tcPr>
                <w:p w14:paraId="5D89CE45">
                  <w:pPr>
                    <w:wordWrap w:val="0"/>
                    <w:spacing w:line="360" w:lineRule="auto"/>
                    <w:jc w:val="center"/>
                    <w:rPr>
                      <w:rFonts w:hint="eastAsia" w:ascii="宋体" w:hAnsi="宋体" w:eastAsia="宋体" w:cs="宋体"/>
                    </w:rPr>
                  </w:pPr>
                  <w:r>
                    <w:rPr>
                      <w:rFonts w:hint="eastAsia" w:ascii="宋体" w:hAnsi="宋体" w:eastAsia="宋体" w:cs="宋体"/>
                    </w:rPr>
                    <w:t>29</w:t>
                  </w:r>
                </w:p>
              </w:tc>
            </w:tr>
            <w:tr w14:paraId="7E0FE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restart"/>
                  <w:tcBorders>
                    <w:top w:val="single" w:color="auto" w:sz="4" w:space="0"/>
                    <w:left w:val="single" w:color="auto" w:sz="4" w:space="0"/>
                    <w:right w:val="single" w:color="auto" w:sz="4" w:space="0"/>
                  </w:tcBorders>
                  <w:vAlign w:val="center"/>
                </w:tcPr>
                <w:p w14:paraId="4751DDEE">
                  <w:pPr>
                    <w:wordWrap w:val="0"/>
                    <w:spacing w:line="360" w:lineRule="auto"/>
                    <w:jc w:val="center"/>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2ABBDCE3">
                  <w:pPr>
                    <w:wordWrap w:val="0"/>
                    <w:spacing w:line="360" w:lineRule="auto"/>
                    <w:jc w:val="center"/>
                    <w:rPr>
                      <w:rFonts w:hint="eastAsia" w:ascii="宋体" w:hAnsi="宋体" w:eastAsia="宋体" w:cs="宋体"/>
                    </w:rPr>
                  </w:pPr>
                  <w:r>
                    <w:rPr>
                      <w:rFonts w:hint="eastAsia" w:ascii="宋体" w:hAnsi="宋体" w:eastAsia="宋体" w:cs="宋体"/>
                    </w:rPr>
                    <w:t>行号</w:t>
                  </w:r>
                </w:p>
              </w:tc>
              <w:tc>
                <w:tcPr>
                  <w:tcW w:w="1198" w:type="dxa"/>
                  <w:tcBorders>
                    <w:top w:val="single" w:color="auto" w:sz="4" w:space="0"/>
                    <w:left w:val="single" w:color="auto" w:sz="4" w:space="0"/>
                    <w:bottom w:val="single" w:color="auto" w:sz="4" w:space="0"/>
                    <w:right w:val="single" w:color="auto" w:sz="4" w:space="0"/>
                  </w:tcBorders>
                  <w:vAlign w:val="center"/>
                </w:tcPr>
                <w:p w14:paraId="0415B9C0">
                  <w:pPr>
                    <w:wordWrap w:val="0"/>
                    <w:spacing w:line="360" w:lineRule="auto"/>
                    <w:jc w:val="center"/>
                    <w:rPr>
                      <w:rFonts w:hint="eastAsia" w:ascii="宋体" w:hAnsi="宋体" w:eastAsia="宋体" w:cs="宋体"/>
                    </w:rPr>
                  </w:pPr>
                  <w:r>
                    <w:rPr>
                      <w:rFonts w:hint="eastAsia" w:ascii="宋体" w:hAnsi="宋体" w:eastAsia="宋体" w:cs="宋体"/>
                    </w:rPr>
                    <w:t>内容</w:t>
                  </w:r>
                </w:p>
              </w:tc>
              <w:tc>
                <w:tcPr>
                  <w:tcW w:w="750" w:type="dxa"/>
                  <w:tcBorders>
                    <w:top w:val="single" w:color="auto" w:sz="4" w:space="0"/>
                    <w:left w:val="single" w:color="auto" w:sz="4" w:space="0"/>
                    <w:bottom w:val="single" w:color="auto" w:sz="4" w:space="0"/>
                    <w:right w:val="single" w:color="auto" w:sz="4" w:space="0"/>
                  </w:tcBorders>
                  <w:vAlign w:val="center"/>
                </w:tcPr>
                <w:p w14:paraId="5083A097">
                  <w:pPr>
                    <w:wordWrap w:val="0"/>
                    <w:spacing w:line="360" w:lineRule="auto"/>
                    <w:jc w:val="center"/>
                    <w:rPr>
                      <w:rFonts w:hint="eastAsia" w:ascii="宋体" w:hAnsi="宋体" w:eastAsia="宋体" w:cs="宋体"/>
                    </w:rPr>
                  </w:pPr>
                  <w:r>
                    <w:rPr>
                      <w:rFonts w:hint="eastAsia" w:ascii="宋体" w:hAnsi="宋体" w:eastAsia="宋体" w:cs="宋体"/>
                    </w:rPr>
                    <w:t>权重</w:t>
                  </w:r>
                </w:p>
              </w:tc>
              <w:tc>
                <w:tcPr>
                  <w:tcW w:w="5091" w:type="dxa"/>
                  <w:tcBorders>
                    <w:top w:val="single" w:color="auto" w:sz="4" w:space="0"/>
                    <w:left w:val="single" w:color="auto" w:sz="4" w:space="0"/>
                    <w:bottom w:val="single" w:color="auto" w:sz="4" w:space="0"/>
                    <w:right w:val="single" w:color="auto" w:sz="4" w:space="0"/>
                  </w:tcBorders>
                  <w:vAlign w:val="center"/>
                </w:tcPr>
                <w:p w14:paraId="64B49047">
                  <w:pPr>
                    <w:wordWrap w:val="0"/>
                    <w:spacing w:line="360" w:lineRule="auto"/>
                    <w:jc w:val="center"/>
                    <w:rPr>
                      <w:rFonts w:hint="eastAsia" w:ascii="宋体" w:hAnsi="宋体" w:eastAsia="宋体" w:cs="宋体"/>
                    </w:rPr>
                  </w:pPr>
                  <w:r>
                    <w:rPr>
                      <w:rFonts w:hint="eastAsia" w:ascii="宋体" w:hAnsi="宋体" w:eastAsia="宋体" w:cs="宋体"/>
                    </w:rPr>
                    <w:t>评分准则</w:t>
                  </w:r>
                </w:p>
              </w:tc>
            </w:tr>
            <w:tr w14:paraId="42769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4269EDD4">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74D5C50A">
                  <w:pPr>
                    <w:wordWrap w:val="0"/>
                    <w:spacing w:line="360" w:lineRule="auto"/>
                    <w:jc w:val="center"/>
                    <w:rPr>
                      <w:rFonts w:hint="eastAsia" w:ascii="宋体" w:hAnsi="宋体" w:eastAsia="宋体" w:cs="宋体"/>
                    </w:rPr>
                  </w:pPr>
                  <w:r>
                    <w:rPr>
                      <w:rFonts w:hint="eastAsia" w:ascii="宋体" w:hAnsi="宋体" w:eastAsia="宋体" w:cs="宋体"/>
                    </w:rPr>
                    <w:t>1</w:t>
                  </w:r>
                </w:p>
              </w:tc>
              <w:tc>
                <w:tcPr>
                  <w:tcW w:w="1198" w:type="dxa"/>
                  <w:tcBorders>
                    <w:top w:val="single" w:color="auto" w:sz="4" w:space="0"/>
                    <w:left w:val="single" w:color="auto" w:sz="4" w:space="0"/>
                    <w:bottom w:val="single" w:color="auto" w:sz="4" w:space="0"/>
                    <w:right w:val="single" w:color="auto" w:sz="4" w:space="0"/>
                  </w:tcBorders>
                  <w:vAlign w:val="center"/>
                </w:tcPr>
                <w:p w14:paraId="47F50778">
                  <w:pPr>
                    <w:wordWrap w:val="0"/>
                    <w:spacing w:line="360" w:lineRule="auto"/>
                    <w:jc w:val="center"/>
                    <w:rPr>
                      <w:rFonts w:hint="eastAsia" w:ascii="宋体" w:hAnsi="宋体" w:eastAsia="宋体" w:cs="宋体"/>
                      <w:bCs/>
                      <w:color w:val="000000"/>
                      <w:kern w:val="2"/>
                    </w:rPr>
                  </w:pPr>
                  <w:r>
                    <w:rPr>
                      <w:rFonts w:hint="eastAsia" w:ascii="宋体" w:hAnsi="宋体" w:eastAsia="宋体" w:cs="宋体"/>
                    </w:rPr>
                    <w:t>实施方案</w:t>
                  </w:r>
                </w:p>
              </w:tc>
              <w:tc>
                <w:tcPr>
                  <w:tcW w:w="750" w:type="dxa"/>
                  <w:tcBorders>
                    <w:top w:val="single" w:color="auto" w:sz="4" w:space="0"/>
                    <w:left w:val="single" w:color="auto" w:sz="4" w:space="0"/>
                    <w:bottom w:val="single" w:color="auto" w:sz="4" w:space="0"/>
                    <w:right w:val="single" w:color="auto" w:sz="4" w:space="0"/>
                  </w:tcBorders>
                  <w:vAlign w:val="center"/>
                </w:tcPr>
                <w:p w14:paraId="1E2C63BB">
                  <w:pPr>
                    <w:wordWrap w:val="0"/>
                    <w:spacing w:line="360" w:lineRule="auto"/>
                    <w:jc w:val="center"/>
                    <w:rPr>
                      <w:rFonts w:hint="eastAsia" w:ascii="宋体" w:hAnsi="宋体" w:eastAsia="宋体" w:cs="宋体"/>
                      <w:color w:val="000000"/>
                      <w:kern w:val="2"/>
                    </w:rPr>
                  </w:pPr>
                  <w:r>
                    <w:rPr>
                      <w:rFonts w:hint="eastAsia" w:ascii="宋体" w:hAnsi="宋体" w:eastAsia="宋体" w:cs="宋体"/>
                    </w:rPr>
                    <w:t>6</w:t>
                  </w:r>
                </w:p>
              </w:tc>
              <w:tc>
                <w:tcPr>
                  <w:tcW w:w="5091" w:type="dxa"/>
                  <w:tcBorders>
                    <w:top w:val="single" w:color="auto" w:sz="4" w:space="0"/>
                    <w:left w:val="single" w:color="auto" w:sz="4" w:space="0"/>
                    <w:bottom w:val="single" w:color="auto" w:sz="4" w:space="0"/>
                    <w:right w:val="single" w:color="auto" w:sz="4" w:space="0"/>
                  </w:tcBorders>
                  <w:vAlign w:val="center"/>
                </w:tcPr>
                <w:p w14:paraId="27FACE4F">
                  <w:pPr>
                    <w:wordWrap w:val="0"/>
                    <w:spacing w:line="360" w:lineRule="auto"/>
                    <w:jc w:val="both"/>
                    <w:rPr>
                      <w:rFonts w:hint="eastAsia" w:asciiTheme="minorEastAsia" w:hAnsiTheme="minorEastAsia" w:eastAsiaTheme="minorEastAsia" w:cstheme="minorEastAsia"/>
                      <w:b/>
                      <w:bCs/>
                      <w:szCs w:val="20"/>
                    </w:rPr>
                  </w:pPr>
                  <w:r>
                    <w:rPr>
                      <w:rFonts w:hint="eastAsia" w:asciiTheme="minorEastAsia" w:hAnsiTheme="minorEastAsia" w:eastAsiaTheme="minorEastAsia" w:cstheme="minorEastAsia"/>
                      <w:b/>
                      <w:bCs/>
                      <w:szCs w:val="20"/>
                    </w:rPr>
                    <w:t>评审内容：</w:t>
                  </w:r>
                </w:p>
                <w:p w14:paraId="5BC96A37">
                  <w:pPr>
                    <w:numPr>
                      <w:ilvl w:val="255"/>
                      <w:numId w:val="0"/>
                    </w:numPr>
                    <w:wordWrap w:val="0"/>
                    <w:spacing w:line="360" w:lineRule="auto"/>
                    <w:rPr>
                      <w:rFonts w:hint="eastAsia" w:ascii="宋体" w:hAnsi="宋体" w:eastAsia="宋体" w:cs="宋体"/>
                    </w:rPr>
                  </w:pPr>
                  <w:r>
                    <w:rPr>
                      <w:rFonts w:hint="eastAsia" w:ascii="宋体" w:hAnsi="宋体" w:eastAsia="宋体" w:cs="宋体"/>
                    </w:rPr>
                    <w:t>投标人制定符合本项目特点的实施方案，内容包括但不限于：</w:t>
                  </w:r>
                </w:p>
                <w:p w14:paraId="58FC9EB0">
                  <w:pPr>
                    <w:numPr>
                      <w:ilvl w:val="255"/>
                      <w:numId w:val="0"/>
                    </w:numPr>
                    <w:wordWrap w:val="0"/>
                    <w:spacing w:line="360" w:lineRule="auto"/>
                    <w:rPr>
                      <w:rFonts w:hint="eastAsia" w:ascii="宋体" w:hAnsi="宋体" w:eastAsia="宋体" w:cs="宋体"/>
                    </w:rPr>
                  </w:pPr>
                  <w:r>
                    <w:rPr>
                      <w:rFonts w:hint="eastAsia" w:ascii="宋体" w:hAnsi="宋体" w:eastAsia="宋体" w:cs="宋体"/>
                    </w:rPr>
                    <w:t>1.项目的整体管理设想及规划；</w:t>
                  </w:r>
                </w:p>
                <w:p w14:paraId="6E60B68D">
                  <w:pPr>
                    <w:numPr>
                      <w:ilvl w:val="255"/>
                      <w:numId w:val="0"/>
                    </w:numPr>
                    <w:wordWrap w:val="0"/>
                    <w:spacing w:line="360" w:lineRule="auto"/>
                    <w:rPr>
                      <w:rFonts w:hint="eastAsia" w:ascii="宋体" w:hAnsi="宋体" w:eastAsia="宋体" w:cs="宋体"/>
                    </w:rPr>
                  </w:pPr>
                  <w:r>
                    <w:rPr>
                      <w:rFonts w:hint="eastAsia" w:ascii="宋体" w:hAnsi="宋体" w:eastAsia="宋体" w:cs="宋体"/>
                    </w:rPr>
                    <w:t>2.组织机构及服务团队配置；</w:t>
                  </w:r>
                </w:p>
                <w:p w14:paraId="0F483FA7">
                  <w:pPr>
                    <w:numPr>
                      <w:ilvl w:val="255"/>
                      <w:numId w:val="0"/>
                    </w:numPr>
                    <w:wordWrap w:val="0"/>
                    <w:spacing w:line="360" w:lineRule="auto"/>
                    <w:rPr>
                      <w:rFonts w:hint="eastAsia" w:ascii="宋体" w:hAnsi="宋体" w:eastAsia="宋体" w:cs="宋体"/>
                    </w:rPr>
                  </w:pPr>
                  <w:r>
                    <w:rPr>
                      <w:rFonts w:hint="eastAsia" w:ascii="宋体" w:hAnsi="宋体" w:eastAsia="宋体" w:cs="宋体"/>
                    </w:rPr>
                    <w:t>3.人员培训及人员管理措施；</w:t>
                  </w:r>
                </w:p>
                <w:p w14:paraId="61BEAA08">
                  <w:pPr>
                    <w:wordWrap w:val="0"/>
                    <w:spacing w:line="360" w:lineRule="auto"/>
                    <w:rPr>
                      <w:rFonts w:hint="eastAsia" w:ascii="宋体" w:hAnsi="宋体" w:eastAsia="宋体" w:cs="宋体"/>
                      <w:kern w:val="2"/>
                      <w:lang w:bidi="ar"/>
                    </w:rPr>
                  </w:pPr>
                  <w:r>
                    <w:rPr>
                      <w:rFonts w:hint="eastAsia" w:ascii="宋体" w:hAnsi="宋体" w:eastAsia="宋体" w:cs="宋体"/>
                    </w:rPr>
                    <w:t>专家根据以上三个方面对投标人所提供的响应文件进行打分。</w:t>
                  </w:r>
                </w:p>
                <w:p w14:paraId="6A8DCFDE">
                  <w:pPr>
                    <w:wordWrap w:val="0"/>
                    <w:spacing w:line="360" w:lineRule="auto"/>
                    <w:rPr>
                      <w:rFonts w:hint="eastAsia" w:ascii="宋体" w:hAnsi="宋体" w:eastAsia="宋体" w:cs="宋体"/>
                      <w:b/>
                    </w:rPr>
                  </w:pPr>
                  <w:r>
                    <w:rPr>
                      <w:rFonts w:hint="eastAsia" w:ascii="宋体" w:hAnsi="宋体" w:eastAsia="宋体" w:cs="宋体"/>
                      <w:b/>
                    </w:rPr>
                    <w:t>评分标准：</w:t>
                  </w:r>
                </w:p>
                <w:p w14:paraId="5D6C651E">
                  <w:pPr>
                    <w:wordWrap w:val="0"/>
                    <w:spacing w:line="360" w:lineRule="auto"/>
                    <w:rPr>
                      <w:rFonts w:hint="eastAsia" w:ascii="宋体" w:hAnsi="宋体" w:eastAsia="宋体" w:cs="宋体"/>
                      <w:bCs/>
                    </w:rPr>
                  </w:pPr>
                  <w:r>
                    <w:rPr>
                      <w:rFonts w:hint="eastAsia" w:ascii="宋体" w:hAnsi="宋体" w:eastAsia="宋体" w:cs="宋体"/>
                      <w:bCs/>
                    </w:rPr>
                    <w:t>满足以上三个方面得90分；满足以上两个方面得60分；满足以上一个方面得30分，其他情况不得分。</w:t>
                  </w:r>
                </w:p>
                <w:p w14:paraId="22701833">
                  <w:pPr>
                    <w:wordWrap w:val="0"/>
                    <w:adjustRightInd w:val="0"/>
                    <w:snapToGrid w:val="0"/>
                    <w:spacing w:line="360" w:lineRule="auto"/>
                    <w:rPr>
                      <w:rFonts w:hint="eastAsia" w:ascii="宋体" w:hAnsi="宋体" w:eastAsia="宋体" w:cs="宋体"/>
                      <w:bCs/>
                    </w:rPr>
                  </w:pPr>
                  <w:r>
                    <w:rPr>
                      <w:rFonts w:hint="eastAsia" w:ascii="宋体" w:hAnsi="宋体" w:eastAsia="宋体" w:cs="宋体"/>
                      <w:bCs/>
                      <w:lang w:bidi="ar"/>
                    </w:rPr>
                    <w:t>在此基础上</w:t>
                  </w:r>
                  <w:r>
                    <w:rPr>
                      <w:rFonts w:hint="eastAsia" w:ascii="宋体" w:hAnsi="宋体" w:eastAsia="宋体" w:cs="宋体"/>
                      <w:bCs/>
                    </w:rPr>
                    <w:t>，专家根据各供应商的具体响应内容评审：</w:t>
                  </w:r>
                  <w:r>
                    <w:rPr>
                      <w:rFonts w:hint="eastAsia" w:ascii="宋体" w:hAnsi="宋体" w:eastAsia="宋体" w:cs="宋体"/>
                      <w:bCs/>
                    </w:rPr>
                    <w:br w:type="textWrapping"/>
                  </w:r>
                  <w:r>
                    <w:rPr>
                      <w:rFonts w:hint="eastAsia" w:ascii="宋体" w:hAnsi="宋体" w:eastAsia="宋体" w:cs="宋体"/>
                      <w:bCs/>
                    </w:rPr>
                    <w:t>评价为优得10分;评价为良得5分;评价为中得2分;评价为差不得分，专家需书面说明理由。</w:t>
                  </w:r>
                </w:p>
                <w:p w14:paraId="415D305F">
                  <w:pPr>
                    <w:wordWrap w:val="0"/>
                    <w:adjustRightInd w:val="0"/>
                    <w:snapToGrid w:val="0"/>
                    <w:spacing w:line="360" w:lineRule="auto"/>
                    <w:rPr>
                      <w:rFonts w:hint="eastAsia" w:ascii="宋体" w:hAnsi="宋体" w:eastAsia="宋体" w:cs="宋体"/>
                    </w:rPr>
                  </w:pPr>
                  <w:r>
                    <w:rPr>
                      <w:rFonts w:hint="eastAsia" w:ascii="宋体" w:hAnsi="宋体" w:eastAsia="宋体" w:cs="宋体"/>
                    </w:rPr>
                    <w:t>1、项目的整体管理设想及规划至少包含整体管理设想、整体规划方案等；</w:t>
                  </w:r>
                </w:p>
                <w:p w14:paraId="2F15902B">
                  <w:pPr>
                    <w:wordWrap w:val="0"/>
                    <w:adjustRightInd w:val="0"/>
                    <w:snapToGrid w:val="0"/>
                    <w:spacing w:line="360" w:lineRule="auto"/>
                    <w:rPr>
                      <w:rFonts w:hint="eastAsia" w:ascii="宋体" w:hAnsi="宋体" w:eastAsia="宋体" w:cs="宋体"/>
                    </w:rPr>
                  </w:pPr>
                  <w:r>
                    <w:rPr>
                      <w:rFonts w:hint="eastAsia" w:ascii="宋体" w:hAnsi="宋体" w:eastAsia="宋体" w:cs="宋体"/>
                    </w:rPr>
                    <w:t>2、组织机构及服务团队配置至少包含项目组织架构及人员构成、工作分工及职责等；</w:t>
                  </w:r>
                </w:p>
                <w:p w14:paraId="69488B6C">
                  <w:pPr>
                    <w:wordWrap w:val="0"/>
                    <w:adjustRightInd w:val="0"/>
                    <w:snapToGrid w:val="0"/>
                    <w:spacing w:line="360" w:lineRule="auto"/>
                    <w:rPr>
                      <w:rFonts w:hint="eastAsia" w:ascii="宋体" w:hAnsi="宋体" w:eastAsia="宋体" w:cs="宋体"/>
                      <w:bCs/>
                    </w:rPr>
                  </w:pPr>
                  <w:r>
                    <w:rPr>
                      <w:rFonts w:hint="eastAsia" w:ascii="宋体" w:hAnsi="宋体" w:eastAsia="宋体" w:cs="宋体"/>
                      <w:bCs/>
                    </w:rPr>
                    <w:t>3、</w:t>
                  </w:r>
                  <w:r>
                    <w:rPr>
                      <w:rFonts w:hint="eastAsia" w:ascii="宋体" w:hAnsi="宋体" w:eastAsia="宋体" w:cs="宋体"/>
                    </w:rPr>
                    <w:t>人员培训及人员管理措施至少包含人员培训方案、人员管理方案等；</w:t>
                  </w:r>
                </w:p>
                <w:p w14:paraId="1F19AB38">
                  <w:pPr>
                    <w:wordWrap w:val="0"/>
                    <w:spacing w:line="360" w:lineRule="auto"/>
                    <w:rPr>
                      <w:rFonts w:hint="eastAsia" w:ascii="宋体" w:hAnsi="宋体" w:eastAsia="宋体" w:cs="宋体"/>
                    </w:rPr>
                  </w:pPr>
                  <w:r>
                    <w:rPr>
                      <w:rFonts w:hint="eastAsia" w:ascii="宋体" w:hAnsi="宋体" w:eastAsia="宋体" w:cs="宋体"/>
                    </w:rPr>
                    <w:t>优评分标准：方案符合上述3项，完全满足并优于采购需求的。</w:t>
                  </w:r>
                </w:p>
                <w:p w14:paraId="36CA35EC">
                  <w:pPr>
                    <w:wordWrap w:val="0"/>
                    <w:spacing w:line="360" w:lineRule="auto"/>
                    <w:rPr>
                      <w:rFonts w:hint="eastAsia" w:ascii="宋体" w:hAnsi="宋体" w:eastAsia="宋体" w:cs="宋体"/>
                    </w:rPr>
                  </w:pPr>
                  <w:r>
                    <w:rPr>
                      <w:rFonts w:hint="eastAsia" w:ascii="宋体" w:hAnsi="宋体" w:eastAsia="宋体" w:cs="宋体"/>
                    </w:rPr>
                    <w:t>良评分标准：方案符合上述任意2项要求，完全满足采购需求的。</w:t>
                  </w:r>
                </w:p>
                <w:p w14:paraId="06836984">
                  <w:pPr>
                    <w:wordWrap w:val="0"/>
                    <w:spacing w:line="360" w:lineRule="auto"/>
                    <w:rPr>
                      <w:rFonts w:hint="eastAsia" w:ascii="宋体" w:hAnsi="宋体" w:eastAsia="宋体" w:cs="宋体"/>
                    </w:rPr>
                  </w:pPr>
                  <w:r>
                    <w:rPr>
                      <w:rFonts w:hint="eastAsia" w:ascii="宋体" w:hAnsi="宋体" w:eastAsia="宋体" w:cs="宋体"/>
                    </w:rPr>
                    <w:t>中评分标准：方案符合上述任意1项要求，满足采购需求的。</w:t>
                  </w:r>
                </w:p>
                <w:p w14:paraId="7A73AB11">
                  <w:pPr>
                    <w:wordWrap w:val="0"/>
                    <w:spacing w:line="360" w:lineRule="auto"/>
                    <w:rPr>
                      <w:rFonts w:hint="eastAsia" w:ascii="宋体" w:hAnsi="宋体" w:eastAsia="宋体" w:cs="宋体"/>
                      <w:kern w:val="2"/>
                    </w:rPr>
                  </w:pPr>
                  <w:r>
                    <w:rPr>
                      <w:rFonts w:hint="eastAsia" w:ascii="宋体" w:hAnsi="宋体" w:eastAsia="宋体" w:cs="宋体"/>
                    </w:rPr>
                    <w:t>差评分标准：方案不符合上述任一要求或不能满足采购需求的。</w:t>
                  </w:r>
                </w:p>
              </w:tc>
            </w:tr>
            <w:tr w14:paraId="15D5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5B2F75B7">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46C3CA8B">
                  <w:pPr>
                    <w:wordWrap w:val="0"/>
                    <w:spacing w:line="360" w:lineRule="auto"/>
                    <w:jc w:val="center"/>
                    <w:rPr>
                      <w:rFonts w:hint="eastAsia" w:ascii="宋体" w:hAnsi="宋体" w:eastAsia="宋体" w:cs="宋体"/>
                    </w:rPr>
                  </w:pPr>
                  <w:r>
                    <w:rPr>
                      <w:rFonts w:hint="eastAsia" w:ascii="宋体" w:hAnsi="宋体" w:eastAsia="宋体" w:cs="宋体"/>
                    </w:rPr>
                    <w:t>2</w:t>
                  </w:r>
                </w:p>
              </w:tc>
              <w:tc>
                <w:tcPr>
                  <w:tcW w:w="1198" w:type="dxa"/>
                  <w:tcBorders>
                    <w:top w:val="single" w:color="auto" w:sz="4" w:space="0"/>
                    <w:left w:val="single" w:color="auto" w:sz="4" w:space="0"/>
                    <w:bottom w:val="single" w:color="auto" w:sz="4" w:space="0"/>
                    <w:right w:val="single" w:color="auto" w:sz="4" w:space="0"/>
                  </w:tcBorders>
                  <w:vAlign w:val="center"/>
                </w:tcPr>
                <w:p w14:paraId="603E00E6">
                  <w:pPr>
                    <w:wordWrap w:val="0"/>
                    <w:spacing w:line="300" w:lineRule="auto"/>
                    <w:jc w:val="center"/>
                    <w:rPr>
                      <w:rFonts w:hint="eastAsia" w:ascii="宋体" w:hAnsi="宋体" w:eastAsia="宋体" w:cs="宋体"/>
                      <w:kern w:val="2"/>
                    </w:rPr>
                  </w:pPr>
                  <w:r>
                    <w:rPr>
                      <w:rFonts w:hint="eastAsia" w:ascii="宋体" w:hAnsi="宋体" w:eastAsia="宋体" w:cs="宋体"/>
                      <w:bCs/>
                      <w:color w:val="000000"/>
                    </w:rPr>
                    <w:t>项目重点难点分析、应对措施及相关的合理化建议</w:t>
                  </w:r>
                </w:p>
              </w:tc>
              <w:tc>
                <w:tcPr>
                  <w:tcW w:w="750" w:type="dxa"/>
                  <w:tcBorders>
                    <w:top w:val="single" w:color="auto" w:sz="4" w:space="0"/>
                    <w:left w:val="single" w:color="auto" w:sz="4" w:space="0"/>
                    <w:bottom w:val="single" w:color="auto" w:sz="4" w:space="0"/>
                    <w:right w:val="single" w:color="auto" w:sz="4" w:space="0"/>
                  </w:tcBorders>
                  <w:vAlign w:val="center"/>
                </w:tcPr>
                <w:p w14:paraId="45B55F8E">
                  <w:pPr>
                    <w:wordWrap w:val="0"/>
                    <w:spacing w:line="300" w:lineRule="auto"/>
                    <w:jc w:val="center"/>
                    <w:rPr>
                      <w:rFonts w:hint="eastAsia" w:ascii="宋体" w:hAnsi="宋体" w:eastAsia="仿宋" w:cs="宋体"/>
                      <w:kern w:val="2"/>
                    </w:rPr>
                  </w:pPr>
                  <w:r>
                    <w:rPr>
                      <w:rFonts w:hint="eastAsia" w:ascii="仿宋" w:hAnsi="仿宋" w:eastAsia="仿宋"/>
                    </w:rPr>
                    <w:t>6</w:t>
                  </w:r>
                </w:p>
              </w:tc>
              <w:tc>
                <w:tcPr>
                  <w:tcW w:w="5091" w:type="dxa"/>
                  <w:tcBorders>
                    <w:top w:val="single" w:color="auto" w:sz="4" w:space="0"/>
                    <w:left w:val="single" w:color="auto" w:sz="4" w:space="0"/>
                    <w:bottom w:val="single" w:color="auto" w:sz="4" w:space="0"/>
                    <w:right w:val="single" w:color="auto" w:sz="4" w:space="0"/>
                  </w:tcBorders>
                  <w:vAlign w:val="center"/>
                </w:tcPr>
                <w:p w14:paraId="5A1FA8EB">
                  <w:pPr>
                    <w:wordWrap w:val="0"/>
                    <w:spacing w:line="360" w:lineRule="auto"/>
                    <w:jc w:val="both"/>
                    <w:rPr>
                      <w:rFonts w:hint="eastAsia" w:asciiTheme="minorEastAsia" w:hAnsiTheme="minorEastAsia" w:eastAsiaTheme="minorEastAsia" w:cstheme="minorEastAsia"/>
                      <w:b/>
                      <w:bCs/>
                      <w:szCs w:val="20"/>
                    </w:rPr>
                  </w:pPr>
                  <w:r>
                    <w:rPr>
                      <w:rFonts w:hint="eastAsia" w:asciiTheme="minorEastAsia" w:hAnsiTheme="minorEastAsia" w:eastAsiaTheme="minorEastAsia" w:cstheme="minorEastAsia"/>
                      <w:b/>
                      <w:bCs/>
                      <w:szCs w:val="20"/>
                    </w:rPr>
                    <w:t>评审内容：</w:t>
                  </w:r>
                </w:p>
                <w:p w14:paraId="0BA03383">
                  <w:pPr>
                    <w:numPr>
                      <w:ilvl w:val="255"/>
                      <w:numId w:val="0"/>
                    </w:numPr>
                    <w:wordWrap w:val="0"/>
                    <w:spacing w:line="360" w:lineRule="auto"/>
                    <w:rPr>
                      <w:rFonts w:hint="eastAsia" w:ascii="宋体" w:hAnsi="宋体" w:eastAsia="宋体" w:cs="宋体"/>
                    </w:rPr>
                  </w:pPr>
                  <w:r>
                    <w:rPr>
                      <w:rFonts w:hint="eastAsia" w:ascii="宋体" w:hAnsi="宋体" w:eastAsia="宋体" w:cs="宋体"/>
                    </w:rPr>
                    <w:t>投标人制定符合本项目特点的项目重点难点分析、应对措施及相关的合理化建议，内容包括但不限于：</w:t>
                  </w:r>
                </w:p>
                <w:p w14:paraId="1BE4F0E6">
                  <w:pPr>
                    <w:wordWrap w:val="0"/>
                    <w:spacing w:line="360" w:lineRule="auto"/>
                    <w:rPr>
                      <w:rFonts w:ascii="宋体" w:hAnsi="宋体"/>
                      <w:bCs/>
                    </w:rPr>
                  </w:pPr>
                  <w:r>
                    <w:rPr>
                      <w:rFonts w:hint="eastAsia" w:ascii="宋体" w:hAnsi="宋体"/>
                      <w:bCs/>
                    </w:rPr>
                    <w:t xml:space="preserve">1、提出本项目工作重点； </w:t>
                  </w:r>
                </w:p>
                <w:p w14:paraId="38FA65E5">
                  <w:pPr>
                    <w:wordWrap w:val="0"/>
                    <w:spacing w:line="360" w:lineRule="auto"/>
                    <w:rPr>
                      <w:rFonts w:ascii="宋体" w:hAnsi="宋体"/>
                      <w:bCs/>
                    </w:rPr>
                  </w:pPr>
                  <w:r>
                    <w:rPr>
                      <w:rFonts w:hint="eastAsia" w:ascii="宋体" w:hAnsi="宋体"/>
                      <w:bCs/>
                    </w:rPr>
                    <w:t xml:space="preserve">2、提出本项目可能存在的难点问题分析； </w:t>
                  </w:r>
                </w:p>
                <w:p w14:paraId="7923E0D3">
                  <w:pPr>
                    <w:wordWrap w:val="0"/>
                    <w:spacing w:line="360" w:lineRule="auto"/>
                    <w:rPr>
                      <w:rFonts w:hint="eastAsia" w:ascii="宋体" w:hAnsi="宋体" w:eastAsia="宋体" w:cs="宋体"/>
                    </w:rPr>
                  </w:pPr>
                  <w:r>
                    <w:rPr>
                      <w:rFonts w:hint="eastAsia" w:ascii="宋体" w:hAnsi="宋体"/>
                      <w:bCs/>
                    </w:rPr>
                    <w:t>3、提出应对重点与难点的应对措施和相关合理化建议等；</w:t>
                  </w:r>
                </w:p>
                <w:p w14:paraId="7074E84C">
                  <w:pPr>
                    <w:wordWrap w:val="0"/>
                    <w:spacing w:line="360" w:lineRule="auto"/>
                    <w:rPr>
                      <w:rFonts w:hint="eastAsia" w:ascii="宋体" w:hAnsi="宋体" w:eastAsia="宋体" w:cs="宋体"/>
                      <w:kern w:val="2"/>
                      <w:lang w:bidi="ar"/>
                    </w:rPr>
                  </w:pPr>
                  <w:r>
                    <w:rPr>
                      <w:rFonts w:hint="eastAsia" w:ascii="宋体" w:hAnsi="宋体" w:eastAsia="宋体" w:cs="宋体"/>
                    </w:rPr>
                    <w:t>专家根据以上三个方面对投标人所提供的响应文件进行打分。</w:t>
                  </w:r>
                </w:p>
                <w:p w14:paraId="5000B04F">
                  <w:pPr>
                    <w:wordWrap w:val="0"/>
                    <w:spacing w:line="360" w:lineRule="auto"/>
                    <w:rPr>
                      <w:rFonts w:hint="eastAsia" w:ascii="宋体" w:hAnsi="宋体" w:eastAsia="宋体" w:cs="宋体"/>
                      <w:b/>
                    </w:rPr>
                  </w:pPr>
                  <w:r>
                    <w:rPr>
                      <w:rFonts w:hint="eastAsia" w:ascii="宋体" w:hAnsi="宋体" w:eastAsia="宋体" w:cs="宋体"/>
                      <w:b/>
                    </w:rPr>
                    <w:t>评分标准：</w:t>
                  </w:r>
                </w:p>
                <w:p w14:paraId="4578948D">
                  <w:pPr>
                    <w:wordWrap w:val="0"/>
                    <w:spacing w:line="360" w:lineRule="auto"/>
                    <w:rPr>
                      <w:rFonts w:hint="eastAsia" w:ascii="宋体" w:hAnsi="宋体" w:eastAsia="宋体" w:cs="宋体"/>
                      <w:bCs/>
                    </w:rPr>
                  </w:pPr>
                  <w:r>
                    <w:rPr>
                      <w:rFonts w:hint="eastAsia" w:ascii="宋体" w:hAnsi="宋体" w:eastAsia="宋体" w:cs="宋体"/>
                      <w:bCs/>
                    </w:rPr>
                    <w:t>满足以上</w:t>
                  </w:r>
                  <w:r>
                    <w:rPr>
                      <w:rFonts w:hint="eastAsia" w:ascii="宋体" w:hAnsi="宋体" w:eastAsia="宋体" w:cs="宋体"/>
                    </w:rPr>
                    <w:t>三</w:t>
                  </w:r>
                  <w:r>
                    <w:rPr>
                      <w:rFonts w:hint="eastAsia" w:ascii="宋体" w:hAnsi="宋体" w:eastAsia="宋体" w:cs="宋体"/>
                      <w:bCs/>
                    </w:rPr>
                    <w:t>个方面得90分；满足以上两个方面得60分；满足以上一个方面得30分，其他情况不得分。</w:t>
                  </w:r>
                </w:p>
                <w:p w14:paraId="3DE7B47F">
                  <w:pPr>
                    <w:wordWrap w:val="0"/>
                    <w:adjustRightInd w:val="0"/>
                    <w:snapToGrid w:val="0"/>
                    <w:spacing w:line="360" w:lineRule="auto"/>
                    <w:rPr>
                      <w:rFonts w:hint="eastAsia" w:ascii="宋体" w:hAnsi="宋体" w:eastAsia="宋体" w:cs="宋体"/>
                      <w:bCs/>
                    </w:rPr>
                  </w:pPr>
                  <w:r>
                    <w:rPr>
                      <w:rFonts w:hint="eastAsia" w:ascii="宋体" w:hAnsi="宋体" w:eastAsia="宋体" w:cs="宋体"/>
                      <w:bCs/>
                      <w:lang w:bidi="ar"/>
                    </w:rPr>
                    <w:t>在此基础上</w:t>
                  </w:r>
                  <w:r>
                    <w:rPr>
                      <w:rFonts w:hint="eastAsia" w:ascii="宋体" w:hAnsi="宋体" w:eastAsia="宋体" w:cs="宋体"/>
                      <w:bCs/>
                    </w:rPr>
                    <w:t>，专家根据各供应商的具体响应内容评审：</w:t>
                  </w:r>
                  <w:r>
                    <w:rPr>
                      <w:rFonts w:hint="eastAsia" w:ascii="宋体" w:hAnsi="宋体" w:eastAsia="宋体" w:cs="宋体"/>
                      <w:bCs/>
                    </w:rPr>
                    <w:br w:type="textWrapping"/>
                  </w:r>
                  <w:r>
                    <w:rPr>
                      <w:rFonts w:hint="eastAsia" w:ascii="宋体" w:hAnsi="宋体" w:eastAsia="宋体" w:cs="宋体"/>
                      <w:bCs/>
                    </w:rPr>
                    <w:t>评价为优得10分;评价为良得5分;评价为中得2分;评价为差不得分，专家需书面说明理由。</w:t>
                  </w:r>
                </w:p>
                <w:p w14:paraId="7D044CB7">
                  <w:pPr>
                    <w:wordWrap w:val="0"/>
                    <w:adjustRightInd w:val="0"/>
                    <w:snapToGrid w:val="0"/>
                    <w:spacing w:line="360" w:lineRule="auto"/>
                    <w:rPr>
                      <w:rFonts w:ascii="宋体" w:hAnsi="宋体" w:cs="宋体"/>
                    </w:rPr>
                  </w:pPr>
                  <w:r>
                    <w:rPr>
                      <w:rFonts w:hint="eastAsia" w:ascii="宋体" w:hAnsi="宋体" w:cs="宋体"/>
                    </w:rPr>
                    <w:t>1、提出</w:t>
                  </w:r>
                  <w:r>
                    <w:rPr>
                      <w:rFonts w:hint="eastAsia" w:ascii="宋体" w:hAnsi="宋体"/>
                      <w:bCs/>
                    </w:rPr>
                    <w:t>本项目工作重点</w:t>
                  </w:r>
                  <w:r>
                    <w:rPr>
                      <w:rFonts w:hint="eastAsia" w:ascii="宋体" w:hAnsi="宋体" w:cs="宋体"/>
                    </w:rPr>
                    <w:t>至少包含背景理解、目标理解、工作重点理解等；</w:t>
                  </w:r>
                </w:p>
                <w:p w14:paraId="29000DDB">
                  <w:pPr>
                    <w:wordWrap w:val="0"/>
                    <w:adjustRightInd w:val="0"/>
                    <w:snapToGrid w:val="0"/>
                    <w:spacing w:line="360" w:lineRule="auto"/>
                    <w:rPr>
                      <w:rFonts w:ascii="宋体" w:hAnsi="宋体" w:cs="宋体"/>
                    </w:rPr>
                  </w:pPr>
                  <w:r>
                    <w:rPr>
                      <w:rFonts w:hint="eastAsia" w:ascii="宋体" w:hAnsi="宋体" w:cs="宋体"/>
                    </w:rPr>
                    <w:t>2、</w:t>
                  </w:r>
                  <w:r>
                    <w:rPr>
                      <w:rFonts w:hint="eastAsia" w:ascii="宋体" w:hAnsi="宋体"/>
                      <w:bCs/>
                    </w:rPr>
                    <w:t>提出本项目可能存在的难点问题分析</w:t>
                  </w:r>
                  <w:r>
                    <w:rPr>
                      <w:rFonts w:hint="eastAsia" w:ascii="宋体" w:hAnsi="宋体" w:cs="宋体"/>
                    </w:rPr>
                    <w:t>至少包含工作难点问题理解</w:t>
                  </w:r>
                  <w:r>
                    <w:rPr>
                      <w:rFonts w:hint="eastAsia" w:ascii="宋体" w:hAnsi="宋体" w:eastAsia="宋体" w:cs="宋体"/>
                    </w:rPr>
                    <w:t>说明</w:t>
                  </w:r>
                  <w:r>
                    <w:rPr>
                      <w:rFonts w:hint="eastAsia" w:ascii="宋体" w:hAnsi="宋体" w:cs="宋体"/>
                    </w:rPr>
                    <w:t>、工作难点问题分析</w:t>
                  </w:r>
                  <w:r>
                    <w:rPr>
                      <w:rFonts w:hint="eastAsia" w:ascii="宋体" w:hAnsi="宋体" w:eastAsia="宋体" w:cs="宋体"/>
                    </w:rPr>
                    <w:t>说明</w:t>
                  </w:r>
                  <w:r>
                    <w:rPr>
                      <w:rFonts w:hint="eastAsia" w:ascii="宋体" w:hAnsi="宋体" w:cs="宋体"/>
                    </w:rPr>
                    <w:t>等；</w:t>
                  </w:r>
                </w:p>
                <w:p w14:paraId="02204A54">
                  <w:pPr>
                    <w:numPr>
                      <w:ilvl w:val="255"/>
                      <w:numId w:val="0"/>
                    </w:numPr>
                    <w:wordWrap w:val="0"/>
                    <w:spacing w:line="360" w:lineRule="auto"/>
                    <w:rPr>
                      <w:rFonts w:hint="eastAsia" w:ascii="宋体" w:hAnsi="宋体" w:eastAsia="宋体" w:cs="宋体"/>
                      <w:bCs/>
                    </w:rPr>
                  </w:pPr>
                  <w:r>
                    <w:rPr>
                      <w:rFonts w:hint="eastAsia" w:ascii="宋体" w:hAnsi="宋体" w:cs="宋体"/>
                    </w:rPr>
                    <w:t>3、</w:t>
                  </w:r>
                  <w:r>
                    <w:rPr>
                      <w:rFonts w:hint="eastAsia" w:ascii="宋体" w:hAnsi="宋体"/>
                      <w:bCs/>
                    </w:rPr>
                    <w:t>提出应对重点与难点的应对措施和相关合理化建议</w:t>
                  </w:r>
                  <w:r>
                    <w:rPr>
                      <w:rFonts w:hint="eastAsia" w:ascii="宋体" w:hAnsi="宋体" w:cs="宋体"/>
                    </w:rPr>
                    <w:t>至少包含应对措施、合理化建议等；</w:t>
                  </w:r>
                </w:p>
                <w:p w14:paraId="2BD01BBC">
                  <w:pPr>
                    <w:wordWrap w:val="0"/>
                    <w:spacing w:line="360" w:lineRule="auto"/>
                    <w:rPr>
                      <w:rFonts w:hint="eastAsia" w:ascii="宋体" w:hAnsi="宋体" w:eastAsia="宋体" w:cs="宋体"/>
                    </w:rPr>
                  </w:pPr>
                  <w:r>
                    <w:rPr>
                      <w:rFonts w:hint="eastAsia" w:ascii="宋体" w:hAnsi="宋体" w:eastAsia="宋体" w:cs="宋体"/>
                    </w:rPr>
                    <w:t>优评分标准：方案符合上述3项，完全满足并优于采购需求的。</w:t>
                  </w:r>
                </w:p>
                <w:p w14:paraId="69C4BD02">
                  <w:pPr>
                    <w:wordWrap w:val="0"/>
                    <w:spacing w:line="360" w:lineRule="auto"/>
                    <w:rPr>
                      <w:rFonts w:hint="eastAsia" w:ascii="宋体" w:hAnsi="宋体" w:eastAsia="宋体" w:cs="宋体"/>
                    </w:rPr>
                  </w:pPr>
                  <w:r>
                    <w:rPr>
                      <w:rFonts w:hint="eastAsia" w:ascii="宋体" w:hAnsi="宋体" w:eastAsia="宋体" w:cs="宋体"/>
                    </w:rPr>
                    <w:t>良评分标准：方案符合上述任意2项要求，完全满足采购需求的。</w:t>
                  </w:r>
                </w:p>
                <w:p w14:paraId="3B93F208">
                  <w:pPr>
                    <w:wordWrap w:val="0"/>
                    <w:spacing w:line="360" w:lineRule="auto"/>
                    <w:rPr>
                      <w:rFonts w:hint="eastAsia" w:ascii="宋体" w:hAnsi="宋体" w:eastAsia="宋体" w:cs="宋体"/>
                    </w:rPr>
                  </w:pPr>
                  <w:r>
                    <w:rPr>
                      <w:rFonts w:hint="eastAsia" w:ascii="宋体" w:hAnsi="宋体" w:eastAsia="宋体" w:cs="宋体"/>
                    </w:rPr>
                    <w:t>中评分标准：方案符合上述任意1项要求，满足采购需求的。</w:t>
                  </w:r>
                </w:p>
                <w:p w14:paraId="35B903DC">
                  <w:pPr>
                    <w:wordWrap w:val="0"/>
                    <w:spacing w:line="360" w:lineRule="auto"/>
                    <w:rPr>
                      <w:rFonts w:hint="eastAsia" w:ascii="宋体" w:hAnsi="宋体" w:eastAsia="宋体" w:cs="宋体"/>
                      <w:kern w:val="2"/>
                    </w:rPr>
                  </w:pPr>
                  <w:r>
                    <w:rPr>
                      <w:rFonts w:hint="eastAsia" w:ascii="宋体" w:hAnsi="宋体" w:eastAsia="宋体" w:cs="宋体"/>
                    </w:rPr>
                    <w:t>差评分标准：方案不符合上述任一要求或不能满足采购需求的。</w:t>
                  </w:r>
                </w:p>
              </w:tc>
            </w:tr>
            <w:tr w14:paraId="6FDC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47DCAEB4">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782718D0">
                  <w:pPr>
                    <w:wordWrap w:val="0"/>
                    <w:spacing w:line="360" w:lineRule="auto"/>
                    <w:jc w:val="center"/>
                    <w:rPr>
                      <w:rFonts w:hint="eastAsia" w:ascii="宋体" w:hAnsi="宋体" w:eastAsia="宋体" w:cs="宋体"/>
                    </w:rPr>
                  </w:pPr>
                  <w:r>
                    <w:rPr>
                      <w:rFonts w:hint="eastAsia" w:ascii="宋体" w:hAnsi="宋体" w:eastAsia="宋体" w:cs="宋体"/>
                    </w:rPr>
                    <w:t>3</w:t>
                  </w:r>
                </w:p>
              </w:tc>
              <w:tc>
                <w:tcPr>
                  <w:tcW w:w="1198" w:type="dxa"/>
                  <w:tcBorders>
                    <w:top w:val="single" w:color="auto" w:sz="4" w:space="0"/>
                    <w:left w:val="single" w:color="auto" w:sz="4" w:space="0"/>
                    <w:bottom w:val="single" w:color="auto" w:sz="4" w:space="0"/>
                    <w:right w:val="single" w:color="auto" w:sz="4" w:space="0"/>
                  </w:tcBorders>
                  <w:vAlign w:val="center"/>
                </w:tcPr>
                <w:p w14:paraId="0EEFD336">
                  <w:pPr>
                    <w:wordWrap w:val="0"/>
                    <w:spacing w:line="360" w:lineRule="auto"/>
                    <w:jc w:val="center"/>
                    <w:rPr>
                      <w:rFonts w:hint="eastAsia" w:ascii="宋体" w:hAnsi="宋体" w:eastAsia="宋体" w:cs="宋体"/>
                      <w:kern w:val="2"/>
                    </w:rPr>
                  </w:pPr>
                  <w:r>
                    <w:rPr>
                      <w:rFonts w:hint="eastAsia" w:ascii="宋体" w:hAnsi="宋体" w:eastAsia="宋体" w:cs="宋体"/>
                      <w:kern w:val="2"/>
                    </w:rPr>
                    <w:t>质量（完成时间、安全、环保）保障措施及方案</w:t>
                  </w:r>
                </w:p>
              </w:tc>
              <w:tc>
                <w:tcPr>
                  <w:tcW w:w="750" w:type="dxa"/>
                  <w:tcBorders>
                    <w:top w:val="single" w:color="auto" w:sz="4" w:space="0"/>
                    <w:left w:val="single" w:color="auto" w:sz="4" w:space="0"/>
                    <w:bottom w:val="single" w:color="auto" w:sz="4" w:space="0"/>
                    <w:right w:val="single" w:color="auto" w:sz="4" w:space="0"/>
                  </w:tcBorders>
                  <w:vAlign w:val="center"/>
                </w:tcPr>
                <w:p w14:paraId="2186649C">
                  <w:pPr>
                    <w:wordWrap w:val="0"/>
                    <w:spacing w:line="360" w:lineRule="auto"/>
                    <w:jc w:val="center"/>
                    <w:rPr>
                      <w:rFonts w:hint="eastAsia" w:ascii="宋体" w:hAnsi="宋体" w:eastAsia="宋体" w:cs="宋体"/>
                    </w:rPr>
                  </w:pPr>
                  <w:r>
                    <w:rPr>
                      <w:rFonts w:hint="eastAsia" w:ascii="宋体" w:hAnsi="宋体" w:eastAsia="宋体" w:cs="宋体"/>
                    </w:rPr>
                    <w:t>6</w:t>
                  </w:r>
                </w:p>
              </w:tc>
              <w:tc>
                <w:tcPr>
                  <w:tcW w:w="5091" w:type="dxa"/>
                  <w:tcBorders>
                    <w:top w:val="single" w:color="auto" w:sz="4" w:space="0"/>
                    <w:left w:val="single" w:color="auto" w:sz="4" w:space="0"/>
                    <w:bottom w:val="single" w:color="auto" w:sz="4" w:space="0"/>
                    <w:right w:val="single" w:color="auto" w:sz="4" w:space="0"/>
                  </w:tcBorders>
                  <w:vAlign w:val="center"/>
                </w:tcPr>
                <w:p w14:paraId="3BCE6BAB">
                  <w:pPr>
                    <w:wordWrap w:val="0"/>
                    <w:spacing w:line="360" w:lineRule="auto"/>
                    <w:rPr>
                      <w:rFonts w:hint="eastAsia" w:asciiTheme="minorEastAsia" w:hAnsiTheme="minorEastAsia" w:eastAsiaTheme="minorEastAsia" w:cstheme="minorEastAsia"/>
                      <w:b/>
                      <w:bCs/>
                      <w:szCs w:val="20"/>
                    </w:rPr>
                  </w:pPr>
                  <w:r>
                    <w:rPr>
                      <w:rFonts w:hint="eastAsia" w:asciiTheme="minorEastAsia" w:hAnsiTheme="minorEastAsia" w:eastAsiaTheme="minorEastAsia" w:cstheme="minorEastAsia"/>
                      <w:b/>
                      <w:bCs/>
                      <w:szCs w:val="20"/>
                    </w:rPr>
                    <w:t>评审内容：</w:t>
                  </w:r>
                </w:p>
                <w:p w14:paraId="79056565">
                  <w:pPr>
                    <w:numPr>
                      <w:ilvl w:val="255"/>
                      <w:numId w:val="0"/>
                    </w:numPr>
                    <w:wordWrap w:val="0"/>
                    <w:spacing w:line="360" w:lineRule="auto"/>
                    <w:rPr>
                      <w:rFonts w:hint="eastAsia" w:ascii="宋体" w:hAnsi="宋体" w:eastAsia="宋体" w:cs="宋体"/>
                    </w:rPr>
                  </w:pPr>
                  <w:r>
                    <w:rPr>
                      <w:rFonts w:hint="eastAsia" w:ascii="宋体" w:hAnsi="宋体" w:eastAsia="宋体" w:cs="宋体"/>
                    </w:rPr>
                    <w:t>投标人制定符合本项目特点的质量（完成时间、安全、环保）保障措施及方案，内容包括但不限于：</w:t>
                  </w:r>
                </w:p>
                <w:p w14:paraId="5F0FD192">
                  <w:pPr>
                    <w:wordWrap w:val="0"/>
                    <w:spacing w:line="360" w:lineRule="auto"/>
                    <w:rPr>
                      <w:rFonts w:hint="eastAsia" w:ascii="宋体" w:hAnsi="宋体" w:eastAsia="宋体" w:cs="宋体"/>
                    </w:rPr>
                  </w:pPr>
                  <w:r>
                    <w:rPr>
                      <w:rFonts w:hint="eastAsia" w:ascii="宋体" w:hAnsi="宋体" w:eastAsia="宋体" w:cs="宋体"/>
                    </w:rPr>
                    <w:t>1.规章制度及档案管理；</w:t>
                  </w:r>
                </w:p>
                <w:p w14:paraId="7CE7ADDE">
                  <w:pPr>
                    <w:wordWrap w:val="0"/>
                    <w:spacing w:line="360" w:lineRule="auto"/>
                    <w:rPr>
                      <w:rFonts w:hint="eastAsia" w:ascii="宋体" w:hAnsi="宋体" w:eastAsia="宋体" w:cs="宋体"/>
                    </w:rPr>
                  </w:pPr>
                  <w:r>
                    <w:rPr>
                      <w:rFonts w:hint="eastAsia" w:ascii="宋体" w:hAnsi="宋体" w:eastAsia="宋体" w:cs="宋体"/>
                    </w:rPr>
                    <w:t>2.各项服务内容的保障措施；</w:t>
                  </w:r>
                </w:p>
                <w:p w14:paraId="5F062A10">
                  <w:pPr>
                    <w:wordWrap w:val="0"/>
                    <w:spacing w:line="360" w:lineRule="auto"/>
                    <w:rPr>
                      <w:rFonts w:hint="eastAsia" w:ascii="宋体" w:hAnsi="宋体" w:eastAsia="宋体" w:cs="宋体"/>
                    </w:rPr>
                  </w:pPr>
                  <w:r>
                    <w:rPr>
                      <w:rFonts w:hint="eastAsia" w:ascii="宋体" w:hAnsi="宋体" w:eastAsia="宋体" w:cs="宋体"/>
                    </w:rPr>
                    <w:t>3.突发事件应急预案。</w:t>
                  </w:r>
                </w:p>
                <w:p w14:paraId="0A8890F1">
                  <w:pPr>
                    <w:wordWrap w:val="0"/>
                    <w:spacing w:line="360" w:lineRule="auto"/>
                    <w:rPr>
                      <w:rFonts w:hint="eastAsia" w:ascii="宋体" w:hAnsi="宋体" w:eastAsia="宋体" w:cs="宋体"/>
                      <w:kern w:val="2"/>
                      <w:lang w:bidi="ar"/>
                    </w:rPr>
                  </w:pPr>
                  <w:r>
                    <w:rPr>
                      <w:rFonts w:hint="eastAsia" w:ascii="宋体" w:hAnsi="宋体" w:eastAsia="宋体" w:cs="宋体"/>
                    </w:rPr>
                    <w:t>专家根据以上三个方面对投标人所提供的响应文件进行打分。</w:t>
                  </w:r>
                </w:p>
                <w:p w14:paraId="342D1AF5">
                  <w:pPr>
                    <w:wordWrap w:val="0"/>
                    <w:spacing w:line="360" w:lineRule="auto"/>
                    <w:rPr>
                      <w:rFonts w:hint="eastAsia" w:ascii="宋体" w:hAnsi="宋体" w:eastAsia="宋体" w:cs="宋体"/>
                      <w:b/>
                    </w:rPr>
                  </w:pPr>
                  <w:r>
                    <w:rPr>
                      <w:rFonts w:hint="eastAsia" w:ascii="宋体" w:hAnsi="宋体" w:eastAsia="宋体" w:cs="宋体"/>
                      <w:b/>
                    </w:rPr>
                    <w:t>评分标准：</w:t>
                  </w:r>
                </w:p>
                <w:p w14:paraId="417005B1">
                  <w:pPr>
                    <w:wordWrap w:val="0"/>
                    <w:spacing w:line="360" w:lineRule="auto"/>
                    <w:rPr>
                      <w:rFonts w:hint="eastAsia" w:ascii="宋体" w:hAnsi="宋体" w:eastAsia="宋体" w:cs="宋体"/>
                      <w:bCs/>
                    </w:rPr>
                  </w:pPr>
                  <w:r>
                    <w:rPr>
                      <w:rFonts w:hint="eastAsia" w:ascii="宋体" w:hAnsi="宋体" w:eastAsia="宋体" w:cs="宋体"/>
                      <w:bCs/>
                    </w:rPr>
                    <w:t>满足以上三个方面得90分；满足以上两个方面得60分；满足以上一个方面得30分，其他情况不得分。</w:t>
                  </w:r>
                </w:p>
                <w:p w14:paraId="0197253B">
                  <w:pPr>
                    <w:wordWrap w:val="0"/>
                    <w:adjustRightInd w:val="0"/>
                    <w:snapToGrid w:val="0"/>
                    <w:spacing w:line="360" w:lineRule="auto"/>
                    <w:rPr>
                      <w:rFonts w:hint="eastAsia" w:ascii="宋体" w:hAnsi="宋体" w:eastAsia="宋体" w:cs="宋体"/>
                      <w:bCs/>
                    </w:rPr>
                  </w:pPr>
                  <w:r>
                    <w:rPr>
                      <w:rFonts w:hint="eastAsia" w:ascii="宋体" w:hAnsi="宋体" w:eastAsia="宋体" w:cs="宋体"/>
                      <w:bCs/>
                      <w:lang w:bidi="ar"/>
                    </w:rPr>
                    <w:t>在此基础上</w:t>
                  </w:r>
                  <w:r>
                    <w:rPr>
                      <w:rFonts w:hint="eastAsia" w:ascii="宋体" w:hAnsi="宋体" w:eastAsia="宋体" w:cs="宋体"/>
                      <w:bCs/>
                    </w:rPr>
                    <w:t>，专家根据各供应商的具体响应内容评审：</w:t>
                  </w:r>
                  <w:r>
                    <w:rPr>
                      <w:rFonts w:hint="eastAsia" w:ascii="宋体" w:hAnsi="宋体" w:eastAsia="宋体" w:cs="宋体"/>
                      <w:bCs/>
                    </w:rPr>
                    <w:br w:type="textWrapping"/>
                  </w:r>
                  <w:r>
                    <w:rPr>
                      <w:rFonts w:hint="eastAsia" w:ascii="宋体" w:hAnsi="宋体" w:eastAsia="宋体" w:cs="宋体"/>
                      <w:bCs/>
                    </w:rPr>
                    <w:t>评价为优得10分;评价为良得5分;评价为中得2分;评价为差不得分，专家需书面说明理由。</w:t>
                  </w:r>
                </w:p>
                <w:p w14:paraId="1E7BF851">
                  <w:pPr>
                    <w:wordWrap w:val="0"/>
                    <w:adjustRightInd w:val="0"/>
                    <w:snapToGrid w:val="0"/>
                    <w:spacing w:line="360" w:lineRule="auto"/>
                    <w:rPr>
                      <w:rFonts w:hint="eastAsia" w:ascii="宋体" w:hAnsi="宋体" w:eastAsia="宋体" w:cs="宋体"/>
                      <w:bCs/>
                    </w:rPr>
                  </w:pPr>
                  <w:r>
                    <w:rPr>
                      <w:rFonts w:hint="eastAsia" w:ascii="宋体" w:hAnsi="宋体" w:eastAsia="宋体" w:cs="宋体"/>
                      <w:bCs/>
                    </w:rPr>
                    <w:t>1、</w:t>
                  </w:r>
                  <w:r>
                    <w:rPr>
                      <w:rFonts w:hint="eastAsia" w:ascii="宋体" w:hAnsi="宋体" w:eastAsia="宋体" w:cs="宋体"/>
                    </w:rPr>
                    <w:t>规章制度及档案管理</w:t>
                  </w:r>
                  <w:r>
                    <w:rPr>
                      <w:rFonts w:hint="eastAsia" w:ascii="宋体" w:hAnsi="宋体" w:eastAsia="宋体" w:cs="宋体"/>
                      <w:bCs/>
                    </w:rPr>
                    <w:t>至少包含</w:t>
                  </w:r>
                  <w:r>
                    <w:rPr>
                      <w:rFonts w:hint="eastAsia" w:ascii="宋体" w:hAnsi="宋体" w:eastAsia="宋体" w:cs="宋体"/>
                    </w:rPr>
                    <w:t>各项服务规章制度</w:t>
                  </w:r>
                  <w:r>
                    <w:rPr>
                      <w:rFonts w:hint="eastAsia" w:ascii="宋体" w:hAnsi="宋体" w:eastAsia="宋体" w:cs="宋体"/>
                      <w:bCs/>
                    </w:rPr>
                    <w:t>、</w:t>
                  </w:r>
                  <w:r>
                    <w:rPr>
                      <w:rFonts w:hint="eastAsia" w:ascii="宋体" w:hAnsi="宋体" w:eastAsia="宋体" w:cs="宋体"/>
                    </w:rPr>
                    <w:t>档案管理</w:t>
                  </w:r>
                  <w:r>
                    <w:rPr>
                      <w:rFonts w:hint="eastAsia" w:ascii="宋体" w:hAnsi="宋体" w:eastAsia="宋体" w:cs="宋体"/>
                      <w:bCs/>
                    </w:rPr>
                    <w:t>方案等；</w:t>
                  </w:r>
                </w:p>
                <w:p w14:paraId="14F1F187">
                  <w:pPr>
                    <w:wordWrap w:val="0"/>
                    <w:adjustRightInd w:val="0"/>
                    <w:snapToGrid w:val="0"/>
                    <w:spacing w:line="360" w:lineRule="auto"/>
                    <w:rPr>
                      <w:rFonts w:hint="eastAsia" w:ascii="宋体" w:hAnsi="宋体" w:eastAsia="宋体" w:cs="宋体"/>
                      <w:bCs/>
                    </w:rPr>
                  </w:pPr>
                  <w:r>
                    <w:rPr>
                      <w:rFonts w:hint="eastAsia" w:ascii="宋体" w:hAnsi="宋体" w:eastAsia="宋体" w:cs="宋体"/>
                      <w:bCs/>
                    </w:rPr>
                    <w:t>2、</w:t>
                  </w:r>
                  <w:r>
                    <w:rPr>
                      <w:rFonts w:hint="eastAsia" w:ascii="宋体" w:hAnsi="宋体" w:eastAsia="宋体" w:cs="宋体"/>
                    </w:rPr>
                    <w:t>各项服务内容的保障措施</w:t>
                  </w:r>
                  <w:r>
                    <w:rPr>
                      <w:rFonts w:hint="eastAsia" w:ascii="宋体" w:hAnsi="宋体" w:eastAsia="宋体" w:cs="宋体"/>
                      <w:bCs/>
                    </w:rPr>
                    <w:t>至少包含</w:t>
                  </w:r>
                  <w:r>
                    <w:rPr>
                      <w:rFonts w:hint="eastAsia" w:ascii="宋体" w:hAnsi="宋体" w:eastAsia="宋体" w:cs="宋体"/>
                    </w:rPr>
                    <w:t>宿管服务保障措施、教务服务保障措施、会务服务保障措施、场馆服务保障措施、邮件收发保障措施、资产管理保障措施</w:t>
                  </w:r>
                  <w:r>
                    <w:rPr>
                      <w:rFonts w:hint="eastAsia" w:ascii="宋体" w:hAnsi="宋体" w:eastAsia="宋体" w:cs="宋体"/>
                      <w:bCs/>
                    </w:rPr>
                    <w:t>等；</w:t>
                  </w:r>
                </w:p>
                <w:p w14:paraId="20CB8C91">
                  <w:pPr>
                    <w:wordWrap w:val="0"/>
                    <w:adjustRightInd w:val="0"/>
                    <w:snapToGrid w:val="0"/>
                    <w:spacing w:line="360" w:lineRule="auto"/>
                    <w:rPr>
                      <w:rFonts w:hint="eastAsia" w:ascii="宋体" w:hAnsi="宋体" w:eastAsia="宋体" w:cs="宋体"/>
                      <w:bCs/>
                    </w:rPr>
                  </w:pPr>
                  <w:r>
                    <w:rPr>
                      <w:rFonts w:hint="eastAsia" w:ascii="宋体" w:hAnsi="宋体" w:eastAsia="宋体" w:cs="宋体"/>
                      <w:bCs/>
                    </w:rPr>
                    <w:t>3、</w:t>
                  </w:r>
                  <w:r>
                    <w:rPr>
                      <w:rFonts w:hint="eastAsia" w:ascii="宋体" w:hAnsi="宋体" w:eastAsia="宋体" w:cs="宋体"/>
                    </w:rPr>
                    <w:t>突发事件应急预案</w:t>
                  </w:r>
                  <w:r>
                    <w:rPr>
                      <w:rFonts w:hint="eastAsia" w:ascii="宋体" w:hAnsi="宋体" w:eastAsia="宋体" w:cs="宋体"/>
                      <w:bCs/>
                    </w:rPr>
                    <w:t>至少包含</w:t>
                  </w:r>
                  <w:r>
                    <w:rPr>
                      <w:rFonts w:hint="eastAsia" w:ascii="宋体" w:hAnsi="宋体" w:eastAsia="宋体" w:cs="宋体"/>
                    </w:rPr>
                    <w:t>宿管服务突发事件应急预案、教务服务突发事件应急预案、会务服务突发事件应急预案、场馆服务突发事件应急预案、邮件收发突发事件应急预案、资产管理突发事件应急预案</w:t>
                  </w:r>
                  <w:r>
                    <w:rPr>
                      <w:rFonts w:hint="eastAsia" w:ascii="宋体" w:hAnsi="宋体" w:eastAsia="宋体" w:cs="宋体"/>
                      <w:bCs/>
                    </w:rPr>
                    <w:t>等；</w:t>
                  </w:r>
                </w:p>
                <w:p w14:paraId="3BDC6191">
                  <w:pPr>
                    <w:wordWrap w:val="0"/>
                    <w:spacing w:line="360" w:lineRule="auto"/>
                    <w:rPr>
                      <w:rFonts w:hint="eastAsia" w:ascii="宋体" w:hAnsi="宋体" w:eastAsia="宋体" w:cs="宋体"/>
                    </w:rPr>
                  </w:pPr>
                  <w:r>
                    <w:rPr>
                      <w:rFonts w:hint="eastAsia" w:ascii="宋体" w:hAnsi="宋体" w:eastAsia="宋体" w:cs="宋体"/>
                    </w:rPr>
                    <w:t>优评分标准：方案符合上述3项，完全满足并优于采购需求的。</w:t>
                  </w:r>
                </w:p>
                <w:p w14:paraId="1097D36E">
                  <w:pPr>
                    <w:wordWrap w:val="0"/>
                    <w:spacing w:line="360" w:lineRule="auto"/>
                    <w:rPr>
                      <w:rFonts w:hint="eastAsia" w:ascii="宋体" w:hAnsi="宋体" w:eastAsia="宋体" w:cs="宋体"/>
                    </w:rPr>
                  </w:pPr>
                  <w:r>
                    <w:rPr>
                      <w:rFonts w:hint="eastAsia" w:ascii="宋体" w:hAnsi="宋体" w:eastAsia="宋体" w:cs="宋体"/>
                    </w:rPr>
                    <w:t>良评分标准：方案符合上述任意2项要求，完全满足采购需求的。</w:t>
                  </w:r>
                </w:p>
                <w:p w14:paraId="2B96D35E">
                  <w:pPr>
                    <w:wordWrap w:val="0"/>
                    <w:spacing w:line="360" w:lineRule="auto"/>
                    <w:rPr>
                      <w:rFonts w:hint="eastAsia" w:ascii="宋体" w:hAnsi="宋体" w:eastAsia="宋体" w:cs="宋体"/>
                    </w:rPr>
                  </w:pPr>
                  <w:r>
                    <w:rPr>
                      <w:rFonts w:hint="eastAsia" w:ascii="宋体" w:hAnsi="宋体" w:eastAsia="宋体" w:cs="宋体"/>
                    </w:rPr>
                    <w:t>中评分标准：方案符合上述任意1项要求，满足采购需求的。</w:t>
                  </w:r>
                </w:p>
                <w:p w14:paraId="54377DA9">
                  <w:pPr>
                    <w:pStyle w:val="2"/>
                    <w:tabs>
                      <w:tab w:val="left" w:pos="562"/>
                      <w:tab w:val="left" w:pos="3372"/>
                      <w:tab w:val="left" w:pos="3653"/>
                    </w:tabs>
                    <w:wordWrap w:val="0"/>
                    <w:rPr>
                      <w:rFonts w:hint="eastAsia" w:ascii="宋体" w:hAnsi="宋体" w:eastAsia="宋体" w:cs="宋体"/>
                    </w:rPr>
                  </w:pPr>
                  <w:r>
                    <w:rPr>
                      <w:rFonts w:hint="eastAsia" w:ascii="宋体" w:hAnsi="宋体" w:eastAsia="宋体" w:cs="宋体"/>
                      <w:b w:val="0"/>
                      <w:bCs w:val="0"/>
                    </w:rPr>
                    <w:t>差评分标准：方案不符合上述任一要求或不能满足采购需求的。</w:t>
                  </w:r>
                </w:p>
              </w:tc>
            </w:tr>
            <w:tr w14:paraId="44070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7EBE1379">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5CFDF214">
                  <w:pPr>
                    <w:wordWrap w:val="0"/>
                    <w:spacing w:line="360" w:lineRule="auto"/>
                    <w:jc w:val="center"/>
                    <w:rPr>
                      <w:rFonts w:hint="eastAsia" w:ascii="宋体" w:hAnsi="宋体" w:eastAsia="宋体" w:cs="宋体"/>
                    </w:rPr>
                  </w:pPr>
                  <w:r>
                    <w:rPr>
                      <w:rFonts w:hint="eastAsia" w:ascii="宋体" w:hAnsi="宋体" w:eastAsia="宋体" w:cs="宋体"/>
                    </w:rPr>
                    <w:t>4</w:t>
                  </w:r>
                </w:p>
              </w:tc>
              <w:tc>
                <w:tcPr>
                  <w:tcW w:w="1198" w:type="dxa"/>
                  <w:tcBorders>
                    <w:top w:val="single" w:color="auto" w:sz="4" w:space="0"/>
                    <w:left w:val="single" w:color="auto" w:sz="4" w:space="0"/>
                    <w:bottom w:val="single" w:color="auto" w:sz="4" w:space="0"/>
                    <w:right w:val="single" w:color="auto" w:sz="4" w:space="0"/>
                  </w:tcBorders>
                  <w:vAlign w:val="center"/>
                </w:tcPr>
                <w:p w14:paraId="153CE37A">
                  <w:pPr>
                    <w:wordWrap w:val="0"/>
                    <w:spacing w:line="360" w:lineRule="auto"/>
                    <w:jc w:val="center"/>
                    <w:rPr>
                      <w:rFonts w:hint="eastAsia" w:ascii="宋体" w:hAnsi="宋体" w:eastAsia="宋体" w:cs="宋体"/>
                      <w:kern w:val="2"/>
                    </w:rPr>
                  </w:pPr>
                  <w:r>
                    <w:rPr>
                      <w:rFonts w:hint="eastAsia" w:ascii="宋体" w:hAnsi="宋体" w:eastAsia="宋体" w:cs="宋体"/>
                      <w:bCs/>
                    </w:rPr>
                    <w:t>项目完成（服务期满）后的服务承诺</w:t>
                  </w:r>
                </w:p>
              </w:tc>
              <w:tc>
                <w:tcPr>
                  <w:tcW w:w="750" w:type="dxa"/>
                  <w:tcBorders>
                    <w:top w:val="single" w:color="auto" w:sz="4" w:space="0"/>
                    <w:left w:val="single" w:color="auto" w:sz="4" w:space="0"/>
                    <w:bottom w:val="single" w:color="auto" w:sz="4" w:space="0"/>
                    <w:right w:val="single" w:color="auto" w:sz="4" w:space="0"/>
                  </w:tcBorders>
                  <w:vAlign w:val="center"/>
                </w:tcPr>
                <w:p w14:paraId="5BEF7C9C">
                  <w:pPr>
                    <w:wordWrap w:val="0"/>
                    <w:spacing w:line="360" w:lineRule="auto"/>
                    <w:jc w:val="center"/>
                    <w:rPr>
                      <w:rFonts w:hint="eastAsia" w:ascii="宋体" w:hAnsi="宋体" w:eastAsia="宋体" w:cs="宋体"/>
                    </w:rPr>
                  </w:pPr>
                  <w:r>
                    <w:rPr>
                      <w:rFonts w:hint="eastAsia" w:ascii="宋体" w:hAnsi="宋体" w:eastAsia="宋体" w:cs="宋体"/>
                    </w:rPr>
                    <w:t>4</w:t>
                  </w:r>
                </w:p>
              </w:tc>
              <w:tc>
                <w:tcPr>
                  <w:tcW w:w="5091" w:type="dxa"/>
                  <w:tcBorders>
                    <w:top w:val="single" w:color="auto" w:sz="4" w:space="0"/>
                    <w:left w:val="single" w:color="auto" w:sz="4" w:space="0"/>
                    <w:bottom w:val="single" w:color="auto" w:sz="4" w:space="0"/>
                    <w:right w:val="single" w:color="auto" w:sz="4" w:space="0"/>
                  </w:tcBorders>
                  <w:vAlign w:val="center"/>
                </w:tcPr>
                <w:p w14:paraId="0D8C5CD8">
                  <w:pPr>
                    <w:wordWrap w:val="0"/>
                    <w:spacing w:line="360" w:lineRule="auto"/>
                    <w:rPr>
                      <w:rFonts w:hint="eastAsia" w:ascii="宋体" w:hAnsi="宋体" w:eastAsia="宋体" w:cs="宋体"/>
                    </w:rPr>
                  </w:pPr>
                  <w:r>
                    <w:rPr>
                      <w:rFonts w:hint="eastAsia" w:ascii="宋体" w:hAnsi="宋体" w:eastAsia="宋体" w:cs="宋体"/>
                      <w:b/>
                      <w:bCs/>
                    </w:rPr>
                    <w:t>评审内容：</w:t>
                  </w:r>
                  <w:r>
                    <w:rPr>
                      <w:rFonts w:hint="eastAsia" w:ascii="宋体" w:hAnsi="宋体" w:eastAsia="宋体" w:cs="宋体"/>
                    </w:rPr>
                    <w:t xml:space="preserve"> 投标人提供项目完成（服务期满）后的服务承诺函，包括但不限于：</w:t>
                  </w:r>
                </w:p>
                <w:p w14:paraId="5CD27AB9">
                  <w:pPr>
                    <w:pStyle w:val="76"/>
                    <w:wordWrap w:val="0"/>
                    <w:spacing w:line="360" w:lineRule="auto"/>
                    <w:ind w:firstLine="0" w:firstLineChars="0"/>
                    <w:rPr>
                      <w:rFonts w:hint="eastAsia" w:ascii="宋体" w:hAnsi="宋体" w:eastAsia="宋体" w:cs="宋体"/>
                    </w:rPr>
                  </w:pPr>
                  <w:r>
                    <w:rPr>
                      <w:rFonts w:hint="eastAsia" w:ascii="宋体" w:hAnsi="宋体" w:eastAsia="宋体" w:cs="宋体"/>
                    </w:rPr>
                    <w:t>1.服务期满后主动离岗；</w:t>
                  </w:r>
                </w:p>
                <w:p w14:paraId="11BAE426">
                  <w:pPr>
                    <w:pStyle w:val="76"/>
                    <w:wordWrap w:val="0"/>
                    <w:spacing w:line="360" w:lineRule="auto"/>
                    <w:ind w:firstLine="0" w:firstLineChars="0"/>
                    <w:rPr>
                      <w:rFonts w:hint="eastAsia" w:ascii="宋体" w:hAnsi="宋体" w:eastAsia="宋体" w:cs="宋体"/>
                    </w:rPr>
                  </w:pPr>
                  <w:r>
                    <w:rPr>
                      <w:rFonts w:hint="eastAsia" w:ascii="宋体" w:hAnsi="宋体" w:eastAsia="宋体" w:cs="宋体"/>
                    </w:rPr>
                    <w:t>2.与后续服务公司进行交接；</w:t>
                  </w:r>
                </w:p>
                <w:p w14:paraId="49CF5095">
                  <w:pPr>
                    <w:pStyle w:val="76"/>
                    <w:wordWrap w:val="0"/>
                    <w:spacing w:line="360" w:lineRule="auto"/>
                    <w:ind w:firstLine="0" w:firstLineChars="0"/>
                    <w:rPr>
                      <w:rFonts w:hint="eastAsia" w:ascii="宋体" w:hAnsi="宋体" w:eastAsia="宋体" w:cs="宋体"/>
                    </w:rPr>
                  </w:pPr>
                  <w:r>
                    <w:rPr>
                      <w:rFonts w:hint="eastAsia" w:ascii="宋体" w:hAnsi="宋体" w:eastAsia="宋体" w:cs="宋体"/>
                    </w:rPr>
                    <w:t>3.服务期满，后续服务公司未到位前仍按原合同服务承诺提供服务。</w:t>
                  </w:r>
                </w:p>
                <w:p w14:paraId="3153489C">
                  <w:pPr>
                    <w:pStyle w:val="76"/>
                    <w:wordWrap w:val="0"/>
                    <w:spacing w:line="360" w:lineRule="auto"/>
                    <w:ind w:firstLine="0" w:firstLineChars="0"/>
                    <w:rPr>
                      <w:rFonts w:hint="eastAsia" w:ascii="宋体" w:hAnsi="宋体" w:eastAsia="宋体" w:cs="宋体"/>
                    </w:rPr>
                  </w:pPr>
                  <w:r>
                    <w:rPr>
                      <w:rFonts w:hint="eastAsia" w:ascii="宋体" w:hAnsi="宋体" w:eastAsia="宋体" w:cs="宋体"/>
                    </w:rPr>
                    <w:t>4.违反上述承诺，视为违约，承担合同约定违约责任。</w:t>
                  </w:r>
                </w:p>
                <w:p w14:paraId="63155266">
                  <w:pPr>
                    <w:pStyle w:val="76"/>
                    <w:wordWrap w:val="0"/>
                    <w:spacing w:line="360" w:lineRule="auto"/>
                    <w:ind w:firstLine="0" w:firstLineChars="0"/>
                    <w:rPr>
                      <w:rFonts w:hint="eastAsia" w:ascii="宋体" w:hAnsi="宋体" w:eastAsia="宋体" w:cs="宋体"/>
                      <w:b/>
                    </w:rPr>
                  </w:pPr>
                  <w:r>
                    <w:rPr>
                      <w:rFonts w:hint="eastAsia" w:ascii="宋体" w:hAnsi="宋体" w:eastAsia="宋体" w:cs="宋体"/>
                      <w:b/>
                      <w:bCs/>
                    </w:rPr>
                    <w:t>评审标准：</w:t>
                  </w:r>
                  <w:r>
                    <w:rPr>
                      <w:rFonts w:hint="eastAsia" w:ascii="宋体" w:hAnsi="宋体" w:eastAsia="宋体" w:cs="宋体"/>
                    </w:rPr>
                    <w:t>提供承诺函（格式自定）得100分，未提供承诺或承诺函内容不满足要求不得分。</w:t>
                  </w:r>
                </w:p>
              </w:tc>
            </w:tr>
            <w:tr w14:paraId="4806D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5CF3AE3C">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0B702491">
                  <w:pPr>
                    <w:wordWrap w:val="0"/>
                    <w:spacing w:line="360" w:lineRule="auto"/>
                    <w:jc w:val="center"/>
                    <w:rPr>
                      <w:rFonts w:hint="eastAsia" w:ascii="宋体" w:hAnsi="宋体" w:eastAsia="宋体" w:cs="宋体"/>
                    </w:rPr>
                  </w:pPr>
                  <w:r>
                    <w:rPr>
                      <w:rFonts w:hint="eastAsia" w:ascii="宋体" w:hAnsi="宋体" w:eastAsia="宋体" w:cs="宋体"/>
                    </w:rPr>
                    <w:t>5</w:t>
                  </w:r>
                </w:p>
              </w:tc>
              <w:tc>
                <w:tcPr>
                  <w:tcW w:w="1198" w:type="dxa"/>
                  <w:tcBorders>
                    <w:top w:val="single" w:color="auto" w:sz="4" w:space="0"/>
                    <w:left w:val="single" w:color="auto" w:sz="4" w:space="0"/>
                    <w:bottom w:val="single" w:color="auto" w:sz="4" w:space="0"/>
                    <w:right w:val="single" w:color="auto" w:sz="4" w:space="0"/>
                  </w:tcBorders>
                  <w:vAlign w:val="center"/>
                </w:tcPr>
                <w:p w14:paraId="68379050">
                  <w:pPr>
                    <w:wordWrap w:val="0"/>
                    <w:spacing w:line="300" w:lineRule="auto"/>
                    <w:jc w:val="center"/>
                    <w:rPr>
                      <w:rFonts w:hint="eastAsia" w:ascii="宋体" w:hAnsi="宋体" w:eastAsia="宋体" w:cs="宋体"/>
                      <w:bCs/>
                    </w:rPr>
                  </w:pPr>
                  <w:r>
                    <w:rPr>
                      <w:rFonts w:hint="eastAsia" w:ascii="宋体" w:hAnsi="宋体" w:eastAsia="宋体" w:cs="宋体"/>
                    </w:rPr>
                    <w:t>违约承诺</w:t>
                  </w:r>
                </w:p>
              </w:tc>
              <w:tc>
                <w:tcPr>
                  <w:tcW w:w="750" w:type="dxa"/>
                  <w:tcBorders>
                    <w:top w:val="single" w:color="auto" w:sz="4" w:space="0"/>
                    <w:left w:val="single" w:color="auto" w:sz="4" w:space="0"/>
                    <w:bottom w:val="single" w:color="auto" w:sz="4" w:space="0"/>
                    <w:right w:val="single" w:color="auto" w:sz="4" w:space="0"/>
                  </w:tcBorders>
                  <w:vAlign w:val="center"/>
                </w:tcPr>
                <w:p w14:paraId="36A82B66">
                  <w:pPr>
                    <w:wordWrap w:val="0"/>
                    <w:spacing w:line="300" w:lineRule="auto"/>
                    <w:jc w:val="center"/>
                    <w:rPr>
                      <w:rFonts w:hint="eastAsia" w:ascii="宋体" w:hAnsi="宋体" w:eastAsia="宋体" w:cs="宋体"/>
                      <w:bCs/>
                    </w:rPr>
                  </w:pPr>
                  <w:r>
                    <w:rPr>
                      <w:rFonts w:hint="eastAsia" w:ascii="宋体" w:hAnsi="宋体" w:eastAsia="宋体" w:cs="宋体"/>
                    </w:rPr>
                    <w:t>4</w:t>
                  </w:r>
                </w:p>
              </w:tc>
              <w:tc>
                <w:tcPr>
                  <w:tcW w:w="5091" w:type="dxa"/>
                  <w:tcBorders>
                    <w:top w:val="single" w:color="auto" w:sz="4" w:space="0"/>
                    <w:left w:val="single" w:color="auto" w:sz="4" w:space="0"/>
                    <w:bottom w:val="single" w:color="auto" w:sz="4" w:space="0"/>
                    <w:right w:val="single" w:color="auto" w:sz="4" w:space="0"/>
                  </w:tcBorders>
                  <w:vAlign w:val="center"/>
                </w:tcPr>
                <w:p w14:paraId="6C95B5D4">
                  <w:pPr>
                    <w:wordWrap w:val="0"/>
                    <w:spacing w:line="360" w:lineRule="auto"/>
                    <w:jc w:val="both"/>
                    <w:rPr>
                      <w:rFonts w:hint="eastAsia" w:ascii="宋体" w:hAnsi="宋体" w:eastAsia="宋体" w:cs="宋体"/>
                      <w:b/>
                      <w:bCs/>
                      <w:szCs w:val="21"/>
                    </w:rPr>
                  </w:pPr>
                  <w:r>
                    <w:rPr>
                      <w:rFonts w:hint="eastAsia" w:ascii="宋体" w:hAnsi="宋体" w:eastAsia="宋体" w:cs="宋体"/>
                      <w:b/>
                      <w:bCs/>
                      <w:szCs w:val="21"/>
                    </w:rPr>
                    <w:t>评审内容：</w:t>
                  </w:r>
                  <w:r>
                    <w:rPr>
                      <w:rFonts w:hint="eastAsia" w:ascii="宋体" w:hAnsi="宋体" w:eastAsia="宋体" w:cs="宋体"/>
                    </w:rPr>
                    <w:t>投标人提供违约承诺函，包括但不限于：</w:t>
                  </w:r>
                </w:p>
                <w:p w14:paraId="466D74AF">
                  <w:pPr>
                    <w:wordWrap w:val="0"/>
                    <w:spacing w:line="360" w:lineRule="auto"/>
                    <w:jc w:val="both"/>
                    <w:rPr>
                      <w:rFonts w:hint="eastAsia" w:ascii="宋体" w:hAnsi="宋体" w:eastAsia="宋体" w:cs="宋体"/>
                      <w:color w:val="000000"/>
                      <w:szCs w:val="21"/>
                    </w:rPr>
                  </w:pPr>
                  <w:r>
                    <w:rPr>
                      <w:rFonts w:hint="eastAsia" w:ascii="宋体" w:hAnsi="宋体" w:eastAsia="宋体" w:cs="宋体"/>
                      <w:color w:val="000000"/>
                      <w:szCs w:val="21"/>
                    </w:rPr>
                    <w:t>1.人员及设备等严格按照招标文件及投标承诺配置；</w:t>
                  </w:r>
                </w:p>
                <w:p w14:paraId="7022425A">
                  <w:pPr>
                    <w:wordWrap w:val="0"/>
                    <w:spacing w:line="360" w:lineRule="auto"/>
                    <w:jc w:val="both"/>
                    <w:rPr>
                      <w:rFonts w:hint="eastAsia" w:ascii="宋体" w:hAnsi="宋体" w:eastAsia="宋体" w:cs="宋体"/>
                      <w:color w:val="000000"/>
                      <w:szCs w:val="21"/>
                    </w:rPr>
                  </w:pPr>
                  <w:r>
                    <w:rPr>
                      <w:rFonts w:hint="eastAsia" w:ascii="宋体" w:hAnsi="宋体" w:eastAsia="宋体" w:cs="宋体"/>
                      <w:color w:val="000000"/>
                      <w:szCs w:val="21"/>
                    </w:rPr>
                    <w:t>2.服务质量达到招标文件要求；</w:t>
                  </w:r>
                </w:p>
                <w:p w14:paraId="6D585C4C">
                  <w:pPr>
                    <w:wordWrap w:val="0"/>
                    <w:spacing w:line="360" w:lineRule="auto"/>
                    <w:jc w:val="both"/>
                    <w:rPr>
                      <w:rFonts w:hint="eastAsia" w:ascii="宋体" w:hAnsi="宋体" w:eastAsia="宋体" w:cs="宋体"/>
                      <w:szCs w:val="21"/>
                    </w:rPr>
                  </w:pPr>
                  <w:r>
                    <w:rPr>
                      <w:rFonts w:hint="eastAsia" w:ascii="宋体" w:hAnsi="宋体" w:eastAsia="宋体" w:cs="宋体"/>
                      <w:color w:val="000000"/>
                      <w:szCs w:val="21"/>
                    </w:rPr>
                    <w:t>3.对未能达到的管理要求承担管理责任。</w:t>
                  </w:r>
                </w:p>
                <w:p w14:paraId="71D9B522">
                  <w:pPr>
                    <w:wordWrap w:val="0"/>
                    <w:spacing w:line="360" w:lineRule="auto"/>
                    <w:jc w:val="both"/>
                    <w:rPr>
                      <w:rFonts w:hint="eastAsia" w:ascii="宋体" w:hAnsi="宋体" w:eastAsia="宋体" w:cs="宋体"/>
                      <w:b/>
                    </w:rPr>
                  </w:pPr>
                  <w:r>
                    <w:rPr>
                      <w:rFonts w:hint="eastAsia" w:ascii="宋体" w:hAnsi="宋体" w:eastAsia="宋体" w:cs="宋体"/>
                      <w:b/>
                      <w:bCs/>
                      <w:szCs w:val="21"/>
                    </w:rPr>
                    <w:t>评分标准：</w:t>
                  </w:r>
                  <w:r>
                    <w:rPr>
                      <w:rFonts w:hint="eastAsia" w:ascii="宋体" w:hAnsi="宋体" w:eastAsia="宋体" w:cs="宋体"/>
                    </w:rPr>
                    <w:t>提供承诺函（格式自定）得100分，未提供承诺或承诺函内容不满足要求不得分</w:t>
                  </w:r>
                  <w:r>
                    <w:rPr>
                      <w:rFonts w:hint="eastAsia" w:ascii="宋体" w:hAnsi="宋体" w:eastAsia="宋体" w:cs="宋体"/>
                      <w:szCs w:val="21"/>
                    </w:rPr>
                    <w:t>。</w:t>
                  </w:r>
                </w:p>
              </w:tc>
            </w:tr>
            <w:tr w14:paraId="23A2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4A8CE60E">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1A628C3E">
                  <w:pPr>
                    <w:wordWrap w:val="0"/>
                    <w:spacing w:line="360" w:lineRule="auto"/>
                    <w:jc w:val="center"/>
                    <w:rPr>
                      <w:rFonts w:hint="eastAsia" w:ascii="宋体" w:hAnsi="宋体" w:eastAsia="宋体" w:cs="宋体"/>
                    </w:rPr>
                  </w:pPr>
                  <w:r>
                    <w:rPr>
                      <w:rFonts w:hint="eastAsia" w:ascii="宋体" w:hAnsi="宋体" w:eastAsia="宋体" w:cs="宋体"/>
                    </w:rPr>
                    <w:t>6</w:t>
                  </w:r>
                </w:p>
              </w:tc>
              <w:tc>
                <w:tcPr>
                  <w:tcW w:w="1198" w:type="dxa"/>
                  <w:tcBorders>
                    <w:top w:val="single" w:color="auto" w:sz="4" w:space="0"/>
                    <w:left w:val="single" w:color="auto" w:sz="4" w:space="0"/>
                    <w:bottom w:val="single" w:color="auto" w:sz="4" w:space="0"/>
                    <w:right w:val="single" w:color="auto" w:sz="4" w:space="0"/>
                  </w:tcBorders>
                  <w:vAlign w:val="center"/>
                </w:tcPr>
                <w:p w14:paraId="51AAE23E">
                  <w:pPr>
                    <w:wordWrap w:val="0"/>
                    <w:spacing w:line="360" w:lineRule="auto"/>
                    <w:jc w:val="center"/>
                    <w:rPr>
                      <w:rFonts w:ascii="宋体" w:hAnsi="宋体" w:cs="宋体"/>
                      <w:szCs w:val="21"/>
                    </w:rPr>
                  </w:pPr>
                  <w:r>
                    <w:rPr>
                      <w:rFonts w:hint="eastAsia" w:ascii="宋体" w:hAnsi="宋体" w:cs="宋体"/>
                      <w:szCs w:val="21"/>
                    </w:rPr>
                    <w:t>拟投入的服务资源（车辆、场地、工具、机器等）情况</w:t>
                  </w:r>
                </w:p>
              </w:tc>
              <w:tc>
                <w:tcPr>
                  <w:tcW w:w="750" w:type="dxa"/>
                  <w:tcBorders>
                    <w:top w:val="single" w:color="auto" w:sz="4" w:space="0"/>
                    <w:left w:val="single" w:color="auto" w:sz="4" w:space="0"/>
                    <w:bottom w:val="single" w:color="auto" w:sz="4" w:space="0"/>
                    <w:right w:val="single" w:color="auto" w:sz="4" w:space="0"/>
                  </w:tcBorders>
                  <w:vAlign w:val="center"/>
                </w:tcPr>
                <w:p w14:paraId="23B63573">
                  <w:pPr>
                    <w:wordWrap w:val="0"/>
                    <w:spacing w:line="360" w:lineRule="auto"/>
                    <w:jc w:val="center"/>
                    <w:rPr>
                      <w:rFonts w:ascii="宋体" w:hAnsi="宋体" w:cs="宋体"/>
                      <w:szCs w:val="21"/>
                    </w:rPr>
                  </w:pPr>
                  <w:r>
                    <w:rPr>
                      <w:rFonts w:hint="eastAsia" w:ascii="宋体" w:hAnsi="宋体" w:cs="宋体"/>
                      <w:szCs w:val="21"/>
                    </w:rPr>
                    <w:t>3</w:t>
                  </w:r>
                </w:p>
              </w:tc>
              <w:tc>
                <w:tcPr>
                  <w:tcW w:w="5091" w:type="dxa"/>
                  <w:tcBorders>
                    <w:top w:val="single" w:color="auto" w:sz="4" w:space="0"/>
                    <w:left w:val="single" w:color="auto" w:sz="4" w:space="0"/>
                    <w:bottom w:val="single" w:color="auto" w:sz="4" w:space="0"/>
                    <w:right w:val="single" w:color="auto" w:sz="4" w:space="0"/>
                  </w:tcBorders>
                  <w:vAlign w:val="center"/>
                </w:tcPr>
                <w:p w14:paraId="202D36D9">
                  <w:pPr>
                    <w:wordWrap w:val="0"/>
                    <w:spacing w:line="360" w:lineRule="auto"/>
                    <w:jc w:val="both"/>
                    <w:rPr>
                      <w:rFonts w:hint="eastAsia" w:ascii="宋体" w:hAnsi="宋体" w:eastAsia="宋体" w:cs="宋体"/>
                      <w:color w:val="000000"/>
                      <w:szCs w:val="21"/>
                    </w:rPr>
                  </w:pPr>
                  <w:r>
                    <w:rPr>
                      <w:rFonts w:hint="eastAsia" w:ascii="宋体" w:hAnsi="宋体" w:eastAsia="宋体" w:cs="宋体"/>
                      <w:b/>
                      <w:bCs/>
                      <w:szCs w:val="21"/>
                    </w:rPr>
                    <w:t>评审内</w:t>
                  </w:r>
                  <w:r>
                    <w:rPr>
                      <w:rFonts w:hint="eastAsia" w:ascii="宋体" w:hAnsi="宋体" w:eastAsia="宋体" w:cs="宋体"/>
                      <w:b/>
                      <w:bCs/>
                      <w:color w:val="000000"/>
                      <w:szCs w:val="21"/>
                    </w:rPr>
                    <w:t>容</w:t>
                  </w:r>
                  <w:r>
                    <w:rPr>
                      <w:rFonts w:hint="eastAsia" w:ascii="宋体" w:hAnsi="宋体" w:eastAsia="宋体" w:cs="宋体"/>
                      <w:b/>
                      <w:bCs/>
                      <w:szCs w:val="21"/>
                    </w:rPr>
                    <w:t>：</w:t>
                  </w:r>
                  <w:r>
                    <w:rPr>
                      <w:rFonts w:hint="eastAsia" w:ascii="宋体" w:hAnsi="宋体" w:eastAsia="宋体" w:cs="宋体"/>
                      <w:color w:val="000000"/>
                      <w:szCs w:val="21"/>
                    </w:rPr>
                    <w:t>投标人承诺中标后，提供能满足招标人日常管理所需要设备（地面清扫、工程维修、清洁等机器设备），且使用的设备须在签订合同后15个日历日内全部进场，提供承诺得100分。</w:t>
                  </w:r>
                </w:p>
                <w:p w14:paraId="019DF3E9">
                  <w:pPr>
                    <w:wordWrap w:val="0"/>
                    <w:spacing w:line="360" w:lineRule="auto"/>
                    <w:rPr>
                      <w:rFonts w:ascii="宋体" w:hAnsi="宋体" w:cs="宋体"/>
                      <w:szCs w:val="21"/>
                    </w:rPr>
                  </w:pPr>
                  <w:r>
                    <w:rPr>
                      <w:rFonts w:hint="eastAsia" w:ascii="宋体" w:hAnsi="宋体" w:eastAsia="宋体" w:cs="宋体"/>
                      <w:color w:val="000000"/>
                      <w:szCs w:val="21"/>
                    </w:rPr>
                    <w:t>评分标准：要求投标人提供承诺（格式自定）作为得分依据。未提供承诺或承诺内容不满足要求均不得分。</w:t>
                  </w:r>
                </w:p>
              </w:tc>
            </w:tr>
            <w:tr w14:paraId="53928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tcBorders>
                    <w:top w:val="single" w:color="auto" w:sz="4" w:space="0"/>
                    <w:left w:val="single" w:color="auto" w:sz="4" w:space="0"/>
                    <w:bottom w:val="single" w:color="auto" w:sz="4" w:space="0"/>
                    <w:right w:val="single" w:color="auto" w:sz="4" w:space="0"/>
                  </w:tcBorders>
                  <w:vAlign w:val="center"/>
                </w:tcPr>
                <w:p w14:paraId="389086B7">
                  <w:pPr>
                    <w:wordWrap w:val="0"/>
                    <w:spacing w:line="360" w:lineRule="auto"/>
                    <w:jc w:val="center"/>
                    <w:rPr>
                      <w:rFonts w:hint="eastAsia" w:ascii="宋体" w:hAnsi="宋体" w:eastAsia="宋体" w:cs="宋体"/>
                    </w:rPr>
                  </w:pPr>
                  <w:r>
                    <w:rPr>
                      <w:rFonts w:hint="eastAsia" w:ascii="宋体" w:hAnsi="宋体" w:eastAsia="宋体" w:cs="宋体"/>
                    </w:rPr>
                    <w:t>3</w:t>
                  </w:r>
                </w:p>
              </w:tc>
              <w:tc>
                <w:tcPr>
                  <w:tcW w:w="2356" w:type="dxa"/>
                  <w:gridSpan w:val="3"/>
                  <w:tcBorders>
                    <w:top w:val="single" w:color="auto" w:sz="4" w:space="0"/>
                    <w:left w:val="single" w:color="auto" w:sz="4" w:space="0"/>
                    <w:bottom w:val="single" w:color="auto" w:sz="4" w:space="0"/>
                    <w:right w:val="single" w:color="auto" w:sz="4" w:space="0"/>
                  </w:tcBorders>
                  <w:vAlign w:val="center"/>
                </w:tcPr>
                <w:p w14:paraId="1B8CEEBD">
                  <w:pPr>
                    <w:wordWrap w:val="0"/>
                    <w:spacing w:line="360" w:lineRule="auto"/>
                    <w:jc w:val="center"/>
                    <w:rPr>
                      <w:rFonts w:hint="eastAsia" w:ascii="宋体" w:hAnsi="宋体" w:eastAsia="宋体" w:cs="宋体"/>
                    </w:rPr>
                  </w:pPr>
                  <w:r>
                    <w:rPr>
                      <w:rFonts w:hint="eastAsia" w:ascii="宋体" w:hAnsi="宋体" w:eastAsia="宋体" w:cs="宋体"/>
                    </w:rPr>
                    <w:t>商务</w:t>
                  </w:r>
                </w:p>
              </w:tc>
              <w:tc>
                <w:tcPr>
                  <w:tcW w:w="5091" w:type="dxa"/>
                  <w:tcBorders>
                    <w:top w:val="single" w:color="auto" w:sz="4" w:space="0"/>
                    <w:left w:val="single" w:color="auto" w:sz="4" w:space="0"/>
                    <w:bottom w:val="single" w:color="auto" w:sz="4" w:space="0"/>
                    <w:right w:val="single" w:color="auto" w:sz="4" w:space="0"/>
                  </w:tcBorders>
                  <w:vAlign w:val="center"/>
                </w:tcPr>
                <w:p w14:paraId="08AF9923">
                  <w:pPr>
                    <w:wordWrap w:val="0"/>
                    <w:spacing w:line="360" w:lineRule="auto"/>
                    <w:jc w:val="center"/>
                    <w:rPr>
                      <w:rFonts w:hint="eastAsia" w:ascii="宋体" w:hAnsi="宋体" w:eastAsia="宋体" w:cs="宋体"/>
                    </w:rPr>
                  </w:pPr>
                  <w:r>
                    <w:rPr>
                      <w:rFonts w:hint="eastAsia" w:ascii="宋体" w:hAnsi="宋体" w:eastAsia="宋体" w:cs="宋体"/>
                    </w:rPr>
                    <w:t>61</w:t>
                  </w:r>
                </w:p>
              </w:tc>
            </w:tr>
            <w:tr w14:paraId="5CD69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restart"/>
                  <w:tcBorders>
                    <w:top w:val="single" w:color="auto" w:sz="4" w:space="0"/>
                    <w:left w:val="single" w:color="auto" w:sz="4" w:space="0"/>
                    <w:right w:val="single" w:color="auto" w:sz="4" w:space="0"/>
                  </w:tcBorders>
                  <w:vAlign w:val="center"/>
                </w:tcPr>
                <w:p w14:paraId="37D1EF0B">
                  <w:pPr>
                    <w:wordWrap w:val="0"/>
                    <w:spacing w:line="360" w:lineRule="auto"/>
                    <w:jc w:val="center"/>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0BCC3EC2">
                  <w:pPr>
                    <w:wordWrap w:val="0"/>
                    <w:spacing w:line="360" w:lineRule="auto"/>
                    <w:jc w:val="center"/>
                    <w:rPr>
                      <w:rFonts w:hint="eastAsia" w:ascii="宋体" w:hAnsi="宋体" w:eastAsia="宋体" w:cs="宋体"/>
                    </w:rPr>
                  </w:pPr>
                  <w:r>
                    <w:rPr>
                      <w:rFonts w:hint="eastAsia" w:ascii="宋体" w:hAnsi="宋体" w:eastAsia="宋体" w:cs="宋体"/>
                    </w:rPr>
                    <w:t>行号</w:t>
                  </w:r>
                </w:p>
              </w:tc>
              <w:tc>
                <w:tcPr>
                  <w:tcW w:w="1198" w:type="dxa"/>
                  <w:tcBorders>
                    <w:top w:val="single" w:color="auto" w:sz="4" w:space="0"/>
                    <w:left w:val="single" w:color="auto" w:sz="4" w:space="0"/>
                    <w:bottom w:val="single" w:color="auto" w:sz="4" w:space="0"/>
                    <w:right w:val="single" w:color="auto" w:sz="4" w:space="0"/>
                  </w:tcBorders>
                  <w:vAlign w:val="center"/>
                </w:tcPr>
                <w:p w14:paraId="35905013">
                  <w:pPr>
                    <w:wordWrap w:val="0"/>
                    <w:spacing w:line="360" w:lineRule="auto"/>
                    <w:jc w:val="center"/>
                    <w:rPr>
                      <w:rFonts w:hint="eastAsia" w:ascii="宋体" w:hAnsi="宋体" w:eastAsia="宋体" w:cs="宋体"/>
                    </w:rPr>
                  </w:pPr>
                  <w:r>
                    <w:rPr>
                      <w:rFonts w:hint="eastAsia" w:ascii="宋体" w:hAnsi="宋体" w:eastAsia="宋体" w:cs="宋体"/>
                    </w:rPr>
                    <w:t>内容</w:t>
                  </w:r>
                </w:p>
              </w:tc>
              <w:tc>
                <w:tcPr>
                  <w:tcW w:w="750" w:type="dxa"/>
                  <w:tcBorders>
                    <w:top w:val="single" w:color="auto" w:sz="4" w:space="0"/>
                    <w:left w:val="single" w:color="auto" w:sz="4" w:space="0"/>
                    <w:bottom w:val="single" w:color="auto" w:sz="4" w:space="0"/>
                    <w:right w:val="single" w:color="auto" w:sz="4" w:space="0"/>
                  </w:tcBorders>
                  <w:vAlign w:val="center"/>
                </w:tcPr>
                <w:p w14:paraId="7C5CBA32">
                  <w:pPr>
                    <w:wordWrap w:val="0"/>
                    <w:spacing w:line="360" w:lineRule="auto"/>
                    <w:jc w:val="center"/>
                    <w:rPr>
                      <w:rFonts w:hint="eastAsia" w:ascii="宋体" w:hAnsi="宋体" w:eastAsia="宋体" w:cs="宋体"/>
                    </w:rPr>
                  </w:pPr>
                  <w:r>
                    <w:rPr>
                      <w:rFonts w:hint="eastAsia" w:ascii="宋体" w:hAnsi="宋体" w:eastAsia="宋体" w:cs="宋体"/>
                    </w:rPr>
                    <w:t>权重</w:t>
                  </w:r>
                </w:p>
              </w:tc>
              <w:tc>
                <w:tcPr>
                  <w:tcW w:w="5091" w:type="dxa"/>
                  <w:tcBorders>
                    <w:top w:val="single" w:color="auto" w:sz="4" w:space="0"/>
                    <w:left w:val="single" w:color="auto" w:sz="4" w:space="0"/>
                    <w:bottom w:val="single" w:color="auto" w:sz="4" w:space="0"/>
                    <w:right w:val="single" w:color="auto" w:sz="4" w:space="0"/>
                  </w:tcBorders>
                  <w:vAlign w:val="center"/>
                </w:tcPr>
                <w:p w14:paraId="0C601371">
                  <w:pPr>
                    <w:wordWrap w:val="0"/>
                    <w:spacing w:line="360" w:lineRule="auto"/>
                    <w:jc w:val="center"/>
                    <w:rPr>
                      <w:rFonts w:hint="eastAsia" w:ascii="宋体" w:hAnsi="宋体" w:eastAsia="宋体" w:cs="宋体"/>
                    </w:rPr>
                  </w:pPr>
                  <w:r>
                    <w:rPr>
                      <w:rFonts w:hint="eastAsia" w:ascii="宋体" w:hAnsi="宋体" w:eastAsia="宋体" w:cs="宋体"/>
                    </w:rPr>
                    <w:t>评分准则</w:t>
                  </w:r>
                </w:p>
              </w:tc>
            </w:tr>
            <w:tr w14:paraId="6D6DA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2EBFC232">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0D89D5C1">
                  <w:pPr>
                    <w:wordWrap w:val="0"/>
                    <w:spacing w:line="360" w:lineRule="auto"/>
                    <w:jc w:val="center"/>
                    <w:rPr>
                      <w:rFonts w:hint="eastAsia" w:ascii="宋体" w:hAnsi="宋体" w:eastAsia="宋体" w:cs="宋体"/>
                    </w:rPr>
                  </w:pPr>
                  <w:r>
                    <w:rPr>
                      <w:rFonts w:hint="eastAsia" w:ascii="宋体" w:hAnsi="宋体" w:eastAsia="宋体" w:cs="宋体"/>
                    </w:rPr>
                    <w:t>1</w:t>
                  </w:r>
                </w:p>
              </w:tc>
              <w:tc>
                <w:tcPr>
                  <w:tcW w:w="1198" w:type="dxa"/>
                  <w:tcBorders>
                    <w:top w:val="single" w:color="auto" w:sz="4" w:space="0"/>
                    <w:left w:val="single" w:color="auto" w:sz="4" w:space="0"/>
                    <w:bottom w:val="single" w:color="auto" w:sz="4" w:space="0"/>
                    <w:right w:val="single" w:color="auto" w:sz="4" w:space="0"/>
                  </w:tcBorders>
                  <w:vAlign w:val="center"/>
                </w:tcPr>
                <w:p w14:paraId="7BD9FB91">
                  <w:pPr>
                    <w:wordWrap w:val="0"/>
                    <w:spacing w:line="360" w:lineRule="auto"/>
                    <w:jc w:val="center"/>
                    <w:rPr>
                      <w:rFonts w:hint="eastAsia" w:ascii="宋体" w:hAnsi="宋体" w:eastAsia="宋体" w:cs="宋体"/>
                      <w:bCs/>
                    </w:rPr>
                  </w:pPr>
                  <w:r>
                    <w:rPr>
                      <w:rFonts w:hint="eastAsia" w:ascii="宋体" w:hAnsi="宋体" w:eastAsia="宋体" w:cs="宋体"/>
                    </w:rPr>
                    <w:t>投标人通过相关认证情况</w:t>
                  </w:r>
                </w:p>
              </w:tc>
              <w:tc>
                <w:tcPr>
                  <w:tcW w:w="750" w:type="dxa"/>
                  <w:tcBorders>
                    <w:top w:val="single" w:color="auto" w:sz="4" w:space="0"/>
                    <w:left w:val="single" w:color="auto" w:sz="4" w:space="0"/>
                    <w:bottom w:val="single" w:color="auto" w:sz="4" w:space="0"/>
                    <w:right w:val="single" w:color="auto" w:sz="4" w:space="0"/>
                  </w:tcBorders>
                  <w:vAlign w:val="center"/>
                </w:tcPr>
                <w:p w14:paraId="7494DB30">
                  <w:pPr>
                    <w:wordWrap w:val="0"/>
                    <w:spacing w:line="360" w:lineRule="auto"/>
                    <w:jc w:val="center"/>
                    <w:rPr>
                      <w:rFonts w:hint="eastAsia" w:ascii="宋体" w:hAnsi="宋体" w:eastAsia="宋体" w:cs="宋体"/>
                    </w:rPr>
                  </w:pPr>
                  <w:r>
                    <w:rPr>
                      <w:rFonts w:hint="eastAsia" w:ascii="宋体" w:hAnsi="宋体" w:eastAsia="宋体" w:cs="宋体"/>
                      <w:lang w:bidi="ar"/>
                    </w:rPr>
                    <w:t>6</w:t>
                  </w:r>
                </w:p>
              </w:tc>
              <w:tc>
                <w:tcPr>
                  <w:tcW w:w="5091" w:type="dxa"/>
                  <w:tcBorders>
                    <w:top w:val="single" w:color="auto" w:sz="4" w:space="0"/>
                    <w:left w:val="single" w:color="auto" w:sz="4" w:space="0"/>
                    <w:bottom w:val="single" w:color="auto" w:sz="4" w:space="0"/>
                    <w:right w:val="single" w:color="auto" w:sz="4" w:space="0"/>
                  </w:tcBorders>
                  <w:vAlign w:val="center"/>
                </w:tcPr>
                <w:p w14:paraId="0DA9C7D6">
                  <w:pPr>
                    <w:wordWrap w:val="0"/>
                    <w:spacing w:line="360" w:lineRule="auto"/>
                    <w:rPr>
                      <w:rFonts w:hint="eastAsia" w:ascii="宋体" w:hAnsi="宋体" w:eastAsia="宋体" w:cs="宋体"/>
                      <w:b/>
                      <w:bCs/>
                    </w:rPr>
                  </w:pPr>
                  <w:bookmarkStart w:id="0" w:name="OLE_LINK3"/>
                  <w:r>
                    <w:rPr>
                      <w:rFonts w:hint="eastAsia" w:ascii="宋体" w:hAnsi="宋体" w:eastAsia="宋体" w:cs="宋体"/>
                      <w:b/>
                      <w:bCs/>
                    </w:rPr>
                    <w:t>评审内容：</w:t>
                  </w:r>
                </w:p>
                <w:bookmarkEnd w:id="0"/>
                <w:p w14:paraId="456418E9">
                  <w:pPr>
                    <w:wordWrap w:val="0"/>
                    <w:spacing w:line="360" w:lineRule="auto"/>
                    <w:jc w:val="both"/>
                    <w:rPr>
                      <w:rFonts w:hint="eastAsia" w:ascii="宋体" w:hAnsi="宋体" w:eastAsia="宋体" w:cs="宋体"/>
                      <w:lang w:bidi="ar"/>
                    </w:rPr>
                  </w:pPr>
                  <w:r>
                    <w:rPr>
                      <w:rFonts w:hint="eastAsia" w:ascii="宋体" w:hAnsi="宋体" w:eastAsia="宋体" w:cs="宋体"/>
                      <w:lang w:bidi="ar"/>
                    </w:rPr>
                    <w:t>投标人具备有效的质量管理体系、环境管理体系、职业健康安全管理体系证书，每提供一项得35分，此项最多得100分；</w:t>
                  </w:r>
                </w:p>
                <w:p w14:paraId="2C1C7704">
                  <w:pPr>
                    <w:wordWrap w:val="0"/>
                    <w:spacing w:line="360" w:lineRule="auto"/>
                    <w:jc w:val="both"/>
                    <w:rPr>
                      <w:rFonts w:hint="eastAsia" w:ascii="宋体" w:hAnsi="宋体" w:eastAsia="宋体" w:cs="宋体"/>
                      <w:lang w:bidi="ar"/>
                    </w:rPr>
                  </w:pPr>
                  <w:r>
                    <w:rPr>
                      <w:rFonts w:hint="eastAsia" w:ascii="宋体" w:hAnsi="宋体" w:eastAsia="宋体" w:cs="宋体"/>
                      <w:b/>
                      <w:bCs/>
                      <w:lang w:bidi="ar"/>
                    </w:rPr>
                    <w:t>证明材料</w:t>
                  </w:r>
                  <w:r>
                    <w:rPr>
                      <w:rFonts w:hint="eastAsia" w:ascii="宋体" w:hAnsi="宋体" w:eastAsia="宋体" w:cs="宋体"/>
                      <w:lang w:bidi="ar"/>
                    </w:rPr>
                    <w:t>：</w:t>
                  </w:r>
                </w:p>
                <w:p w14:paraId="5B0E9C28">
                  <w:pPr>
                    <w:wordWrap w:val="0"/>
                    <w:spacing w:line="360" w:lineRule="auto"/>
                    <w:jc w:val="both"/>
                    <w:rPr>
                      <w:rFonts w:hint="eastAsia" w:asciiTheme="minorEastAsia" w:hAnsiTheme="minorEastAsia" w:eastAsiaTheme="minorEastAsia" w:cstheme="minorEastAsia"/>
                      <w:color w:val="000000"/>
                    </w:rPr>
                  </w:pPr>
                  <w:r>
                    <w:rPr>
                      <w:rFonts w:hint="eastAsia" w:asciiTheme="minorEastAsia" w:hAnsiTheme="minorEastAsia" w:eastAsiaTheme="minorEastAsia" w:cstheme="minorEastAsia"/>
                      <w:color w:val="000000"/>
                    </w:rPr>
                    <w:t>1.投标人提供有效的认证证书扫描件或复印件及证书在全国认证认可信息公共服务平台（认e云）查询有效的截图（http://cx.cnca.cn）作为得分依据（截图应包含网址栏）。认证证书在公开渠道无法查询的，需提供颁发机构的证明材料，证明证书真实有效。</w:t>
                  </w:r>
                </w:p>
                <w:p w14:paraId="5A89A437">
                  <w:pPr>
                    <w:wordWrap w:val="0"/>
                    <w:spacing w:line="360" w:lineRule="auto"/>
                    <w:jc w:val="both"/>
                    <w:rPr>
                      <w:rFonts w:hint="eastAsia" w:ascii="宋体" w:hAnsi="宋体" w:eastAsia="宋体" w:cs="宋体"/>
                    </w:rPr>
                  </w:pPr>
                  <w:r>
                    <w:rPr>
                      <w:rFonts w:hint="eastAsia" w:asciiTheme="minorEastAsia" w:hAnsiTheme="minorEastAsia" w:eastAsiaTheme="minorEastAsia" w:cstheme="minorEastAsia"/>
                      <w:color w:val="000000"/>
                    </w:rPr>
                    <w:t>2.评分中出现无证明资料或专家无法凭所提供资料判断是否得分的情况，一律作不得分处理。</w:t>
                  </w:r>
                </w:p>
              </w:tc>
            </w:tr>
            <w:tr w14:paraId="70C96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234E69FF">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12452FC9">
                  <w:pPr>
                    <w:wordWrap w:val="0"/>
                    <w:spacing w:line="360" w:lineRule="auto"/>
                    <w:jc w:val="center"/>
                    <w:rPr>
                      <w:rFonts w:hint="eastAsia" w:ascii="宋体" w:hAnsi="宋体" w:eastAsia="宋体" w:cs="宋体"/>
                    </w:rPr>
                  </w:pPr>
                  <w:r>
                    <w:rPr>
                      <w:rFonts w:hint="eastAsia" w:ascii="宋体" w:hAnsi="宋体" w:eastAsia="宋体" w:cs="宋体"/>
                    </w:rPr>
                    <w:t>2</w:t>
                  </w:r>
                </w:p>
              </w:tc>
              <w:tc>
                <w:tcPr>
                  <w:tcW w:w="1198" w:type="dxa"/>
                  <w:tcBorders>
                    <w:top w:val="single" w:color="auto" w:sz="4" w:space="0"/>
                    <w:left w:val="single" w:color="auto" w:sz="4" w:space="0"/>
                    <w:bottom w:val="single" w:color="auto" w:sz="4" w:space="0"/>
                    <w:right w:val="single" w:color="auto" w:sz="4" w:space="0"/>
                  </w:tcBorders>
                  <w:vAlign w:val="center"/>
                </w:tcPr>
                <w:p w14:paraId="0346E4D3">
                  <w:pPr>
                    <w:wordWrap w:val="0"/>
                    <w:spacing w:line="360" w:lineRule="auto"/>
                    <w:jc w:val="center"/>
                    <w:rPr>
                      <w:rFonts w:hint="eastAsia" w:ascii="宋体" w:hAnsi="宋体" w:eastAsia="宋体" w:cs="宋体"/>
                      <w:bCs/>
                    </w:rPr>
                  </w:pPr>
                  <w:r>
                    <w:rPr>
                      <w:rFonts w:hint="eastAsia" w:ascii="宋体" w:hAnsi="宋体" w:eastAsia="宋体" w:cs="宋体"/>
                      <w:bCs/>
                    </w:rPr>
                    <w:t>投标人同类项目业绩情况</w:t>
                  </w:r>
                </w:p>
              </w:tc>
              <w:tc>
                <w:tcPr>
                  <w:tcW w:w="750" w:type="dxa"/>
                  <w:tcBorders>
                    <w:top w:val="single" w:color="auto" w:sz="4" w:space="0"/>
                    <w:left w:val="single" w:color="auto" w:sz="4" w:space="0"/>
                    <w:bottom w:val="single" w:color="auto" w:sz="4" w:space="0"/>
                    <w:right w:val="single" w:color="auto" w:sz="4" w:space="0"/>
                  </w:tcBorders>
                  <w:vAlign w:val="center"/>
                </w:tcPr>
                <w:p w14:paraId="51C52BF9">
                  <w:pPr>
                    <w:wordWrap w:val="0"/>
                    <w:spacing w:line="360" w:lineRule="auto"/>
                    <w:jc w:val="center"/>
                    <w:rPr>
                      <w:rFonts w:hint="eastAsia" w:ascii="宋体" w:hAnsi="宋体" w:eastAsia="宋体" w:cs="宋体"/>
                    </w:rPr>
                  </w:pPr>
                  <w:r>
                    <w:rPr>
                      <w:rFonts w:hint="eastAsia" w:ascii="宋体" w:hAnsi="宋体" w:eastAsia="宋体" w:cs="宋体"/>
                    </w:rPr>
                    <w:t>8</w:t>
                  </w:r>
                </w:p>
              </w:tc>
              <w:tc>
                <w:tcPr>
                  <w:tcW w:w="5091" w:type="dxa"/>
                  <w:tcBorders>
                    <w:top w:val="single" w:color="auto" w:sz="4" w:space="0"/>
                    <w:left w:val="single" w:color="auto" w:sz="4" w:space="0"/>
                    <w:bottom w:val="single" w:color="auto" w:sz="4" w:space="0"/>
                    <w:right w:val="single" w:color="auto" w:sz="4" w:space="0"/>
                  </w:tcBorders>
                  <w:vAlign w:val="center"/>
                </w:tcPr>
                <w:p w14:paraId="1434C794">
                  <w:pPr>
                    <w:widowControl w:val="0"/>
                    <w:wordWrap w:val="0"/>
                    <w:spacing w:line="360" w:lineRule="auto"/>
                    <w:rPr>
                      <w:rFonts w:hint="eastAsia" w:ascii="宋体" w:hAnsi="宋体" w:eastAsia="宋体" w:cs="宋体"/>
                      <w:b/>
                      <w:bCs/>
                    </w:rPr>
                  </w:pPr>
                  <w:r>
                    <w:rPr>
                      <w:rFonts w:hint="eastAsia" w:ascii="宋体" w:hAnsi="宋体" w:eastAsia="宋体" w:cs="宋体"/>
                      <w:b/>
                      <w:bCs/>
                    </w:rPr>
                    <w:t>评审标准：</w:t>
                  </w:r>
                </w:p>
                <w:p w14:paraId="47D93442">
                  <w:pPr>
                    <w:widowControl w:val="0"/>
                    <w:wordWrap w:val="0"/>
                    <w:spacing w:line="360" w:lineRule="auto"/>
                    <w:jc w:val="both"/>
                    <w:rPr>
                      <w:rFonts w:hint="eastAsia" w:asciiTheme="minorEastAsia" w:hAnsiTheme="minorEastAsia" w:eastAsiaTheme="minorEastAsia" w:cstheme="minorEastAsia"/>
                      <w:color w:val="000000"/>
                    </w:rPr>
                  </w:pPr>
                  <w:r>
                    <w:rPr>
                      <w:rFonts w:hint="eastAsia" w:ascii="宋体" w:hAnsi="宋体" w:eastAsia="宋体" w:cs="宋体"/>
                      <w:kern w:val="2"/>
                      <w:lang w:bidi="ar"/>
                    </w:rPr>
                    <w:t>投标人</w:t>
                  </w:r>
                  <w:r>
                    <w:rPr>
                      <w:rFonts w:hint="eastAsia" w:ascii="宋体" w:hAnsi="宋体" w:cs="宋体"/>
                      <w:szCs w:val="21"/>
                    </w:rPr>
                    <w:t>2023年1月1日</w:t>
                  </w:r>
                  <w:r>
                    <w:rPr>
                      <w:rFonts w:hint="eastAsia" w:ascii="宋体" w:hAnsi="宋体" w:eastAsia="宋体" w:cs="宋体"/>
                      <w:kern w:val="2"/>
                      <w:lang w:bidi="ar"/>
                    </w:rPr>
                    <w:t>至</w:t>
                  </w:r>
                  <w:r>
                    <w:rPr>
                      <w:rFonts w:hint="eastAsia" w:ascii="宋体" w:hAnsi="宋体" w:eastAsia="宋体" w:cs="宋体"/>
                      <w:bCs/>
                      <w:color w:val="000000"/>
                    </w:rPr>
                    <w:t>本</w:t>
                  </w:r>
                  <w:r>
                    <w:rPr>
                      <w:rFonts w:hint="eastAsia" w:asciiTheme="minorEastAsia" w:hAnsiTheme="minorEastAsia" w:eastAsiaTheme="minorEastAsia" w:cstheme="minorEastAsia"/>
                      <w:color w:val="000000"/>
                    </w:rPr>
                    <w:t>项目投标截止日为止（以项目合同签订时间为准）承担过教学及学生生活管理同类项目业绩（合同服务内容至少包含教务服务、宿管服务、会议服务、场馆管理服务、邮件收发服务五项内容（服务内容涵盖即可，文字描述可以不完全一致）），每提供一个得50分。合计最高100分。</w:t>
                  </w:r>
                </w:p>
                <w:p w14:paraId="72B6AA5B">
                  <w:pPr>
                    <w:widowControl w:val="0"/>
                    <w:wordWrap w:val="0"/>
                    <w:spacing w:line="360" w:lineRule="auto"/>
                    <w:rPr>
                      <w:rFonts w:hint="eastAsia" w:ascii="宋体" w:hAnsi="宋体" w:eastAsia="宋体" w:cs="宋体"/>
                    </w:rPr>
                  </w:pPr>
                  <w:r>
                    <w:rPr>
                      <w:rFonts w:hint="eastAsia" w:asciiTheme="minorEastAsia" w:hAnsiTheme="minorEastAsia" w:eastAsiaTheme="minorEastAsia" w:cstheme="minorEastAsia"/>
                      <w:color w:val="000000"/>
                    </w:rPr>
                    <w:t xml:space="preserve">同一用户的多项合同只计算一次。   </w:t>
                  </w:r>
                </w:p>
                <w:p w14:paraId="64B251DA">
                  <w:pPr>
                    <w:widowControl w:val="0"/>
                    <w:wordWrap w:val="0"/>
                    <w:spacing w:line="360" w:lineRule="auto"/>
                    <w:rPr>
                      <w:rFonts w:hint="eastAsia" w:ascii="宋体" w:hAnsi="宋体" w:eastAsia="宋体" w:cs="宋体"/>
                      <w:b/>
                      <w:bCs/>
                    </w:rPr>
                  </w:pPr>
                  <w:r>
                    <w:rPr>
                      <w:rFonts w:hint="eastAsia" w:ascii="宋体" w:hAnsi="宋体" w:eastAsia="宋体" w:cs="宋体"/>
                      <w:b/>
                      <w:bCs/>
                    </w:rPr>
                    <w:t>证明材料：</w:t>
                  </w:r>
                </w:p>
                <w:p w14:paraId="27FB0E82">
                  <w:pPr>
                    <w:widowControl w:val="0"/>
                    <w:wordWrap w:val="0"/>
                    <w:spacing w:line="360" w:lineRule="auto"/>
                    <w:rPr>
                      <w:rFonts w:hint="eastAsia" w:ascii="宋体" w:hAnsi="宋体" w:eastAsia="宋体" w:cs="宋体"/>
                    </w:rPr>
                  </w:pPr>
                  <w:r>
                    <w:rPr>
                      <w:rFonts w:hint="eastAsia" w:ascii="宋体" w:hAnsi="宋体" w:eastAsia="宋体" w:cs="宋体"/>
                    </w:rPr>
                    <w:t>1、提供合同关键信息（合同须体现甲方公章或甲方业务章）作为得分依据。</w:t>
                  </w:r>
                </w:p>
                <w:p w14:paraId="656863CC">
                  <w:pPr>
                    <w:widowControl w:val="0"/>
                    <w:wordWrap w:val="0"/>
                    <w:spacing w:line="360" w:lineRule="auto"/>
                    <w:rPr>
                      <w:rFonts w:hint="eastAsia" w:ascii="宋体" w:hAnsi="宋体" w:eastAsia="宋体" w:cs="宋体"/>
                      <w:lang w:bidi="ar"/>
                    </w:rPr>
                  </w:pPr>
                  <w:r>
                    <w:rPr>
                      <w:rFonts w:hint="eastAsia" w:ascii="宋体" w:hAnsi="宋体" w:eastAsia="宋体" w:cs="宋体"/>
                    </w:rPr>
                    <w:t>2、以上资料均要求提供扫描件。未按要求提供相关材料或不清晰导致无法判断内容的不得分，原件备查。评分中出现无证明资料或专家无法凭所提供资料判断是否得分的情况，一律作不得分处理。</w:t>
                  </w:r>
                </w:p>
              </w:tc>
            </w:tr>
            <w:tr w14:paraId="04272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79DD0AD3">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2FF53744">
                  <w:pPr>
                    <w:wordWrap w:val="0"/>
                    <w:spacing w:line="360" w:lineRule="auto"/>
                    <w:jc w:val="center"/>
                    <w:rPr>
                      <w:rFonts w:hint="eastAsia" w:ascii="宋体" w:hAnsi="宋体" w:eastAsia="宋体" w:cs="宋体"/>
                      <w:kern w:val="2"/>
                    </w:rPr>
                  </w:pPr>
                  <w:r>
                    <w:rPr>
                      <w:rFonts w:hint="eastAsia" w:ascii="宋体" w:hAnsi="宋体" w:eastAsia="宋体" w:cs="宋体"/>
                    </w:rPr>
                    <w:t>3</w:t>
                  </w:r>
                </w:p>
              </w:tc>
              <w:tc>
                <w:tcPr>
                  <w:tcW w:w="1198" w:type="dxa"/>
                  <w:tcBorders>
                    <w:top w:val="single" w:color="auto" w:sz="4" w:space="0"/>
                    <w:left w:val="single" w:color="auto" w:sz="4" w:space="0"/>
                    <w:bottom w:val="single" w:color="auto" w:sz="4" w:space="0"/>
                    <w:right w:val="single" w:color="auto" w:sz="4" w:space="0"/>
                  </w:tcBorders>
                  <w:vAlign w:val="center"/>
                </w:tcPr>
                <w:p w14:paraId="6D55F3DB">
                  <w:pPr>
                    <w:wordWrap w:val="0"/>
                    <w:spacing w:line="360" w:lineRule="auto"/>
                    <w:jc w:val="center"/>
                    <w:rPr>
                      <w:rFonts w:hint="eastAsia" w:ascii="宋体" w:hAnsi="宋体" w:eastAsia="宋体" w:cs="宋体"/>
                      <w:kern w:val="2"/>
                    </w:rPr>
                  </w:pPr>
                  <w:r>
                    <w:rPr>
                      <w:rFonts w:hint="eastAsia" w:ascii="宋体" w:hAnsi="宋体" w:eastAsia="宋体" w:cs="宋体"/>
                    </w:rPr>
                    <w:t>企业荣誉</w:t>
                  </w:r>
                </w:p>
              </w:tc>
              <w:tc>
                <w:tcPr>
                  <w:tcW w:w="750" w:type="dxa"/>
                  <w:tcBorders>
                    <w:top w:val="single" w:color="auto" w:sz="4" w:space="0"/>
                    <w:left w:val="single" w:color="auto" w:sz="4" w:space="0"/>
                    <w:bottom w:val="single" w:color="auto" w:sz="4" w:space="0"/>
                    <w:right w:val="single" w:color="auto" w:sz="4" w:space="0"/>
                  </w:tcBorders>
                  <w:vAlign w:val="center"/>
                </w:tcPr>
                <w:p w14:paraId="157915B1">
                  <w:pPr>
                    <w:wordWrap w:val="0"/>
                    <w:spacing w:line="360" w:lineRule="auto"/>
                    <w:jc w:val="center"/>
                    <w:rPr>
                      <w:rFonts w:hint="eastAsia" w:ascii="宋体" w:hAnsi="宋体" w:eastAsia="宋体" w:cs="宋体"/>
                      <w:kern w:val="2"/>
                    </w:rPr>
                  </w:pPr>
                  <w:r>
                    <w:rPr>
                      <w:rFonts w:hint="eastAsia" w:ascii="宋体" w:hAnsi="宋体" w:eastAsia="宋体" w:cs="宋体"/>
                      <w:bCs/>
                    </w:rPr>
                    <w:t>6</w:t>
                  </w:r>
                </w:p>
              </w:tc>
              <w:tc>
                <w:tcPr>
                  <w:tcW w:w="5091" w:type="dxa"/>
                  <w:tcBorders>
                    <w:top w:val="single" w:color="auto" w:sz="4" w:space="0"/>
                    <w:left w:val="single" w:color="auto" w:sz="4" w:space="0"/>
                    <w:bottom w:val="single" w:color="auto" w:sz="4" w:space="0"/>
                    <w:right w:val="single" w:color="auto" w:sz="4" w:space="0"/>
                  </w:tcBorders>
                  <w:vAlign w:val="center"/>
                </w:tcPr>
                <w:p w14:paraId="6141E7F6">
                  <w:pPr>
                    <w:widowControl w:val="0"/>
                    <w:wordWrap w:val="0"/>
                    <w:spacing w:line="360" w:lineRule="auto"/>
                    <w:rPr>
                      <w:rFonts w:hint="eastAsia" w:ascii="宋体" w:hAnsi="宋体" w:eastAsia="宋体" w:cs="宋体"/>
                      <w:b/>
                      <w:bCs/>
                    </w:rPr>
                  </w:pPr>
                  <w:r>
                    <w:rPr>
                      <w:rFonts w:hint="eastAsia" w:ascii="宋体" w:hAnsi="宋体" w:eastAsia="宋体" w:cs="宋体"/>
                      <w:b/>
                      <w:bCs/>
                    </w:rPr>
                    <w:t>评审标准：</w:t>
                  </w:r>
                </w:p>
                <w:p w14:paraId="386CBF34">
                  <w:pPr>
                    <w:widowControl w:val="0"/>
                    <w:numPr>
                      <w:ilvl w:val="255"/>
                      <w:numId w:val="0"/>
                    </w:numPr>
                    <w:wordWrap w:val="0"/>
                    <w:spacing w:line="360" w:lineRule="auto"/>
                    <w:rPr>
                      <w:rFonts w:hint="eastAsia" w:ascii="宋体" w:hAnsi="宋体" w:eastAsia="宋体" w:cs="宋体"/>
                    </w:rPr>
                  </w:pPr>
                  <w:r>
                    <w:rPr>
                      <w:rFonts w:hint="eastAsia" w:ascii="宋体" w:hAnsi="宋体" w:eastAsia="宋体" w:cs="宋体"/>
                    </w:rPr>
                    <w:t>1.投标人获得过人民政府颁发的质量类荣誉证书的得50分，未提供则不得分，此项满分50分；</w:t>
                  </w:r>
                </w:p>
                <w:p w14:paraId="3EF00AE1">
                  <w:pPr>
                    <w:widowControl w:val="0"/>
                    <w:numPr>
                      <w:ilvl w:val="255"/>
                      <w:numId w:val="0"/>
                    </w:numPr>
                    <w:wordWrap w:val="0"/>
                    <w:spacing w:line="360" w:lineRule="auto"/>
                    <w:rPr>
                      <w:rFonts w:hint="eastAsia" w:ascii="宋体" w:hAnsi="宋体" w:eastAsia="宋体" w:cs="宋体"/>
                    </w:rPr>
                  </w:pPr>
                  <w:r>
                    <w:rPr>
                      <w:rFonts w:hint="eastAsia" w:ascii="宋体" w:hAnsi="宋体" w:eastAsia="宋体" w:cs="宋体"/>
                    </w:rPr>
                    <w:t>2.投标人获得过人民政府颁发的活动保障相关工作荣誉的得50分，此项满分50分；</w:t>
                  </w:r>
                </w:p>
                <w:p w14:paraId="19DE1D2D">
                  <w:pPr>
                    <w:widowControl w:val="0"/>
                    <w:numPr>
                      <w:ilvl w:val="255"/>
                      <w:numId w:val="0"/>
                    </w:numPr>
                    <w:wordWrap w:val="0"/>
                    <w:spacing w:line="360" w:lineRule="auto"/>
                    <w:rPr>
                      <w:rFonts w:hint="eastAsia" w:ascii="宋体" w:hAnsi="宋体" w:eastAsia="宋体" w:cs="宋体"/>
                    </w:rPr>
                  </w:pPr>
                  <w:r>
                    <w:rPr>
                      <w:rFonts w:hint="eastAsia" w:ascii="宋体" w:hAnsi="宋体" w:eastAsia="宋体" w:cs="宋体"/>
                    </w:rPr>
                    <w:t>以上2项可累计计分，最高得100分。</w:t>
                  </w:r>
                </w:p>
                <w:p w14:paraId="79120D1A">
                  <w:pPr>
                    <w:widowControl w:val="0"/>
                    <w:wordWrap w:val="0"/>
                    <w:spacing w:line="360" w:lineRule="auto"/>
                    <w:rPr>
                      <w:rFonts w:hint="eastAsia" w:ascii="宋体" w:hAnsi="宋体" w:eastAsia="宋体" w:cs="宋体"/>
                      <w:b/>
                      <w:bCs/>
                    </w:rPr>
                  </w:pPr>
                  <w:r>
                    <w:rPr>
                      <w:rFonts w:hint="eastAsia" w:ascii="宋体" w:hAnsi="宋体" w:eastAsia="宋体" w:cs="宋体"/>
                      <w:b/>
                      <w:bCs/>
                    </w:rPr>
                    <w:t>证明材料：</w:t>
                  </w:r>
                </w:p>
                <w:p w14:paraId="448DA2C5">
                  <w:pPr>
                    <w:widowControl w:val="0"/>
                    <w:numPr>
                      <w:ilvl w:val="255"/>
                      <w:numId w:val="0"/>
                    </w:numPr>
                    <w:wordWrap w:val="0"/>
                    <w:spacing w:line="360" w:lineRule="auto"/>
                    <w:jc w:val="both"/>
                    <w:rPr>
                      <w:rFonts w:hint="eastAsia" w:ascii="宋体" w:hAnsi="宋体" w:eastAsia="宋体" w:cs="宋体"/>
                    </w:rPr>
                  </w:pPr>
                  <w:r>
                    <w:rPr>
                      <w:rFonts w:hint="eastAsia" w:ascii="宋体" w:hAnsi="宋体" w:eastAsia="宋体" w:cs="宋体"/>
                    </w:rPr>
                    <w:t>1.提供政府网站截图及奖项照片（或获奖（荣誉）证书扫描件）作为证明材料。荣誉的发证部门要求为人民政府（不含其下设机构、下级单位、分支机构及内设职能部门）；</w:t>
                  </w:r>
                </w:p>
                <w:p w14:paraId="08AA3104">
                  <w:pPr>
                    <w:widowControl w:val="0"/>
                    <w:numPr>
                      <w:ilvl w:val="255"/>
                      <w:numId w:val="0"/>
                    </w:numPr>
                    <w:wordWrap w:val="0"/>
                    <w:spacing w:line="360" w:lineRule="auto"/>
                    <w:jc w:val="both"/>
                    <w:rPr>
                      <w:rFonts w:hint="eastAsia" w:ascii="宋体" w:hAnsi="宋体" w:eastAsia="宋体" w:cs="宋体"/>
                      <w:b/>
                      <w:i/>
                      <w:kern w:val="2"/>
                      <w:u w:val="single"/>
                    </w:rPr>
                  </w:pPr>
                  <w:r>
                    <w:rPr>
                      <w:rFonts w:hint="eastAsia" w:ascii="宋体" w:hAnsi="宋体" w:eastAsia="宋体" w:cs="宋体"/>
                    </w:rPr>
                    <w:t>2.以上资料均要求提供扫描件（及官方网站截图），原件备查。评分中出现无证明资料或专家无法凭所提供资料判断是否得分的情况，一律作不得分处理。</w:t>
                  </w:r>
                </w:p>
              </w:tc>
            </w:tr>
            <w:tr w14:paraId="388F9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6DA713C6">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3DAE83EC">
                  <w:pPr>
                    <w:wordWrap w:val="0"/>
                    <w:spacing w:line="360" w:lineRule="auto"/>
                    <w:jc w:val="center"/>
                    <w:rPr>
                      <w:rFonts w:hint="eastAsia" w:ascii="宋体" w:hAnsi="宋体" w:eastAsia="宋体" w:cs="宋体"/>
                    </w:rPr>
                  </w:pPr>
                </w:p>
              </w:tc>
              <w:tc>
                <w:tcPr>
                  <w:tcW w:w="1198" w:type="dxa"/>
                  <w:tcBorders>
                    <w:top w:val="single" w:color="auto" w:sz="4" w:space="0"/>
                    <w:left w:val="single" w:color="auto" w:sz="4" w:space="0"/>
                    <w:bottom w:val="single" w:color="auto" w:sz="4" w:space="0"/>
                    <w:right w:val="single" w:color="auto" w:sz="4" w:space="0"/>
                  </w:tcBorders>
                  <w:vAlign w:val="center"/>
                </w:tcPr>
                <w:p w14:paraId="6B07CB46">
                  <w:pPr>
                    <w:wordWrap w:val="0"/>
                    <w:jc w:val="center"/>
                    <w:rPr>
                      <w:rFonts w:ascii="宋体" w:hAnsi="宋体" w:cs="宋体"/>
                      <w:szCs w:val="21"/>
                    </w:rPr>
                  </w:pPr>
                  <w:r>
                    <w:rPr>
                      <w:rFonts w:hint="eastAsia" w:ascii="宋体" w:hAnsi="宋体" w:cs="宋体"/>
                      <w:szCs w:val="21"/>
                    </w:rPr>
                    <w:t>供应商自主知识产权产品（创新、设计）情况</w:t>
                  </w:r>
                </w:p>
              </w:tc>
              <w:tc>
                <w:tcPr>
                  <w:tcW w:w="750" w:type="dxa"/>
                  <w:tcBorders>
                    <w:top w:val="single" w:color="auto" w:sz="4" w:space="0"/>
                    <w:left w:val="single" w:color="auto" w:sz="4" w:space="0"/>
                    <w:bottom w:val="single" w:color="auto" w:sz="4" w:space="0"/>
                    <w:right w:val="single" w:color="auto" w:sz="4" w:space="0"/>
                  </w:tcBorders>
                  <w:vAlign w:val="center"/>
                </w:tcPr>
                <w:p w14:paraId="250E34C4">
                  <w:pPr>
                    <w:wordWrap w:val="0"/>
                    <w:jc w:val="center"/>
                    <w:rPr>
                      <w:rFonts w:ascii="宋体" w:hAnsi="宋体" w:cs="宋体"/>
                      <w:szCs w:val="21"/>
                    </w:rPr>
                  </w:pPr>
                  <w:r>
                    <w:rPr>
                      <w:rFonts w:hint="eastAsia" w:ascii="宋体" w:hAnsi="宋体" w:cs="宋体"/>
                      <w:szCs w:val="21"/>
                    </w:rPr>
                    <w:t>8</w:t>
                  </w:r>
                </w:p>
              </w:tc>
              <w:tc>
                <w:tcPr>
                  <w:tcW w:w="5091" w:type="dxa"/>
                  <w:tcBorders>
                    <w:top w:val="single" w:color="auto" w:sz="4" w:space="0"/>
                    <w:left w:val="single" w:color="auto" w:sz="4" w:space="0"/>
                    <w:bottom w:val="single" w:color="auto" w:sz="4" w:space="0"/>
                    <w:right w:val="single" w:color="auto" w:sz="4" w:space="0"/>
                  </w:tcBorders>
                  <w:vAlign w:val="center"/>
                </w:tcPr>
                <w:p w14:paraId="2D0B1241">
                  <w:pPr>
                    <w:widowControl w:val="0"/>
                    <w:wordWrap w:val="0"/>
                    <w:spacing w:line="360" w:lineRule="auto"/>
                    <w:rPr>
                      <w:rFonts w:ascii="宋体" w:hAnsi="宋体" w:cs="宋体"/>
                      <w:szCs w:val="21"/>
                    </w:rPr>
                  </w:pPr>
                  <w:r>
                    <w:rPr>
                      <w:rFonts w:hint="eastAsia" w:ascii="宋体" w:hAnsi="宋体" w:eastAsia="宋体" w:cs="宋体"/>
                      <w:b/>
                      <w:bCs/>
                    </w:rPr>
                    <w:t>评审标准：</w:t>
                  </w:r>
                </w:p>
                <w:p w14:paraId="1CC8134B">
                  <w:pPr>
                    <w:wordWrap w:val="0"/>
                    <w:spacing w:line="360" w:lineRule="auto"/>
                    <w:rPr>
                      <w:rFonts w:ascii="宋体" w:hAnsi="宋体" w:cs="宋体"/>
                      <w:szCs w:val="21"/>
                    </w:rPr>
                  </w:pPr>
                  <w:r>
                    <w:rPr>
                      <w:rFonts w:hint="eastAsia" w:ascii="宋体" w:hAnsi="宋体" w:cs="宋体"/>
                      <w:szCs w:val="21"/>
                    </w:rPr>
                    <w:t>1.投标人具有（自主开发或购买或租赁）以下系统的软件著作权：①场馆管理系统、②公寓管理系统、③物资管理系统、④服务品质质量管理系统、⑤服务中心一站式服务管理系统、⑥</w:t>
                  </w:r>
                  <w:r>
                    <w:rPr>
                      <w:rFonts w:ascii="宋体" w:hAnsi="宋体" w:cs="宋体"/>
                      <w:szCs w:val="21"/>
                    </w:rPr>
                    <w:t>会务服务预约</w:t>
                  </w:r>
                  <w:r>
                    <w:rPr>
                      <w:rFonts w:hint="eastAsia" w:ascii="宋体" w:hAnsi="宋体" w:cs="宋体"/>
                      <w:szCs w:val="21"/>
                    </w:rPr>
                    <w:t>系统；⑦课室管理系统；⑧资源智能识别管理系统；⑨疾控上报系统；⑩投诉处理管理系统（共10类系统），每提供一类证书，得10分。每类系统仅计分一次，同类系统多个证书不累计积分，本项最高得100分。</w:t>
                  </w:r>
                </w:p>
                <w:p w14:paraId="4298E941">
                  <w:pPr>
                    <w:widowControl w:val="0"/>
                    <w:wordWrap w:val="0"/>
                    <w:spacing w:line="360" w:lineRule="auto"/>
                    <w:rPr>
                      <w:rFonts w:hint="eastAsia" w:ascii="宋体" w:hAnsi="宋体" w:eastAsia="宋体" w:cs="宋体"/>
                      <w:b/>
                      <w:bCs/>
                    </w:rPr>
                  </w:pPr>
                  <w:r>
                    <w:rPr>
                      <w:rFonts w:hint="eastAsia" w:ascii="宋体" w:hAnsi="宋体" w:eastAsia="宋体" w:cs="宋体"/>
                      <w:b/>
                      <w:bCs/>
                    </w:rPr>
                    <w:t>证明材料：</w:t>
                  </w:r>
                </w:p>
                <w:p w14:paraId="7F39479D">
                  <w:pPr>
                    <w:wordWrap w:val="0"/>
                    <w:spacing w:line="360" w:lineRule="auto"/>
                    <w:rPr>
                      <w:rFonts w:hint="eastAsia" w:ascii="宋体" w:hAnsi="宋体" w:eastAsia="宋体" w:cs="宋体"/>
                    </w:rPr>
                  </w:pPr>
                  <w:r>
                    <w:rPr>
                      <w:rFonts w:hint="eastAsia" w:ascii="宋体" w:hAnsi="宋体" w:eastAsia="宋体" w:cs="宋体"/>
                    </w:rPr>
                    <w:t>1.计算机软件著作权登记证书著作权人为投标人的，需要提供国家版权局颁发的计算机软件著作权登记证书扫描件或中国版权保护中心官方网站截图（网址：http://www.ccopyright.com/），原件备查。未按要求提供或提供不清晰导致专家无法判断或专家无法凭所提供资料判断是否得分的情况，一律作不得分处理。</w:t>
                  </w:r>
                </w:p>
                <w:p w14:paraId="537D4C8B">
                  <w:pPr>
                    <w:wordWrap w:val="0"/>
                    <w:spacing w:line="360" w:lineRule="auto"/>
                    <w:rPr>
                      <w:rFonts w:hint="eastAsia" w:ascii="宋体" w:hAnsi="宋体" w:eastAsia="宋体" w:cs="宋体"/>
                    </w:rPr>
                  </w:pPr>
                  <w:r>
                    <w:rPr>
                      <w:rFonts w:hint="eastAsia" w:ascii="宋体" w:hAnsi="宋体" w:eastAsia="宋体" w:cs="宋体"/>
                    </w:rPr>
                    <w:t>2.计算机软件著作权登记证书著作权人为非投标人的，需要提供系统采购或租赁合同关键信息（</w:t>
                  </w:r>
                  <w:r>
                    <w:rPr>
                      <w:rFonts w:hint="eastAsia" w:ascii="宋体" w:hAnsi="宋体" w:cs="宋体"/>
                      <w:szCs w:val="21"/>
                    </w:rPr>
                    <w:t>著作权人为许可使用合同采购单位或许可人）及购买（或租赁）的付款发票及银行付款凭证</w:t>
                  </w:r>
                  <w:r>
                    <w:rPr>
                      <w:rFonts w:hint="eastAsia" w:ascii="宋体" w:hAnsi="宋体" w:eastAsia="宋体" w:cs="宋体"/>
                    </w:rPr>
                    <w:t>，并提供国家版权局颁发的计算机软件著作权登记证书扫描件或中国版权保护中心官方网站截图（网址：http://www.ccopyright.com/），原件备查。</w:t>
                  </w:r>
                </w:p>
                <w:p w14:paraId="08EE49BD">
                  <w:pPr>
                    <w:wordWrap w:val="0"/>
                    <w:spacing w:line="360" w:lineRule="auto"/>
                  </w:pPr>
                  <w:r>
                    <w:rPr>
                      <w:rFonts w:hint="eastAsia" w:ascii="宋体" w:hAnsi="宋体" w:eastAsia="宋体" w:cs="宋体"/>
                      <w:szCs w:val="21"/>
                    </w:rPr>
                    <w:t>3</w:t>
                  </w:r>
                  <w:r>
                    <w:rPr>
                      <w:rFonts w:hint="eastAsia" w:ascii="宋体" w:hAnsi="宋体" w:cs="宋体"/>
                      <w:szCs w:val="21"/>
                    </w:rPr>
                    <w:t>.评分中出现无证明资料或评审委员会无法凭所提供资料判断是否得分的情况，一律作不得分处理。</w:t>
                  </w:r>
                </w:p>
              </w:tc>
            </w:tr>
            <w:tr w14:paraId="1AA8E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77C51945">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5F675DA8">
                  <w:pPr>
                    <w:wordWrap w:val="0"/>
                    <w:spacing w:line="360" w:lineRule="auto"/>
                    <w:jc w:val="center"/>
                    <w:rPr>
                      <w:rFonts w:hint="eastAsia" w:ascii="宋体" w:hAnsi="宋体" w:eastAsia="宋体" w:cs="宋体"/>
                    </w:rPr>
                  </w:pPr>
                </w:p>
              </w:tc>
              <w:tc>
                <w:tcPr>
                  <w:tcW w:w="1198" w:type="dxa"/>
                  <w:tcBorders>
                    <w:top w:val="single" w:color="auto" w:sz="4" w:space="0"/>
                    <w:left w:val="single" w:color="auto" w:sz="4" w:space="0"/>
                    <w:bottom w:val="single" w:color="auto" w:sz="4" w:space="0"/>
                    <w:right w:val="single" w:color="auto" w:sz="4" w:space="0"/>
                  </w:tcBorders>
                  <w:vAlign w:val="center"/>
                </w:tcPr>
                <w:p w14:paraId="1B80DDF6">
                  <w:pPr>
                    <w:wordWrap w:val="0"/>
                    <w:jc w:val="center"/>
                    <w:rPr>
                      <w:rFonts w:ascii="宋体" w:hAnsi="宋体" w:cs="宋体"/>
                      <w:szCs w:val="21"/>
                    </w:rPr>
                  </w:pPr>
                  <w:r>
                    <w:rPr>
                      <w:rFonts w:hint="eastAsia" w:ascii="宋体" w:hAnsi="宋体" w:cs="宋体"/>
                      <w:szCs w:val="21"/>
                    </w:rPr>
                    <w:t>拟安排的项目负责人情况（仅限一人）</w:t>
                  </w:r>
                </w:p>
              </w:tc>
              <w:tc>
                <w:tcPr>
                  <w:tcW w:w="750" w:type="dxa"/>
                  <w:tcBorders>
                    <w:top w:val="single" w:color="auto" w:sz="4" w:space="0"/>
                    <w:left w:val="single" w:color="auto" w:sz="4" w:space="0"/>
                    <w:bottom w:val="single" w:color="auto" w:sz="4" w:space="0"/>
                    <w:right w:val="single" w:color="auto" w:sz="4" w:space="0"/>
                  </w:tcBorders>
                  <w:vAlign w:val="center"/>
                </w:tcPr>
                <w:p w14:paraId="39CFD75F">
                  <w:pPr>
                    <w:wordWrap w:val="0"/>
                    <w:jc w:val="center"/>
                    <w:rPr>
                      <w:rFonts w:ascii="宋体" w:hAnsi="宋体" w:cs="宋体"/>
                      <w:szCs w:val="21"/>
                    </w:rPr>
                  </w:pPr>
                  <w:r>
                    <w:rPr>
                      <w:rFonts w:hint="eastAsia" w:ascii="宋体" w:hAnsi="宋体" w:cs="宋体"/>
                      <w:szCs w:val="21"/>
                    </w:rPr>
                    <w:t>8</w:t>
                  </w:r>
                </w:p>
              </w:tc>
              <w:tc>
                <w:tcPr>
                  <w:tcW w:w="5091" w:type="dxa"/>
                  <w:tcBorders>
                    <w:top w:val="single" w:color="auto" w:sz="4" w:space="0"/>
                    <w:left w:val="single" w:color="auto" w:sz="4" w:space="0"/>
                    <w:bottom w:val="single" w:color="auto" w:sz="4" w:space="0"/>
                    <w:right w:val="single" w:color="auto" w:sz="4" w:space="0"/>
                  </w:tcBorders>
                  <w:vAlign w:val="center"/>
                </w:tcPr>
                <w:p w14:paraId="75862968">
                  <w:pPr>
                    <w:widowControl w:val="0"/>
                    <w:wordWrap w:val="0"/>
                    <w:spacing w:line="360" w:lineRule="auto"/>
                    <w:jc w:val="both"/>
                    <w:rPr>
                      <w:rFonts w:ascii="宋体" w:hAnsi="宋体" w:cs="宋体"/>
                      <w:szCs w:val="21"/>
                    </w:rPr>
                  </w:pPr>
                  <w:r>
                    <w:rPr>
                      <w:rFonts w:hint="eastAsia" w:ascii="宋体" w:hAnsi="宋体" w:eastAsia="宋体" w:cs="宋体"/>
                      <w:b/>
                      <w:bCs/>
                    </w:rPr>
                    <w:t>评审标准：</w:t>
                  </w:r>
                </w:p>
                <w:p w14:paraId="36EF6914">
                  <w:pPr>
                    <w:wordWrap w:val="0"/>
                    <w:spacing w:line="360" w:lineRule="auto"/>
                    <w:jc w:val="both"/>
                    <w:rPr>
                      <w:rFonts w:ascii="宋体" w:hAnsi="宋体" w:cs="宋体"/>
                      <w:szCs w:val="21"/>
                    </w:rPr>
                  </w:pPr>
                  <w:r>
                    <w:rPr>
                      <w:rFonts w:hint="eastAsia" w:ascii="宋体" w:hAnsi="宋体" w:cs="宋体"/>
                      <w:szCs w:val="21"/>
                    </w:rPr>
                    <w:t>拟安排项目负责人为投标单位员工，在此基础上：</w:t>
                  </w:r>
                </w:p>
                <w:p w14:paraId="199EE621">
                  <w:pPr>
                    <w:wordWrap w:val="0"/>
                    <w:spacing w:line="360" w:lineRule="auto"/>
                    <w:jc w:val="both"/>
                    <w:rPr>
                      <w:rFonts w:ascii="宋体" w:hAnsi="宋体" w:cs="宋体"/>
                      <w:szCs w:val="21"/>
                    </w:rPr>
                  </w:pPr>
                  <w:r>
                    <w:rPr>
                      <w:rFonts w:hint="eastAsia" w:ascii="宋体" w:hAnsi="宋体" w:cs="宋体"/>
                      <w:szCs w:val="21"/>
                    </w:rPr>
                    <w:t>1.</w:t>
                  </w:r>
                  <w:r>
                    <w:rPr>
                      <w:rFonts w:ascii="宋体" w:hAnsi="宋体" w:cs="宋体"/>
                      <w:szCs w:val="21"/>
                    </w:rPr>
                    <w:t>具有计算机</w:t>
                  </w:r>
                  <w:r>
                    <w:rPr>
                      <w:rFonts w:hint="eastAsia" w:ascii="宋体" w:hAnsi="宋体" w:cs="宋体"/>
                      <w:szCs w:val="21"/>
                    </w:rPr>
                    <w:t>类</w:t>
                  </w:r>
                  <w:r>
                    <w:rPr>
                      <w:rFonts w:ascii="宋体" w:hAnsi="宋体" w:cs="宋体"/>
                      <w:szCs w:val="21"/>
                    </w:rPr>
                    <w:t>或电子信息</w:t>
                  </w:r>
                  <w:r>
                    <w:rPr>
                      <w:rFonts w:hint="eastAsia" w:ascii="宋体" w:hAnsi="宋体" w:cs="宋体"/>
                      <w:szCs w:val="21"/>
                    </w:rPr>
                    <w:t>类</w:t>
                  </w:r>
                  <w:r>
                    <w:rPr>
                      <w:rFonts w:ascii="宋体" w:hAnsi="宋体" w:cs="宋体"/>
                      <w:szCs w:val="21"/>
                    </w:rPr>
                    <w:t>相关专业本科（或以上）</w:t>
                  </w:r>
                  <w:r>
                    <w:rPr>
                      <w:rFonts w:hint="eastAsia" w:ascii="宋体" w:hAnsi="宋体" w:eastAsia="宋体" w:cs="宋体"/>
                      <w:szCs w:val="21"/>
                    </w:rPr>
                    <w:t>学历</w:t>
                  </w:r>
                  <w:r>
                    <w:rPr>
                      <w:rFonts w:hint="eastAsia" w:ascii="宋体" w:hAnsi="宋体" w:cs="宋体"/>
                      <w:szCs w:val="21"/>
                    </w:rPr>
                    <w:t>的</w:t>
                  </w:r>
                  <w:r>
                    <w:rPr>
                      <w:rFonts w:hint="eastAsia" w:ascii="宋体" w:hAnsi="宋体" w:eastAsia="宋体" w:cs="宋体"/>
                      <w:szCs w:val="21"/>
                    </w:rPr>
                    <w:t>，</w:t>
                  </w:r>
                  <w:r>
                    <w:rPr>
                      <w:rFonts w:hint="eastAsia" w:ascii="宋体" w:hAnsi="宋体" w:cs="宋体"/>
                      <w:szCs w:val="21"/>
                    </w:rPr>
                    <w:t>得</w:t>
                  </w:r>
                  <w:r>
                    <w:rPr>
                      <w:rFonts w:hint="eastAsia" w:ascii="宋体" w:hAnsi="宋体" w:cs="宋体" w:eastAsiaTheme="minorEastAsia"/>
                      <w:szCs w:val="21"/>
                    </w:rPr>
                    <w:t>30</w:t>
                  </w:r>
                  <w:r>
                    <w:rPr>
                      <w:rFonts w:hint="eastAsia" w:ascii="宋体" w:hAnsi="宋体" w:cs="宋体"/>
                      <w:szCs w:val="21"/>
                    </w:rPr>
                    <w:t>分；</w:t>
                  </w:r>
                </w:p>
                <w:p w14:paraId="7FEF4CDC">
                  <w:pPr>
                    <w:wordWrap w:val="0"/>
                    <w:spacing w:line="360" w:lineRule="auto"/>
                    <w:jc w:val="both"/>
                    <w:rPr>
                      <w:rFonts w:ascii="宋体" w:hAnsi="宋体" w:cs="宋体"/>
                      <w:szCs w:val="21"/>
                    </w:rPr>
                  </w:pPr>
                  <w:r>
                    <w:rPr>
                      <w:rFonts w:hint="eastAsia" w:ascii="宋体" w:hAnsi="宋体" w:cs="宋体"/>
                      <w:szCs w:val="21"/>
                    </w:rPr>
                    <w:t>2.具有人社部门（或其他具有颁发职称资格的单位）颁发的楼宇智能化</w:t>
                  </w:r>
                  <w:r>
                    <w:rPr>
                      <w:rFonts w:hint="eastAsia" w:ascii="宋体" w:hAnsi="宋体" w:eastAsia="宋体" w:cs="宋体"/>
                      <w:szCs w:val="21"/>
                    </w:rPr>
                    <w:t>类</w:t>
                  </w:r>
                  <w:r>
                    <w:rPr>
                      <w:rFonts w:hint="eastAsia" w:ascii="宋体" w:hAnsi="宋体" w:cs="宋体"/>
                      <w:szCs w:val="21"/>
                    </w:rPr>
                    <w:t>专业</w:t>
                  </w:r>
                  <w:r>
                    <w:rPr>
                      <w:rFonts w:hint="eastAsia" w:ascii="宋体" w:hAnsi="宋体" w:eastAsia="宋体" w:cs="宋体"/>
                      <w:szCs w:val="21"/>
                    </w:rPr>
                    <w:t>高级</w:t>
                  </w:r>
                  <w:r>
                    <w:rPr>
                      <w:rFonts w:hint="eastAsia" w:ascii="宋体" w:hAnsi="宋体" w:cs="宋体"/>
                      <w:szCs w:val="21"/>
                    </w:rPr>
                    <w:t>职称</w:t>
                  </w:r>
                  <w:r>
                    <w:rPr>
                      <w:rFonts w:hint="eastAsia" w:ascii="宋体" w:hAnsi="宋体" w:eastAsia="宋体" w:cs="宋体"/>
                      <w:szCs w:val="21"/>
                    </w:rPr>
                    <w:t>的，</w:t>
                  </w:r>
                  <w:r>
                    <w:rPr>
                      <w:rFonts w:hint="eastAsia" w:ascii="宋体" w:hAnsi="宋体" w:cs="宋体"/>
                      <w:szCs w:val="21"/>
                    </w:rPr>
                    <w:t>得50分；</w:t>
                  </w:r>
                </w:p>
                <w:p w14:paraId="21AA0952">
                  <w:pPr>
                    <w:wordWrap w:val="0"/>
                    <w:spacing w:line="360" w:lineRule="auto"/>
                    <w:jc w:val="both"/>
                    <w:rPr>
                      <w:rFonts w:ascii="宋体" w:hAnsi="宋体" w:cs="宋体"/>
                      <w:szCs w:val="21"/>
                    </w:rPr>
                  </w:pPr>
                  <w:r>
                    <w:rPr>
                      <w:rFonts w:hint="eastAsia" w:ascii="宋体" w:hAnsi="宋体" w:cs="宋体"/>
                      <w:szCs w:val="21"/>
                    </w:rPr>
                    <w:t>3.工作经验：曾担任过或正在担任</w:t>
                  </w:r>
                  <w:r>
                    <w:rPr>
                      <w:rFonts w:hint="eastAsia" w:asciiTheme="minorEastAsia" w:hAnsiTheme="minorEastAsia" w:eastAsiaTheme="minorEastAsia" w:cstheme="minorEastAsia"/>
                      <w:color w:val="000000"/>
                    </w:rPr>
                    <w:t>教学及学生生活管理同类</w:t>
                  </w:r>
                  <w:r>
                    <w:rPr>
                      <w:rFonts w:hint="eastAsia" w:ascii="宋体" w:hAnsi="宋体" w:cs="宋体"/>
                      <w:szCs w:val="21"/>
                    </w:rPr>
                    <w:t>项目</w:t>
                  </w:r>
                  <w:r>
                    <w:rPr>
                      <w:rFonts w:ascii="宋体" w:hAnsi="宋体" w:cs="宋体"/>
                      <w:szCs w:val="21"/>
                    </w:rPr>
                    <w:t>项目经理的</w:t>
                  </w:r>
                  <w:r>
                    <w:rPr>
                      <w:rFonts w:hint="eastAsia" w:ascii="宋体" w:hAnsi="宋体" w:cs="宋体"/>
                      <w:szCs w:val="21"/>
                    </w:rPr>
                    <w:t>，同时符合以下要求</w:t>
                  </w:r>
                  <w:r>
                    <w:rPr>
                      <w:rFonts w:hint="eastAsia" w:ascii="宋体" w:hAnsi="宋体" w:eastAsia="宋体" w:cs="宋体"/>
                      <w:szCs w:val="21"/>
                    </w:rPr>
                    <w:t>，</w:t>
                  </w:r>
                  <w:r>
                    <w:rPr>
                      <w:rFonts w:ascii="宋体" w:hAnsi="宋体" w:cs="宋体"/>
                      <w:szCs w:val="21"/>
                    </w:rPr>
                    <w:t>得20分</w:t>
                  </w:r>
                  <w:r>
                    <w:rPr>
                      <w:rFonts w:hint="eastAsia" w:ascii="宋体" w:hAnsi="宋体" w:cs="宋体"/>
                      <w:szCs w:val="21"/>
                    </w:rPr>
                    <w:t>：</w:t>
                  </w:r>
                </w:p>
                <w:p w14:paraId="13344989">
                  <w:pPr>
                    <w:wordWrap w:val="0"/>
                    <w:spacing w:line="360" w:lineRule="auto"/>
                    <w:jc w:val="both"/>
                    <w:rPr>
                      <w:rFonts w:ascii="宋体" w:hAnsi="宋体" w:cs="宋体"/>
                      <w:szCs w:val="21"/>
                    </w:rPr>
                  </w:pPr>
                  <w:r>
                    <w:rPr>
                      <w:rFonts w:hint="eastAsia" w:ascii="宋体" w:hAnsi="宋体" w:cs="宋体"/>
                      <w:szCs w:val="21"/>
                    </w:rPr>
                    <w:t>单份合同服务内容至少包含教务服务、宿管服务、会议服务、场馆管理服务、邮件收发服务五项内容（服务内容涵盖即可，文字描述可以不完全一致），缺少一项上述内容视为合同不符合要求。</w:t>
                  </w:r>
                </w:p>
                <w:p w14:paraId="57F5CFD4">
                  <w:pPr>
                    <w:widowControl w:val="0"/>
                    <w:wordWrap w:val="0"/>
                    <w:spacing w:line="360" w:lineRule="auto"/>
                    <w:jc w:val="both"/>
                    <w:rPr>
                      <w:rFonts w:hint="eastAsia" w:ascii="宋体" w:hAnsi="宋体" w:eastAsia="宋体" w:cs="宋体"/>
                      <w:b/>
                      <w:bCs/>
                    </w:rPr>
                  </w:pPr>
                  <w:r>
                    <w:rPr>
                      <w:rFonts w:hint="eastAsia" w:ascii="宋体" w:hAnsi="宋体" w:eastAsia="宋体" w:cs="宋体"/>
                      <w:b/>
                      <w:bCs/>
                    </w:rPr>
                    <w:t>证明材料：</w:t>
                  </w:r>
                </w:p>
                <w:p w14:paraId="0C32E7AA">
                  <w:pPr>
                    <w:wordWrap w:val="0"/>
                    <w:spacing w:line="360" w:lineRule="auto"/>
                    <w:jc w:val="both"/>
                    <w:rPr>
                      <w:rFonts w:ascii="宋体" w:hAnsi="宋体" w:cs="宋体"/>
                      <w:szCs w:val="21"/>
                    </w:rPr>
                  </w:pPr>
                  <w:r>
                    <w:rPr>
                      <w:rFonts w:hint="eastAsia" w:ascii="宋体" w:hAnsi="宋体" w:cs="宋体"/>
                      <w:szCs w:val="21"/>
                    </w:rPr>
                    <w:t>1.</w:t>
                  </w:r>
                  <w:r>
                    <w:rPr>
                      <w:rFonts w:hint="eastAsia" w:ascii="宋体" w:hAnsi="宋体" w:eastAsia="宋体" w:cs="宋体"/>
                    </w:rPr>
                    <w:t>提供有效期内的近一个月（近一个月具体指投标截止日所在月的上一个月起倒算三个月中任意一个月）在投标单位缴纳社保的证明资料（证明资料可为社保收缴部门盖章证明资料、社保窗口打印资料或社保官网截图或税务局开具的代缴社保的完税凭证）；如供应商为新成立单位且成立时间不足一个月的，可提供加盖公章的情况说明或者证明材料亦视为符合，如为退休返聘人员则提供劳动合同或返聘协议（需体现姓名、岗位等信息）；</w:t>
                  </w:r>
                </w:p>
                <w:p w14:paraId="17EE0A99">
                  <w:pPr>
                    <w:wordWrap w:val="0"/>
                    <w:spacing w:line="360" w:lineRule="auto"/>
                    <w:jc w:val="both"/>
                    <w:rPr>
                      <w:rFonts w:ascii="宋体" w:hAnsi="宋体" w:cs="宋体"/>
                      <w:szCs w:val="21"/>
                    </w:rPr>
                  </w:pPr>
                  <w:r>
                    <w:rPr>
                      <w:rFonts w:hint="eastAsia" w:ascii="宋体" w:hAnsi="宋体" w:eastAsia="宋体" w:cs="宋体"/>
                    </w:rPr>
                    <w:t>2.提供拟派项目负责人学历证书以及学信网查询记录（对于较早颁发的学历证书，学信网无法查询的，需提供其他佐证材料，如毕业院校、人社部门等颁发机构或监管机构等单位出具的证明）;如国外学历需提供教育部留学服务中心证明；</w:t>
                  </w:r>
                </w:p>
                <w:p w14:paraId="22195F02">
                  <w:pPr>
                    <w:wordWrap w:val="0"/>
                    <w:spacing w:line="360" w:lineRule="auto"/>
                    <w:jc w:val="both"/>
                    <w:rPr>
                      <w:rFonts w:hint="eastAsia" w:ascii="宋体" w:hAnsi="宋体" w:eastAsia="宋体" w:cs="宋体"/>
                    </w:rPr>
                  </w:pPr>
                  <w:r>
                    <w:rPr>
                      <w:rFonts w:hint="eastAsia" w:ascii="宋体" w:hAnsi="宋体" w:cs="宋体"/>
                      <w:szCs w:val="21"/>
                    </w:rPr>
                    <w:t>3.</w:t>
                  </w:r>
                  <w:r>
                    <w:rPr>
                      <w:rFonts w:hint="eastAsia" w:ascii="宋体" w:hAnsi="宋体" w:eastAsia="宋体" w:cs="宋体"/>
                    </w:rPr>
                    <w:t>提供拟派</w:t>
                  </w:r>
                  <w:r>
                    <w:rPr>
                      <w:rFonts w:hint="eastAsia" w:ascii="宋体" w:hAnsi="宋体" w:cs="宋体"/>
                    </w:rPr>
                    <w:t>项目负责人</w:t>
                  </w:r>
                  <w:r>
                    <w:rPr>
                      <w:rFonts w:hint="eastAsia" w:ascii="宋体" w:hAnsi="宋体" w:eastAsia="宋体" w:cs="宋体"/>
                    </w:rPr>
                    <w:t>相关职称证书扫描件及</w:t>
                  </w:r>
                  <w:r>
                    <w:rPr>
                      <w:rFonts w:ascii="宋体" w:hAnsi="宋体" w:eastAsia="宋体" w:cs="宋体"/>
                    </w:rPr>
                    <w:t>证书在全国人力资源和社会保障政务服务平台（https://12333.gov.cn/）查询截图或人社部门(或职称评审管理部门或职称证书颁发单位)出具的证明材料（或官网查询截图），否则该证书不得分</w:t>
                  </w:r>
                  <w:r>
                    <w:rPr>
                      <w:rFonts w:hint="eastAsia" w:ascii="宋体" w:hAnsi="宋体" w:eastAsia="宋体" w:cs="宋体"/>
                    </w:rPr>
                    <w:t>；</w:t>
                  </w:r>
                </w:p>
                <w:p w14:paraId="41F58FDE">
                  <w:pPr>
                    <w:wordWrap w:val="0"/>
                    <w:spacing w:line="360" w:lineRule="auto"/>
                    <w:jc w:val="both"/>
                    <w:rPr>
                      <w:rFonts w:ascii="宋体" w:hAnsi="宋体" w:cs="宋体"/>
                      <w:szCs w:val="21"/>
                    </w:rPr>
                  </w:pPr>
                  <w:r>
                    <w:rPr>
                      <w:rFonts w:hint="eastAsia" w:ascii="宋体" w:hAnsi="宋体" w:eastAsia="宋体" w:cs="宋体"/>
                    </w:rPr>
                    <w:t>4.</w:t>
                  </w:r>
                  <w:r>
                    <w:rPr>
                      <w:rFonts w:hint="eastAsia" w:ascii="宋体" w:hAnsi="宋体" w:cs="宋体"/>
                      <w:szCs w:val="21"/>
                    </w:rPr>
                    <w:t>涉及考察人员工作经验，要求提供项目合同关键信息作为得分依据，通过合同关键信息无法判断是否得分的，还须同时提供投标人承诺（格式自拟）</w:t>
                  </w:r>
                  <w:r>
                    <w:rPr>
                      <w:rFonts w:hint="eastAsia" w:asciiTheme="minorEastAsia" w:hAnsiTheme="minorEastAsia" w:eastAsiaTheme="minorEastAsia" w:cstheme="minorEastAsia"/>
                    </w:rPr>
                    <w:t>；</w:t>
                  </w:r>
                </w:p>
                <w:p w14:paraId="049D1E87">
                  <w:pPr>
                    <w:keepNext/>
                    <w:keepLines/>
                    <w:wordWrap w:val="0"/>
                    <w:spacing w:line="360" w:lineRule="auto"/>
                    <w:jc w:val="both"/>
                    <w:rPr>
                      <w:rFonts w:ascii="宋体" w:hAnsi="宋体" w:cs="宋体"/>
                      <w:szCs w:val="21"/>
                    </w:rPr>
                  </w:pPr>
                  <w:r>
                    <w:rPr>
                      <w:rFonts w:hint="eastAsia" w:ascii="宋体" w:hAnsi="宋体" w:eastAsia="宋体" w:cs="仿宋"/>
                      <w:szCs w:val="21"/>
                    </w:rPr>
                    <w:t>5</w:t>
                  </w:r>
                  <w:r>
                    <w:rPr>
                      <w:rFonts w:hint="eastAsia" w:ascii="宋体" w:hAnsi="宋体" w:cs="宋体"/>
                      <w:szCs w:val="21"/>
                    </w:rPr>
                    <w:t>.以上资料均要求提供扫描件。评分中出现无证明资料或专家无法凭所提供资料判断是否得分的情况，一律作不得分处理。</w:t>
                  </w:r>
                </w:p>
              </w:tc>
            </w:tr>
            <w:tr w14:paraId="7DCC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5C2F89FE">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26CDBE53">
                  <w:pPr>
                    <w:wordWrap w:val="0"/>
                    <w:spacing w:line="360" w:lineRule="auto"/>
                    <w:jc w:val="center"/>
                    <w:rPr>
                      <w:rFonts w:hint="eastAsia" w:ascii="宋体" w:hAnsi="宋体" w:eastAsia="宋体" w:cs="宋体"/>
                    </w:rPr>
                  </w:pPr>
                </w:p>
              </w:tc>
              <w:tc>
                <w:tcPr>
                  <w:tcW w:w="1198" w:type="dxa"/>
                  <w:tcBorders>
                    <w:top w:val="single" w:color="auto" w:sz="4" w:space="0"/>
                    <w:left w:val="single" w:color="auto" w:sz="4" w:space="0"/>
                    <w:bottom w:val="single" w:color="auto" w:sz="4" w:space="0"/>
                    <w:right w:val="single" w:color="auto" w:sz="4" w:space="0"/>
                  </w:tcBorders>
                  <w:vAlign w:val="center"/>
                </w:tcPr>
                <w:p w14:paraId="3E0B42F4">
                  <w:pPr>
                    <w:wordWrap w:val="0"/>
                    <w:spacing w:line="360" w:lineRule="auto"/>
                    <w:jc w:val="center"/>
                    <w:rPr>
                      <w:rFonts w:ascii="宋体" w:hAnsi="宋体" w:cs="宋体"/>
                      <w:szCs w:val="21"/>
                    </w:rPr>
                  </w:pPr>
                  <w:r>
                    <w:rPr>
                      <w:rFonts w:hint="eastAsia" w:ascii="宋体" w:hAnsi="宋体" w:cs="宋体"/>
                      <w:szCs w:val="21"/>
                    </w:rPr>
                    <w:t>拟安排的项目主要团队成员（主要技术人员）情况（项目负责人除外）</w:t>
                  </w:r>
                </w:p>
              </w:tc>
              <w:tc>
                <w:tcPr>
                  <w:tcW w:w="750" w:type="dxa"/>
                  <w:tcBorders>
                    <w:top w:val="single" w:color="auto" w:sz="4" w:space="0"/>
                    <w:left w:val="single" w:color="auto" w:sz="4" w:space="0"/>
                    <w:bottom w:val="single" w:color="auto" w:sz="4" w:space="0"/>
                    <w:right w:val="single" w:color="auto" w:sz="4" w:space="0"/>
                  </w:tcBorders>
                  <w:vAlign w:val="center"/>
                </w:tcPr>
                <w:p w14:paraId="51146B72">
                  <w:pPr>
                    <w:wordWrap w:val="0"/>
                    <w:spacing w:line="360" w:lineRule="auto"/>
                    <w:jc w:val="center"/>
                    <w:rPr>
                      <w:rFonts w:ascii="宋体" w:hAnsi="宋体" w:cs="宋体"/>
                      <w:szCs w:val="21"/>
                    </w:rPr>
                  </w:pPr>
                  <w:r>
                    <w:rPr>
                      <w:rFonts w:hint="eastAsia" w:ascii="宋体" w:hAnsi="宋体" w:cs="宋体"/>
                      <w:szCs w:val="21"/>
                    </w:rPr>
                    <w:t>18</w:t>
                  </w:r>
                </w:p>
              </w:tc>
              <w:tc>
                <w:tcPr>
                  <w:tcW w:w="5091" w:type="dxa"/>
                  <w:tcBorders>
                    <w:top w:val="single" w:color="auto" w:sz="4" w:space="0"/>
                    <w:left w:val="single" w:color="auto" w:sz="4" w:space="0"/>
                    <w:bottom w:val="single" w:color="auto" w:sz="4" w:space="0"/>
                    <w:right w:val="single" w:color="auto" w:sz="4" w:space="0"/>
                  </w:tcBorders>
                  <w:vAlign w:val="center"/>
                </w:tcPr>
                <w:p w14:paraId="176AE855">
                  <w:pPr>
                    <w:widowControl w:val="0"/>
                    <w:wordWrap w:val="0"/>
                    <w:spacing w:line="360" w:lineRule="auto"/>
                    <w:rPr>
                      <w:rFonts w:ascii="宋体" w:hAnsi="宋体" w:cs="宋体"/>
                      <w:szCs w:val="21"/>
                    </w:rPr>
                  </w:pPr>
                  <w:r>
                    <w:rPr>
                      <w:rFonts w:hint="eastAsia" w:ascii="宋体" w:hAnsi="宋体" w:eastAsia="宋体" w:cs="宋体"/>
                      <w:b/>
                      <w:bCs/>
                    </w:rPr>
                    <w:t>评审标准：</w:t>
                  </w:r>
                </w:p>
                <w:p w14:paraId="7B5FB847">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拟安排项目主要团队成员为投标单位员工，否则该人员情况不计分。</w:t>
                  </w:r>
                </w:p>
                <w:p w14:paraId="222D6CDD">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1.宿管中心主管（1人）</w:t>
                  </w:r>
                </w:p>
                <w:p w14:paraId="43B61182">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（1）具有管理类专业本科（或以上）学历的，得5分；</w:t>
                  </w:r>
                </w:p>
                <w:p w14:paraId="3ACA7D0C">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（2）具有人社部门（或其他具有颁发职称资格的单位）颁发的管理类或经济类专业中级（或以上）职称证书的，得10分；</w:t>
                  </w:r>
                </w:p>
                <w:p w14:paraId="041C828D">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（3）具有政府部门（或事业单位）颁发的应急救援员职业资格证书的得5分。</w:t>
                  </w:r>
                </w:p>
                <w:p w14:paraId="54C91059">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以上（1）-（3）项累计得分，最高得20分。</w:t>
                  </w:r>
                </w:p>
                <w:p w14:paraId="4084F7DB">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2.教务中心主管（1人）</w:t>
                  </w:r>
                </w:p>
                <w:p w14:paraId="48255803">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（1）具有管理类专业本科（或以上）学历的，得5分；</w:t>
                  </w:r>
                </w:p>
                <w:p w14:paraId="5BAE418E">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（2）具有政府部门（或事业单位）颁发的保密相关岗位资格证书（培训内容至少包含计算机保密和保密安全防范技术）的，得10分；</w:t>
                  </w:r>
                </w:p>
                <w:p w14:paraId="2BBDC4AA">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（3）具有人社部（或经人社部门备案的颁证机构）颁发的二级（或以上）</w:t>
                  </w:r>
                  <w:r>
                    <w:rPr>
                      <w:rFonts w:asciiTheme="minorEastAsia" w:hAnsiTheme="minorEastAsia" w:eastAsiaTheme="minorEastAsia" w:cstheme="minorEastAsia"/>
                    </w:rPr>
                    <w:t>客户服务管理师</w:t>
                  </w:r>
                  <w:r>
                    <w:rPr>
                      <w:rFonts w:hint="eastAsia" w:asciiTheme="minorEastAsia" w:hAnsiTheme="minorEastAsia" w:eastAsiaTheme="minorEastAsia" w:cstheme="minorEastAsia"/>
                    </w:rPr>
                    <w:t>职业资格证（或职业技能等级证）的，得5分。</w:t>
                  </w:r>
                </w:p>
                <w:p w14:paraId="2A2E6B20">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以上（1）-（3）项累计得分，最高得20分。</w:t>
                  </w:r>
                </w:p>
                <w:p w14:paraId="51D07B66">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3.场馆中心主管（1人）</w:t>
                  </w:r>
                </w:p>
                <w:p w14:paraId="461ACA8D">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（1）具有教育类专业本科（或以上）学历的，得10分；</w:t>
                  </w:r>
                </w:p>
                <w:p w14:paraId="0CD95C8A">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（2）具有政府部门（或事业单位）颁发的应急救援员职业资格证书的，得5分；</w:t>
                  </w:r>
                </w:p>
                <w:p w14:paraId="09BFE165">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（3）具有人社部门（或其他具有颁发职称资格的单位）颁发的管理类或经济类专业中级（或以上）职称证书的，得5分。</w:t>
                  </w:r>
                </w:p>
                <w:p w14:paraId="21368934">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以上（1）-（3）项累计得分，最高得20分。</w:t>
                  </w:r>
                </w:p>
                <w:p w14:paraId="443A5B7E">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4.会务中心主管（1人）</w:t>
                  </w:r>
                </w:p>
                <w:p w14:paraId="0DD4D52E">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（1）具有管理类专业本科（或以上）学历的，得5分；</w:t>
                  </w:r>
                </w:p>
                <w:p w14:paraId="39030879">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（2）具有人社部门（或其他具有颁发职称资格的单位）颁发的管理类或经济类专业中级（或以上）职称证书的，得5分；</w:t>
                  </w:r>
                </w:p>
                <w:p w14:paraId="4468DDBA">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（3）具有政府部门（或事业单位）颁发的应急救援员职业资格证书的，得5分；</w:t>
                  </w:r>
                </w:p>
                <w:p w14:paraId="060F0543">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（4）英语水平达到大学英语</w:t>
                  </w:r>
                  <w:r>
                    <w:rPr>
                      <w:rFonts w:asciiTheme="minorEastAsia" w:hAnsiTheme="minorEastAsia" w:eastAsiaTheme="minorEastAsia" w:cstheme="minorEastAsia"/>
                    </w:rPr>
                    <w:t>六</w:t>
                  </w:r>
                  <w:r>
                    <w:rPr>
                      <w:rFonts w:hint="eastAsia" w:asciiTheme="minorEastAsia" w:hAnsiTheme="minorEastAsia" w:eastAsiaTheme="minorEastAsia" w:cstheme="minorEastAsia"/>
                    </w:rPr>
                    <w:t>级（分数达425分或以上）或专业英语四级或曾经取得过的托福成绩90分及以上或雅思成绩达到6.5分（或以上）、普通话水平达到</w:t>
                  </w:r>
                  <w:r>
                    <w:rPr>
                      <w:rFonts w:asciiTheme="minorEastAsia" w:hAnsiTheme="minorEastAsia" w:eastAsiaTheme="minorEastAsia" w:cstheme="minorEastAsia"/>
                    </w:rPr>
                    <w:t>普通话水平测试等级</w:t>
                  </w:r>
                  <w:r>
                    <w:rPr>
                      <w:rFonts w:hint="eastAsia" w:asciiTheme="minorEastAsia" w:hAnsiTheme="minorEastAsia" w:eastAsiaTheme="minorEastAsia" w:cstheme="minorEastAsia"/>
                    </w:rPr>
                    <w:t>二级甲等或以上的，得5分。</w:t>
                  </w:r>
                </w:p>
                <w:p w14:paraId="094982E8">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以上（1）-（4）项累计得分，最高得20分。</w:t>
                  </w:r>
                </w:p>
                <w:p w14:paraId="642FAE29">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5.巡查中心主管（1人）</w:t>
                  </w:r>
                </w:p>
                <w:p w14:paraId="1439375C">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（1）具有</w:t>
                  </w:r>
                  <w:r>
                    <w:rPr>
                      <w:rFonts w:asciiTheme="minorEastAsia" w:hAnsiTheme="minorEastAsia" w:eastAsiaTheme="minorEastAsia" w:cstheme="minorEastAsia"/>
                    </w:rPr>
                    <w:t>管理类</w:t>
                  </w:r>
                  <w:r>
                    <w:rPr>
                      <w:rFonts w:hint="eastAsia" w:asciiTheme="minorEastAsia" w:hAnsiTheme="minorEastAsia" w:eastAsiaTheme="minorEastAsia" w:cstheme="minorEastAsia"/>
                    </w:rPr>
                    <w:t>专业本科（或以上）学历的，得10分；</w:t>
                  </w:r>
                </w:p>
                <w:p w14:paraId="720D7D71">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（2）具有人社部门（或其他具有颁发职称资格的单位）颁发的安全管理类专业中级（或以上）工程师职称，得10分。</w:t>
                  </w:r>
                </w:p>
                <w:p w14:paraId="26E11A5F">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以上（1）-（2）项累计得分，最高得20分。</w:t>
                  </w:r>
                </w:p>
                <w:p w14:paraId="24BD7219">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以上内容不同岗位的评分条件不累计计分，仅计算一次。</w:t>
                  </w:r>
                </w:p>
                <w:p w14:paraId="12CEFCC8">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（二）评分依据：</w:t>
                  </w:r>
                </w:p>
                <w:p w14:paraId="29C43403">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1.提供有效期内的近一个月（近一个月具体指投标截止日所在月的上一个月起倒算三个月中任意一个月）在投标单位缴纳社保的证明资料（证明资料可为社保收缴部门盖章证明资料、社保窗口打印资料或社保官网截图或税务局开具的代缴社保的完税凭证）；如供应商为新成立单位且成立时间不足一个月的，可提供加盖公章的情况说明或者证明材料亦视为符合，如为退休返聘人员则提供劳动合同或返聘协议（需体现姓名、岗位等信息）；</w:t>
                  </w:r>
                </w:p>
                <w:p w14:paraId="670C2922">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2.提供拟派相关人员学历证书扫描件以及学信网查询记录（对于较早颁发的学历证书，学信网无法查询的，需提供其他佐证材料，如毕业院校、人社部门等颁发机构或监管机构等单位出具的证明）;如国外学历需提供教育部留学服务中心证明；</w:t>
                  </w:r>
                </w:p>
                <w:p w14:paraId="5892F995">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3.提供拟派团队成员相关职称证书扫描件及</w:t>
                  </w:r>
                  <w:r>
                    <w:rPr>
                      <w:rFonts w:asciiTheme="minorEastAsia" w:hAnsiTheme="minorEastAsia" w:eastAsiaTheme="minorEastAsia" w:cstheme="minorEastAsia"/>
                    </w:rPr>
                    <w:t>证书在全国人力资源和社会保障政务服务平台（https://12333.gov.cn/）查询截图或人社部门(或职称评审管理部门或职称证书颁发单位)出具的证明材料（或官网查询截图）</w:t>
                  </w:r>
                  <w:r>
                    <w:rPr>
                      <w:rFonts w:hint="eastAsia" w:asciiTheme="minorEastAsia" w:hAnsiTheme="minorEastAsia" w:eastAsiaTheme="minorEastAsia" w:cstheme="minorEastAsia"/>
                    </w:rPr>
                    <w:t>（如职称证书为全国统考的专业技术资格证书的，也可提供中国人事</w:t>
                  </w:r>
                  <w:bookmarkStart w:id="99" w:name="_GoBack"/>
                  <w:r>
                    <w:rPr>
                      <w:rFonts w:hint="eastAsia" w:asciiTheme="minorEastAsia" w:hAnsiTheme="minorEastAsia" w:eastAsiaTheme="minorEastAsia" w:cstheme="minorEastAsia"/>
                    </w:rPr>
                    <w:t>考试网“</w:t>
                  </w:r>
                  <w:r>
                    <w:rPr>
                      <w:rFonts w:asciiTheme="minorEastAsia" w:hAnsiTheme="minorEastAsia" w:eastAsiaTheme="minorEastAsia" w:cstheme="minorEastAsia"/>
                      <w:color w:val="auto"/>
                      <w:u w:val="none"/>
                    </w:rPr>
                    <w:t>http://www.cpta.com.cn/certQuery.html</w:t>
                  </w:r>
                  <w:r>
                    <w:rPr>
                      <w:rFonts w:hint="eastAsia" w:asciiTheme="minorEastAsia" w:hAnsiTheme="minorEastAsia" w:eastAsiaTheme="minorEastAsia" w:cstheme="minorEastAsia"/>
                    </w:rPr>
                    <w:t>”的证书查验截图）</w:t>
                  </w:r>
                  <w:r>
                    <w:rPr>
                      <w:rFonts w:asciiTheme="minorEastAsia" w:hAnsiTheme="minorEastAsia" w:eastAsiaTheme="minorEastAsia" w:cstheme="minorEastAsia"/>
                    </w:rPr>
                    <w:t>，否则该证书不得分</w:t>
                  </w:r>
                  <w:r>
                    <w:rPr>
                      <w:rFonts w:hint="eastAsia" w:asciiTheme="minorEastAsia" w:hAnsiTheme="minorEastAsia" w:eastAsiaTheme="minorEastAsia" w:cstheme="minorEastAsia"/>
                    </w:rPr>
                    <w:t>；</w:t>
                  </w:r>
                  <w:bookmarkEnd w:id="99"/>
                </w:p>
                <w:p w14:paraId="197DA91D">
                  <w:pPr>
                    <w:wordWrap w:val="0"/>
                    <w:spacing w:line="360" w:lineRule="auto"/>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rPr>
                    <w:t>4.涉及拟派团队成员的职业资格证书（或职业技能等级证书）提供证书扫描件及在</w:t>
                  </w:r>
                  <w:r>
                    <w:rPr>
                      <w:rFonts w:asciiTheme="minorEastAsia" w:hAnsiTheme="minorEastAsia" w:eastAsiaTheme="minorEastAsia" w:cstheme="minorEastAsia"/>
                    </w:rPr>
                    <w:t>技能人才评价证书全国联网（http://zscx.osta.org.cn/）证书查询截图，否则该证书不得分</w:t>
                  </w:r>
                  <w:r>
                    <w:rPr>
                      <w:rFonts w:hint="eastAsia" w:asciiTheme="minorEastAsia" w:hAnsiTheme="minorEastAsia" w:eastAsiaTheme="minorEastAsia" w:cstheme="minorEastAsia"/>
                    </w:rPr>
                    <w:t>；</w:t>
                  </w:r>
                </w:p>
                <w:p w14:paraId="00FDC069">
                  <w:pPr>
                    <w:pStyle w:val="2"/>
                    <w:jc w:val="both"/>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5.涉及培训合格相关证书的提供证书扫描件；</w:t>
                  </w:r>
                </w:p>
                <w:p w14:paraId="04CD8B2A">
                  <w:pPr>
                    <w:pStyle w:val="2"/>
                    <w:jc w:val="both"/>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6.涉及英语要求的，提供英语等级证书或成绩单；涉及普通话要求的，提供</w:t>
                  </w:r>
                  <w:r>
                    <w:rPr>
                      <w:rFonts w:asciiTheme="minorEastAsia" w:hAnsiTheme="minorEastAsia" w:eastAsiaTheme="minorEastAsia" w:cstheme="minorEastAsia"/>
                      <w:b w:val="0"/>
                      <w:bCs w:val="0"/>
                    </w:rPr>
                    <w:t>普通话水平测试等级证书</w:t>
                  </w:r>
                  <w:r>
                    <w:rPr>
                      <w:rFonts w:hint="eastAsia" w:asciiTheme="minorEastAsia" w:hAnsiTheme="minorEastAsia" w:eastAsiaTheme="minorEastAsia" w:cstheme="minorEastAsia"/>
                      <w:b w:val="0"/>
                      <w:bCs w:val="0"/>
                    </w:rPr>
                    <w:t>扫描件。</w:t>
                  </w:r>
                </w:p>
                <w:p w14:paraId="5C6084A0">
                  <w:pPr>
                    <w:wordWrap w:val="0"/>
                    <w:spacing w:line="360" w:lineRule="auto"/>
                    <w:jc w:val="both"/>
                  </w:pPr>
                  <w:r>
                    <w:rPr>
                      <w:rFonts w:hint="eastAsia" w:asciiTheme="minorEastAsia" w:hAnsiTheme="minorEastAsia" w:eastAsiaTheme="minorEastAsia" w:cstheme="minorEastAsia"/>
                    </w:rPr>
                    <w:t>7.以上资料均要求提供扫描件（除截图外）。评分中出现无证明资料或专家无法凭所提供资料判断是否得分的情况，一律作不得分处理。</w:t>
                  </w:r>
                </w:p>
              </w:tc>
            </w:tr>
            <w:tr w14:paraId="27E1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36FD1F6D">
                  <w:pPr>
                    <w:wordWrap w:val="0"/>
                    <w:spacing w:line="360" w:lineRule="auto"/>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27AB6301">
                  <w:pPr>
                    <w:wordWrap w:val="0"/>
                    <w:spacing w:line="360" w:lineRule="auto"/>
                    <w:jc w:val="center"/>
                    <w:rPr>
                      <w:rFonts w:hint="eastAsia" w:ascii="宋体" w:hAnsi="宋体" w:eastAsia="宋体" w:cs="宋体"/>
                    </w:rPr>
                  </w:pPr>
                </w:p>
              </w:tc>
              <w:tc>
                <w:tcPr>
                  <w:tcW w:w="1198" w:type="dxa"/>
                  <w:tcBorders>
                    <w:top w:val="single" w:color="auto" w:sz="4" w:space="0"/>
                    <w:left w:val="single" w:color="auto" w:sz="4" w:space="0"/>
                    <w:bottom w:val="single" w:color="auto" w:sz="4" w:space="0"/>
                    <w:right w:val="single" w:color="auto" w:sz="4" w:space="0"/>
                  </w:tcBorders>
                  <w:vAlign w:val="center"/>
                </w:tcPr>
                <w:p w14:paraId="7501DEFF">
                  <w:pPr>
                    <w:wordWrap w:val="0"/>
                    <w:spacing w:line="360" w:lineRule="auto"/>
                    <w:jc w:val="center"/>
                    <w:rPr>
                      <w:rFonts w:hint="eastAsia" w:ascii="宋体" w:hAnsi="宋体" w:eastAsia="宋体" w:cs="宋体"/>
                    </w:rPr>
                  </w:pPr>
                  <w:r>
                    <w:rPr>
                      <w:rFonts w:hint="eastAsia" w:ascii="宋体" w:hAnsi="宋体" w:cs="宋体"/>
                      <w:szCs w:val="21"/>
                    </w:rPr>
                    <w:t>服务网点</w:t>
                  </w:r>
                </w:p>
              </w:tc>
              <w:tc>
                <w:tcPr>
                  <w:tcW w:w="750" w:type="dxa"/>
                  <w:tcBorders>
                    <w:top w:val="single" w:color="auto" w:sz="4" w:space="0"/>
                    <w:left w:val="single" w:color="auto" w:sz="4" w:space="0"/>
                    <w:bottom w:val="single" w:color="auto" w:sz="4" w:space="0"/>
                    <w:right w:val="single" w:color="auto" w:sz="4" w:space="0"/>
                  </w:tcBorders>
                  <w:vAlign w:val="center"/>
                </w:tcPr>
                <w:p w14:paraId="63D4E155">
                  <w:pPr>
                    <w:wordWrap w:val="0"/>
                    <w:spacing w:line="360" w:lineRule="auto"/>
                    <w:jc w:val="center"/>
                    <w:rPr>
                      <w:rFonts w:hint="eastAsia" w:ascii="宋体" w:hAnsi="宋体" w:eastAsia="宋体" w:cs="宋体"/>
                    </w:rPr>
                  </w:pPr>
                  <w:r>
                    <w:rPr>
                      <w:rFonts w:ascii="宋体" w:hAnsi="宋体" w:cs="宋体"/>
                      <w:szCs w:val="21"/>
                    </w:rPr>
                    <w:t>2</w:t>
                  </w:r>
                </w:p>
              </w:tc>
              <w:tc>
                <w:tcPr>
                  <w:tcW w:w="5091" w:type="dxa"/>
                  <w:tcBorders>
                    <w:top w:val="single" w:color="auto" w:sz="4" w:space="0"/>
                    <w:left w:val="single" w:color="auto" w:sz="4" w:space="0"/>
                    <w:bottom w:val="single" w:color="auto" w:sz="4" w:space="0"/>
                    <w:right w:val="single" w:color="auto" w:sz="4" w:space="0"/>
                  </w:tcBorders>
                  <w:vAlign w:val="center"/>
                </w:tcPr>
                <w:p w14:paraId="78D56E17">
                  <w:pPr>
                    <w:wordWrap w:val="0"/>
                    <w:spacing w:line="360" w:lineRule="auto"/>
                    <w:rPr>
                      <w:b/>
                      <w:bCs/>
                    </w:rPr>
                  </w:pPr>
                  <w:r>
                    <w:rPr>
                      <w:rFonts w:hint="eastAsia"/>
                      <w:b/>
                      <w:bCs/>
                    </w:rPr>
                    <w:t>评分内容：</w:t>
                  </w:r>
                </w:p>
                <w:p w14:paraId="2EED5DFF">
                  <w:pPr>
                    <w:wordWrap w:val="0"/>
                    <w:spacing w:line="360" w:lineRule="auto"/>
                  </w:pPr>
                  <w:r>
                    <w:rPr>
                      <w:rFonts w:hint="eastAsia"/>
                    </w:rPr>
                    <w:t>投标人为深圳供应商，或非深圳供应商但在深圳有合法注册的分公司（或售后机构）得</w:t>
                  </w:r>
                  <w:r>
                    <w:rPr>
                      <w:rFonts w:hint="eastAsia" w:eastAsia="宋体"/>
                    </w:rPr>
                    <w:t>100</w:t>
                  </w:r>
                  <w:r>
                    <w:rPr>
                      <w:rFonts w:hint="eastAsia"/>
                    </w:rPr>
                    <w:t>分；投标人为非深圳供应商，但承诺中标后在深圳设立本地经营（服务）网点承诺的，得</w:t>
                  </w:r>
                  <w:r>
                    <w:rPr>
                      <w:rFonts w:hint="eastAsia" w:eastAsia="宋体"/>
                    </w:rPr>
                    <w:t>100</w:t>
                  </w:r>
                  <w:r>
                    <w:rPr>
                      <w:rFonts w:hint="eastAsia"/>
                    </w:rPr>
                    <w:t>分；</w:t>
                  </w:r>
                  <w:r>
                    <w:rPr>
                      <w:rFonts w:hint="eastAsia" w:eastAsia="宋体"/>
                    </w:rPr>
                    <w:t>格式自拟</w:t>
                  </w:r>
                  <w:r>
                    <w:rPr>
                      <w:rFonts w:hint="eastAsia"/>
                    </w:rPr>
                    <w:t>，其他情况不得分。</w:t>
                  </w:r>
                </w:p>
                <w:p w14:paraId="633BBA01">
                  <w:pPr>
                    <w:wordWrap w:val="0"/>
                    <w:spacing w:line="360" w:lineRule="auto"/>
                  </w:pPr>
                  <w:r>
                    <w:rPr>
                      <w:rFonts w:hint="eastAsia" w:ascii="宋体" w:hAnsi="宋体" w:eastAsia="宋体" w:cs="宋体"/>
                      <w:b/>
                      <w:bCs/>
                    </w:rPr>
                    <w:t>评分依据</w:t>
                  </w:r>
                  <w:r>
                    <w:rPr>
                      <w:rFonts w:hint="eastAsia"/>
                      <w:b/>
                      <w:bCs/>
                    </w:rPr>
                    <w:t>：</w:t>
                  </w:r>
                </w:p>
                <w:p w14:paraId="055BA550">
                  <w:pPr>
                    <w:wordWrap w:val="0"/>
                    <w:spacing w:line="360" w:lineRule="auto"/>
                    <w:rPr>
                      <w:rFonts w:hint="eastAsia" w:ascii="宋体" w:hAnsi="宋体" w:eastAsia="宋体" w:cs="宋体"/>
                    </w:rPr>
                  </w:pPr>
                  <w:r>
                    <w:rPr>
                      <w:rFonts w:hint="eastAsia" w:ascii="宋体" w:hAnsi="宋体" w:eastAsia="宋体" w:cs="宋体"/>
                    </w:rPr>
                    <w:t>要求供应商在投标文件格式11处提供营业执照或承诺函作为得分依据，不提供承诺函不得分，不作投标无效处理。评分中出现无证明资料或专家无法凭所提供资料判断是否得分的情况，一律作不得分处理</w:t>
                  </w:r>
                  <w:r>
                    <w:t>。</w:t>
                  </w:r>
                </w:p>
              </w:tc>
            </w:tr>
            <w:tr w14:paraId="01FF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1" w:type="dxa"/>
                  <w:vMerge w:val="continue"/>
                  <w:tcBorders>
                    <w:left w:val="single" w:color="auto" w:sz="4" w:space="0"/>
                    <w:right w:val="single" w:color="auto" w:sz="4" w:space="0"/>
                  </w:tcBorders>
                  <w:vAlign w:val="center"/>
                </w:tcPr>
                <w:p w14:paraId="169A35D3">
                  <w:pPr>
                    <w:wordWrap w:val="0"/>
                    <w:spacing w:line="360" w:lineRule="auto"/>
                    <w:jc w:val="center"/>
                    <w:rPr>
                      <w:rFonts w:hint="eastAsia" w:ascii="宋体" w:hAnsi="宋体" w:eastAsia="宋体" w:cs="宋体"/>
                    </w:rPr>
                  </w:pPr>
                </w:p>
              </w:tc>
              <w:tc>
                <w:tcPr>
                  <w:tcW w:w="408" w:type="dxa"/>
                  <w:tcBorders>
                    <w:top w:val="single" w:color="auto" w:sz="4" w:space="0"/>
                    <w:left w:val="single" w:color="auto" w:sz="4" w:space="0"/>
                    <w:bottom w:val="single" w:color="auto" w:sz="4" w:space="0"/>
                    <w:right w:val="single" w:color="auto" w:sz="4" w:space="0"/>
                  </w:tcBorders>
                  <w:vAlign w:val="center"/>
                </w:tcPr>
                <w:p w14:paraId="350F9A52">
                  <w:pPr>
                    <w:wordWrap w:val="0"/>
                    <w:spacing w:line="360" w:lineRule="auto"/>
                    <w:jc w:val="center"/>
                    <w:rPr>
                      <w:rFonts w:hint="eastAsia" w:ascii="宋体" w:hAnsi="宋体" w:eastAsia="宋体" w:cs="宋体"/>
                      <w:kern w:val="2"/>
                    </w:rPr>
                  </w:pPr>
                  <w:r>
                    <w:rPr>
                      <w:rFonts w:hint="eastAsia" w:ascii="宋体" w:hAnsi="宋体" w:eastAsia="宋体" w:cs="宋体"/>
                    </w:rPr>
                    <w:t>5</w:t>
                  </w:r>
                </w:p>
              </w:tc>
              <w:tc>
                <w:tcPr>
                  <w:tcW w:w="1198" w:type="dxa"/>
                  <w:tcBorders>
                    <w:top w:val="single" w:color="auto" w:sz="4" w:space="0"/>
                    <w:left w:val="single" w:color="auto" w:sz="4" w:space="0"/>
                    <w:bottom w:val="single" w:color="auto" w:sz="4" w:space="0"/>
                    <w:right w:val="single" w:color="auto" w:sz="4" w:space="0"/>
                  </w:tcBorders>
                  <w:vAlign w:val="center"/>
                </w:tcPr>
                <w:p w14:paraId="32A01E3F">
                  <w:pPr>
                    <w:wordWrap w:val="0"/>
                    <w:spacing w:line="360" w:lineRule="auto"/>
                    <w:jc w:val="center"/>
                    <w:rPr>
                      <w:rFonts w:hint="eastAsia" w:ascii="宋体" w:hAnsi="宋体" w:eastAsia="宋体" w:cs="宋体"/>
                      <w:kern w:val="2"/>
                    </w:rPr>
                  </w:pPr>
                  <w:r>
                    <w:rPr>
                      <w:rFonts w:hint="eastAsia" w:ascii="宋体" w:hAnsi="宋体" w:eastAsia="宋体" w:cs="宋体"/>
                      <w:bCs/>
                    </w:rPr>
                    <w:t>诚信情况</w:t>
                  </w:r>
                </w:p>
              </w:tc>
              <w:tc>
                <w:tcPr>
                  <w:tcW w:w="750" w:type="dxa"/>
                  <w:tcBorders>
                    <w:top w:val="single" w:color="auto" w:sz="4" w:space="0"/>
                    <w:left w:val="single" w:color="auto" w:sz="4" w:space="0"/>
                    <w:bottom w:val="single" w:color="auto" w:sz="4" w:space="0"/>
                    <w:right w:val="single" w:color="auto" w:sz="4" w:space="0"/>
                  </w:tcBorders>
                  <w:vAlign w:val="center"/>
                </w:tcPr>
                <w:p w14:paraId="43B5244A">
                  <w:pPr>
                    <w:wordWrap w:val="0"/>
                    <w:spacing w:line="360" w:lineRule="auto"/>
                    <w:jc w:val="center"/>
                    <w:rPr>
                      <w:rFonts w:hint="eastAsia" w:ascii="宋体" w:hAnsi="宋体" w:eastAsia="宋体" w:cs="宋体"/>
                      <w:kern w:val="2"/>
                    </w:rPr>
                  </w:pPr>
                  <w:r>
                    <w:rPr>
                      <w:rFonts w:hint="eastAsia" w:ascii="宋体" w:hAnsi="宋体" w:eastAsia="宋体" w:cs="宋体"/>
                      <w:bCs/>
                    </w:rPr>
                    <w:t>5</w:t>
                  </w:r>
                </w:p>
              </w:tc>
              <w:tc>
                <w:tcPr>
                  <w:tcW w:w="5091" w:type="dxa"/>
                  <w:tcBorders>
                    <w:top w:val="single" w:color="auto" w:sz="4" w:space="0"/>
                    <w:left w:val="single" w:color="auto" w:sz="4" w:space="0"/>
                    <w:bottom w:val="single" w:color="auto" w:sz="4" w:space="0"/>
                    <w:right w:val="single" w:color="auto" w:sz="4" w:space="0"/>
                  </w:tcBorders>
                  <w:vAlign w:val="center"/>
                </w:tcPr>
                <w:p w14:paraId="173DF6B7">
                  <w:pPr>
                    <w:wordWrap w:val="0"/>
                    <w:spacing w:line="360" w:lineRule="auto"/>
                    <w:rPr>
                      <w:rFonts w:hint="eastAsia" w:ascii="宋体" w:hAnsi="宋体" w:eastAsia="宋体" w:cs="宋体"/>
                      <w:b/>
                      <w:bCs/>
                      <w:lang w:bidi="ar"/>
                    </w:rPr>
                  </w:pPr>
                  <w:r>
                    <w:rPr>
                      <w:rFonts w:hint="eastAsia" w:ascii="宋体" w:hAnsi="宋体" w:eastAsia="宋体" w:cs="宋体"/>
                      <w:b/>
                      <w:bCs/>
                      <w:lang w:bidi="ar"/>
                    </w:rPr>
                    <w:t>评分内容:</w:t>
                  </w:r>
                </w:p>
                <w:p w14:paraId="3F2E7710">
                  <w:pPr>
                    <w:wordWrap w:val="0"/>
                    <w:spacing w:line="360" w:lineRule="auto"/>
                    <w:rPr>
                      <w:rFonts w:hint="eastAsia" w:ascii="宋体" w:hAnsi="宋体" w:eastAsia="宋体" w:cs="宋体"/>
                      <w:lang w:bidi="ar"/>
                    </w:rPr>
                  </w:pPr>
                  <w:r>
                    <w:rPr>
                      <w:rFonts w:hint="eastAsia" w:ascii="宋体" w:hAnsi="宋体" w:eastAsia="宋体" w:cs="宋体"/>
                      <w:lang w:bidi="ar"/>
                    </w:rPr>
                    <w:t>根据《深圳市财政局关于印发&lt;深圳市财政局政府采购供应商信用信息管理办法&gt;的通知》(深财规(2023)3号)相关规定，如供应商在全国范围内存在因政府采购违法、违规行为受到财政部门罚款等一般行政处罚信息，或者存在该办法第十一条所称在本市集中采购活动中的一般违法失信行为记录信息，且在公示期内的，本项不得分，否则得 100分。</w:t>
                  </w:r>
                </w:p>
                <w:p w14:paraId="749A7D92">
                  <w:pPr>
                    <w:wordWrap w:val="0"/>
                    <w:spacing w:line="360" w:lineRule="auto"/>
                    <w:rPr>
                      <w:rFonts w:hint="eastAsia" w:ascii="宋体" w:hAnsi="宋体" w:eastAsia="宋体" w:cs="宋体"/>
                      <w:b/>
                      <w:bCs/>
                      <w:lang w:bidi="ar"/>
                    </w:rPr>
                  </w:pPr>
                  <w:r>
                    <w:rPr>
                      <w:rFonts w:hint="eastAsia" w:ascii="宋体" w:hAnsi="宋体" w:eastAsia="宋体" w:cs="宋体"/>
                      <w:b/>
                      <w:bCs/>
                      <w:lang w:bidi="ar"/>
                    </w:rPr>
                    <w:t>评分依据:</w:t>
                  </w:r>
                </w:p>
                <w:p w14:paraId="65D0454B">
                  <w:pPr>
                    <w:wordWrap w:val="0"/>
                    <w:spacing w:line="360" w:lineRule="auto"/>
                    <w:rPr>
                      <w:rFonts w:hint="eastAsia" w:ascii="宋体" w:hAnsi="宋体" w:eastAsia="宋体" w:cs="宋体"/>
                      <w:b/>
                      <w:bCs/>
                      <w:lang w:bidi="ar"/>
                    </w:rPr>
                  </w:pPr>
                  <w:r>
                    <w:rPr>
                      <w:rFonts w:hint="eastAsia" w:ascii="宋体" w:hAnsi="宋体" w:eastAsia="宋体" w:cs="宋体"/>
                      <w:lang w:bidi="ar"/>
                    </w:rPr>
                    <w:t>查询渠道:采购代理机构通过“信用中国”、“中国政府采购网”、“深圳市政府采购监管网”查询供应商信用信息，信用信息以开标当日的查询结果为准。投标人无需提供证明材料。</w:t>
                  </w:r>
                </w:p>
              </w:tc>
            </w:tr>
          </w:tbl>
          <w:p w14:paraId="394C30A4">
            <w:pPr>
              <w:rPr>
                <w:rFonts w:hint="eastAsia" w:ascii="宋体" w:hAnsi="宋体" w:eastAsia="宋体" w:cs="宋体"/>
                <w:sz w:val="18"/>
                <w:szCs w:val="18"/>
              </w:rPr>
            </w:pPr>
          </w:p>
        </w:tc>
      </w:tr>
    </w:tbl>
    <w:p w14:paraId="11D4BE2C">
      <w:pPr>
        <w:ind w:leftChars="-295" w:hanging="708" w:hangingChars="295"/>
        <w:rPr>
          <w:rFonts w:hint="eastAsia" w:ascii="宋体" w:hAnsi="宋体" w:eastAsia="宋体" w:cs="宋体"/>
        </w:rPr>
      </w:pPr>
    </w:p>
    <w:p w14:paraId="2990483F">
      <w:pPr>
        <w:rPr>
          <w:rFonts w:hint="eastAsia" w:ascii="宋体" w:hAnsi="宋体" w:eastAsia="宋体" w:cs="宋体"/>
        </w:rPr>
      </w:pPr>
    </w:p>
    <w:p w14:paraId="1F305D73">
      <w:pPr>
        <w:pStyle w:val="7"/>
        <w:jc w:val="center"/>
        <w:rPr>
          <w:rFonts w:hint="eastAsia" w:ascii="宋体" w:hAnsi="宋体" w:eastAsia="宋体" w:cs="宋体"/>
          <w:szCs w:val="32"/>
        </w:rPr>
      </w:pPr>
      <w:r>
        <w:rPr>
          <w:rFonts w:hint="eastAsia" w:ascii="宋体" w:hAnsi="宋体" w:eastAsia="宋体" w:cs="宋体"/>
          <w:szCs w:val="32"/>
        </w:rPr>
        <w:t>其它关键信息</w:t>
      </w:r>
    </w:p>
    <w:p w14:paraId="1D7DBFF9">
      <w:pPr>
        <w:spacing w:line="360" w:lineRule="auto"/>
        <w:jc w:val="center"/>
        <w:rPr>
          <w:rFonts w:hint="eastAsia" w:ascii="宋体" w:hAnsi="宋体" w:eastAsia="宋体" w:cs="宋体"/>
          <w:b/>
          <w:bCs/>
        </w:rPr>
      </w:pPr>
      <w:r>
        <w:rPr>
          <w:rFonts w:hint="eastAsia" w:ascii="宋体" w:hAnsi="宋体" w:eastAsia="宋体" w:cs="宋体"/>
          <w:b/>
          <w:bCs/>
        </w:rPr>
        <w:t>一、评标定标信息</w:t>
      </w:r>
    </w:p>
    <w:p w14:paraId="7C3A79F6">
      <w:pPr>
        <w:jc w:val="center"/>
        <w:rPr>
          <w:rFonts w:hint="eastAsia" w:ascii="宋体" w:hAnsi="宋体" w:eastAsia="宋体" w:cs="宋体"/>
        </w:rPr>
      </w:pPr>
    </w:p>
    <w:p w14:paraId="6A65CFA5">
      <w:pPr>
        <w:numPr>
          <w:ilvl w:val="0"/>
          <w:numId w:val="3"/>
        </w:numPr>
        <w:jc w:val="center"/>
        <w:rPr>
          <w:rFonts w:hint="eastAsia" w:ascii="宋体" w:hAnsi="宋体" w:eastAsia="宋体" w:cs="宋体"/>
        </w:rPr>
      </w:pPr>
      <w:r>
        <w:rPr>
          <w:rFonts w:hint="eastAsia" w:ascii="宋体" w:hAnsi="宋体" w:eastAsia="宋体" w:cs="宋体"/>
        </w:rPr>
        <w:t>非评定分离项目</w:t>
      </w:r>
    </w:p>
    <w:p w14:paraId="5EDBE1C1">
      <w:pPr>
        <w:numPr>
          <w:ilvl w:val="255"/>
          <w:numId w:val="0"/>
        </w:numPr>
        <w:jc w:val="both"/>
        <w:rPr>
          <w:rFonts w:hint="eastAsia" w:ascii="宋体" w:hAnsi="宋体" w:eastAsia="宋体" w:cs="宋体"/>
        </w:rPr>
      </w:pPr>
    </w:p>
    <w:tbl>
      <w:tblPr>
        <w:tblStyle w:val="2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3DED2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tcPr>
          <w:p w14:paraId="347089C6">
            <w:pPr>
              <w:widowControl w:val="0"/>
              <w:jc w:val="center"/>
              <w:rPr>
                <w:rFonts w:hint="eastAsia" w:ascii="宋体" w:hAnsi="宋体" w:eastAsia="宋体" w:cs="宋体"/>
              </w:rPr>
            </w:pPr>
            <w:r>
              <w:rPr>
                <w:rFonts w:hint="eastAsia" w:ascii="宋体" w:hAnsi="宋体" w:eastAsia="宋体" w:cs="宋体"/>
              </w:rPr>
              <w:t>评标方法</w:t>
            </w:r>
          </w:p>
        </w:tc>
        <w:tc>
          <w:tcPr>
            <w:tcW w:w="4261" w:type="dxa"/>
          </w:tcPr>
          <w:p w14:paraId="5C62308B">
            <w:pPr>
              <w:widowControl w:val="0"/>
              <w:jc w:val="center"/>
              <w:rPr>
                <w:rFonts w:hint="eastAsia" w:ascii="宋体" w:hAnsi="宋体" w:eastAsia="宋体" w:cs="宋体"/>
              </w:rPr>
            </w:pPr>
            <w:r>
              <w:rPr>
                <w:rFonts w:hint="eastAsia" w:ascii="宋体" w:hAnsi="宋体" w:eastAsia="宋体" w:cs="宋体"/>
              </w:rPr>
              <w:t>综合评分法</w:t>
            </w:r>
          </w:p>
        </w:tc>
      </w:tr>
      <w:tr w14:paraId="3BE22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4DEAECD1">
            <w:pPr>
              <w:widowControl w:val="0"/>
              <w:jc w:val="center"/>
              <w:rPr>
                <w:rFonts w:hint="eastAsia" w:ascii="宋体" w:hAnsi="宋体" w:eastAsia="宋体" w:cs="宋体"/>
              </w:rPr>
            </w:pPr>
            <w:r>
              <w:rPr>
                <w:rFonts w:hint="eastAsia" w:ascii="宋体" w:hAnsi="宋体" w:eastAsia="宋体" w:cs="宋体"/>
              </w:rPr>
              <w:t>候选中标供应商家数</w:t>
            </w:r>
          </w:p>
        </w:tc>
        <w:tc>
          <w:tcPr>
            <w:tcW w:w="4261" w:type="dxa"/>
          </w:tcPr>
          <w:p w14:paraId="488BF27B">
            <w:pPr>
              <w:widowControl w:val="0"/>
              <w:jc w:val="center"/>
              <w:rPr>
                <w:rFonts w:hint="eastAsia" w:ascii="宋体" w:hAnsi="宋体" w:eastAsia="宋体" w:cs="宋体"/>
              </w:rPr>
            </w:pPr>
            <w:r>
              <w:rPr>
                <w:rFonts w:hint="eastAsia" w:ascii="宋体" w:hAnsi="宋体" w:eastAsia="宋体" w:cs="宋体"/>
              </w:rPr>
              <w:t>3</w:t>
            </w:r>
          </w:p>
        </w:tc>
      </w:tr>
      <w:tr w14:paraId="1324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E5A6020">
            <w:pPr>
              <w:widowControl w:val="0"/>
              <w:jc w:val="center"/>
              <w:rPr>
                <w:rFonts w:hint="eastAsia" w:ascii="宋体" w:hAnsi="宋体" w:eastAsia="宋体" w:cs="宋体"/>
              </w:rPr>
            </w:pPr>
            <w:r>
              <w:rPr>
                <w:rFonts w:hint="eastAsia" w:ascii="宋体" w:hAnsi="宋体" w:eastAsia="宋体" w:cs="宋体"/>
              </w:rPr>
              <w:t>中标供应商家数</w:t>
            </w:r>
          </w:p>
        </w:tc>
        <w:tc>
          <w:tcPr>
            <w:tcW w:w="4261" w:type="dxa"/>
          </w:tcPr>
          <w:p w14:paraId="1C26AF6D">
            <w:pPr>
              <w:widowControl w:val="0"/>
              <w:jc w:val="center"/>
              <w:rPr>
                <w:rFonts w:hint="eastAsia" w:ascii="宋体" w:hAnsi="宋体" w:eastAsia="宋体" w:cs="宋体"/>
              </w:rPr>
            </w:pPr>
            <w:r>
              <w:rPr>
                <w:rFonts w:hint="eastAsia" w:ascii="宋体" w:hAnsi="宋体" w:eastAsia="宋体" w:cs="宋体"/>
              </w:rPr>
              <w:t>1</w:t>
            </w:r>
          </w:p>
        </w:tc>
      </w:tr>
    </w:tbl>
    <w:p w14:paraId="016FB4F4">
      <w:pPr>
        <w:rPr>
          <w:rFonts w:hint="eastAsia" w:ascii="宋体" w:hAnsi="宋体" w:eastAsia="宋体" w:cs="宋体"/>
        </w:rPr>
      </w:pPr>
    </w:p>
    <w:p w14:paraId="357DAA5D">
      <w:pPr>
        <w:jc w:val="center"/>
        <w:rPr>
          <w:rFonts w:hint="eastAsia" w:ascii="宋体" w:hAnsi="宋体" w:eastAsia="宋体" w:cs="宋体"/>
        </w:rPr>
      </w:pPr>
      <w:r>
        <w:rPr>
          <w:rFonts w:hint="eastAsia" w:ascii="宋体" w:hAnsi="宋体" w:eastAsia="宋体" w:cs="宋体"/>
        </w:rPr>
        <w:t>（二）定标方法</w:t>
      </w:r>
    </w:p>
    <w:p w14:paraId="30FD94B1">
      <w:pPr>
        <w:spacing w:line="360" w:lineRule="auto"/>
        <w:ind w:firstLine="470" w:firstLineChars="196"/>
        <w:rPr>
          <w:rFonts w:hint="eastAsia" w:ascii="宋体" w:hAnsi="宋体" w:eastAsia="宋体" w:cs="宋体"/>
          <w:szCs w:val="21"/>
        </w:rPr>
      </w:pPr>
      <w:bookmarkStart w:id="1" w:name="_Hlk73782795"/>
      <w:r>
        <w:rPr>
          <w:rFonts w:hint="eastAsia" w:ascii="宋体" w:hAnsi="宋体" w:eastAsia="宋体" w:cs="宋体"/>
          <w:szCs w:val="21"/>
        </w:rPr>
        <w:t>1.1非评定分离项目定标方法</w:t>
      </w:r>
    </w:p>
    <w:p w14:paraId="0B3E269E">
      <w:pPr>
        <w:spacing w:line="360" w:lineRule="auto"/>
        <w:ind w:firstLine="470" w:firstLineChars="196"/>
        <w:rPr>
          <w:rFonts w:hint="eastAsia" w:ascii="宋体" w:hAnsi="宋体" w:eastAsia="宋体" w:cs="宋体"/>
        </w:rPr>
      </w:pPr>
      <w:r>
        <w:rPr>
          <w:rFonts w:hint="eastAsia" w:ascii="宋体" w:hAnsi="宋体" w:eastAsia="宋体" w:cs="宋体"/>
          <w:szCs w:val="21"/>
        </w:rPr>
        <w:t>1.1.1采</w:t>
      </w:r>
      <w:r>
        <w:rPr>
          <w:rFonts w:hint="eastAsia" w:ascii="宋体" w:hAnsi="宋体" w:eastAsia="宋体" w:cs="宋体"/>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供应商（排名第二的投标人为第一替补中标候选人、排名第三的投标人为第二替补中标候选人）。出现得分且投标报价相同的并列情况时，采取随机抽取的方式确定，具体操作办法及流程由评审委员会确定。</w:t>
      </w:r>
    </w:p>
    <w:p w14:paraId="6A5C267B">
      <w:pPr>
        <w:spacing w:line="360" w:lineRule="auto"/>
        <w:ind w:firstLine="470" w:firstLineChars="196"/>
        <w:rPr>
          <w:rFonts w:hint="eastAsia" w:ascii="宋体" w:hAnsi="宋体" w:eastAsia="宋体" w:cs="宋体"/>
          <w:szCs w:val="21"/>
        </w:rPr>
      </w:pPr>
      <w:r>
        <w:rPr>
          <w:rFonts w:hint="eastAsia" w:ascii="宋体" w:hAnsi="宋体" w:eastAsia="宋体" w:cs="宋体"/>
          <w:szCs w:val="21"/>
        </w:rPr>
        <w:t>1.2评定分离项目定标方法</w:t>
      </w:r>
    </w:p>
    <w:p w14:paraId="6C3D2787">
      <w:pPr>
        <w:spacing w:line="360" w:lineRule="auto"/>
        <w:ind w:firstLine="470" w:firstLineChars="196"/>
        <w:rPr>
          <w:rFonts w:hint="eastAsia" w:ascii="宋体" w:hAnsi="宋体" w:eastAsia="宋体" w:cs="宋体"/>
          <w:szCs w:val="21"/>
        </w:rPr>
      </w:pPr>
      <w:r>
        <w:rPr>
          <w:rFonts w:hint="eastAsia" w:ascii="宋体" w:hAnsi="宋体" w:eastAsia="宋体" w:cs="宋体"/>
          <w:szCs w:val="21"/>
        </w:rPr>
        <w:t>1.2.1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01226700">
      <w:pPr>
        <w:spacing w:line="360" w:lineRule="auto"/>
        <w:ind w:firstLine="470" w:firstLineChars="196"/>
        <w:rPr>
          <w:rFonts w:hint="eastAsia" w:ascii="宋体" w:hAnsi="宋体" w:eastAsia="宋体" w:cs="宋体"/>
        </w:rPr>
      </w:pPr>
      <w:r>
        <w:rPr>
          <w:rFonts w:hint="eastAsia" w:ascii="宋体" w:hAnsi="宋体" w:eastAsia="宋体" w:cs="宋体"/>
          <w:szCs w:val="21"/>
        </w:rPr>
        <w:t xml:space="preserve">1.2.2 </w:t>
      </w:r>
      <w:bookmarkStart w:id="2" w:name="_Hlk71469733"/>
      <w:r>
        <w:rPr>
          <w:rFonts w:hint="eastAsia" w:ascii="宋体" w:hAnsi="宋体" w:eastAsia="宋体" w:cs="宋体"/>
        </w:rPr>
        <w:t>适用评定分离的政府采购项目，采用综合评分法评审。</w:t>
      </w:r>
      <w:r>
        <w:rPr>
          <w:rFonts w:hint="eastAsia" w:ascii="宋体" w:hAnsi="宋体" w:eastAsia="宋体" w:cs="宋体"/>
          <w:szCs w:val="21"/>
        </w:rPr>
        <w:t>评审委员会按照评审结果，推荐</w:t>
      </w:r>
      <w:r>
        <w:rPr>
          <w:rFonts w:hint="eastAsia" w:ascii="宋体" w:hAnsi="宋体" w:eastAsia="宋体" w:cs="宋体"/>
        </w:rPr>
        <w:t>三个合格的候选中标供应商。</w:t>
      </w:r>
    </w:p>
    <w:p w14:paraId="1FD60F58">
      <w:pPr>
        <w:spacing w:line="360" w:lineRule="auto"/>
        <w:ind w:firstLine="470" w:firstLineChars="196"/>
        <w:rPr>
          <w:rFonts w:hint="eastAsia" w:ascii="宋体" w:hAnsi="宋体" w:eastAsia="宋体" w:cs="宋体"/>
          <w:szCs w:val="21"/>
        </w:rPr>
      </w:pPr>
      <w:r>
        <w:rPr>
          <w:rFonts w:hint="eastAsia" w:ascii="宋体" w:hAnsi="宋体" w:eastAsia="宋体" w:cs="宋体"/>
          <w:szCs w:val="21"/>
        </w:rPr>
        <w:t>1.2.3</w:t>
      </w:r>
      <w:bookmarkStart w:id="3" w:name="_Hlk71469688"/>
      <w:r>
        <w:rPr>
          <w:rFonts w:hint="eastAsia" w:ascii="宋体" w:hAnsi="宋体" w:eastAsia="宋体" w:cs="宋体"/>
        </w:rPr>
        <w:t>适用评定分离的政府采购项目，</w:t>
      </w:r>
      <w:r>
        <w:rPr>
          <w:rFonts w:hint="eastAsia" w:ascii="宋体" w:hAnsi="宋体" w:eastAsia="宋体" w:cs="宋体"/>
          <w:szCs w:val="21"/>
        </w:rPr>
        <w:t>按照自定法确定中标供应商：自定法是指采购人组织定标委员会，由定标委员会在三家候选中标供应商中确定中标供应商。</w:t>
      </w:r>
      <w:bookmarkEnd w:id="2"/>
      <w:bookmarkEnd w:id="3"/>
    </w:p>
    <w:p w14:paraId="72175A1D">
      <w:pPr>
        <w:spacing w:line="360" w:lineRule="auto"/>
        <w:ind w:firstLine="470" w:firstLineChars="196"/>
        <w:rPr>
          <w:rFonts w:hint="eastAsia" w:ascii="宋体" w:hAnsi="宋体" w:eastAsia="宋体" w:cs="宋体"/>
          <w:szCs w:val="21"/>
        </w:rPr>
      </w:pPr>
      <w:r>
        <w:rPr>
          <w:rFonts w:hint="eastAsia" w:ascii="宋体" w:hAnsi="宋体" w:eastAsia="宋体" w:cs="宋体"/>
          <w:szCs w:val="21"/>
        </w:rPr>
        <w:t>1.2.4代理机构</w:t>
      </w:r>
      <w:r>
        <w:rPr>
          <w:rFonts w:hint="eastAsia" w:ascii="宋体" w:hAnsi="宋体" w:eastAsia="宋体" w:cs="宋体"/>
        </w:rPr>
        <w:t>应当自评审结束之日起两个工作日内将候选中标供应商名单及其投标文件、评审报告送交采购人</w:t>
      </w:r>
      <w:r>
        <w:rPr>
          <w:rFonts w:hint="eastAsia" w:ascii="宋体" w:hAnsi="宋体" w:eastAsia="宋体" w:cs="宋体"/>
          <w:szCs w:val="21"/>
        </w:rPr>
        <w:t>。</w:t>
      </w:r>
      <w:r>
        <w:rPr>
          <w:rFonts w:hint="eastAsia" w:ascii="宋体" w:hAnsi="宋体" w:eastAsia="宋体" w:cs="宋体"/>
        </w:rPr>
        <w:t>采购人应当安排专人对定标过程进行书面记录，形成定标报告，作为采购文件的组成部分存档，并及时将定标结果反馈代理机构。具体定标程序及相关要求以按照《深圳市财政局关于印发〈深圳市政府采购评标定标分离管理办法〉的通知》（深财规【2020】1号）执行。</w:t>
      </w:r>
    </w:p>
    <w:p w14:paraId="04E90A41">
      <w:pPr>
        <w:spacing w:line="360" w:lineRule="auto"/>
        <w:ind w:firstLine="470" w:firstLineChars="196"/>
        <w:rPr>
          <w:rFonts w:hint="eastAsia" w:ascii="宋体" w:hAnsi="宋体" w:eastAsia="宋体" w:cs="宋体"/>
          <w:szCs w:val="21"/>
        </w:rPr>
      </w:pPr>
      <w:r>
        <w:rPr>
          <w:rFonts w:hint="eastAsia" w:ascii="宋体" w:hAnsi="宋体" w:eastAsia="宋体" w:cs="宋体"/>
          <w:szCs w:val="21"/>
        </w:rPr>
        <w:t>说明：采购人及投标供应商应按照上述方法提前做好相关准备。</w:t>
      </w:r>
    </w:p>
    <w:p w14:paraId="7B3B1748">
      <w:pPr>
        <w:spacing w:line="360" w:lineRule="auto"/>
        <w:ind w:firstLine="470" w:firstLineChars="196"/>
        <w:rPr>
          <w:rFonts w:hint="eastAsia" w:ascii="宋体" w:hAnsi="宋体" w:eastAsia="宋体" w:cs="宋体"/>
          <w:szCs w:val="21"/>
        </w:rPr>
      </w:pPr>
      <w:r>
        <w:rPr>
          <w:rFonts w:hint="eastAsia" w:ascii="宋体" w:hAnsi="宋体" w:eastAsia="宋体" w:cs="宋体"/>
          <w:szCs w:val="21"/>
        </w:rPr>
        <w:t>1.3专用条款另有规定的，按专用条款相关要求定标。</w:t>
      </w:r>
      <w:bookmarkEnd w:id="1"/>
    </w:p>
    <w:p w14:paraId="24F923C9">
      <w:pPr>
        <w:spacing w:line="360" w:lineRule="auto"/>
        <w:ind w:firstLine="2168" w:firstLineChars="900"/>
        <w:rPr>
          <w:rFonts w:hint="eastAsia" w:ascii="宋体" w:hAnsi="宋体" w:eastAsia="宋体" w:cs="宋体"/>
          <w:b/>
        </w:rPr>
      </w:pPr>
    </w:p>
    <w:p w14:paraId="04DEAEF7">
      <w:pPr>
        <w:spacing w:line="360" w:lineRule="auto"/>
        <w:jc w:val="center"/>
        <w:rPr>
          <w:rFonts w:hint="eastAsia" w:ascii="宋体" w:hAnsi="宋体" w:eastAsia="宋体" w:cs="宋体"/>
          <w:b/>
        </w:rPr>
      </w:pPr>
      <w:bookmarkStart w:id="4" w:name="_Hlk60239043"/>
      <w:r>
        <w:rPr>
          <w:rFonts w:hint="eastAsia" w:ascii="宋体" w:hAnsi="宋体" w:eastAsia="宋体" w:cs="宋体"/>
          <w:b/>
        </w:rPr>
        <w:t>二、关于享受优惠政策的主体及价格扣除比例</w:t>
      </w:r>
    </w:p>
    <w:bookmarkEnd w:id="4"/>
    <w:p w14:paraId="6DEADE25">
      <w:pPr>
        <w:spacing w:line="360" w:lineRule="auto"/>
        <w:ind w:firstLine="480" w:firstLineChars="200"/>
        <w:rPr>
          <w:rFonts w:hint="eastAsia" w:ascii="宋体" w:hAnsi="宋体" w:eastAsia="宋体" w:cs="宋体"/>
        </w:rPr>
      </w:pPr>
      <w:r>
        <w:rPr>
          <w:rFonts w:hint="eastAsia" w:ascii="宋体" w:hAnsi="宋体" w:eastAsia="宋体" w:cs="宋体"/>
        </w:rPr>
        <w:t xml:space="preserve">    （1）投标人提供的服务</w:t>
      </w:r>
      <w:r>
        <w:rPr>
          <w:rFonts w:hint="eastAsia" w:ascii="宋体" w:hAnsi="宋体" w:eastAsia="宋体" w:cs="宋体"/>
          <w:b/>
        </w:rPr>
        <w:t>全部</w:t>
      </w:r>
      <w:r>
        <w:rPr>
          <w:rFonts w:hint="eastAsia" w:ascii="宋体" w:hAnsi="宋体" w:eastAsia="宋体" w:cs="宋体"/>
        </w:rPr>
        <w:t>均由优惠主体承接，则对其投标总价给予</w:t>
      </w:r>
      <w:r>
        <w:rPr>
          <w:rFonts w:hint="eastAsia" w:ascii="宋体" w:hAnsi="宋体" w:eastAsia="宋体" w:cs="宋体"/>
          <w:color w:val="FF0000"/>
          <w:u w:val="single"/>
        </w:rPr>
        <w:t xml:space="preserve">  10 %</w:t>
      </w:r>
      <w:r>
        <w:rPr>
          <w:rFonts w:hint="eastAsia" w:ascii="宋体" w:hAnsi="宋体" w:eastAsia="宋体" w:cs="宋体"/>
        </w:rPr>
        <w:t>的扣除，用扣除后的价格参与评审。满足多项优惠政策的企业，不重复享受多项价格扣除政策。</w:t>
      </w:r>
    </w:p>
    <w:p w14:paraId="665915EB">
      <w:pPr>
        <w:spacing w:line="360" w:lineRule="auto"/>
        <w:ind w:firstLine="480" w:firstLineChars="200"/>
        <w:rPr>
          <w:rFonts w:hint="eastAsia" w:ascii="宋体" w:hAnsi="宋体" w:eastAsia="宋体" w:cs="宋体"/>
        </w:rPr>
      </w:pPr>
      <w:r>
        <w:rPr>
          <w:rFonts w:hint="eastAsia" w:ascii="宋体" w:hAnsi="宋体" w:eastAsia="宋体" w:cs="宋体"/>
        </w:rPr>
        <w:t>备注：（a）优惠主体包括小型企业、微型企业、监狱企业、残疾人福利性单位；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b)优惠主体承接是指提供服务的人员为中小企业依照《中华人民共和国劳动合同法》订立劳动合同的从业人员。</w:t>
      </w:r>
    </w:p>
    <w:p w14:paraId="02AAC88B">
      <w:pPr>
        <w:spacing w:line="360" w:lineRule="auto"/>
        <w:ind w:firstLine="480" w:firstLineChars="200"/>
        <w:rPr>
          <w:rFonts w:hint="eastAsia" w:ascii="宋体" w:hAnsi="宋体" w:eastAsia="宋体" w:cs="宋体"/>
          <w:highlight w:val="yellow"/>
        </w:rPr>
      </w:pPr>
      <w:r>
        <w:rPr>
          <w:rFonts w:hint="eastAsia" w:ascii="宋体" w:hAnsi="宋体" w:eastAsia="宋体" w:cs="宋体"/>
        </w:rPr>
        <w:t>（2）根据《工业和信息化部、国家统计局、国家发展和改革委员会、财政部关于印发中小企业划型标准规定的通知》（工信部联企业〔2011〕300 号），本项目采购标的（服务需求）对应的中小企业划分标准所属行业为</w:t>
      </w:r>
      <w:r>
        <w:rPr>
          <w:rFonts w:hint="eastAsia" w:ascii="宋体" w:hAnsi="宋体" w:eastAsia="宋体" w:cs="宋体"/>
          <w:u w:val="single"/>
        </w:rPr>
        <w:t>商务服务业</w:t>
      </w:r>
      <w:r>
        <w:rPr>
          <w:rFonts w:hint="eastAsia" w:ascii="宋体" w:hAnsi="宋体" w:eastAsia="宋体" w:cs="宋体"/>
          <w:szCs w:val="21"/>
        </w:rPr>
        <w:t>。</w:t>
      </w:r>
    </w:p>
    <w:p w14:paraId="6CDC2CBF">
      <w:pPr>
        <w:spacing w:line="360" w:lineRule="auto"/>
        <w:ind w:firstLine="480" w:firstLineChars="200"/>
        <w:rPr>
          <w:rFonts w:hint="eastAsia" w:ascii="宋体" w:hAnsi="宋体" w:eastAsia="宋体" w:cs="宋体"/>
        </w:rPr>
      </w:pPr>
      <w:r>
        <w:rPr>
          <w:rFonts w:hint="eastAsia" w:ascii="宋体" w:hAnsi="宋体" w:eastAsia="宋体" w:cs="宋体"/>
        </w:rPr>
        <w:t>（3）小型企业、微型企业、残疾人福利性单位作为优惠主体的认定资料为《中小企业声明函》、《残疾人福利性单位声明函》；监狱企业作为优惠主体的认定资料为省级以上监狱管理局、戒毒管理局出具的监狱企业证明文件。声明函样式见本招标文件第三章“投标文件格式、附件”中“四、投标人情况介绍及资格要求”章节提供的格式）。</w:t>
      </w:r>
    </w:p>
    <w:p w14:paraId="55AD9AB1">
      <w:pPr>
        <w:spacing w:line="360" w:lineRule="auto"/>
        <w:ind w:firstLine="480" w:firstLineChars="200"/>
        <w:rPr>
          <w:rFonts w:hint="eastAsia" w:ascii="宋体" w:hAnsi="宋体" w:eastAsia="宋体" w:cs="宋体"/>
        </w:rPr>
      </w:pPr>
      <w:r>
        <w:rPr>
          <w:rFonts w:hint="eastAsia" w:ascii="宋体" w:hAnsi="宋体" w:eastAsia="宋体" w:cs="宋体"/>
        </w:rPr>
        <w:t>（4）享受价格扣除获得政府采购合同的，小微企业不得将合同分包给大中型企业。</w:t>
      </w:r>
    </w:p>
    <w:p w14:paraId="00145A16">
      <w:pPr>
        <w:spacing w:line="360" w:lineRule="auto"/>
        <w:ind w:firstLine="480" w:firstLineChars="200"/>
        <w:rPr>
          <w:rFonts w:hint="eastAsia" w:ascii="宋体" w:hAnsi="宋体" w:eastAsia="宋体" w:cs="宋体"/>
        </w:rPr>
      </w:pPr>
      <w:r>
        <w:rPr>
          <w:rFonts w:hint="eastAsia" w:ascii="宋体" w:hAnsi="宋体" w:eastAsia="宋体" w:cs="宋体"/>
        </w:rPr>
        <w:t>（5）联合体投标的情况下：1、联合体各方均为优惠主体的，该联合体视同为优惠主体享受同比例价格扣除；2、联合体共同投标协议中明确注明约定优惠主体的协议合同金额占到联合体协议总金额30%以上的，对该联合体的投标总价给予</w:t>
      </w:r>
      <w:r>
        <w:rPr>
          <w:rFonts w:hint="eastAsia" w:ascii="宋体" w:hAnsi="宋体" w:eastAsia="宋体" w:cs="宋体"/>
          <w:color w:val="FF0000"/>
          <w:u w:val="single"/>
        </w:rPr>
        <w:t xml:space="preserve">  / %</w:t>
      </w:r>
      <w:r>
        <w:rPr>
          <w:rFonts w:hint="eastAsia" w:ascii="宋体" w:hAnsi="宋体" w:eastAsia="宋体" w:cs="宋体"/>
        </w:rPr>
        <w:t>的扣除，用扣除后的价格参与评审。</w:t>
      </w:r>
    </w:p>
    <w:p w14:paraId="27D0B30B">
      <w:pPr>
        <w:spacing w:line="360" w:lineRule="auto"/>
        <w:ind w:firstLine="480" w:firstLineChars="200"/>
        <w:rPr>
          <w:rFonts w:hint="eastAsia" w:ascii="宋体" w:hAnsi="宋体" w:eastAsia="宋体" w:cs="宋体"/>
        </w:rPr>
      </w:pPr>
    </w:p>
    <w:p w14:paraId="0C71778E">
      <w:pPr>
        <w:spacing w:line="360" w:lineRule="auto"/>
        <w:rPr>
          <w:rFonts w:hint="eastAsia" w:ascii="宋体" w:hAnsi="宋体" w:eastAsia="宋体" w:cs="宋体"/>
          <w:b/>
        </w:rPr>
      </w:pPr>
      <w:bookmarkStart w:id="5" w:name="_Hlk60239158"/>
    </w:p>
    <w:p w14:paraId="7804396E">
      <w:pPr>
        <w:spacing w:line="360" w:lineRule="auto"/>
        <w:jc w:val="center"/>
        <w:rPr>
          <w:rFonts w:hint="eastAsia" w:ascii="宋体" w:hAnsi="宋体" w:eastAsia="宋体" w:cs="宋体"/>
          <w:b/>
          <w:color w:val="000000"/>
        </w:rPr>
      </w:pPr>
      <w:r>
        <w:rPr>
          <w:rFonts w:hint="eastAsia" w:ascii="宋体" w:hAnsi="宋体" w:eastAsia="宋体" w:cs="宋体"/>
          <w:b/>
          <w:color w:val="000000"/>
        </w:rPr>
        <w:t>三、其他说明</w:t>
      </w:r>
    </w:p>
    <w:bookmarkEnd w:id="5"/>
    <w:p w14:paraId="551C2FAA">
      <w:pPr>
        <w:spacing w:line="360" w:lineRule="auto"/>
        <w:ind w:firstLine="480" w:firstLineChars="200"/>
        <w:rPr>
          <w:rFonts w:hint="eastAsia" w:ascii="宋体" w:hAnsi="宋体" w:eastAsia="宋体" w:cs="宋体"/>
        </w:rPr>
      </w:pPr>
      <w:bookmarkStart w:id="6" w:name="_Hlk60328216"/>
      <w:r>
        <w:rPr>
          <w:rFonts w:hint="eastAsia" w:ascii="宋体" w:hAnsi="宋体" w:eastAsia="宋体" w:cs="宋体"/>
        </w:rPr>
        <w:t>1.鼓励采购人积极运用公共信用信息，明确对信用记录良好的投标人（特别是中小微企业）免收履约保证金，确需收取履约保证金的，列明通过保函等非现金方式收取；</w:t>
      </w:r>
    </w:p>
    <w:p w14:paraId="355D6C98">
      <w:pPr>
        <w:spacing w:line="360" w:lineRule="auto"/>
        <w:ind w:firstLine="480" w:firstLineChars="200"/>
        <w:rPr>
          <w:rFonts w:hint="eastAsia" w:ascii="宋体" w:hAnsi="宋体" w:eastAsia="宋体" w:cs="宋体"/>
        </w:rPr>
      </w:pPr>
      <w:r>
        <w:rPr>
          <w:rFonts w:hint="eastAsia" w:ascii="宋体" w:hAnsi="宋体" w:eastAsia="宋体" w:cs="宋体"/>
        </w:rPr>
        <w:t>2.在采购合同中明确对上述企业加大首付款或预付款比例，具体由采购人根据项目实际情况确定。</w:t>
      </w:r>
    </w:p>
    <w:p w14:paraId="5C1BC2E8">
      <w:pPr>
        <w:spacing w:line="360" w:lineRule="auto"/>
        <w:ind w:firstLine="480" w:firstLineChars="200"/>
        <w:rPr>
          <w:rFonts w:hint="eastAsia" w:ascii="宋体" w:hAnsi="宋体" w:eastAsia="宋体" w:cs="宋体"/>
        </w:rPr>
      </w:pPr>
      <w:r>
        <w:rPr>
          <w:rFonts w:hint="eastAsia" w:ascii="宋体" w:hAnsi="宋体" w:eastAsia="宋体" w:cs="宋体"/>
        </w:rPr>
        <w:t>3.采购人拟采购的服务（工程）中，如涉及《关于调整优化节能产品环境标志产品政府采购执行机制的通知》（财库〔2019〕9号）中的产品，要依据该通知要求执行。</w:t>
      </w:r>
    </w:p>
    <w:bookmarkEnd w:id="6"/>
    <w:p w14:paraId="30112742">
      <w:pPr>
        <w:rPr>
          <w:rFonts w:hint="eastAsia" w:ascii="宋体" w:hAnsi="宋体" w:eastAsia="宋体" w:cs="宋体"/>
          <w:b/>
        </w:rPr>
      </w:pPr>
      <w:r>
        <w:rPr>
          <w:rFonts w:hint="eastAsia" w:ascii="宋体" w:hAnsi="宋体" w:eastAsia="宋体" w:cs="宋体"/>
          <w:b/>
        </w:rPr>
        <w:br w:type="page"/>
      </w:r>
    </w:p>
    <w:p w14:paraId="1D1BD4D0">
      <w:pPr>
        <w:pStyle w:val="4"/>
        <w:rPr>
          <w:rFonts w:hint="eastAsia" w:ascii="宋体" w:hAnsi="宋体" w:eastAsia="宋体" w:cs="宋体"/>
        </w:rPr>
      </w:pPr>
      <w:r>
        <w:rPr>
          <w:rFonts w:hint="eastAsia" w:ascii="宋体" w:hAnsi="宋体" w:eastAsia="宋体" w:cs="宋体"/>
        </w:rPr>
        <w:t>目   录</w:t>
      </w:r>
    </w:p>
    <w:p w14:paraId="4FBFEE21">
      <w:pPr>
        <w:spacing w:line="360" w:lineRule="auto"/>
        <w:rPr>
          <w:rFonts w:hint="eastAsia" w:ascii="宋体" w:hAnsi="宋体" w:eastAsia="宋体" w:cs="宋体"/>
          <w:b/>
        </w:rPr>
      </w:pPr>
      <w:r>
        <w:rPr>
          <w:rFonts w:hint="eastAsia" w:ascii="宋体" w:hAnsi="宋体" w:eastAsia="宋体" w:cs="宋体"/>
          <w:b/>
        </w:rPr>
        <w:t>第一册  专用条款</w:t>
      </w:r>
    </w:p>
    <w:p w14:paraId="111F352B">
      <w:pPr>
        <w:spacing w:line="360" w:lineRule="auto"/>
        <w:rPr>
          <w:rFonts w:hint="eastAsia" w:ascii="宋体" w:hAnsi="宋体" w:eastAsia="宋体" w:cs="宋体"/>
        </w:rPr>
      </w:pPr>
      <w:r>
        <w:rPr>
          <w:rFonts w:hint="eastAsia" w:ascii="宋体" w:hAnsi="宋体" w:eastAsia="宋体" w:cs="宋体"/>
        </w:rPr>
        <w:t xml:space="preserve">          关键信息</w:t>
      </w:r>
    </w:p>
    <w:p w14:paraId="7547698A">
      <w:pPr>
        <w:spacing w:line="360" w:lineRule="auto"/>
        <w:ind w:left="720" w:leftChars="300" w:firstLine="720" w:firstLineChars="300"/>
        <w:rPr>
          <w:rFonts w:hint="eastAsia" w:ascii="宋体" w:hAnsi="宋体" w:eastAsia="宋体" w:cs="宋体"/>
          <w:szCs w:val="21"/>
        </w:rPr>
      </w:pPr>
      <w:r>
        <w:rPr>
          <w:rFonts w:hint="eastAsia" w:ascii="宋体" w:hAnsi="宋体" w:eastAsia="宋体" w:cs="宋体"/>
          <w:szCs w:val="21"/>
        </w:rPr>
        <w:t>第一章  招标公告</w:t>
      </w:r>
    </w:p>
    <w:p w14:paraId="4FA8D8CE">
      <w:pPr>
        <w:spacing w:line="360" w:lineRule="auto"/>
        <w:ind w:left="720" w:leftChars="300" w:firstLine="720" w:firstLineChars="300"/>
        <w:rPr>
          <w:rFonts w:hint="eastAsia" w:ascii="宋体" w:hAnsi="宋体" w:eastAsia="宋体" w:cs="宋体"/>
          <w:szCs w:val="21"/>
        </w:rPr>
      </w:pPr>
      <w:r>
        <w:rPr>
          <w:rFonts w:hint="eastAsia" w:ascii="宋体" w:hAnsi="宋体" w:eastAsia="宋体" w:cs="宋体"/>
          <w:szCs w:val="21"/>
        </w:rPr>
        <w:t>第二章  招标项目需求</w:t>
      </w:r>
    </w:p>
    <w:p w14:paraId="1B92327A">
      <w:pPr>
        <w:spacing w:line="360" w:lineRule="auto"/>
        <w:ind w:left="720" w:leftChars="300" w:firstLine="720" w:firstLineChars="300"/>
        <w:rPr>
          <w:rFonts w:hint="eastAsia" w:ascii="宋体" w:hAnsi="宋体" w:eastAsia="宋体" w:cs="宋体"/>
          <w:szCs w:val="21"/>
        </w:rPr>
      </w:pPr>
      <w:r>
        <w:rPr>
          <w:rFonts w:hint="eastAsia" w:ascii="宋体" w:hAnsi="宋体" w:eastAsia="宋体" w:cs="宋体"/>
          <w:szCs w:val="21"/>
        </w:rPr>
        <w:t>第三章  投标文件格式、附件</w:t>
      </w:r>
    </w:p>
    <w:p w14:paraId="52A72B6A">
      <w:pPr>
        <w:spacing w:line="360" w:lineRule="auto"/>
        <w:ind w:left="720" w:leftChars="300" w:firstLine="720" w:firstLineChars="300"/>
        <w:rPr>
          <w:rFonts w:hint="eastAsia" w:ascii="宋体" w:hAnsi="宋体" w:eastAsia="宋体" w:cs="宋体"/>
          <w:szCs w:val="21"/>
        </w:rPr>
      </w:pPr>
      <w:r>
        <w:rPr>
          <w:rFonts w:hint="eastAsia" w:ascii="宋体" w:hAnsi="宋体" w:eastAsia="宋体" w:cs="宋体"/>
          <w:szCs w:val="21"/>
        </w:rPr>
        <w:t>第四章  政府采购合同的签订、履行及验收</w:t>
      </w:r>
    </w:p>
    <w:p w14:paraId="72396B14">
      <w:pPr>
        <w:spacing w:line="360" w:lineRule="auto"/>
        <w:rPr>
          <w:rFonts w:hint="eastAsia" w:ascii="宋体" w:hAnsi="宋体" w:eastAsia="宋体" w:cs="宋体"/>
          <w:b/>
        </w:rPr>
      </w:pPr>
    </w:p>
    <w:p w14:paraId="1FCDDBD9">
      <w:pPr>
        <w:spacing w:line="360" w:lineRule="auto"/>
        <w:rPr>
          <w:rFonts w:hint="eastAsia" w:ascii="宋体" w:hAnsi="宋体" w:eastAsia="宋体" w:cs="宋体"/>
          <w:b/>
        </w:rPr>
      </w:pPr>
      <w:r>
        <w:rPr>
          <w:rFonts w:hint="eastAsia" w:ascii="宋体" w:hAnsi="宋体" w:eastAsia="宋体" w:cs="宋体"/>
          <w:b/>
        </w:rPr>
        <w:t>第二册  通用条款</w:t>
      </w:r>
    </w:p>
    <w:p w14:paraId="3777D7CB">
      <w:pPr>
        <w:spacing w:line="360" w:lineRule="auto"/>
        <w:ind w:left="960" w:leftChars="400"/>
        <w:rPr>
          <w:rFonts w:hint="eastAsia" w:ascii="宋体" w:hAnsi="宋体" w:eastAsia="宋体" w:cs="宋体"/>
        </w:rPr>
      </w:pPr>
      <w:r>
        <w:rPr>
          <w:rFonts w:hint="eastAsia" w:ascii="宋体" w:hAnsi="宋体" w:eastAsia="宋体" w:cs="宋体"/>
        </w:rPr>
        <w:t xml:space="preserve">    第一章  总则</w:t>
      </w:r>
    </w:p>
    <w:p w14:paraId="0B9E56EC">
      <w:pPr>
        <w:spacing w:line="360" w:lineRule="auto"/>
        <w:ind w:firstLine="1440" w:firstLineChars="600"/>
        <w:rPr>
          <w:rFonts w:hint="eastAsia" w:ascii="宋体" w:hAnsi="宋体" w:eastAsia="宋体" w:cs="宋体"/>
        </w:rPr>
      </w:pPr>
      <w:r>
        <w:rPr>
          <w:rFonts w:hint="eastAsia" w:ascii="宋体" w:hAnsi="宋体" w:eastAsia="宋体" w:cs="宋体"/>
        </w:rPr>
        <w:t>第二章  招标文件</w:t>
      </w:r>
    </w:p>
    <w:p w14:paraId="54795CD9">
      <w:pPr>
        <w:spacing w:line="360" w:lineRule="auto"/>
        <w:ind w:firstLine="1440" w:firstLineChars="600"/>
        <w:rPr>
          <w:rFonts w:hint="eastAsia" w:ascii="宋体" w:hAnsi="宋体" w:eastAsia="宋体" w:cs="宋体"/>
        </w:rPr>
      </w:pPr>
      <w:r>
        <w:rPr>
          <w:rFonts w:hint="eastAsia" w:ascii="宋体" w:hAnsi="宋体" w:eastAsia="宋体" w:cs="宋体"/>
        </w:rPr>
        <w:t>第三章  投标文件的编制</w:t>
      </w:r>
    </w:p>
    <w:p w14:paraId="4EEBC4C0">
      <w:pPr>
        <w:spacing w:line="360" w:lineRule="auto"/>
        <w:ind w:firstLine="1440" w:firstLineChars="600"/>
        <w:rPr>
          <w:rFonts w:hint="eastAsia" w:ascii="宋体" w:hAnsi="宋体" w:eastAsia="宋体" w:cs="宋体"/>
        </w:rPr>
      </w:pPr>
      <w:r>
        <w:rPr>
          <w:rFonts w:hint="eastAsia" w:ascii="宋体" w:hAnsi="宋体" w:eastAsia="宋体" w:cs="宋体"/>
        </w:rPr>
        <w:t>第四章  投标文件的递交</w:t>
      </w:r>
    </w:p>
    <w:p w14:paraId="45E7E45F">
      <w:pPr>
        <w:spacing w:line="360" w:lineRule="auto"/>
        <w:ind w:firstLine="1440" w:firstLineChars="600"/>
        <w:rPr>
          <w:rFonts w:hint="eastAsia" w:ascii="宋体" w:hAnsi="宋体" w:eastAsia="宋体" w:cs="宋体"/>
        </w:rPr>
      </w:pPr>
      <w:r>
        <w:rPr>
          <w:rFonts w:hint="eastAsia" w:ascii="宋体" w:hAnsi="宋体" w:eastAsia="宋体" w:cs="宋体"/>
        </w:rPr>
        <w:t>第五章  开标</w:t>
      </w:r>
    </w:p>
    <w:p w14:paraId="6C30FC8E">
      <w:pPr>
        <w:spacing w:line="360" w:lineRule="auto"/>
        <w:ind w:firstLine="1440" w:firstLineChars="600"/>
        <w:rPr>
          <w:rFonts w:hint="eastAsia" w:ascii="宋体" w:hAnsi="宋体" w:eastAsia="宋体" w:cs="宋体"/>
        </w:rPr>
      </w:pPr>
      <w:r>
        <w:rPr>
          <w:rFonts w:hint="eastAsia" w:ascii="宋体" w:hAnsi="宋体" w:eastAsia="宋体" w:cs="宋体"/>
        </w:rPr>
        <w:t>第六章  评审要求</w:t>
      </w:r>
    </w:p>
    <w:p w14:paraId="2E55D0F1">
      <w:pPr>
        <w:spacing w:line="360" w:lineRule="auto"/>
        <w:ind w:firstLine="1440" w:firstLineChars="600"/>
        <w:rPr>
          <w:rFonts w:hint="eastAsia" w:ascii="宋体" w:hAnsi="宋体" w:eastAsia="宋体" w:cs="宋体"/>
        </w:rPr>
      </w:pPr>
      <w:r>
        <w:rPr>
          <w:rFonts w:hint="eastAsia" w:ascii="宋体" w:hAnsi="宋体" w:eastAsia="宋体" w:cs="宋体"/>
        </w:rPr>
        <w:t>第七章  评审程序及评审方法</w:t>
      </w:r>
    </w:p>
    <w:p w14:paraId="2D3D830C">
      <w:pPr>
        <w:spacing w:line="360" w:lineRule="auto"/>
        <w:ind w:firstLine="1440" w:firstLineChars="600"/>
        <w:rPr>
          <w:rFonts w:hint="eastAsia" w:ascii="宋体" w:hAnsi="宋体" w:eastAsia="宋体" w:cs="宋体"/>
        </w:rPr>
      </w:pPr>
      <w:r>
        <w:rPr>
          <w:rFonts w:hint="eastAsia" w:ascii="宋体" w:hAnsi="宋体" w:eastAsia="宋体" w:cs="宋体"/>
        </w:rPr>
        <w:t>第八章  定标及公示</w:t>
      </w:r>
    </w:p>
    <w:p w14:paraId="2BD92081">
      <w:pPr>
        <w:spacing w:line="360" w:lineRule="auto"/>
        <w:ind w:firstLine="1440" w:firstLineChars="600"/>
        <w:rPr>
          <w:rFonts w:hint="eastAsia" w:ascii="宋体" w:hAnsi="宋体" w:eastAsia="宋体" w:cs="宋体"/>
        </w:rPr>
      </w:pPr>
      <w:r>
        <w:rPr>
          <w:rFonts w:hint="eastAsia" w:ascii="宋体" w:hAnsi="宋体" w:eastAsia="宋体" w:cs="宋体"/>
        </w:rPr>
        <w:t>第九章  公开招标失败的后续处理</w:t>
      </w:r>
    </w:p>
    <w:p w14:paraId="43C0B0BB">
      <w:pPr>
        <w:spacing w:line="360" w:lineRule="auto"/>
        <w:ind w:firstLine="1440" w:firstLineChars="600"/>
        <w:rPr>
          <w:rFonts w:hint="eastAsia" w:ascii="宋体" w:hAnsi="宋体" w:eastAsia="宋体" w:cs="宋体"/>
        </w:rPr>
      </w:pPr>
      <w:r>
        <w:rPr>
          <w:rFonts w:hint="eastAsia" w:ascii="宋体" w:hAnsi="宋体" w:eastAsia="宋体" w:cs="宋体"/>
        </w:rPr>
        <w:t>第十章  合同的授予与备案</w:t>
      </w:r>
    </w:p>
    <w:p w14:paraId="5248D4CB">
      <w:pPr>
        <w:spacing w:line="360" w:lineRule="auto"/>
        <w:ind w:firstLine="1440" w:firstLineChars="600"/>
        <w:rPr>
          <w:rFonts w:hint="eastAsia" w:ascii="宋体" w:hAnsi="宋体" w:eastAsia="宋体" w:cs="宋体"/>
          <w:szCs w:val="21"/>
        </w:rPr>
      </w:pPr>
      <w:r>
        <w:rPr>
          <w:rFonts w:hint="eastAsia" w:ascii="宋体" w:hAnsi="宋体" w:eastAsia="宋体" w:cs="宋体"/>
        </w:rPr>
        <w:t>第十一章  质疑处理</w:t>
      </w:r>
    </w:p>
    <w:p w14:paraId="4F1847F0">
      <w:pPr>
        <w:spacing w:line="360" w:lineRule="auto"/>
        <w:rPr>
          <w:rFonts w:hint="eastAsia" w:ascii="宋体" w:hAnsi="宋体" w:eastAsia="宋体" w:cs="宋体"/>
          <w:szCs w:val="21"/>
        </w:rPr>
      </w:pPr>
    </w:p>
    <w:p w14:paraId="718C9402">
      <w:pPr>
        <w:spacing w:line="360" w:lineRule="auto"/>
        <w:rPr>
          <w:rFonts w:hint="eastAsia" w:ascii="宋体" w:hAnsi="宋体" w:eastAsia="宋体" w:cs="宋体"/>
          <w:b/>
        </w:rPr>
      </w:pPr>
      <w:r>
        <w:rPr>
          <w:rFonts w:hint="eastAsia" w:ascii="宋体" w:hAnsi="宋体" w:eastAsia="宋体" w:cs="宋体"/>
          <w:b/>
        </w:rPr>
        <w:t>备注：</w:t>
      </w:r>
    </w:p>
    <w:p w14:paraId="3916F80E">
      <w:pPr>
        <w:spacing w:line="360" w:lineRule="auto"/>
        <w:ind w:firstLine="480" w:firstLineChars="200"/>
        <w:rPr>
          <w:rFonts w:hint="eastAsia" w:ascii="宋体" w:hAnsi="宋体" w:eastAsia="宋体" w:cs="宋体"/>
          <w:b/>
        </w:rPr>
      </w:pPr>
      <w:r>
        <w:rPr>
          <w:rFonts w:hint="eastAsia" w:ascii="宋体" w:hAnsi="宋体" w:eastAsia="宋体" w:cs="宋体"/>
          <w:szCs w:val="21"/>
        </w:rPr>
        <w:t>1.本招标文件分为第一册“专用条款”和第二册“通用条款”。</w:t>
      </w:r>
    </w:p>
    <w:p w14:paraId="4136F725">
      <w:pPr>
        <w:spacing w:line="360" w:lineRule="auto"/>
        <w:ind w:firstLine="480" w:firstLineChars="200"/>
        <w:rPr>
          <w:rFonts w:hint="eastAsia" w:ascii="宋体" w:hAnsi="宋体" w:eastAsia="宋体" w:cs="宋体"/>
          <w:szCs w:val="21"/>
        </w:rPr>
      </w:pPr>
      <w:r>
        <w:rPr>
          <w:rFonts w:hint="eastAsia" w:ascii="宋体" w:hAnsi="宋体" w:eastAsia="宋体" w:cs="宋体"/>
          <w:szCs w:val="21"/>
        </w:rPr>
        <w:t>2.“专用条款”是对本次采购项目的具体要求，包含招标公告、招标项目需求、投标文件格式、合同条款及格式、附件等内容。</w:t>
      </w:r>
    </w:p>
    <w:p w14:paraId="74B419E9">
      <w:pPr>
        <w:spacing w:line="360" w:lineRule="auto"/>
        <w:ind w:firstLine="480" w:firstLineChars="200"/>
        <w:rPr>
          <w:rFonts w:hint="eastAsia" w:ascii="宋体" w:hAnsi="宋体" w:eastAsia="宋体" w:cs="宋体"/>
          <w:szCs w:val="21"/>
        </w:rPr>
      </w:pPr>
      <w:r>
        <w:rPr>
          <w:rFonts w:hint="eastAsia" w:ascii="宋体" w:hAnsi="宋体" w:eastAsia="宋体" w:cs="宋体"/>
          <w:szCs w:val="21"/>
        </w:rPr>
        <w:t>3.“通用条款”是通用于政府采购项目的基础性条款，具有普遍性和通用性。</w:t>
      </w:r>
    </w:p>
    <w:p w14:paraId="3C52E6D2">
      <w:pPr>
        <w:spacing w:line="360" w:lineRule="auto"/>
        <w:ind w:firstLine="480" w:firstLineChars="200"/>
        <w:rPr>
          <w:rFonts w:hint="eastAsia" w:ascii="宋体" w:hAnsi="宋体" w:eastAsia="宋体" w:cs="宋体"/>
          <w:szCs w:val="21"/>
        </w:rPr>
      </w:pPr>
      <w:r>
        <w:rPr>
          <w:rFonts w:hint="eastAsia" w:ascii="宋体" w:hAnsi="宋体" w:eastAsia="宋体" w:cs="宋体"/>
          <w:szCs w:val="21"/>
        </w:rPr>
        <w:t>4.当出现“专用条款”和“通用条款”表述不一致或有冲突时，以“专用条款”为准。</w:t>
      </w:r>
    </w:p>
    <w:p w14:paraId="536DE4C6">
      <w:pPr>
        <w:pStyle w:val="4"/>
        <w:rPr>
          <w:rFonts w:hint="eastAsia" w:ascii="宋体" w:hAnsi="宋体" w:eastAsia="宋体" w:cs="宋体"/>
        </w:rPr>
      </w:pPr>
      <w:r>
        <w:rPr>
          <w:rFonts w:hint="eastAsia" w:ascii="宋体" w:hAnsi="宋体" w:eastAsia="宋体" w:cs="宋体"/>
        </w:rPr>
        <w:br w:type="page"/>
      </w:r>
      <w:bookmarkStart w:id="7" w:name="bt商务标投标文件格式"/>
      <w:bookmarkEnd w:id="7"/>
      <w:bookmarkStart w:id="8" w:name="bt投标函"/>
      <w:bookmarkEnd w:id="8"/>
      <w:bookmarkStart w:id="9" w:name="bt合同格式"/>
      <w:bookmarkEnd w:id="9"/>
      <w:bookmarkStart w:id="10" w:name="bt技术标投标文件格式"/>
      <w:bookmarkEnd w:id="10"/>
      <w:bookmarkStart w:id="11" w:name="bt开标一览表"/>
      <w:bookmarkEnd w:id="11"/>
      <w:bookmarkStart w:id="12" w:name="bt其他资料2"/>
      <w:bookmarkEnd w:id="12"/>
      <w:bookmarkStart w:id="13" w:name="bt投标人须知"/>
      <w:bookmarkEnd w:id="13"/>
      <w:bookmarkStart w:id="14" w:name="bt投标人情况介绍"/>
      <w:bookmarkEnd w:id="14"/>
      <w:bookmarkStart w:id="15" w:name="bt投标文件签署授权委托书"/>
      <w:bookmarkEnd w:id="15"/>
      <w:bookmarkStart w:id="16" w:name="bt本工程承诺书"/>
      <w:bookmarkEnd w:id="16"/>
      <w:bookmarkStart w:id="17" w:name="bt投标报价汇总表"/>
      <w:bookmarkEnd w:id="17"/>
      <w:bookmarkStart w:id="18" w:name="bt合同条款"/>
      <w:bookmarkEnd w:id="18"/>
      <w:bookmarkStart w:id="19" w:name="bt合同条款及格式"/>
      <w:bookmarkEnd w:id="19"/>
      <w:bookmarkStart w:id="20" w:name="合同格式"/>
      <w:bookmarkEnd w:id="20"/>
      <w:bookmarkStart w:id="21" w:name="bt项目管理班子配备情况"/>
      <w:bookmarkEnd w:id="21"/>
      <w:bookmarkStart w:id="22" w:name="bt说明"/>
      <w:bookmarkEnd w:id="22"/>
      <w:bookmarkStart w:id="23" w:name="bt其他资料由投标人自定"/>
      <w:bookmarkEnd w:id="23"/>
      <w:r>
        <w:rPr>
          <w:rFonts w:hint="eastAsia" w:ascii="宋体" w:hAnsi="宋体" w:eastAsia="宋体" w:cs="宋体"/>
          <w:b/>
          <w:bCs/>
          <w:sz w:val="28"/>
          <w:szCs w:val="28"/>
        </w:rPr>
        <w:t>第一册  专用条款</w:t>
      </w:r>
    </w:p>
    <w:p w14:paraId="39EE5BA5">
      <w:pPr>
        <w:pStyle w:val="5"/>
        <w:rPr>
          <w:rFonts w:hint="eastAsia" w:cs="宋体"/>
          <w:szCs w:val="28"/>
        </w:rPr>
      </w:pPr>
      <w:r>
        <w:rPr>
          <w:rFonts w:hint="eastAsia" w:cs="宋体"/>
          <w:szCs w:val="28"/>
        </w:rPr>
        <w:t>第一章  招标公告</w:t>
      </w:r>
    </w:p>
    <w:p w14:paraId="083E8902">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szCs w:val="21"/>
        </w:rPr>
        <w:t>深圳市南科大资产经营管理有限公司（以下简称“采购代理机构”）受采购人委托，就南方科技大学教学及学生生活管理服务项目进行公开招标，欢迎符合资格条件的投标人前来投标。南方科技大学教学及学生生活管理服务项目的潜在投标人应登录</w:t>
      </w:r>
      <w:r>
        <w:rPr>
          <w:rFonts w:hint="eastAsia" w:ascii="宋体" w:hAnsi="宋体" w:eastAsia="宋体" w:cs="宋体"/>
        </w:rPr>
        <w:t>深圳政府采购智慧平台（http://zfcg.szggzy.com:8081/）</w:t>
      </w:r>
      <w:r>
        <w:rPr>
          <w:rFonts w:hint="eastAsia" w:ascii="宋体" w:hAnsi="宋体" w:eastAsia="宋体" w:cs="宋体"/>
          <w:szCs w:val="21"/>
        </w:rPr>
        <w:t>下载获取本项目的招标文件</w:t>
      </w:r>
      <w:r>
        <w:rPr>
          <w:rFonts w:hint="eastAsia" w:ascii="宋体" w:hAnsi="宋体" w:eastAsia="宋体" w:cs="宋体"/>
          <w:color w:val="000000" w:themeColor="text1"/>
          <w:szCs w:val="21"/>
          <w14:textFill>
            <w14:solidFill>
              <w14:schemeClr w14:val="tx1"/>
            </w14:solidFill>
          </w14:textFill>
        </w:rPr>
        <w:t>，并于</w:t>
      </w:r>
      <w:r>
        <w:rPr>
          <w:rFonts w:hint="eastAsia" w:ascii="宋体" w:hAnsi="宋体" w:eastAsia="宋体" w:cs="宋体"/>
          <w:szCs w:val="21"/>
        </w:rPr>
        <w:t>2026年月日</w:t>
      </w:r>
      <w:r>
        <w:rPr>
          <w:rFonts w:hint="eastAsia" w:ascii="宋体" w:hAnsi="宋体" w:eastAsia="宋体" w:cs="宋体"/>
          <w:lang w:bidi="ar"/>
        </w:rPr>
        <w:t>09:00</w:t>
      </w:r>
      <w:r>
        <w:rPr>
          <w:rFonts w:hint="eastAsia" w:ascii="宋体" w:hAnsi="宋体" w:eastAsia="宋体" w:cs="宋体"/>
          <w:szCs w:val="21"/>
        </w:rPr>
        <w:t>（北京时间）</w:t>
      </w:r>
      <w:r>
        <w:rPr>
          <w:rFonts w:hint="eastAsia" w:ascii="宋体" w:hAnsi="宋体" w:eastAsia="宋体" w:cs="宋体"/>
          <w:color w:val="000000" w:themeColor="text1"/>
          <w:szCs w:val="21"/>
          <w14:textFill>
            <w14:solidFill>
              <w14:schemeClr w14:val="tx1"/>
            </w14:solidFill>
          </w14:textFill>
        </w:rPr>
        <w:t>前递交投标文件。</w:t>
      </w:r>
    </w:p>
    <w:p w14:paraId="621AD0D0">
      <w:pPr>
        <w:spacing w:before="260" w:after="260" w:line="360" w:lineRule="auto"/>
        <w:outlineLvl w:val="2"/>
        <w:rPr>
          <w:rFonts w:hint="eastAsia" w:ascii="宋体" w:hAnsi="宋体" w:eastAsia="宋体" w:cs="宋体"/>
          <w:b/>
          <w:bCs/>
        </w:rPr>
      </w:pPr>
      <w:r>
        <w:rPr>
          <w:rFonts w:hint="eastAsia" w:ascii="宋体" w:hAnsi="宋体" w:eastAsia="宋体" w:cs="宋体"/>
          <w:b/>
          <w:bCs/>
        </w:rPr>
        <w:t>一、项目基本情况</w:t>
      </w:r>
    </w:p>
    <w:p w14:paraId="39C9B985">
      <w:pPr>
        <w:spacing w:line="360" w:lineRule="auto"/>
        <w:rPr>
          <w:rFonts w:hint="eastAsia" w:ascii="宋体" w:hAnsi="宋体" w:eastAsia="宋体" w:cs="宋体"/>
          <w:szCs w:val="21"/>
        </w:rPr>
      </w:pPr>
      <w:r>
        <w:rPr>
          <w:rFonts w:hint="eastAsia" w:ascii="宋体" w:hAnsi="宋体" w:eastAsia="宋体" w:cs="宋体"/>
          <w:szCs w:val="21"/>
        </w:rPr>
        <w:t>1.项目编号：AOMC-2026-098（SZDL2026001243）</w:t>
      </w:r>
    </w:p>
    <w:p w14:paraId="0ADEE3C2">
      <w:pPr>
        <w:spacing w:line="360" w:lineRule="auto"/>
        <w:rPr>
          <w:rFonts w:hint="eastAsia" w:ascii="宋体" w:hAnsi="宋体" w:eastAsia="宋体" w:cs="宋体"/>
          <w:szCs w:val="21"/>
        </w:rPr>
      </w:pPr>
      <w:r>
        <w:rPr>
          <w:rFonts w:hint="eastAsia" w:ascii="宋体" w:hAnsi="宋体" w:eastAsia="宋体" w:cs="宋体"/>
          <w:szCs w:val="21"/>
        </w:rPr>
        <w:t>2.项目名称：南方科技大学教学及学生生活管理服务项目</w:t>
      </w:r>
    </w:p>
    <w:p w14:paraId="23D4450C">
      <w:pPr>
        <w:spacing w:line="360" w:lineRule="auto"/>
        <w:rPr>
          <w:rFonts w:hint="eastAsia" w:ascii="宋体" w:hAnsi="宋体" w:eastAsia="宋体" w:cs="宋体"/>
          <w:szCs w:val="21"/>
        </w:rPr>
      </w:pPr>
      <w:r>
        <w:rPr>
          <w:rFonts w:hint="eastAsia" w:ascii="宋体" w:hAnsi="宋体" w:eastAsia="宋体" w:cs="宋体"/>
          <w:szCs w:val="21"/>
        </w:rPr>
        <w:t>3.预算金额：人民币 16,310,000.00元</w:t>
      </w:r>
    </w:p>
    <w:p w14:paraId="2169A059">
      <w:pPr>
        <w:spacing w:line="360" w:lineRule="auto"/>
        <w:rPr>
          <w:rFonts w:hint="eastAsia" w:ascii="宋体" w:hAnsi="宋体" w:eastAsia="宋体" w:cs="宋体"/>
          <w:szCs w:val="21"/>
        </w:rPr>
      </w:pPr>
      <w:r>
        <w:rPr>
          <w:rFonts w:hint="eastAsia" w:ascii="宋体" w:hAnsi="宋体" w:eastAsia="宋体" w:cs="宋体"/>
          <w:szCs w:val="21"/>
        </w:rPr>
        <w:t>4.最高限价：人民币 16,310,000.00元</w:t>
      </w:r>
    </w:p>
    <w:p w14:paraId="6C3938A4">
      <w:pPr>
        <w:pStyle w:val="55"/>
        <w:spacing w:after="0" w:line="360" w:lineRule="auto"/>
        <w:rPr>
          <w:rFonts w:hint="eastAsia" w:ascii="宋体" w:hAnsi="宋体" w:eastAsia="宋体" w:cs="宋体"/>
          <w:sz w:val="21"/>
          <w:szCs w:val="21"/>
          <w:lang w:eastAsia="zh-CN"/>
        </w:rPr>
      </w:pPr>
      <w:r>
        <w:rPr>
          <w:rFonts w:hint="eastAsia" w:ascii="宋体" w:hAnsi="宋体" w:eastAsia="宋体" w:cs="宋体"/>
          <w:szCs w:val="21"/>
          <w:lang w:eastAsia="zh-CN"/>
        </w:rPr>
        <w:t xml:space="preserve">5.所属行业：商务服务业 </w:t>
      </w:r>
    </w:p>
    <w:p w14:paraId="6A3EE243">
      <w:pPr>
        <w:spacing w:line="360" w:lineRule="auto"/>
        <w:rPr>
          <w:rFonts w:hint="eastAsia" w:ascii="宋体" w:hAnsi="宋体" w:eastAsia="宋体" w:cs="宋体"/>
          <w:szCs w:val="21"/>
        </w:rPr>
      </w:pPr>
      <w:r>
        <w:rPr>
          <w:rFonts w:hint="eastAsia" w:ascii="宋体" w:hAnsi="宋体" w:eastAsia="宋体" w:cs="宋体"/>
          <w:szCs w:val="21"/>
        </w:rPr>
        <w:t>6.采购需求：</w:t>
      </w:r>
    </w:p>
    <w:tbl>
      <w:tblPr>
        <w:tblStyle w:val="26"/>
        <w:tblW w:w="8886" w:type="dxa"/>
        <w:jc w:val="center"/>
        <w:tblBorders>
          <w:top w:val="outset" w:color="AAAAAA" w:sz="6" w:space="0"/>
          <w:left w:val="outset" w:color="AAAAAA" w:sz="6" w:space="0"/>
          <w:bottom w:val="outset" w:color="AAAAAA" w:sz="6" w:space="0"/>
          <w:right w:val="outset" w:color="AAAAAA" w:sz="6" w:space="0"/>
          <w:insideH w:val="outset" w:color="AAAAAA" w:sz="6" w:space="0"/>
          <w:insideV w:val="outset" w:color="AAAAAA" w:sz="6" w:space="0"/>
        </w:tblBorders>
        <w:tblLayout w:type="fixed"/>
        <w:tblCellMar>
          <w:top w:w="60" w:type="dxa"/>
          <w:left w:w="60" w:type="dxa"/>
          <w:bottom w:w="60" w:type="dxa"/>
          <w:right w:w="60" w:type="dxa"/>
        </w:tblCellMar>
      </w:tblPr>
      <w:tblGrid>
        <w:gridCol w:w="3390"/>
        <w:gridCol w:w="655"/>
        <w:gridCol w:w="682"/>
        <w:gridCol w:w="1977"/>
        <w:gridCol w:w="2182"/>
      </w:tblGrid>
      <w:tr w14:paraId="7B273B29">
        <w:tblPrEx>
          <w:tblBorders>
            <w:top w:val="outset" w:color="AAAAAA" w:sz="6" w:space="0"/>
            <w:left w:val="outset" w:color="AAAAAA" w:sz="6" w:space="0"/>
            <w:bottom w:val="outset" w:color="AAAAAA" w:sz="6" w:space="0"/>
            <w:right w:val="outset" w:color="AAAAAA" w:sz="6" w:space="0"/>
            <w:insideH w:val="outset" w:color="AAAAAA" w:sz="6" w:space="0"/>
            <w:insideV w:val="outset" w:color="AAAAAA" w:sz="6" w:space="0"/>
          </w:tblBorders>
          <w:tblCellMar>
            <w:top w:w="60" w:type="dxa"/>
            <w:left w:w="60" w:type="dxa"/>
            <w:bottom w:w="60" w:type="dxa"/>
            <w:right w:w="60" w:type="dxa"/>
          </w:tblCellMar>
        </w:tblPrEx>
        <w:trPr>
          <w:trHeight w:val="677" w:hRule="atLeast"/>
          <w:jc w:val="center"/>
        </w:trPr>
        <w:tc>
          <w:tcPr>
            <w:tcW w:w="3390" w:type="dxa"/>
            <w:shd w:val="clear" w:color="auto" w:fill="ABCDEF"/>
            <w:vAlign w:val="center"/>
          </w:tcPr>
          <w:p w14:paraId="097B19C2">
            <w:pPr>
              <w:pStyle w:val="21"/>
              <w:spacing w:line="360" w:lineRule="auto"/>
              <w:jc w:val="center"/>
              <w:rPr>
                <w:rFonts w:hint="eastAsia" w:ascii="宋体" w:hAnsi="宋体" w:eastAsia="宋体" w:cs="宋体"/>
                <w:b/>
                <w:bCs/>
              </w:rPr>
            </w:pPr>
            <w:r>
              <w:rPr>
                <w:rFonts w:hint="eastAsia" w:ascii="宋体" w:hAnsi="宋体" w:eastAsia="宋体" w:cs="宋体"/>
                <w:b/>
                <w:bCs/>
              </w:rPr>
              <w:t>标的名称</w:t>
            </w:r>
          </w:p>
        </w:tc>
        <w:tc>
          <w:tcPr>
            <w:tcW w:w="655" w:type="dxa"/>
            <w:shd w:val="clear" w:color="auto" w:fill="ABCDEF"/>
            <w:vAlign w:val="center"/>
          </w:tcPr>
          <w:p w14:paraId="5297CCCA">
            <w:pPr>
              <w:pStyle w:val="21"/>
              <w:spacing w:line="360" w:lineRule="auto"/>
              <w:jc w:val="center"/>
              <w:rPr>
                <w:rFonts w:hint="eastAsia" w:ascii="宋体" w:hAnsi="宋体" w:eastAsia="宋体" w:cs="宋体"/>
                <w:b/>
                <w:bCs/>
              </w:rPr>
            </w:pPr>
            <w:r>
              <w:rPr>
                <w:rFonts w:hint="eastAsia" w:ascii="宋体" w:hAnsi="宋体" w:eastAsia="宋体" w:cs="宋体"/>
                <w:b/>
                <w:bCs/>
              </w:rPr>
              <w:t>数量</w:t>
            </w:r>
          </w:p>
        </w:tc>
        <w:tc>
          <w:tcPr>
            <w:tcW w:w="682" w:type="dxa"/>
            <w:shd w:val="clear" w:color="auto" w:fill="ABCDEF"/>
            <w:vAlign w:val="center"/>
          </w:tcPr>
          <w:p w14:paraId="24984CC2">
            <w:pPr>
              <w:pStyle w:val="21"/>
              <w:spacing w:line="360" w:lineRule="auto"/>
              <w:jc w:val="center"/>
              <w:rPr>
                <w:rFonts w:hint="eastAsia" w:ascii="宋体" w:hAnsi="宋体" w:eastAsia="宋体" w:cs="宋体"/>
                <w:b/>
                <w:bCs/>
              </w:rPr>
            </w:pPr>
            <w:r>
              <w:rPr>
                <w:rFonts w:hint="eastAsia" w:ascii="宋体" w:hAnsi="宋体" w:eastAsia="宋体" w:cs="宋体"/>
                <w:b/>
                <w:bCs/>
              </w:rPr>
              <w:t>单位</w:t>
            </w:r>
          </w:p>
        </w:tc>
        <w:tc>
          <w:tcPr>
            <w:tcW w:w="1977" w:type="dxa"/>
            <w:shd w:val="clear" w:color="auto" w:fill="ABCDEF"/>
            <w:vAlign w:val="center"/>
          </w:tcPr>
          <w:p w14:paraId="01C56D1F">
            <w:pPr>
              <w:pStyle w:val="21"/>
              <w:spacing w:line="360" w:lineRule="auto"/>
              <w:jc w:val="center"/>
              <w:rPr>
                <w:rFonts w:hint="eastAsia" w:ascii="宋体" w:hAnsi="宋体" w:eastAsia="宋体" w:cs="宋体"/>
                <w:b/>
                <w:bCs/>
              </w:rPr>
            </w:pPr>
            <w:r>
              <w:rPr>
                <w:rFonts w:hint="eastAsia" w:ascii="宋体" w:hAnsi="宋体" w:eastAsia="宋体" w:cs="宋体"/>
                <w:b/>
                <w:bCs/>
              </w:rPr>
              <w:t>简要技术需求（服务需求）</w:t>
            </w:r>
          </w:p>
        </w:tc>
        <w:tc>
          <w:tcPr>
            <w:tcW w:w="2182" w:type="dxa"/>
            <w:shd w:val="clear" w:color="auto" w:fill="ABCDEF"/>
            <w:vAlign w:val="center"/>
          </w:tcPr>
          <w:p w14:paraId="0DF7EC0C">
            <w:pPr>
              <w:pStyle w:val="21"/>
              <w:spacing w:line="360" w:lineRule="auto"/>
              <w:jc w:val="center"/>
              <w:rPr>
                <w:rFonts w:hint="eastAsia" w:ascii="宋体" w:hAnsi="宋体" w:eastAsia="宋体" w:cs="宋体"/>
                <w:b/>
                <w:bCs/>
              </w:rPr>
            </w:pPr>
            <w:r>
              <w:rPr>
                <w:rFonts w:hint="eastAsia" w:ascii="宋体" w:hAnsi="宋体" w:eastAsia="宋体" w:cs="宋体"/>
                <w:b/>
                <w:bCs/>
              </w:rPr>
              <w:t>财政预算限额（元）</w:t>
            </w:r>
          </w:p>
        </w:tc>
      </w:tr>
      <w:tr w14:paraId="0CE80ED1">
        <w:tblPrEx>
          <w:tblBorders>
            <w:top w:val="outset" w:color="AAAAAA" w:sz="6" w:space="0"/>
            <w:left w:val="outset" w:color="AAAAAA" w:sz="6" w:space="0"/>
            <w:bottom w:val="outset" w:color="AAAAAA" w:sz="6" w:space="0"/>
            <w:right w:val="outset" w:color="AAAAAA" w:sz="6" w:space="0"/>
            <w:insideH w:val="outset" w:color="AAAAAA" w:sz="6" w:space="0"/>
            <w:insideV w:val="outset" w:color="AAAAAA" w:sz="6" w:space="0"/>
          </w:tblBorders>
          <w:tblCellMar>
            <w:top w:w="60" w:type="dxa"/>
            <w:left w:w="60" w:type="dxa"/>
            <w:bottom w:w="60" w:type="dxa"/>
            <w:right w:w="60" w:type="dxa"/>
          </w:tblCellMar>
        </w:tblPrEx>
        <w:trPr>
          <w:trHeight w:val="940" w:hRule="atLeast"/>
          <w:jc w:val="center"/>
        </w:trPr>
        <w:tc>
          <w:tcPr>
            <w:tcW w:w="3390" w:type="dxa"/>
            <w:vAlign w:val="center"/>
          </w:tcPr>
          <w:p w14:paraId="2B158A95">
            <w:pPr>
              <w:jc w:val="center"/>
              <w:rPr>
                <w:rFonts w:hint="eastAsia" w:ascii="宋体" w:hAnsi="宋体" w:eastAsia="宋体" w:cs="宋体"/>
                <w:szCs w:val="21"/>
              </w:rPr>
            </w:pPr>
            <w:r>
              <w:rPr>
                <w:rFonts w:hint="eastAsia" w:ascii="宋体" w:hAnsi="宋体" w:eastAsia="宋体" w:cs="宋体"/>
                <w:szCs w:val="21"/>
              </w:rPr>
              <w:t>南方科技大学教学及学生生活管理服务</w:t>
            </w:r>
          </w:p>
        </w:tc>
        <w:tc>
          <w:tcPr>
            <w:tcW w:w="655" w:type="dxa"/>
            <w:vAlign w:val="center"/>
          </w:tcPr>
          <w:p w14:paraId="7472452D">
            <w:pPr>
              <w:jc w:val="center"/>
              <w:rPr>
                <w:rFonts w:hint="eastAsia" w:ascii="宋体" w:hAnsi="宋体" w:eastAsia="宋体" w:cs="宋体"/>
                <w:szCs w:val="21"/>
              </w:rPr>
            </w:pPr>
            <w:r>
              <w:rPr>
                <w:rFonts w:hint="eastAsia" w:ascii="宋体" w:hAnsi="宋体" w:eastAsia="宋体" w:cs="宋体"/>
                <w:szCs w:val="21"/>
              </w:rPr>
              <w:t>1</w:t>
            </w:r>
          </w:p>
        </w:tc>
        <w:tc>
          <w:tcPr>
            <w:tcW w:w="682" w:type="dxa"/>
            <w:vAlign w:val="center"/>
          </w:tcPr>
          <w:p w14:paraId="5ED4C163">
            <w:pPr>
              <w:jc w:val="center"/>
              <w:rPr>
                <w:rFonts w:hint="eastAsia" w:ascii="宋体" w:hAnsi="宋体" w:eastAsia="宋体" w:cs="宋体"/>
                <w:szCs w:val="21"/>
              </w:rPr>
            </w:pPr>
            <w:r>
              <w:rPr>
                <w:rFonts w:hint="eastAsia" w:ascii="宋体" w:hAnsi="宋体" w:eastAsia="宋体" w:cs="宋体"/>
                <w:szCs w:val="21"/>
              </w:rPr>
              <w:t>项</w:t>
            </w:r>
          </w:p>
        </w:tc>
        <w:tc>
          <w:tcPr>
            <w:tcW w:w="1977" w:type="dxa"/>
            <w:vAlign w:val="center"/>
          </w:tcPr>
          <w:p w14:paraId="230BDE7D">
            <w:pPr>
              <w:jc w:val="center"/>
              <w:rPr>
                <w:rFonts w:hint="eastAsia" w:ascii="宋体" w:hAnsi="宋体" w:eastAsia="宋体" w:cs="宋体"/>
                <w:szCs w:val="21"/>
              </w:rPr>
            </w:pPr>
            <w:r>
              <w:rPr>
                <w:rFonts w:hint="eastAsia" w:ascii="宋体" w:hAnsi="宋体" w:eastAsia="宋体" w:cs="宋体"/>
                <w:szCs w:val="21"/>
              </w:rPr>
              <w:t>详见招标文件</w:t>
            </w:r>
          </w:p>
        </w:tc>
        <w:tc>
          <w:tcPr>
            <w:tcW w:w="2182" w:type="dxa"/>
            <w:vAlign w:val="center"/>
          </w:tcPr>
          <w:p w14:paraId="19632DFD">
            <w:pPr>
              <w:jc w:val="center"/>
              <w:rPr>
                <w:rFonts w:hint="eastAsia" w:ascii="宋体" w:hAnsi="宋体" w:eastAsia="宋体" w:cs="宋体"/>
                <w:szCs w:val="21"/>
              </w:rPr>
            </w:pPr>
            <w:r>
              <w:rPr>
                <w:rFonts w:hint="eastAsia" w:ascii="宋体" w:hAnsi="宋体" w:eastAsia="宋体" w:cs="宋体"/>
                <w:szCs w:val="21"/>
              </w:rPr>
              <w:t xml:space="preserve"> 16,310,000.00</w:t>
            </w:r>
          </w:p>
        </w:tc>
      </w:tr>
    </w:tbl>
    <w:p w14:paraId="3D8D1B7A">
      <w:pPr>
        <w:rPr>
          <w:rFonts w:hint="eastAsia" w:ascii="宋体" w:hAnsi="宋体" w:eastAsia="宋体" w:cs="宋体"/>
          <w:szCs w:val="21"/>
        </w:rPr>
      </w:pPr>
    </w:p>
    <w:p w14:paraId="6963EFF5">
      <w:pPr>
        <w:rPr>
          <w:rFonts w:hint="eastAsia" w:ascii="宋体" w:hAnsi="宋体" w:eastAsia="宋体" w:cs="宋体"/>
          <w:szCs w:val="21"/>
        </w:rPr>
      </w:pPr>
      <w:r>
        <w:rPr>
          <w:rFonts w:hint="eastAsia" w:ascii="宋体" w:hAnsi="宋体" w:eastAsia="宋体" w:cs="宋体"/>
          <w:szCs w:val="21"/>
        </w:rPr>
        <w:t>7.本项目不接受联合体投标。</w:t>
      </w:r>
    </w:p>
    <w:p w14:paraId="39F985A3">
      <w:pPr>
        <w:spacing w:before="260" w:after="260" w:line="360" w:lineRule="auto"/>
        <w:outlineLvl w:val="2"/>
        <w:rPr>
          <w:rFonts w:hint="eastAsia" w:ascii="宋体" w:hAnsi="宋体" w:eastAsia="宋体" w:cs="宋体"/>
          <w:b/>
          <w:bCs/>
        </w:rPr>
      </w:pPr>
      <w:r>
        <w:rPr>
          <w:rFonts w:hint="eastAsia" w:ascii="宋体" w:hAnsi="宋体" w:eastAsia="宋体" w:cs="宋体"/>
          <w:b/>
          <w:bCs/>
        </w:rPr>
        <w:t>二、申请人的资格要求</w:t>
      </w:r>
    </w:p>
    <w:p w14:paraId="34888CD1">
      <w:pPr>
        <w:pStyle w:val="8"/>
        <w:spacing w:before="60" w:beforeLines="25" w:after="60" w:afterLines="25" w:line="360" w:lineRule="auto"/>
        <w:ind w:firstLine="0"/>
        <w:rPr>
          <w:rFonts w:hint="eastAsia" w:ascii="宋体" w:hAnsi="宋体" w:eastAsia="宋体" w:cs="宋体"/>
          <w:szCs w:val="21"/>
        </w:rPr>
      </w:pPr>
      <w:r>
        <w:rPr>
          <w:rFonts w:hint="eastAsia" w:ascii="宋体" w:hAnsi="宋体" w:eastAsia="宋体" w:cs="宋体"/>
          <w:szCs w:val="21"/>
        </w:rPr>
        <w:t>（1）</w:t>
      </w:r>
      <w:r>
        <w:rPr>
          <w:rFonts w:hint="eastAsia" w:ascii="宋体" w:hAnsi="宋体" w:cs="宋体"/>
        </w:rPr>
        <w:t>投标人必须具有独立法人资格或经其授权具有承接本项目能力的分支机构（提供营业执照，如果是分支机构投标，还须同时提供其具备独立法人资格的上级主体出具的有效授权书，但只接受直接授权，不接受逐级授权。均为扫描件，原件备查）。本项目不接受总公司与分支机构同时参与投标，也不接受同一总公司有两个或以上分支机构参与投标；如出现以上情形，该两家或以上投标人的投标文件均按无效投标处理；</w:t>
      </w:r>
    </w:p>
    <w:p w14:paraId="758EF627">
      <w:pPr>
        <w:pStyle w:val="8"/>
        <w:spacing w:before="60" w:beforeLines="25" w:after="60" w:afterLines="25" w:line="360" w:lineRule="auto"/>
        <w:ind w:firstLine="0"/>
        <w:rPr>
          <w:rFonts w:hint="eastAsia" w:ascii="宋体" w:hAnsi="宋体" w:eastAsia="宋体" w:cs="宋体"/>
          <w:szCs w:val="21"/>
        </w:rPr>
      </w:pPr>
      <w:r>
        <w:rPr>
          <w:rFonts w:hint="eastAsia" w:ascii="宋体" w:hAnsi="宋体" w:eastAsia="宋体" w:cs="宋体"/>
          <w:szCs w:val="21"/>
        </w:rPr>
        <w:t>（2）本项目不接受联合体投标，</w:t>
      </w:r>
      <w:r>
        <w:rPr>
          <w:rFonts w:hint="eastAsia" w:ascii="宋体" w:hAnsi="宋体" w:eastAsia="宋体" w:cs="宋体"/>
        </w:rPr>
        <w:t>中标后不允许分包、转包</w:t>
      </w:r>
      <w:r>
        <w:rPr>
          <w:rFonts w:hint="eastAsia" w:ascii="宋体" w:hAnsi="宋体" w:eastAsia="宋体" w:cs="宋体"/>
          <w:szCs w:val="21"/>
        </w:rPr>
        <w:t>。</w:t>
      </w:r>
    </w:p>
    <w:p w14:paraId="08863A45">
      <w:pPr>
        <w:pStyle w:val="8"/>
        <w:spacing w:before="60" w:beforeLines="25" w:after="60" w:afterLines="25" w:line="360" w:lineRule="auto"/>
        <w:ind w:firstLine="0"/>
        <w:rPr>
          <w:rFonts w:hint="eastAsia" w:ascii="宋体" w:hAnsi="宋体" w:eastAsia="宋体" w:cs="宋体"/>
          <w:szCs w:val="21"/>
        </w:rPr>
      </w:pPr>
      <w:r>
        <w:rPr>
          <w:rFonts w:hint="eastAsia" w:ascii="宋体" w:hAnsi="宋体" w:eastAsia="宋体" w:cs="宋体"/>
          <w:szCs w:val="21"/>
        </w:rPr>
        <w:t>（3）参与本项目投标前三年内，在经营活动中没有重大违法记录（由供应商在《政府采购投标及履约承诺函》中作出声明）。</w:t>
      </w:r>
    </w:p>
    <w:p w14:paraId="20762589">
      <w:pPr>
        <w:pStyle w:val="8"/>
        <w:spacing w:before="60" w:beforeLines="25" w:after="60" w:afterLines="25" w:line="360" w:lineRule="auto"/>
        <w:ind w:firstLine="0"/>
        <w:rPr>
          <w:rFonts w:hint="eastAsia" w:ascii="宋体" w:hAnsi="宋体" w:eastAsia="宋体" w:cs="宋体"/>
          <w:szCs w:val="21"/>
        </w:rPr>
      </w:pPr>
      <w:r>
        <w:rPr>
          <w:rFonts w:hint="eastAsia" w:ascii="宋体" w:hAnsi="宋体" w:eastAsia="宋体" w:cs="宋体"/>
          <w:szCs w:val="21"/>
        </w:rPr>
        <w:t>（4）参与本项目政府采购活动时不存在被有关部门禁止参与政府采购活动且在有效期内的情况（由供应商在《政府采购投标及履约承诺函》中作出声明）。</w:t>
      </w:r>
    </w:p>
    <w:p w14:paraId="6F8AC2A5">
      <w:pPr>
        <w:pStyle w:val="8"/>
        <w:spacing w:before="60" w:beforeLines="25" w:after="60" w:afterLines="25" w:line="360" w:lineRule="auto"/>
        <w:ind w:firstLine="0"/>
        <w:rPr>
          <w:rFonts w:hint="eastAsia" w:ascii="宋体" w:hAnsi="宋体" w:eastAsia="宋体" w:cs="宋体"/>
          <w:szCs w:val="21"/>
        </w:rPr>
      </w:pPr>
      <w:r>
        <w:rPr>
          <w:rFonts w:hint="eastAsia" w:ascii="宋体" w:hAnsi="宋体" w:eastAsia="宋体" w:cs="宋体"/>
          <w:szCs w:val="21"/>
        </w:rPr>
        <w:t>（5）具备《中华人民共和国政府采购法》第二十二条第一款的条件（由供应商在《政府采购投标及履约承诺函》中作出声明）。</w:t>
      </w:r>
    </w:p>
    <w:p w14:paraId="395A37E4">
      <w:pPr>
        <w:pStyle w:val="8"/>
        <w:spacing w:before="60" w:beforeLines="25" w:after="60" w:afterLines="25" w:line="360" w:lineRule="auto"/>
        <w:ind w:firstLine="0"/>
        <w:rPr>
          <w:rFonts w:hint="eastAsia" w:ascii="宋体" w:hAnsi="宋体" w:eastAsia="宋体" w:cs="宋体"/>
          <w:szCs w:val="21"/>
        </w:rPr>
      </w:pPr>
      <w:r>
        <w:rPr>
          <w:rFonts w:hint="eastAsia" w:ascii="宋体" w:hAnsi="宋体" w:eastAsia="宋体" w:cs="宋体"/>
          <w:szCs w:val="21"/>
        </w:rPr>
        <w:t>（6）未被列入失信被执行人、重大税收违法案件当事人名单、政府采购严重违法失信行为记录名单（由供应商在《政府采购投标及履约承诺函》中作出声明）。</w:t>
      </w:r>
    </w:p>
    <w:p w14:paraId="551EFAB9">
      <w:pPr>
        <w:spacing w:line="360" w:lineRule="auto"/>
        <w:rPr>
          <w:rFonts w:hint="eastAsia" w:ascii="宋体" w:hAnsi="宋体" w:eastAsia="宋体" w:cs="宋体"/>
        </w:rPr>
      </w:pPr>
      <w:r>
        <w:rPr>
          <w:rFonts w:hint="eastAsia" w:ascii="宋体" w:hAnsi="宋体" w:eastAsia="宋体" w:cs="宋体"/>
        </w:rPr>
        <w:t>注：“信用中国”、“中国政府采购网”以及“深圳市政府采购监管网”为供应商信用信息的查询渠道，相关信息以开标当日的查询结果为准。</w:t>
      </w:r>
    </w:p>
    <w:p w14:paraId="20855D55">
      <w:pPr>
        <w:spacing w:line="360" w:lineRule="auto"/>
        <w:rPr>
          <w:rFonts w:hint="eastAsia" w:ascii="宋体" w:hAnsi="宋体" w:eastAsia="宋体" w:cs="宋体"/>
          <w:shd w:val="clear" w:color="auto" w:fill="FFFFFF"/>
        </w:rPr>
      </w:pPr>
      <w:r>
        <w:rPr>
          <w:rFonts w:hint="eastAsia" w:ascii="宋体" w:hAnsi="宋体" w:cs="宋体"/>
          <w:shd w:val="clear" w:color="auto" w:fill="FFFFFF"/>
        </w:rPr>
        <w:t>（7）</w:t>
      </w:r>
      <w:r>
        <w:rPr>
          <w:rFonts w:hint="eastAsia" w:ascii="宋体" w:hAnsi="宋体" w:eastAsia="宋体" w:cs="宋体"/>
          <w:shd w:val="clear" w:color="auto" w:fill="FFFFFF"/>
        </w:rPr>
        <w:t>不存在《深圳市财政局政府采购供应商信用信息管理办法》（深财规〔2023〕3号）列明的严重违法失信行为（由供应商在《政府采购投标及履约承诺函》中作出声明）；</w:t>
      </w:r>
    </w:p>
    <w:p w14:paraId="375A3C5A">
      <w:pPr>
        <w:spacing w:line="360" w:lineRule="auto"/>
        <w:rPr>
          <w:rFonts w:hint="eastAsia" w:ascii="宋体" w:hAnsi="宋体" w:eastAsia="宋体" w:cs="宋体"/>
          <w:shd w:val="clear" w:color="auto" w:fill="FFFFFF"/>
        </w:rPr>
      </w:pPr>
      <w:r>
        <w:rPr>
          <w:rFonts w:hint="eastAsia" w:ascii="宋体" w:hAnsi="宋体" w:eastAsia="宋体" w:cs="宋体"/>
          <w:shd w:val="clear" w:color="auto" w:fill="FFFFFF"/>
        </w:rPr>
        <w:t>（</w:t>
      </w:r>
      <w:r>
        <w:rPr>
          <w:rFonts w:hint="eastAsia" w:ascii="宋体" w:hAnsi="宋体" w:cs="宋体"/>
          <w:shd w:val="clear" w:color="auto" w:fill="FFFFFF"/>
        </w:rPr>
        <w:t>8</w:t>
      </w:r>
      <w:r>
        <w:rPr>
          <w:rFonts w:hint="eastAsia" w:ascii="宋体" w:hAnsi="宋体" w:eastAsia="宋体" w:cs="宋体"/>
          <w:shd w:val="clear" w:color="auto" w:fill="FFFFFF"/>
        </w:rPr>
        <w:t>）为采购项目提供整体设计、规范编制或者项目管理、监理、检测等服务的供应商，不得再参加该采购项目的其他采购活动（由供应商在《政府采购投标及履约承诺函》中作出声明）；</w:t>
      </w:r>
    </w:p>
    <w:p w14:paraId="1BCA248F">
      <w:pPr>
        <w:spacing w:line="360" w:lineRule="auto"/>
        <w:rPr>
          <w:rFonts w:hint="eastAsia" w:ascii="宋体" w:hAnsi="宋体" w:eastAsia="宋体" w:cs="宋体"/>
          <w:color w:val="FF0000"/>
        </w:rPr>
      </w:pPr>
      <w:r>
        <w:rPr>
          <w:rFonts w:hint="eastAsia" w:ascii="宋体" w:hAnsi="宋体" w:eastAsia="宋体" w:cs="宋体"/>
          <w:color w:val="FF0000"/>
        </w:rPr>
        <w:t>（9）投标人须提供《供应商基本情况表》（详见投标文件（非公开部分）附件十二、供应商基本情况表），不同投标供应商的法定代表人、主要经营负责人、投标授权代表人、项目负责人、主要技术人员不得为同一人或在同一单位或者在同一单位缴纳社会保险；不同投标供应商不得存在单位负责人为同一人或直接控股、管理关系。如存在上述情形或未提供《供应商基本情况表》及提供的不符合要求，供应商资格审查均不通过。</w:t>
      </w:r>
    </w:p>
    <w:p w14:paraId="34E94FF3">
      <w:pPr>
        <w:pStyle w:val="8"/>
        <w:numPr>
          <w:ilvl w:val="255"/>
          <w:numId w:val="0"/>
        </w:numPr>
        <w:spacing w:before="60" w:beforeLines="25" w:after="60" w:afterLines="25" w:line="360" w:lineRule="auto"/>
        <w:rPr>
          <w:rFonts w:hint="eastAsia" w:ascii="宋体" w:hAnsi="宋体" w:eastAsia="宋体" w:cs="宋体"/>
          <w:color w:val="FF0000"/>
          <w:szCs w:val="24"/>
        </w:rPr>
      </w:pPr>
      <w:r>
        <w:rPr>
          <w:rFonts w:hint="eastAsia" w:ascii="宋体" w:hAnsi="宋体" w:eastAsia="宋体" w:cs="宋体"/>
          <w:color w:val="FF0000"/>
          <w:szCs w:val="24"/>
        </w:rPr>
        <w:t>（10）本项目不属于专门面向中小微企业采购项目。</w:t>
      </w:r>
    </w:p>
    <w:p w14:paraId="75ACFA7C">
      <w:pPr>
        <w:pStyle w:val="8"/>
        <w:numPr>
          <w:ilvl w:val="255"/>
          <w:numId w:val="0"/>
        </w:numPr>
        <w:spacing w:before="60" w:beforeLines="25" w:after="60" w:afterLines="25" w:line="360" w:lineRule="auto"/>
        <w:rPr>
          <w:rFonts w:hint="eastAsia" w:ascii="宋体" w:hAnsi="宋体" w:eastAsia="宋体" w:cs="宋体"/>
          <w:szCs w:val="21"/>
        </w:rPr>
      </w:pPr>
      <w:r>
        <w:rPr>
          <w:rFonts w:hint="eastAsia" w:ascii="宋体" w:hAnsi="宋体" w:eastAsia="宋体" w:cs="宋体"/>
          <w:szCs w:val="21"/>
        </w:rPr>
        <w:t>（11）本项目特定资格要求：无。</w:t>
      </w:r>
    </w:p>
    <w:p w14:paraId="081265C1">
      <w:pPr>
        <w:snapToGrid w:val="0"/>
        <w:spacing w:before="260" w:after="260" w:line="360" w:lineRule="auto"/>
        <w:outlineLvl w:val="2"/>
        <w:rPr>
          <w:rFonts w:hint="eastAsia" w:ascii="宋体" w:hAnsi="宋体" w:eastAsia="宋体" w:cs="宋体"/>
          <w:b/>
        </w:rPr>
      </w:pPr>
      <w:r>
        <w:rPr>
          <w:rFonts w:hint="eastAsia" w:ascii="宋体" w:hAnsi="宋体" w:eastAsia="宋体" w:cs="宋体"/>
          <w:b/>
        </w:rPr>
        <w:t>三、获取招标文件</w:t>
      </w:r>
    </w:p>
    <w:p w14:paraId="44D65695">
      <w:pPr>
        <w:snapToGrid w:val="0"/>
        <w:spacing w:line="360" w:lineRule="auto"/>
        <w:rPr>
          <w:rFonts w:hint="eastAsia" w:ascii="宋体" w:hAnsi="宋体" w:eastAsia="宋体" w:cs="宋体"/>
        </w:rPr>
      </w:pPr>
      <w:r>
        <w:rPr>
          <w:rFonts w:hint="eastAsia" w:ascii="宋体" w:hAnsi="宋体" w:eastAsia="宋体" w:cs="宋体"/>
        </w:rPr>
        <w:t>时间：</w:t>
      </w:r>
      <w:r>
        <w:rPr>
          <w:rFonts w:hint="eastAsia" w:ascii="宋体" w:hAnsi="宋体" w:eastAsia="宋体" w:cs="宋体"/>
          <w:color w:val="FF0000"/>
        </w:rPr>
        <w:t>2026年月日 至2026年月日 （北京时间）</w:t>
      </w:r>
      <w:r>
        <w:rPr>
          <w:rFonts w:hint="eastAsia" w:ascii="宋体" w:hAnsi="宋体" w:eastAsia="宋体" w:cs="宋体"/>
        </w:rPr>
        <w:t xml:space="preserve">。  </w:t>
      </w:r>
    </w:p>
    <w:p w14:paraId="6DC4782E">
      <w:pPr>
        <w:snapToGrid w:val="0"/>
        <w:spacing w:line="360" w:lineRule="auto"/>
        <w:rPr>
          <w:rFonts w:hint="eastAsia" w:ascii="宋体" w:hAnsi="宋体" w:eastAsia="宋体" w:cs="宋体"/>
        </w:rPr>
      </w:pPr>
      <w:r>
        <w:rPr>
          <w:rFonts w:hint="eastAsia" w:ascii="宋体" w:hAnsi="宋体" w:eastAsia="宋体" w:cs="宋体"/>
        </w:rPr>
        <w:t xml:space="preserve">地点：登录深圳政府采购智慧平台（http://zfcg.szggzy.com:8081/）下载本项目的招标文件。 </w:t>
      </w:r>
    </w:p>
    <w:p w14:paraId="254365B0">
      <w:pPr>
        <w:snapToGrid w:val="0"/>
        <w:spacing w:line="360" w:lineRule="auto"/>
        <w:rPr>
          <w:rFonts w:hint="eastAsia" w:ascii="宋体" w:hAnsi="宋体" w:eastAsia="宋体" w:cs="宋体"/>
        </w:rPr>
      </w:pPr>
      <w:r>
        <w:rPr>
          <w:rFonts w:hint="eastAsia" w:ascii="宋体" w:hAnsi="宋体" w:eastAsia="宋体" w:cs="宋体"/>
        </w:rPr>
        <w:t>方式：在线下载。</w:t>
      </w:r>
    </w:p>
    <w:p w14:paraId="25A0D6D9">
      <w:pPr>
        <w:snapToGrid w:val="0"/>
        <w:spacing w:line="360" w:lineRule="auto"/>
        <w:rPr>
          <w:rFonts w:hint="eastAsia" w:ascii="宋体" w:hAnsi="宋体" w:eastAsia="宋体" w:cs="宋体"/>
        </w:rPr>
      </w:pPr>
      <w:r>
        <w:rPr>
          <w:rFonts w:hint="eastAsia" w:ascii="宋体" w:hAnsi="宋体" w:eastAsia="宋体" w:cs="宋体"/>
        </w:rPr>
        <w:t xml:space="preserve">售价：免费。 </w:t>
      </w:r>
    </w:p>
    <w:p w14:paraId="265F085E">
      <w:pPr>
        <w:snapToGrid w:val="0"/>
        <w:spacing w:line="360" w:lineRule="auto"/>
        <w:rPr>
          <w:rFonts w:hint="eastAsia" w:ascii="宋体" w:hAnsi="宋体" w:eastAsia="宋体" w:cs="宋体"/>
        </w:rPr>
      </w:pPr>
      <w:r>
        <w:rPr>
          <w:rFonts w:hint="eastAsia" w:ascii="宋体" w:hAnsi="宋体" w:eastAsia="宋体" w:cs="宋体"/>
        </w:rPr>
        <w:t>凡已注册的深圳市网上政府采购供应商，按照授予的操作权限，可登录深圳政府采购智慧平台（http://zfcg.szggzy.com:8081/）下载本项目的招标文件。投标人如确定参加投标，首先要在深圳政府采购智慧平台网上办事子系统（http://zfcg.szggzy.com:8081/TPBidder/memberLogin）网上报名投标，方法为在网上办事子系统后点击“【招标公告】→【我要报名】”；如果网上报名后上传了投标文件，又不参加投标，应再到【我的项目】→【项目流程】→【递交投标(应答)文件】功能点中进行“【撤回本次投标】”操作；如果是未注册为深圳政府采购智慧平台（http://zfcg.szggzy.com:8081/）的供应商，请先办理密钥，并前往深圳市南山区沙河西路3185号南山智谷A座（深圳交易集团总部大楼）3楼前台（咨询电话：0755-83948165、0755-83938966、4008301330）绑定深圳政府采购智慧平台用户，再进行投标报名。在网上报名后，点击“【我的项目】→【项目流程】→【采购文件下载】”进行招标文件的下载。</w:t>
      </w:r>
    </w:p>
    <w:p w14:paraId="26D0C735">
      <w:pPr>
        <w:snapToGrid w:val="0"/>
        <w:spacing w:before="260" w:after="260" w:line="360" w:lineRule="auto"/>
        <w:outlineLvl w:val="2"/>
        <w:rPr>
          <w:rFonts w:hint="eastAsia" w:ascii="宋体" w:hAnsi="宋体" w:eastAsia="宋体" w:cs="宋体"/>
          <w:b/>
        </w:rPr>
      </w:pPr>
      <w:r>
        <w:rPr>
          <w:rFonts w:hint="eastAsia" w:ascii="宋体" w:hAnsi="宋体" w:eastAsia="宋体" w:cs="宋体"/>
          <w:b/>
        </w:rPr>
        <w:t>四、提交投标文件截止时间、开标时间和地点</w:t>
      </w:r>
    </w:p>
    <w:p w14:paraId="3276F38D">
      <w:pPr>
        <w:spacing w:line="360" w:lineRule="auto"/>
        <w:rPr>
          <w:rFonts w:hint="eastAsia" w:ascii="宋体" w:hAnsi="宋体" w:eastAsia="宋体" w:cs="宋体"/>
        </w:rPr>
      </w:pPr>
      <w:r>
        <w:rPr>
          <w:rFonts w:hint="eastAsia" w:ascii="宋体" w:hAnsi="宋体" w:eastAsia="宋体" w:cs="宋体"/>
          <w:lang w:bidi="ar"/>
        </w:rPr>
        <w:t>1.投标截止时间：所有投标文件应于</w:t>
      </w:r>
      <w:r>
        <w:rPr>
          <w:rFonts w:hint="eastAsia" w:ascii="宋体" w:hAnsi="宋体" w:eastAsia="宋体" w:cs="宋体"/>
          <w:color w:val="FF0000"/>
          <w:lang w:bidi="ar"/>
        </w:rPr>
        <w:t>2026年月日09时00分（北京时间）</w:t>
      </w:r>
      <w:r>
        <w:rPr>
          <w:rFonts w:hint="eastAsia" w:ascii="宋体" w:hAnsi="宋体" w:eastAsia="宋体" w:cs="宋体"/>
          <w:lang w:bidi="ar"/>
        </w:rPr>
        <w:t>之前上传到深圳政府采购智慧平台（http://zfcg.szggzy.com:8081/）。具体操作为登录“深圳政府采购智慧平台用户网上办事子系统（http://zfcg.szggzy.com:8081/TPBidder/memberLogin）”，用“【我的项目】→【项目流程】→【递交投标(应答)文件】”功能点上传投标文件。本项目电子投标文件最大容量为250MB，超过此容量的文件将被拒绝。</w:t>
      </w:r>
    </w:p>
    <w:p w14:paraId="186A4403">
      <w:pPr>
        <w:spacing w:line="360" w:lineRule="auto"/>
        <w:rPr>
          <w:rFonts w:hint="eastAsia" w:ascii="宋体" w:hAnsi="宋体" w:eastAsia="宋体" w:cs="宋体"/>
        </w:rPr>
      </w:pPr>
      <w:r>
        <w:rPr>
          <w:rFonts w:hint="eastAsia" w:ascii="宋体" w:hAnsi="宋体" w:eastAsia="宋体" w:cs="宋体"/>
          <w:lang w:bidi="ar"/>
        </w:rPr>
        <w:t>2.开标时间和地点：</w:t>
      </w:r>
      <w:r>
        <w:rPr>
          <w:rFonts w:hint="eastAsia" w:ascii="宋体" w:hAnsi="宋体" w:eastAsia="宋体" w:cs="宋体"/>
          <w:color w:val="FF0000"/>
          <w:lang w:bidi="ar"/>
        </w:rPr>
        <w:t>定于2026年月日09时00分（北京时间）</w:t>
      </w:r>
      <w:r>
        <w:rPr>
          <w:rFonts w:hint="eastAsia" w:ascii="宋体" w:hAnsi="宋体" w:eastAsia="宋体" w:cs="宋体"/>
          <w:lang w:bidi="ar"/>
        </w:rPr>
        <w:t>，在深圳政府采购智慧平台公开开标。供应商可以登录“深圳政府采购智慧平台用户网上办事子系统（http://zfcg.szggzy.com:8081/TPBidder/memberLogin）”，在“【我的项目】→【项目流程】→【开标及解密】”进行在线解密、查询开标情况。</w:t>
      </w:r>
    </w:p>
    <w:p w14:paraId="3FBFEE1F">
      <w:pPr>
        <w:spacing w:line="360" w:lineRule="auto"/>
        <w:rPr>
          <w:rFonts w:hint="eastAsia" w:ascii="宋体" w:hAnsi="宋体" w:eastAsia="宋体" w:cs="宋体"/>
          <w:lang w:bidi="ar"/>
        </w:rPr>
      </w:pPr>
      <w:r>
        <w:rPr>
          <w:rFonts w:hint="eastAsia" w:ascii="宋体" w:hAnsi="宋体" w:eastAsia="宋体" w:cs="宋体"/>
          <w:lang w:bidi="ar"/>
        </w:rPr>
        <w:t>3.在线解密：</w:t>
      </w:r>
      <w:r>
        <w:rPr>
          <w:rFonts w:hint="eastAsia" w:ascii="宋体" w:hAnsi="宋体" w:eastAsia="宋体" w:cs="宋体"/>
          <w:color w:val="FF0000"/>
          <w:lang w:bidi="ar"/>
        </w:rPr>
        <w:t>投标人须在开标当日09时00分-09时30分（北京时间）</w:t>
      </w:r>
      <w:r>
        <w:rPr>
          <w:rFonts w:hint="eastAsia" w:ascii="宋体" w:hAnsi="宋体" w:eastAsia="宋体" w:cs="宋体"/>
          <w:lang w:bidi="ar"/>
        </w:rPr>
        <w:t>期间进行解密，逾期未解密的作无效处理。解密方法：登录“深圳政府采购智慧平台用户网上办事子系统（http://zfcg.szggzy.com:8081/TPBidder/memberLogin）”，使用本单位制作电子投标文件同一个电子密钥，在“【我的项目】→【项目流程】→【开标及解密】”进行在线解密、查询开标情况。）</w:t>
      </w:r>
    </w:p>
    <w:p w14:paraId="411EFC98">
      <w:pPr>
        <w:pStyle w:val="2"/>
        <w:rPr>
          <w:rFonts w:hint="eastAsia" w:ascii="宋体" w:hAnsi="宋体" w:eastAsia="宋体" w:cs="宋体"/>
          <w:b w:val="0"/>
          <w:bCs w:val="0"/>
        </w:rPr>
      </w:pPr>
      <w:r>
        <w:rPr>
          <w:rFonts w:hint="eastAsia" w:ascii="宋体" w:hAnsi="宋体" w:eastAsia="宋体" w:cs="宋体"/>
          <w:b w:val="0"/>
          <w:bCs w:val="0"/>
          <w:lang w:bidi="ar"/>
        </w:rPr>
        <w:t>4.其他说明：本项目不允许电子营业执照加密、解密。</w:t>
      </w:r>
    </w:p>
    <w:p w14:paraId="5CCD2B2F">
      <w:pPr>
        <w:snapToGrid w:val="0"/>
        <w:spacing w:before="260" w:after="260" w:line="360" w:lineRule="auto"/>
        <w:outlineLvl w:val="2"/>
        <w:rPr>
          <w:rFonts w:hint="eastAsia" w:ascii="宋体" w:hAnsi="宋体" w:eastAsia="宋体" w:cs="宋体"/>
          <w:b/>
        </w:rPr>
      </w:pPr>
      <w:r>
        <w:rPr>
          <w:rFonts w:hint="eastAsia" w:ascii="宋体" w:hAnsi="宋体" w:eastAsia="宋体" w:cs="宋体"/>
          <w:b/>
        </w:rPr>
        <w:t>五、公告期限</w:t>
      </w:r>
    </w:p>
    <w:p w14:paraId="45FE8D5B">
      <w:pPr>
        <w:snapToGrid w:val="0"/>
        <w:spacing w:line="360" w:lineRule="auto"/>
        <w:rPr>
          <w:rFonts w:hint="eastAsia" w:ascii="宋体" w:hAnsi="宋体" w:eastAsia="宋体" w:cs="宋体"/>
        </w:rPr>
      </w:pPr>
      <w:r>
        <w:rPr>
          <w:rFonts w:hint="eastAsia" w:ascii="宋体" w:hAnsi="宋体" w:eastAsia="宋体" w:cs="宋体"/>
        </w:rPr>
        <w:t>自本公告发布之日起5个工作日。</w:t>
      </w:r>
    </w:p>
    <w:p w14:paraId="5181A962">
      <w:pPr>
        <w:snapToGrid w:val="0"/>
        <w:spacing w:before="260" w:after="260" w:line="360" w:lineRule="auto"/>
        <w:outlineLvl w:val="2"/>
        <w:rPr>
          <w:rFonts w:hint="eastAsia" w:ascii="宋体" w:hAnsi="宋体" w:eastAsia="宋体" w:cs="宋体"/>
          <w:b/>
        </w:rPr>
      </w:pPr>
      <w:r>
        <w:rPr>
          <w:rFonts w:hint="eastAsia" w:ascii="宋体" w:hAnsi="宋体" w:eastAsia="宋体" w:cs="宋体"/>
          <w:b/>
        </w:rPr>
        <w:t>六、其他补充事宜</w:t>
      </w:r>
    </w:p>
    <w:p w14:paraId="764BFFD2">
      <w:pPr>
        <w:snapToGrid w:val="0"/>
        <w:spacing w:line="360" w:lineRule="auto"/>
        <w:rPr>
          <w:rFonts w:hint="eastAsia" w:ascii="宋体" w:hAnsi="宋体" w:eastAsia="宋体" w:cs="宋体"/>
        </w:rPr>
      </w:pPr>
      <w:r>
        <w:rPr>
          <w:rFonts w:hint="eastAsia" w:ascii="宋体" w:hAnsi="宋体" w:eastAsia="宋体" w:cs="宋体"/>
        </w:rPr>
        <w:t>1.本项目实行网上投标，采用电子投标文件。</w:t>
      </w:r>
    </w:p>
    <w:p w14:paraId="5CA218B8">
      <w:pPr>
        <w:snapToGrid w:val="0"/>
        <w:spacing w:line="360" w:lineRule="auto"/>
        <w:rPr>
          <w:rFonts w:hint="eastAsia" w:ascii="宋体" w:hAnsi="宋体" w:eastAsia="宋体" w:cs="宋体"/>
        </w:rPr>
      </w:pPr>
      <w:r>
        <w:rPr>
          <w:rFonts w:hint="eastAsia" w:ascii="宋体" w:hAnsi="宋体" w:eastAsia="宋体" w:cs="宋体"/>
        </w:rPr>
        <w:t>2.采购文件澄清/修改事项：</w:t>
      </w:r>
      <w:r>
        <w:rPr>
          <w:rFonts w:hint="eastAsia" w:ascii="宋体" w:hAnsi="宋体" w:eastAsia="宋体" w:cs="宋体"/>
          <w:color w:val="FF0000"/>
        </w:rPr>
        <w:t>2026年月日17时00分（北京时间）</w:t>
      </w:r>
      <w:r>
        <w:rPr>
          <w:rFonts w:hint="eastAsia" w:ascii="宋体" w:hAnsi="宋体" w:eastAsia="宋体" w:cs="宋体"/>
        </w:rPr>
        <w:t>前，供应商如果认为采购文件存在不明确、不清晰和前后不一致等问题，可登录深圳公共资源交易中心网（http://zfcg.szggzy.com:8081/）→“深圳政府采购智慧平台用户网上办事子系统（http://zfcg.szggzy.com:8081/TPBidder/memberLogin）”，在“【我的项目】→【项目流程】→【提问】”功能点中填写需澄清内容。</w:t>
      </w:r>
      <w:r>
        <w:rPr>
          <w:rFonts w:hint="eastAsia" w:ascii="宋体" w:hAnsi="宋体" w:eastAsia="宋体" w:cs="宋体"/>
          <w:color w:val="FF0000"/>
        </w:rPr>
        <w:t>2026年月日17时00分（北京时间）</w:t>
      </w:r>
      <w:r>
        <w:rPr>
          <w:rFonts w:hint="eastAsia" w:ascii="宋体" w:hAnsi="宋体" w:eastAsia="宋体" w:cs="宋体"/>
        </w:rPr>
        <w:t>前将采购文件澄清/修改情况在“【我的项目】→【项目流程】→【答疑澄清文件下载】”中公布，望投标人予以关注。</w:t>
      </w:r>
    </w:p>
    <w:p w14:paraId="519B2761">
      <w:pPr>
        <w:snapToGrid w:val="0"/>
        <w:spacing w:line="360" w:lineRule="auto"/>
        <w:rPr>
          <w:rFonts w:hint="eastAsia" w:ascii="宋体" w:hAnsi="宋体" w:eastAsia="宋体" w:cs="宋体"/>
        </w:rPr>
      </w:pPr>
      <w:r>
        <w:rPr>
          <w:rFonts w:hint="eastAsia" w:ascii="宋体" w:hAnsi="宋体" w:eastAsia="宋体" w:cs="宋体"/>
        </w:rPr>
        <w:t>（重要提示：“提出采购文件澄清要求”不等同于“对采购文件质疑”，供应商提出的澄清要求内容如出现“质疑”字眼，将予以退回。供应商如认为采购文件存在限制性、倾向性、其权益受到损害，应在采购文件公布之日起七个工作日内以线下方式向我公司递交提出书面质疑函。根据《深圳经济特区政府采购条例》第四十二条“供应商投诉的事项应当是经过质疑的事项”的规定，未经正式质疑的，将影响供应商行使向财政部门提起投诉的权利。）</w:t>
      </w:r>
    </w:p>
    <w:p w14:paraId="48429A97">
      <w:pPr>
        <w:snapToGrid w:val="0"/>
        <w:spacing w:line="360" w:lineRule="auto"/>
        <w:rPr>
          <w:rFonts w:hint="eastAsia" w:ascii="宋体" w:hAnsi="宋体" w:eastAsia="宋体" w:cs="宋体"/>
        </w:rPr>
      </w:pPr>
      <w:r>
        <w:rPr>
          <w:rFonts w:hint="eastAsia" w:ascii="宋体" w:hAnsi="宋体" w:eastAsia="宋体" w:cs="宋体"/>
        </w:rPr>
        <w:t>3.本招标公告及本项目招标文件所涉及的时间一律为北京时间。投标人有义务在招标活动期间浏览深圳公共资源交易网（www.szggzy.com），在深圳公共资源交易网上公布的与本次招标项目有关的信息视为已送达各投标人。</w:t>
      </w:r>
    </w:p>
    <w:p w14:paraId="3E317157">
      <w:pPr>
        <w:snapToGrid w:val="0"/>
        <w:spacing w:line="360" w:lineRule="auto"/>
        <w:rPr>
          <w:rFonts w:hint="eastAsia" w:ascii="宋体" w:hAnsi="宋体" w:eastAsia="宋体" w:cs="宋体"/>
          <w:b/>
        </w:rPr>
      </w:pPr>
      <w:r>
        <w:rPr>
          <w:rFonts w:hint="eastAsia" w:ascii="宋体" w:hAnsi="宋体" w:eastAsia="宋体" w:cs="宋体"/>
        </w:rPr>
        <w:t>4.本项目不需要投标保证金。</w:t>
      </w:r>
    </w:p>
    <w:p w14:paraId="09D5F252">
      <w:pPr>
        <w:spacing w:before="260" w:after="260" w:line="360" w:lineRule="auto"/>
        <w:outlineLvl w:val="2"/>
        <w:rPr>
          <w:rFonts w:hint="eastAsia" w:ascii="宋体" w:hAnsi="宋体" w:eastAsia="宋体" w:cs="宋体"/>
          <w:b/>
          <w:bCs/>
        </w:rPr>
      </w:pPr>
      <w:r>
        <w:rPr>
          <w:rFonts w:hint="eastAsia" w:ascii="宋体" w:hAnsi="宋体" w:eastAsia="宋体" w:cs="宋体"/>
          <w:b/>
          <w:bCs/>
        </w:rPr>
        <w:t>七、对本次招标提出询问，请按以下方式联系。</w:t>
      </w:r>
    </w:p>
    <w:p w14:paraId="6FBDF3DA">
      <w:pPr>
        <w:spacing w:line="360" w:lineRule="auto"/>
        <w:rPr>
          <w:rFonts w:hint="eastAsia" w:ascii="宋体" w:hAnsi="宋体" w:eastAsia="宋体" w:cs="宋体"/>
        </w:rPr>
      </w:pPr>
      <w:bookmarkStart w:id="24" w:name="_Toc13734"/>
      <w:r>
        <w:rPr>
          <w:rFonts w:hint="eastAsia" w:ascii="宋体" w:hAnsi="宋体" w:eastAsia="宋体" w:cs="宋体"/>
        </w:rPr>
        <w:t>1.采购人信息</w:t>
      </w:r>
      <w:bookmarkEnd w:id="24"/>
    </w:p>
    <w:p w14:paraId="6540D7A5">
      <w:pPr>
        <w:spacing w:line="360" w:lineRule="auto"/>
        <w:rPr>
          <w:rFonts w:hint="eastAsia" w:ascii="宋体" w:hAnsi="宋体" w:eastAsia="宋体" w:cs="宋体"/>
        </w:rPr>
      </w:pPr>
      <w:r>
        <w:rPr>
          <w:rFonts w:hint="eastAsia" w:ascii="宋体" w:hAnsi="宋体" w:eastAsia="宋体" w:cs="宋体"/>
        </w:rPr>
        <w:t>名　称：南方科技大学　　　　　　　　　</w:t>
      </w:r>
    </w:p>
    <w:p w14:paraId="039DD30D">
      <w:pPr>
        <w:spacing w:line="360" w:lineRule="auto"/>
        <w:rPr>
          <w:rFonts w:hint="eastAsia" w:ascii="宋体" w:hAnsi="宋体" w:eastAsia="宋体" w:cs="宋体"/>
        </w:rPr>
      </w:pPr>
      <w:r>
        <w:rPr>
          <w:rFonts w:hint="eastAsia" w:ascii="宋体" w:hAnsi="宋体" w:eastAsia="宋体" w:cs="宋体"/>
        </w:rPr>
        <w:t>地　址：深圳市南山区西丽学苑大道1088号　　</w:t>
      </w:r>
    </w:p>
    <w:p w14:paraId="58B641BC">
      <w:pPr>
        <w:spacing w:line="360" w:lineRule="auto"/>
        <w:rPr>
          <w:rFonts w:hint="eastAsia" w:ascii="宋体" w:hAnsi="宋体" w:eastAsia="宋体" w:cs="宋体"/>
        </w:rPr>
      </w:pPr>
      <w:r>
        <w:rPr>
          <w:rFonts w:hint="eastAsia" w:ascii="宋体" w:hAnsi="宋体" w:eastAsia="宋体" w:cs="宋体"/>
        </w:rPr>
        <w:t xml:space="preserve">联系方式：曾老师0755-88018852　　　　　　　 </w:t>
      </w:r>
    </w:p>
    <w:p w14:paraId="6304A2FC">
      <w:pPr>
        <w:spacing w:line="360" w:lineRule="auto"/>
        <w:rPr>
          <w:rFonts w:hint="eastAsia" w:ascii="宋体" w:hAnsi="宋体" w:eastAsia="宋体" w:cs="宋体"/>
        </w:rPr>
      </w:pPr>
      <w:r>
        <w:rPr>
          <w:rFonts w:hint="eastAsia" w:ascii="宋体" w:hAnsi="宋体" w:eastAsia="宋体" w:cs="宋体"/>
        </w:rPr>
        <w:t>2.采购代理机构信息</w:t>
      </w:r>
    </w:p>
    <w:p w14:paraId="43ED87A5">
      <w:pPr>
        <w:spacing w:line="360" w:lineRule="auto"/>
        <w:rPr>
          <w:rFonts w:hint="eastAsia" w:ascii="宋体" w:hAnsi="宋体" w:eastAsia="宋体" w:cs="宋体"/>
        </w:rPr>
      </w:pPr>
      <w:r>
        <w:rPr>
          <w:rFonts w:hint="eastAsia" w:ascii="宋体" w:hAnsi="宋体" w:eastAsia="宋体" w:cs="宋体"/>
        </w:rPr>
        <w:t>名　称：深圳市南科大资产经营管理有限公司　</w:t>
      </w:r>
    </w:p>
    <w:p w14:paraId="0A79A694">
      <w:pPr>
        <w:spacing w:line="360" w:lineRule="auto"/>
        <w:rPr>
          <w:rFonts w:hint="eastAsia" w:ascii="宋体" w:hAnsi="宋体" w:eastAsia="宋体" w:cs="宋体"/>
        </w:rPr>
      </w:pPr>
      <w:r>
        <w:rPr>
          <w:rFonts w:hint="eastAsia" w:ascii="宋体" w:hAnsi="宋体" w:eastAsia="宋体" w:cs="宋体"/>
        </w:rPr>
        <w:t>地　址：深圳市南山区学苑大道1001号南山智园A7栋11楼　　　　　　　　　</w:t>
      </w:r>
    </w:p>
    <w:p w14:paraId="77F822E0">
      <w:pPr>
        <w:spacing w:line="360" w:lineRule="auto"/>
        <w:rPr>
          <w:rFonts w:hint="eastAsia" w:ascii="宋体" w:hAnsi="宋体" w:eastAsia="宋体" w:cs="宋体"/>
        </w:rPr>
      </w:pPr>
      <w:r>
        <w:rPr>
          <w:rFonts w:hint="eastAsia" w:ascii="宋体" w:hAnsi="宋体" w:eastAsia="宋体" w:cs="宋体"/>
        </w:rPr>
        <w:t>联系方式：贺老师0755-88012181</w:t>
      </w:r>
    </w:p>
    <w:p w14:paraId="055EE48A">
      <w:pPr>
        <w:spacing w:line="360" w:lineRule="auto"/>
        <w:rPr>
          <w:rFonts w:hint="eastAsia" w:ascii="宋体" w:hAnsi="宋体" w:eastAsia="宋体" w:cs="宋体"/>
        </w:rPr>
      </w:pPr>
      <w:r>
        <w:rPr>
          <w:rFonts w:hint="eastAsia" w:ascii="宋体" w:hAnsi="宋体" w:eastAsia="宋体" w:cs="宋体"/>
        </w:rPr>
        <w:t>3.项目联系方式</w:t>
      </w:r>
    </w:p>
    <w:p w14:paraId="24722AAC">
      <w:pPr>
        <w:spacing w:line="360" w:lineRule="auto"/>
        <w:rPr>
          <w:rFonts w:hint="eastAsia" w:ascii="宋体" w:hAnsi="宋体" w:eastAsia="宋体" w:cs="宋体"/>
        </w:rPr>
      </w:pPr>
      <w:r>
        <w:rPr>
          <w:rFonts w:hint="eastAsia" w:ascii="宋体" w:hAnsi="宋体" w:eastAsia="宋体" w:cs="宋体"/>
        </w:rPr>
        <w:t>项目联系人：贺老师 0755-88012181</w:t>
      </w:r>
    </w:p>
    <w:p w14:paraId="4ADBC63A">
      <w:pPr>
        <w:pStyle w:val="21"/>
        <w:jc w:val="right"/>
        <w:rPr>
          <w:rFonts w:hint="eastAsia" w:ascii="宋体" w:hAnsi="宋体" w:eastAsia="宋体" w:cs="宋体"/>
        </w:rPr>
      </w:pPr>
      <w:r>
        <w:rPr>
          <w:rFonts w:hint="eastAsia" w:ascii="宋体" w:hAnsi="宋体" w:eastAsia="宋体" w:cs="宋体"/>
        </w:rPr>
        <w:t>深圳市南科大资产经营管理有限公司</w:t>
      </w:r>
    </w:p>
    <w:p w14:paraId="6C506C52">
      <w:pPr>
        <w:pStyle w:val="21"/>
        <w:jc w:val="right"/>
        <w:rPr>
          <w:rFonts w:hint="eastAsia" w:ascii="宋体" w:hAnsi="宋体" w:eastAsia="宋体" w:cs="宋体"/>
        </w:rPr>
      </w:pPr>
      <w:r>
        <w:rPr>
          <w:rFonts w:hint="eastAsia" w:ascii="宋体" w:hAnsi="宋体" w:eastAsia="宋体" w:cs="宋体"/>
        </w:rPr>
        <w:t>2026年月日</w:t>
      </w:r>
    </w:p>
    <w:p w14:paraId="64586A0B">
      <w:pPr>
        <w:pStyle w:val="21"/>
        <w:jc w:val="right"/>
        <w:rPr>
          <w:rFonts w:hint="eastAsia" w:ascii="宋体" w:hAnsi="宋体" w:eastAsia="宋体" w:cs="宋体"/>
        </w:rPr>
      </w:pPr>
    </w:p>
    <w:p w14:paraId="2EE90356">
      <w:pPr>
        <w:pStyle w:val="21"/>
        <w:rPr>
          <w:rFonts w:hint="eastAsia" w:ascii="宋体" w:hAnsi="宋体" w:eastAsia="宋体" w:cs="宋体"/>
        </w:rPr>
      </w:pPr>
    </w:p>
    <w:p w14:paraId="3C31BDD4">
      <w:pPr>
        <w:tabs>
          <w:tab w:val="left" w:pos="5670"/>
        </w:tabs>
        <w:spacing w:before="140" w:after="140"/>
        <w:jc w:val="center"/>
        <w:outlineLvl w:val="1"/>
        <w:rPr>
          <w:rFonts w:hint="eastAsia" w:ascii="宋体" w:hAnsi="宋体" w:eastAsia="宋体" w:cs="宋体"/>
          <w:b/>
          <w:bCs/>
          <w:sz w:val="28"/>
          <w:szCs w:val="28"/>
        </w:rPr>
      </w:pPr>
      <w:r>
        <w:rPr>
          <w:rFonts w:hint="eastAsia" w:ascii="宋体" w:hAnsi="宋体" w:eastAsia="宋体" w:cs="宋体"/>
        </w:rPr>
        <w:br w:type="page"/>
      </w:r>
      <w:r>
        <w:rPr>
          <w:rFonts w:hint="eastAsia" w:ascii="宋体" w:hAnsi="宋体" w:eastAsia="宋体" w:cs="宋体"/>
          <w:b/>
          <w:bCs/>
          <w:sz w:val="28"/>
          <w:szCs w:val="28"/>
        </w:rPr>
        <w:t>第二章  招标项目需求</w:t>
      </w:r>
    </w:p>
    <w:p w14:paraId="5B4C41B6">
      <w:pPr>
        <w:tabs>
          <w:tab w:val="left" w:pos="5670"/>
        </w:tabs>
        <w:spacing w:before="140" w:after="140"/>
        <w:jc w:val="center"/>
        <w:outlineLvl w:val="2"/>
        <w:rPr>
          <w:rFonts w:hint="eastAsia" w:ascii="宋体" w:hAnsi="宋体" w:eastAsia="宋体" w:cs="宋体"/>
          <w:sz w:val="28"/>
          <w:szCs w:val="28"/>
        </w:rPr>
      </w:pPr>
      <w:bookmarkStart w:id="25" w:name="_Toc100052364"/>
      <w:bookmarkStart w:id="26" w:name="_Toc73517639"/>
      <w:bookmarkStart w:id="27" w:name="_Toc60631620"/>
      <w:bookmarkStart w:id="28" w:name="_Toc73518117"/>
      <w:bookmarkStart w:id="29" w:name="_Toc73521635"/>
      <w:bookmarkStart w:id="30" w:name="_Toc101074876"/>
      <w:bookmarkStart w:id="31" w:name="_Toc60560625"/>
      <w:bookmarkStart w:id="32" w:name="_Toc73521547"/>
      <w:r>
        <w:rPr>
          <w:rFonts w:hint="eastAsia" w:ascii="宋体" w:hAnsi="宋体" w:eastAsia="宋体" w:cs="宋体"/>
          <w:sz w:val="28"/>
          <w:szCs w:val="28"/>
        </w:rPr>
        <w:t>一、对通用条款的补充内容</w:t>
      </w:r>
    </w:p>
    <w:tbl>
      <w:tblPr>
        <w:tblStyle w:val="26"/>
        <w:tblpPr w:leftFromText="180" w:rightFromText="180" w:vertAnchor="text" w:tblpXSpec="center" w:tblpY="1"/>
        <w:tblOverlap w:val="never"/>
        <w:tblW w:w="9047"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30"/>
        <w:gridCol w:w="1607"/>
        <w:gridCol w:w="6410"/>
      </w:tblGrid>
      <w:tr w14:paraId="2BDF19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030" w:type="dxa"/>
            <w:vAlign w:val="center"/>
          </w:tcPr>
          <w:p w14:paraId="1781B8D7">
            <w:pPr>
              <w:jc w:val="center"/>
              <w:rPr>
                <w:rFonts w:hint="eastAsia" w:ascii="宋体" w:hAnsi="宋体" w:eastAsia="宋体" w:cs="宋体"/>
                <w:b/>
                <w:bCs/>
                <w:szCs w:val="21"/>
              </w:rPr>
            </w:pPr>
            <w:r>
              <w:rPr>
                <w:rFonts w:hint="eastAsia" w:ascii="宋体" w:hAnsi="宋体" w:eastAsia="宋体" w:cs="宋体"/>
                <w:b/>
                <w:bCs/>
                <w:szCs w:val="21"/>
              </w:rPr>
              <w:t>序号</w:t>
            </w:r>
          </w:p>
        </w:tc>
        <w:tc>
          <w:tcPr>
            <w:tcW w:w="1607" w:type="dxa"/>
            <w:vAlign w:val="center"/>
          </w:tcPr>
          <w:p w14:paraId="669CBBC9">
            <w:pPr>
              <w:jc w:val="center"/>
              <w:rPr>
                <w:rFonts w:hint="eastAsia" w:ascii="宋体" w:hAnsi="宋体" w:eastAsia="宋体" w:cs="宋体"/>
                <w:b/>
                <w:bCs/>
                <w:szCs w:val="21"/>
              </w:rPr>
            </w:pPr>
            <w:r>
              <w:rPr>
                <w:rFonts w:hint="eastAsia" w:ascii="宋体" w:hAnsi="宋体" w:eastAsia="宋体" w:cs="宋体"/>
                <w:b/>
                <w:bCs/>
                <w:szCs w:val="21"/>
              </w:rPr>
              <w:t>内   容</w:t>
            </w:r>
          </w:p>
        </w:tc>
        <w:tc>
          <w:tcPr>
            <w:tcW w:w="6410" w:type="dxa"/>
            <w:vAlign w:val="center"/>
          </w:tcPr>
          <w:p w14:paraId="25DD0A41">
            <w:pPr>
              <w:jc w:val="center"/>
              <w:rPr>
                <w:rFonts w:hint="eastAsia" w:ascii="宋体" w:hAnsi="宋体" w:eastAsia="宋体" w:cs="宋体"/>
                <w:b/>
                <w:bCs/>
                <w:szCs w:val="21"/>
              </w:rPr>
            </w:pPr>
            <w:r>
              <w:rPr>
                <w:rFonts w:hint="eastAsia" w:ascii="宋体" w:hAnsi="宋体" w:eastAsia="宋体" w:cs="宋体"/>
                <w:b/>
                <w:bCs/>
                <w:szCs w:val="21"/>
              </w:rPr>
              <w:t>规      定</w:t>
            </w:r>
          </w:p>
        </w:tc>
      </w:tr>
      <w:tr w14:paraId="680621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1030" w:type="dxa"/>
            <w:vAlign w:val="center"/>
          </w:tcPr>
          <w:p w14:paraId="28D7E06D">
            <w:pPr>
              <w:jc w:val="center"/>
              <w:rPr>
                <w:rFonts w:hint="eastAsia" w:ascii="宋体" w:hAnsi="宋体" w:eastAsia="宋体" w:cs="宋体"/>
                <w:szCs w:val="21"/>
              </w:rPr>
            </w:pPr>
            <w:r>
              <w:rPr>
                <w:rFonts w:hint="eastAsia" w:ascii="宋体" w:hAnsi="宋体" w:eastAsia="宋体" w:cs="宋体"/>
                <w:szCs w:val="21"/>
              </w:rPr>
              <w:t>1</w:t>
            </w:r>
          </w:p>
        </w:tc>
        <w:tc>
          <w:tcPr>
            <w:tcW w:w="1607" w:type="dxa"/>
            <w:vAlign w:val="center"/>
          </w:tcPr>
          <w:p w14:paraId="7CC96FF7">
            <w:pPr>
              <w:jc w:val="center"/>
              <w:rPr>
                <w:rFonts w:hint="eastAsia" w:ascii="宋体" w:hAnsi="宋体" w:eastAsia="宋体" w:cs="宋体"/>
                <w:szCs w:val="21"/>
              </w:rPr>
            </w:pPr>
            <w:r>
              <w:rPr>
                <w:rFonts w:hint="eastAsia" w:ascii="宋体" w:hAnsi="宋体" w:eastAsia="宋体" w:cs="宋体"/>
                <w:szCs w:val="21"/>
              </w:rPr>
              <w:t>联合体投标</w:t>
            </w:r>
          </w:p>
        </w:tc>
        <w:tc>
          <w:tcPr>
            <w:tcW w:w="6410" w:type="dxa"/>
            <w:vAlign w:val="center"/>
          </w:tcPr>
          <w:p w14:paraId="56D943AD">
            <w:pPr>
              <w:rPr>
                <w:rFonts w:hint="eastAsia" w:ascii="宋体" w:hAnsi="宋体" w:eastAsia="宋体" w:cs="宋体"/>
                <w:snapToGrid w:val="0"/>
                <w:szCs w:val="21"/>
                <w:u w:val="single"/>
                <w:lang w:val="zh-CN"/>
              </w:rPr>
            </w:pPr>
            <w:r>
              <w:rPr>
                <w:rFonts w:hint="eastAsia" w:ascii="宋体" w:hAnsi="宋体" w:eastAsia="宋体" w:cs="宋体"/>
                <w:snapToGrid w:val="0"/>
                <w:szCs w:val="21"/>
                <w:u w:val="single"/>
                <w:lang w:val="zh-CN"/>
              </w:rPr>
              <w:t>见《招标公告》中“投标人资格要求”部分的相关内容</w:t>
            </w:r>
          </w:p>
        </w:tc>
      </w:tr>
      <w:tr w14:paraId="047378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5" w:hRule="atLeast"/>
          <w:jc w:val="center"/>
        </w:trPr>
        <w:tc>
          <w:tcPr>
            <w:tcW w:w="1030" w:type="dxa"/>
            <w:vAlign w:val="center"/>
          </w:tcPr>
          <w:p w14:paraId="4E4EB35E">
            <w:pPr>
              <w:jc w:val="center"/>
              <w:rPr>
                <w:rFonts w:hint="eastAsia" w:ascii="宋体" w:hAnsi="宋体" w:eastAsia="宋体" w:cs="宋体"/>
                <w:szCs w:val="21"/>
              </w:rPr>
            </w:pPr>
            <w:r>
              <w:rPr>
                <w:rFonts w:hint="eastAsia" w:ascii="宋体" w:hAnsi="宋体" w:eastAsia="宋体" w:cs="宋体"/>
                <w:szCs w:val="21"/>
              </w:rPr>
              <w:t>2</w:t>
            </w:r>
          </w:p>
        </w:tc>
        <w:tc>
          <w:tcPr>
            <w:tcW w:w="1607" w:type="dxa"/>
            <w:vAlign w:val="center"/>
          </w:tcPr>
          <w:p w14:paraId="3C43F5F0">
            <w:pPr>
              <w:jc w:val="center"/>
              <w:rPr>
                <w:rFonts w:hint="eastAsia" w:ascii="宋体" w:hAnsi="宋体" w:eastAsia="宋体" w:cs="宋体"/>
                <w:szCs w:val="21"/>
              </w:rPr>
            </w:pPr>
            <w:r>
              <w:rPr>
                <w:rFonts w:hint="eastAsia" w:ascii="宋体" w:hAnsi="宋体" w:eastAsia="宋体" w:cs="宋体"/>
                <w:szCs w:val="21"/>
              </w:rPr>
              <w:t>投标有效期</w:t>
            </w:r>
          </w:p>
        </w:tc>
        <w:tc>
          <w:tcPr>
            <w:tcW w:w="6410" w:type="dxa"/>
            <w:vAlign w:val="center"/>
          </w:tcPr>
          <w:p w14:paraId="163EDB65">
            <w:pPr>
              <w:rPr>
                <w:rFonts w:hint="eastAsia" w:ascii="宋体" w:hAnsi="宋体" w:eastAsia="宋体" w:cs="宋体"/>
                <w:szCs w:val="21"/>
              </w:rPr>
            </w:pPr>
            <w:r>
              <w:rPr>
                <w:rFonts w:hint="eastAsia" w:ascii="宋体" w:hAnsi="宋体" w:eastAsia="宋体" w:cs="宋体"/>
                <w:color w:val="FF0000"/>
                <w:szCs w:val="21"/>
                <w:u w:val="single"/>
              </w:rPr>
              <w:t>120日历天</w:t>
            </w:r>
            <w:r>
              <w:rPr>
                <w:rFonts w:hint="eastAsia" w:ascii="宋体" w:hAnsi="宋体" w:eastAsia="宋体" w:cs="宋体"/>
                <w:szCs w:val="21"/>
              </w:rPr>
              <w:t>（从投标截止之日算起）</w:t>
            </w:r>
          </w:p>
        </w:tc>
      </w:tr>
      <w:tr w14:paraId="797234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30" w:type="dxa"/>
            <w:vAlign w:val="center"/>
          </w:tcPr>
          <w:p w14:paraId="5CD153B4">
            <w:pPr>
              <w:jc w:val="center"/>
              <w:rPr>
                <w:rFonts w:hint="eastAsia" w:ascii="宋体" w:hAnsi="宋体" w:eastAsia="宋体" w:cs="宋体"/>
                <w:szCs w:val="21"/>
              </w:rPr>
            </w:pPr>
            <w:r>
              <w:rPr>
                <w:rFonts w:hint="eastAsia" w:ascii="宋体" w:hAnsi="宋体" w:eastAsia="宋体" w:cs="宋体"/>
                <w:szCs w:val="21"/>
              </w:rPr>
              <w:t>3</w:t>
            </w:r>
          </w:p>
        </w:tc>
        <w:tc>
          <w:tcPr>
            <w:tcW w:w="1607" w:type="dxa"/>
            <w:vAlign w:val="center"/>
          </w:tcPr>
          <w:p w14:paraId="6584F715">
            <w:pPr>
              <w:jc w:val="center"/>
              <w:rPr>
                <w:rFonts w:hint="eastAsia" w:ascii="宋体" w:hAnsi="宋体" w:eastAsia="宋体" w:cs="宋体"/>
                <w:szCs w:val="21"/>
              </w:rPr>
            </w:pPr>
            <w:r>
              <w:rPr>
                <w:rFonts w:hint="eastAsia" w:ascii="宋体" w:hAnsi="宋体" w:eastAsia="宋体" w:cs="宋体"/>
                <w:szCs w:val="21"/>
              </w:rPr>
              <w:t>投标人的替代方案</w:t>
            </w:r>
          </w:p>
        </w:tc>
        <w:tc>
          <w:tcPr>
            <w:tcW w:w="6410" w:type="dxa"/>
            <w:vAlign w:val="center"/>
          </w:tcPr>
          <w:p w14:paraId="3907C08A">
            <w:pPr>
              <w:rPr>
                <w:rFonts w:hint="eastAsia" w:ascii="宋体" w:hAnsi="宋体" w:eastAsia="宋体" w:cs="宋体"/>
                <w:szCs w:val="21"/>
              </w:rPr>
            </w:pPr>
            <w:r>
              <w:rPr>
                <w:rFonts w:hint="eastAsia" w:ascii="宋体" w:hAnsi="宋体" w:eastAsia="宋体" w:cs="宋体"/>
                <w:szCs w:val="21"/>
              </w:rPr>
              <w:t>不允许</w:t>
            </w:r>
          </w:p>
        </w:tc>
      </w:tr>
      <w:tr w14:paraId="50EBB54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30" w:type="dxa"/>
            <w:vAlign w:val="center"/>
          </w:tcPr>
          <w:p w14:paraId="2D600E3D">
            <w:pPr>
              <w:jc w:val="center"/>
              <w:rPr>
                <w:rFonts w:hint="eastAsia" w:ascii="宋体" w:hAnsi="宋体" w:eastAsia="宋体" w:cs="宋体"/>
                <w:szCs w:val="21"/>
              </w:rPr>
            </w:pPr>
            <w:r>
              <w:rPr>
                <w:rFonts w:hint="eastAsia" w:ascii="宋体" w:hAnsi="宋体" w:eastAsia="宋体" w:cs="宋体"/>
                <w:szCs w:val="21"/>
              </w:rPr>
              <w:t>4</w:t>
            </w:r>
          </w:p>
        </w:tc>
        <w:tc>
          <w:tcPr>
            <w:tcW w:w="1607" w:type="dxa"/>
            <w:vAlign w:val="center"/>
          </w:tcPr>
          <w:p w14:paraId="590F0084">
            <w:pPr>
              <w:jc w:val="center"/>
              <w:rPr>
                <w:rFonts w:hint="eastAsia" w:ascii="宋体" w:hAnsi="宋体" w:eastAsia="宋体" w:cs="宋体"/>
                <w:szCs w:val="21"/>
              </w:rPr>
            </w:pPr>
            <w:r>
              <w:rPr>
                <w:rFonts w:hint="eastAsia" w:ascii="宋体" w:hAnsi="宋体" w:eastAsia="宋体" w:cs="宋体"/>
                <w:szCs w:val="21"/>
              </w:rPr>
              <w:t>投标文件的投递</w:t>
            </w:r>
          </w:p>
        </w:tc>
        <w:tc>
          <w:tcPr>
            <w:tcW w:w="6410" w:type="dxa"/>
            <w:vAlign w:val="center"/>
          </w:tcPr>
          <w:p w14:paraId="2F93B74C">
            <w:pPr>
              <w:rPr>
                <w:rFonts w:hint="eastAsia" w:ascii="宋体" w:hAnsi="宋体" w:eastAsia="宋体" w:cs="宋体"/>
                <w:szCs w:val="21"/>
              </w:rPr>
            </w:pPr>
            <w:r>
              <w:rPr>
                <w:rFonts w:hint="eastAsia" w:ascii="宋体" w:hAnsi="宋体" w:eastAsia="宋体" w:cs="宋体"/>
                <w:szCs w:val="21"/>
              </w:rPr>
              <w:t>本项目实行网上投标，投标人必须在招标文件规定的投标截止时间前登录“深圳公共资源交易中心（深圳交易集团有限公司政府采购业务分公司）网”，使用“应标管理-&gt;上传投标文件”功能点，将编制好的电子投标文件上传，投标文件大小不得超过250MB</w:t>
            </w:r>
          </w:p>
        </w:tc>
      </w:tr>
      <w:tr w14:paraId="01B39B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30" w:type="dxa"/>
            <w:vAlign w:val="center"/>
          </w:tcPr>
          <w:p w14:paraId="7D972AE1">
            <w:pPr>
              <w:jc w:val="center"/>
              <w:rPr>
                <w:rFonts w:hint="eastAsia" w:ascii="宋体" w:hAnsi="宋体" w:eastAsia="宋体" w:cs="宋体"/>
                <w:szCs w:val="21"/>
              </w:rPr>
            </w:pPr>
            <w:r>
              <w:rPr>
                <w:rFonts w:hint="eastAsia" w:ascii="宋体" w:hAnsi="宋体" w:eastAsia="宋体" w:cs="宋体"/>
                <w:szCs w:val="21"/>
              </w:rPr>
              <w:t>5</w:t>
            </w:r>
          </w:p>
        </w:tc>
        <w:tc>
          <w:tcPr>
            <w:tcW w:w="1607" w:type="dxa"/>
            <w:vAlign w:val="center"/>
          </w:tcPr>
          <w:p w14:paraId="2B54E6C3">
            <w:pPr>
              <w:jc w:val="center"/>
              <w:rPr>
                <w:rFonts w:hint="eastAsia" w:ascii="宋体" w:hAnsi="宋体" w:eastAsia="宋体" w:cs="宋体"/>
                <w:szCs w:val="21"/>
              </w:rPr>
            </w:pPr>
            <w:r>
              <w:rPr>
                <w:rFonts w:hint="eastAsia" w:ascii="宋体" w:hAnsi="宋体" w:eastAsia="宋体" w:cs="宋体"/>
                <w:szCs w:val="21"/>
              </w:rPr>
              <w:t>履约保证金</w:t>
            </w:r>
          </w:p>
        </w:tc>
        <w:tc>
          <w:tcPr>
            <w:tcW w:w="6410" w:type="dxa"/>
            <w:vAlign w:val="center"/>
          </w:tcPr>
          <w:p w14:paraId="73258567">
            <w:pPr>
              <w:pStyle w:val="43"/>
              <w:rPr>
                <w:rFonts w:hint="eastAsia" w:ascii="宋体" w:hAnsi="宋体" w:eastAsia="宋体" w:cs="宋体"/>
                <w:sz w:val="24"/>
                <w:szCs w:val="24"/>
              </w:rPr>
            </w:pPr>
            <w:r>
              <w:rPr>
                <w:rFonts w:hint="eastAsia" w:ascii="宋体" w:hAnsi="宋体" w:eastAsia="宋体" w:cs="宋体"/>
                <w:sz w:val="24"/>
                <w:szCs w:val="24"/>
              </w:rPr>
              <w:t>本项目须提供中标合同总金额5%的履约保证金，供应商自主选择以支票、汇票、本票、保函等非现金方式提交履约担保；</w:t>
            </w:r>
          </w:p>
          <w:p w14:paraId="017BB3F6">
            <w:pPr>
              <w:pStyle w:val="43"/>
              <w:rPr>
                <w:rFonts w:hint="eastAsia" w:ascii="宋体" w:hAnsi="宋体" w:eastAsia="宋体" w:cs="宋体"/>
              </w:rPr>
            </w:pPr>
            <w:r>
              <w:rPr>
                <w:rFonts w:hint="eastAsia" w:ascii="宋体" w:hAnsi="宋体" w:eastAsia="宋体" w:cs="宋体"/>
                <w:sz w:val="24"/>
                <w:szCs w:val="24"/>
              </w:rPr>
              <w:t>注：履约保证金在中标人履行完成合同约定权利义务事项在合同期满之日起 30 日内按原方式退还，不计利息。采购人逾期退还履约保证金的，向中标人每日偿付履约保证金的0.5‰的利息。因中标人原因而未能达到本项目验收标准或验收不通过的，履约保证金不予退还。</w:t>
            </w:r>
          </w:p>
        </w:tc>
      </w:tr>
      <w:tr w14:paraId="660B30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30" w:type="dxa"/>
            <w:vAlign w:val="center"/>
          </w:tcPr>
          <w:p w14:paraId="625F04EF">
            <w:pPr>
              <w:jc w:val="center"/>
              <w:rPr>
                <w:rFonts w:hint="eastAsia" w:ascii="宋体" w:hAnsi="宋体" w:eastAsia="宋体" w:cs="宋体"/>
                <w:szCs w:val="21"/>
              </w:rPr>
            </w:pPr>
            <w:r>
              <w:rPr>
                <w:rFonts w:hint="eastAsia" w:ascii="宋体" w:hAnsi="宋体" w:eastAsia="宋体" w:cs="宋体"/>
                <w:color w:val="000000"/>
                <w:szCs w:val="21"/>
              </w:rPr>
              <w:t>6</w:t>
            </w:r>
          </w:p>
        </w:tc>
        <w:tc>
          <w:tcPr>
            <w:tcW w:w="1607" w:type="dxa"/>
            <w:vAlign w:val="center"/>
          </w:tcPr>
          <w:p w14:paraId="724D23B7">
            <w:pPr>
              <w:jc w:val="center"/>
              <w:rPr>
                <w:rFonts w:hint="eastAsia" w:ascii="宋体" w:hAnsi="宋体" w:eastAsia="宋体" w:cs="宋体"/>
                <w:szCs w:val="21"/>
                <w:highlight w:val="yellow"/>
              </w:rPr>
            </w:pPr>
            <w:r>
              <w:rPr>
                <w:rFonts w:hint="eastAsia" w:ascii="宋体" w:hAnsi="宋体" w:eastAsia="宋体" w:cs="宋体"/>
                <w:color w:val="000000"/>
                <w:szCs w:val="21"/>
              </w:rPr>
              <w:t>招标代理服务费</w:t>
            </w:r>
          </w:p>
        </w:tc>
        <w:tc>
          <w:tcPr>
            <w:tcW w:w="6410" w:type="dxa"/>
            <w:vAlign w:val="center"/>
          </w:tcPr>
          <w:p w14:paraId="146021BD">
            <w:pPr>
              <w:rPr>
                <w:rFonts w:hint="eastAsia" w:ascii="宋体" w:hAnsi="宋体" w:eastAsia="宋体" w:cs="宋体"/>
                <w:szCs w:val="21"/>
              </w:rPr>
            </w:pPr>
            <w:r>
              <w:rPr>
                <w:rFonts w:hint="eastAsia" w:ascii="宋体" w:hAnsi="宋体" w:eastAsia="宋体" w:cs="宋体"/>
                <w:szCs w:val="21"/>
              </w:rPr>
              <w:t xml:space="preserve">代理服务费的收取标准及方式  </w:t>
            </w:r>
          </w:p>
          <w:p w14:paraId="46FB05AF">
            <w:pPr>
              <w:rPr>
                <w:rFonts w:hint="eastAsia" w:ascii="宋体" w:hAnsi="宋体" w:eastAsia="宋体" w:cs="宋体"/>
                <w:szCs w:val="21"/>
              </w:rPr>
            </w:pPr>
            <w:r>
              <w:rPr>
                <w:rFonts w:hint="eastAsia" w:ascii="宋体" w:hAnsi="宋体" w:eastAsia="宋体" w:cs="宋体"/>
                <w:szCs w:val="21"/>
              </w:rPr>
              <w:t>招标采购代理服务收费以项目中标金额为计费基数，按照深圳市财政委员会《关于规范深圳市社会采购代理机构管理有关事项的补充通知》（深财购〔2018〕27号）的规定计算。招标代理服务费由中标人于领取中标通知书前支付。</w:t>
            </w:r>
          </w:p>
          <w:p w14:paraId="2715E2FE">
            <w:pPr>
              <w:rPr>
                <w:rFonts w:hint="eastAsia" w:ascii="宋体" w:hAnsi="宋体" w:eastAsia="宋体" w:cs="宋体"/>
                <w:szCs w:val="21"/>
              </w:rPr>
            </w:pPr>
            <w:r>
              <w:rPr>
                <w:rFonts w:hint="eastAsia" w:ascii="宋体" w:hAnsi="宋体" w:eastAsia="宋体" w:cs="宋体"/>
                <w:szCs w:val="21"/>
              </w:rPr>
              <w:t>帐户名称：深圳市南科大资产经营管理有限公司</w:t>
            </w:r>
          </w:p>
          <w:p w14:paraId="0DB1EAA4">
            <w:pPr>
              <w:rPr>
                <w:rFonts w:hint="eastAsia" w:ascii="宋体" w:hAnsi="宋体" w:eastAsia="宋体" w:cs="宋体"/>
                <w:szCs w:val="21"/>
              </w:rPr>
            </w:pPr>
            <w:r>
              <w:rPr>
                <w:rFonts w:hint="eastAsia" w:ascii="宋体" w:hAnsi="宋体" w:eastAsia="宋体" w:cs="宋体"/>
                <w:szCs w:val="21"/>
              </w:rPr>
              <w:t>开户银行：中信银行深圳分行营业部</w:t>
            </w:r>
          </w:p>
          <w:p w14:paraId="7D834A2D">
            <w:pPr>
              <w:rPr>
                <w:rFonts w:hint="eastAsia" w:ascii="宋体" w:hAnsi="宋体" w:eastAsia="宋体" w:cs="宋体"/>
                <w:szCs w:val="21"/>
              </w:rPr>
            </w:pPr>
            <w:r>
              <w:rPr>
                <w:rFonts w:hint="eastAsia" w:ascii="宋体" w:hAnsi="宋体" w:eastAsia="宋体" w:cs="宋体"/>
                <w:szCs w:val="21"/>
              </w:rPr>
              <w:t>账    号：8110301013800272053</w:t>
            </w:r>
          </w:p>
          <w:p w14:paraId="30C18DD2">
            <w:pPr>
              <w:rPr>
                <w:rFonts w:hint="eastAsia" w:ascii="宋体" w:hAnsi="宋体" w:eastAsia="宋体" w:cs="宋体"/>
                <w:szCs w:val="21"/>
              </w:rPr>
            </w:pPr>
            <w:r>
              <w:rPr>
                <w:rFonts w:hint="eastAsia" w:ascii="宋体" w:hAnsi="宋体" w:eastAsia="宋体" w:cs="宋体"/>
                <w:szCs w:val="21"/>
              </w:rPr>
              <w:t>招标采购代理服务收费按差额定率累进法计算，具体标准如下：</w:t>
            </w:r>
          </w:p>
          <w:tbl>
            <w:tblPr>
              <w:tblStyle w:val="26"/>
              <w:tblW w:w="5144" w:type="dxa"/>
              <w:jc w:val="center"/>
              <w:tblLayout w:type="fixed"/>
              <w:tblCellMar>
                <w:top w:w="0" w:type="dxa"/>
                <w:left w:w="108" w:type="dxa"/>
                <w:bottom w:w="0" w:type="dxa"/>
                <w:right w:w="108" w:type="dxa"/>
              </w:tblCellMar>
            </w:tblPr>
            <w:tblGrid>
              <w:gridCol w:w="1740"/>
              <w:gridCol w:w="1168"/>
              <w:gridCol w:w="1125"/>
              <w:gridCol w:w="1111"/>
            </w:tblGrid>
            <w:tr w14:paraId="0AD84C5A">
              <w:tblPrEx>
                <w:tblCellMar>
                  <w:top w:w="0" w:type="dxa"/>
                  <w:left w:w="108" w:type="dxa"/>
                  <w:bottom w:w="0" w:type="dxa"/>
                  <w:right w:w="108" w:type="dxa"/>
                </w:tblCellMar>
              </w:tblPrEx>
              <w:trPr>
                <w:trHeight w:val="914" w:hRule="atLeast"/>
                <w:jc w:val="center"/>
              </w:trPr>
              <w:tc>
                <w:tcPr>
                  <w:tcW w:w="1740" w:type="dxa"/>
                  <w:tcBorders>
                    <w:top w:val="single" w:color="auto" w:sz="4" w:space="0"/>
                    <w:left w:val="single" w:color="auto" w:sz="4" w:space="0"/>
                    <w:bottom w:val="single" w:color="auto" w:sz="4" w:space="0"/>
                    <w:right w:val="single" w:color="auto" w:sz="4" w:space="0"/>
                    <w:tl2br w:val="single" w:color="auto" w:sz="4" w:space="0"/>
                  </w:tcBorders>
                  <w:vAlign w:val="center"/>
                </w:tcPr>
                <w:p w14:paraId="0C6A734E">
                  <w:pPr>
                    <w:rPr>
                      <w:rFonts w:hint="eastAsia" w:ascii="宋体" w:hAnsi="宋体" w:eastAsia="宋体" w:cs="宋体"/>
                      <w:szCs w:val="21"/>
                    </w:rPr>
                  </w:pPr>
                  <w:r>
                    <w:rPr>
                      <w:rFonts w:hint="eastAsia" w:ascii="宋体" w:hAnsi="宋体" w:eastAsia="宋体" w:cs="宋体"/>
                      <w:szCs w:val="21"/>
                    </w:rPr>
                    <w:t>类别</w:t>
                  </w:r>
                </w:p>
                <w:p w14:paraId="6AD62BC9">
                  <w:pPr>
                    <w:rPr>
                      <w:rFonts w:hint="eastAsia" w:ascii="宋体" w:hAnsi="宋体" w:eastAsia="宋体" w:cs="宋体"/>
                      <w:szCs w:val="21"/>
                    </w:rPr>
                  </w:pPr>
                  <w:r>
                    <w:rPr>
                      <w:rFonts w:hint="eastAsia" w:ascii="宋体" w:hAnsi="宋体" w:eastAsia="宋体" w:cs="宋体"/>
                      <w:szCs w:val="21"/>
                    </w:rPr>
                    <w:t>金额(万元)</w:t>
                  </w:r>
                </w:p>
              </w:tc>
              <w:tc>
                <w:tcPr>
                  <w:tcW w:w="1168" w:type="dxa"/>
                  <w:tcBorders>
                    <w:top w:val="single" w:color="auto" w:sz="4" w:space="0"/>
                    <w:left w:val="single" w:color="auto" w:sz="4" w:space="0"/>
                    <w:bottom w:val="single" w:color="auto" w:sz="4" w:space="0"/>
                    <w:right w:val="single" w:color="auto" w:sz="4" w:space="0"/>
                  </w:tcBorders>
                  <w:vAlign w:val="center"/>
                </w:tcPr>
                <w:p w14:paraId="355A9D8E">
                  <w:pPr>
                    <w:rPr>
                      <w:rFonts w:hint="eastAsia" w:ascii="宋体" w:hAnsi="宋体" w:eastAsia="宋体" w:cs="宋体"/>
                      <w:szCs w:val="21"/>
                    </w:rPr>
                  </w:pPr>
                  <w:r>
                    <w:rPr>
                      <w:rFonts w:hint="eastAsia" w:ascii="宋体" w:hAnsi="宋体" w:eastAsia="宋体" w:cs="宋体"/>
                      <w:szCs w:val="21"/>
                    </w:rPr>
                    <w:t>工程招标</w:t>
                  </w:r>
                </w:p>
              </w:tc>
              <w:tc>
                <w:tcPr>
                  <w:tcW w:w="1125" w:type="dxa"/>
                  <w:tcBorders>
                    <w:top w:val="single" w:color="auto" w:sz="4" w:space="0"/>
                    <w:left w:val="nil"/>
                    <w:bottom w:val="single" w:color="auto" w:sz="4" w:space="0"/>
                    <w:right w:val="single" w:color="auto" w:sz="4" w:space="0"/>
                  </w:tcBorders>
                  <w:vAlign w:val="center"/>
                </w:tcPr>
                <w:p w14:paraId="705B1AD6">
                  <w:pPr>
                    <w:rPr>
                      <w:rFonts w:hint="eastAsia" w:ascii="宋体" w:hAnsi="宋体" w:eastAsia="宋体" w:cs="宋体"/>
                      <w:szCs w:val="21"/>
                    </w:rPr>
                  </w:pPr>
                  <w:r>
                    <w:rPr>
                      <w:rFonts w:hint="eastAsia" w:ascii="宋体" w:hAnsi="宋体" w:eastAsia="宋体" w:cs="宋体"/>
                      <w:szCs w:val="21"/>
                    </w:rPr>
                    <w:t>货物招标</w:t>
                  </w:r>
                </w:p>
              </w:tc>
              <w:tc>
                <w:tcPr>
                  <w:tcW w:w="1111" w:type="dxa"/>
                  <w:tcBorders>
                    <w:top w:val="single" w:color="auto" w:sz="4" w:space="0"/>
                    <w:left w:val="nil"/>
                    <w:bottom w:val="single" w:color="auto" w:sz="4" w:space="0"/>
                    <w:right w:val="single" w:color="auto" w:sz="4" w:space="0"/>
                  </w:tcBorders>
                  <w:vAlign w:val="center"/>
                </w:tcPr>
                <w:p w14:paraId="7221842B">
                  <w:pPr>
                    <w:rPr>
                      <w:rFonts w:hint="eastAsia" w:ascii="宋体" w:hAnsi="宋体" w:eastAsia="宋体" w:cs="宋体"/>
                      <w:szCs w:val="21"/>
                    </w:rPr>
                  </w:pPr>
                  <w:r>
                    <w:rPr>
                      <w:rFonts w:hint="eastAsia" w:ascii="宋体" w:hAnsi="宋体" w:eastAsia="宋体" w:cs="宋体"/>
                      <w:szCs w:val="21"/>
                    </w:rPr>
                    <w:t>服务招标</w:t>
                  </w:r>
                </w:p>
              </w:tc>
            </w:tr>
            <w:tr w14:paraId="79B32885">
              <w:tblPrEx>
                <w:tblCellMar>
                  <w:top w:w="0" w:type="dxa"/>
                  <w:left w:w="108" w:type="dxa"/>
                  <w:bottom w:w="0" w:type="dxa"/>
                  <w:right w:w="108" w:type="dxa"/>
                </w:tblCellMar>
              </w:tblPrEx>
              <w:trPr>
                <w:trHeight w:val="23" w:hRule="atLeast"/>
                <w:jc w:val="center"/>
              </w:trPr>
              <w:tc>
                <w:tcPr>
                  <w:tcW w:w="1740" w:type="dxa"/>
                  <w:tcBorders>
                    <w:top w:val="single" w:color="auto" w:sz="4" w:space="0"/>
                    <w:left w:val="single" w:color="auto" w:sz="8" w:space="0"/>
                    <w:bottom w:val="single" w:color="auto" w:sz="8" w:space="0"/>
                    <w:right w:val="single" w:color="auto" w:sz="8" w:space="0"/>
                  </w:tcBorders>
                </w:tcPr>
                <w:p w14:paraId="26F5CD5F">
                  <w:pPr>
                    <w:rPr>
                      <w:rFonts w:hint="eastAsia" w:ascii="宋体" w:hAnsi="宋体" w:eastAsia="宋体" w:cs="宋体"/>
                      <w:szCs w:val="21"/>
                    </w:rPr>
                  </w:pPr>
                  <w:r>
                    <w:rPr>
                      <w:rFonts w:hint="eastAsia" w:ascii="宋体" w:hAnsi="宋体" w:eastAsia="宋体" w:cs="宋体"/>
                      <w:szCs w:val="21"/>
                    </w:rPr>
                    <w:t>100以下</w:t>
                  </w:r>
                </w:p>
              </w:tc>
              <w:tc>
                <w:tcPr>
                  <w:tcW w:w="1168" w:type="dxa"/>
                  <w:tcBorders>
                    <w:top w:val="nil"/>
                    <w:left w:val="nil"/>
                    <w:bottom w:val="single" w:color="auto" w:sz="8" w:space="0"/>
                    <w:right w:val="single" w:color="auto" w:sz="8" w:space="0"/>
                  </w:tcBorders>
                </w:tcPr>
                <w:p w14:paraId="3ED48396">
                  <w:pPr>
                    <w:rPr>
                      <w:rFonts w:hint="eastAsia" w:ascii="宋体" w:hAnsi="宋体" w:eastAsia="宋体" w:cs="宋体"/>
                      <w:szCs w:val="21"/>
                    </w:rPr>
                  </w:pPr>
                  <w:r>
                    <w:rPr>
                      <w:rFonts w:hint="eastAsia" w:ascii="宋体" w:hAnsi="宋体" w:eastAsia="宋体" w:cs="宋体"/>
                      <w:szCs w:val="21"/>
                    </w:rPr>
                    <w:t>1.00%</w:t>
                  </w:r>
                </w:p>
              </w:tc>
              <w:tc>
                <w:tcPr>
                  <w:tcW w:w="1125" w:type="dxa"/>
                  <w:tcBorders>
                    <w:top w:val="nil"/>
                    <w:left w:val="nil"/>
                    <w:bottom w:val="single" w:color="auto" w:sz="8" w:space="0"/>
                    <w:right w:val="single" w:color="auto" w:sz="8" w:space="0"/>
                  </w:tcBorders>
                </w:tcPr>
                <w:p w14:paraId="79C8F5AB">
                  <w:pPr>
                    <w:rPr>
                      <w:rFonts w:hint="eastAsia" w:ascii="宋体" w:hAnsi="宋体" w:eastAsia="宋体" w:cs="宋体"/>
                      <w:szCs w:val="21"/>
                    </w:rPr>
                  </w:pPr>
                  <w:r>
                    <w:rPr>
                      <w:rFonts w:hint="eastAsia" w:ascii="宋体" w:hAnsi="宋体" w:eastAsia="宋体" w:cs="宋体"/>
                      <w:szCs w:val="21"/>
                    </w:rPr>
                    <w:t>1.50%</w:t>
                  </w:r>
                </w:p>
              </w:tc>
              <w:tc>
                <w:tcPr>
                  <w:tcW w:w="1111" w:type="dxa"/>
                  <w:tcBorders>
                    <w:top w:val="nil"/>
                    <w:left w:val="nil"/>
                    <w:bottom w:val="single" w:color="auto" w:sz="8" w:space="0"/>
                    <w:right w:val="single" w:color="auto" w:sz="8" w:space="0"/>
                  </w:tcBorders>
                </w:tcPr>
                <w:p w14:paraId="2D859BB5">
                  <w:pPr>
                    <w:rPr>
                      <w:rFonts w:hint="eastAsia" w:ascii="宋体" w:hAnsi="宋体" w:eastAsia="宋体" w:cs="宋体"/>
                      <w:szCs w:val="21"/>
                    </w:rPr>
                  </w:pPr>
                  <w:r>
                    <w:rPr>
                      <w:rFonts w:hint="eastAsia" w:ascii="宋体" w:hAnsi="宋体" w:eastAsia="宋体" w:cs="宋体"/>
                      <w:szCs w:val="21"/>
                    </w:rPr>
                    <w:t>1.50%</w:t>
                  </w:r>
                </w:p>
              </w:tc>
            </w:tr>
            <w:tr w14:paraId="1C968E2D">
              <w:tblPrEx>
                <w:tblCellMar>
                  <w:top w:w="0" w:type="dxa"/>
                  <w:left w:w="108" w:type="dxa"/>
                  <w:bottom w:w="0" w:type="dxa"/>
                  <w:right w:w="108" w:type="dxa"/>
                </w:tblCellMar>
              </w:tblPrEx>
              <w:trPr>
                <w:trHeight w:val="23" w:hRule="atLeast"/>
                <w:jc w:val="center"/>
              </w:trPr>
              <w:tc>
                <w:tcPr>
                  <w:tcW w:w="1740" w:type="dxa"/>
                  <w:tcBorders>
                    <w:top w:val="nil"/>
                    <w:left w:val="single" w:color="auto" w:sz="8" w:space="0"/>
                    <w:bottom w:val="single" w:color="auto" w:sz="8" w:space="0"/>
                    <w:right w:val="single" w:color="auto" w:sz="8" w:space="0"/>
                  </w:tcBorders>
                </w:tcPr>
                <w:p w14:paraId="6926783D">
                  <w:pPr>
                    <w:rPr>
                      <w:rFonts w:hint="eastAsia" w:ascii="宋体" w:hAnsi="宋体" w:eastAsia="宋体" w:cs="宋体"/>
                      <w:szCs w:val="21"/>
                    </w:rPr>
                  </w:pPr>
                  <w:r>
                    <w:rPr>
                      <w:rFonts w:hint="eastAsia" w:ascii="宋体" w:hAnsi="宋体" w:eastAsia="宋体" w:cs="宋体"/>
                      <w:szCs w:val="21"/>
                    </w:rPr>
                    <w:t>100-500</w:t>
                  </w:r>
                </w:p>
              </w:tc>
              <w:tc>
                <w:tcPr>
                  <w:tcW w:w="1168" w:type="dxa"/>
                  <w:tcBorders>
                    <w:top w:val="nil"/>
                    <w:left w:val="nil"/>
                    <w:bottom w:val="single" w:color="auto" w:sz="8" w:space="0"/>
                    <w:right w:val="single" w:color="auto" w:sz="8" w:space="0"/>
                  </w:tcBorders>
                </w:tcPr>
                <w:p w14:paraId="03DFBB2B">
                  <w:pPr>
                    <w:rPr>
                      <w:rFonts w:hint="eastAsia" w:ascii="宋体" w:hAnsi="宋体" w:eastAsia="宋体" w:cs="宋体"/>
                      <w:szCs w:val="21"/>
                    </w:rPr>
                  </w:pPr>
                  <w:r>
                    <w:rPr>
                      <w:rFonts w:hint="eastAsia" w:ascii="宋体" w:hAnsi="宋体" w:eastAsia="宋体" w:cs="宋体"/>
                      <w:szCs w:val="21"/>
                    </w:rPr>
                    <w:t>0.70%</w:t>
                  </w:r>
                </w:p>
              </w:tc>
              <w:tc>
                <w:tcPr>
                  <w:tcW w:w="1125" w:type="dxa"/>
                  <w:tcBorders>
                    <w:top w:val="nil"/>
                    <w:left w:val="nil"/>
                    <w:bottom w:val="single" w:color="auto" w:sz="8" w:space="0"/>
                    <w:right w:val="single" w:color="auto" w:sz="8" w:space="0"/>
                  </w:tcBorders>
                </w:tcPr>
                <w:p w14:paraId="391C0F87">
                  <w:pPr>
                    <w:rPr>
                      <w:rFonts w:hint="eastAsia" w:ascii="宋体" w:hAnsi="宋体" w:eastAsia="宋体" w:cs="宋体"/>
                      <w:szCs w:val="21"/>
                    </w:rPr>
                  </w:pPr>
                  <w:r>
                    <w:rPr>
                      <w:rFonts w:hint="eastAsia" w:ascii="宋体" w:hAnsi="宋体" w:eastAsia="宋体" w:cs="宋体"/>
                      <w:szCs w:val="21"/>
                    </w:rPr>
                    <w:t>1.10%</w:t>
                  </w:r>
                </w:p>
              </w:tc>
              <w:tc>
                <w:tcPr>
                  <w:tcW w:w="1111" w:type="dxa"/>
                  <w:tcBorders>
                    <w:top w:val="nil"/>
                    <w:left w:val="nil"/>
                    <w:bottom w:val="single" w:color="auto" w:sz="8" w:space="0"/>
                    <w:right w:val="single" w:color="auto" w:sz="8" w:space="0"/>
                  </w:tcBorders>
                </w:tcPr>
                <w:p w14:paraId="048C7CA6">
                  <w:pPr>
                    <w:rPr>
                      <w:rFonts w:hint="eastAsia" w:ascii="宋体" w:hAnsi="宋体" w:eastAsia="宋体" w:cs="宋体"/>
                      <w:szCs w:val="21"/>
                    </w:rPr>
                  </w:pPr>
                  <w:r>
                    <w:rPr>
                      <w:rFonts w:hint="eastAsia" w:ascii="宋体" w:hAnsi="宋体" w:eastAsia="宋体" w:cs="宋体"/>
                      <w:szCs w:val="21"/>
                    </w:rPr>
                    <w:t>0.80%</w:t>
                  </w:r>
                </w:p>
              </w:tc>
            </w:tr>
            <w:tr w14:paraId="5E355625">
              <w:tblPrEx>
                <w:tblCellMar>
                  <w:top w:w="0" w:type="dxa"/>
                  <w:left w:w="108" w:type="dxa"/>
                  <w:bottom w:w="0" w:type="dxa"/>
                  <w:right w:w="108" w:type="dxa"/>
                </w:tblCellMar>
              </w:tblPrEx>
              <w:trPr>
                <w:trHeight w:val="23" w:hRule="atLeast"/>
                <w:jc w:val="center"/>
              </w:trPr>
              <w:tc>
                <w:tcPr>
                  <w:tcW w:w="1740" w:type="dxa"/>
                  <w:tcBorders>
                    <w:top w:val="nil"/>
                    <w:left w:val="single" w:color="auto" w:sz="8" w:space="0"/>
                    <w:bottom w:val="single" w:color="auto" w:sz="8" w:space="0"/>
                    <w:right w:val="single" w:color="auto" w:sz="8" w:space="0"/>
                  </w:tcBorders>
                </w:tcPr>
                <w:p w14:paraId="56D90BB8">
                  <w:pPr>
                    <w:rPr>
                      <w:rFonts w:hint="eastAsia" w:ascii="宋体" w:hAnsi="宋体" w:eastAsia="宋体" w:cs="宋体"/>
                      <w:szCs w:val="21"/>
                    </w:rPr>
                  </w:pPr>
                  <w:r>
                    <w:rPr>
                      <w:rFonts w:hint="eastAsia" w:ascii="宋体" w:hAnsi="宋体" w:eastAsia="宋体" w:cs="宋体"/>
                      <w:szCs w:val="21"/>
                    </w:rPr>
                    <w:t>500-1000</w:t>
                  </w:r>
                </w:p>
              </w:tc>
              <w:tc>
                <w:tcPr>
                  <w:tcW w:w="1168" w:type="dxa"/>
                  <w:tcBorders>
                    <w:top w:val="nil"/>
                    <w:left w:val="nil"/>
                    <w:bottom w:val="single" w:color="auto" w:sz="8" w:space="0"/>
                    <w:right w:val="single" w:color="auto" w:sz="8" w:space="0"/>
                  </w:tcBorders>
                </w:tcPr>
                <w:p w14:paraId="5FA37499">
                  <w:pPr>
                    <w:rPr>
                      <w:rFonts w:hint="eastAsia" w:ascii="宋体" w:hAnsi="宋体" w:eastAsia="宋体" w:cs="宋体"/>
                      <w:szCs w:val="21"/>
                    </w:rPr>
                  </w:pPr>
                  <w:r>
                    <w:rPr>
                      <w:rFonts w:hint="eastAsia" w:ascii="宋体" w:hAnsi="宋体" w:eastAsia="宋体" w:cs="宋体"/>
                      <w:szCs w:val="21"/>
                    </w:rPr>
                    <w:t>0.55%</w:t>
                  </w:r>
                </w:p>
              </w:tc>
              <w:tc>
                <w:tcPr>
                  <w:tcW w:w="1125" w:type="dxa"/>
                  <w:tcBorders>
                    <w:top w:val="nil"/>
                    <w:left w:val="nil"/>
                    <w:bottom w:val="single" w:color="auto" w:sz="8" w:space="0"/>
                    <w:right w:val="single" w:color="auto" w:sz="8" w:space="0"/>
                  </w:tcBorders>
                </w:tcPr>
                <w:p w14:paraId="1CBCFADC">
                  <w:pPr>
                    <w:rPr>
                      <w:rFonts w:hint="eastAsia" w:ascii="宋体" w:hAnsi="宋体" w:eastAsia="宋体" w:cs="宋体"/>
                      <w:szCs w:val="21"/>
                    </w:rPr>
                  </w:pPr>
                  <w:r>
                    <w:rPr>
                      <w:rFonts w:hint="eastAsia" w:ascii="宋体" w:hAnsi="宋体" w:eastAsia="宋体" w:cs="宋体"/>
                      <w:szCs w:val="21"/>
                    </w:rPr>
                    <w:t>0.80%</w:t>
                  </w:r>
                </w:p>
              </w:tc>
              <w:tc>
                <w:tcPr>
                  <w:tcW w:w="1111" w:type="dxa"/>
                  <w:tcBorders>
                    <w:top w:val="nil"/>
                    <w:left w:val="nil"/>
                    <w:bottom w:val="single" w:color="auto" w:sz="8" w:space="0"/>
                    <w:right w:val="single" w:color="auto" w:sz="8" w:space="0"/>
                  </w:tcBorders>
                </w:tcPr>
                <w:p w14:paraId="18F08545">
                  <w:pPr>
                    <w:rPr>
                      <w:rFonts w:hint="eastAsia" w:ascii="宋体" w:hAnsi="宋体" w:eastAsia="宋体" w:cs="宋体"/>
                      <w:szCs w:val="21"/>
                    </w:rPr>
                  </w:pPr>
                  <w:r>
                    <w:rPr>
                      <w:rFonts w:hint="eastAsia" w:ascii="宋体" w:hAnsi="宋体" w:eastAsia="宋体" w:cs="宋体"/>
                      <w:szCs w:val="21"/>
                    </w:rPr>
                    <w:t>0.45%</w:t>
                  </w:r>
                </w:p>
              </w:tc>
            </w:tr>
            <w:tr w14:paraId="6AB2F76C">
              <w:tblPrEx>
                <w:tblCellMar>
                  <w:top w:w="0" w:type="dxa"/>
                  <w:left w:w="108" w:type="dxa"/>
                  <w:bottom w:w="0" w:type="dxa"/>
                  <w:right w:w="108" w:type="dxa"/>
                </w:tblCellMar>
              </w:tblPrEx>
              <w:trPr>
                <w:trHeight w:val="23" w:hRule="atLeast"/>
                <w:jc w:val="center"/>
              </w:trPr>
              <w:tc>
                <w:tcPr>
                  <w:tcW w:w="1740" w:type="dxa"/>
                  <w:tcBorders>
                    <w:top w:val="nil"/>
                    <w:left w:val="single" w:color="auto" w:sz="8" w:space="0"/>
                    <w:bottom w:val="single" w:color="auto" w:sz="8" w:space="0"/>
                    <w:right w:val="single" w:color="auto" w:sz="8" w:space="0"/>
                  </w:tcBorders>
                </w:tcPr>
                <w:p w14:paraId="3F36BE7B">
                  <w:pPr>
                    <w:rPr>
                      <w:rFonts w:hint="eastAsia" w:ascii="宋体" w:hAnsi="宋体" w:eastAsia="宋体" w:cs="宋体"/>
                      <w:szCs w:val="21"/>
                    </w:rPr>
                  </w:pPr>
                  <w:r>
                    <w:rPr>
                      <w:rFonts w:hint="eastAsia" w:ascii="宋体" w:hAnsi="宋体" w:eastAsia="宋体" w:cs="宋体"/>
                      <w:szCs w:val="21"/>
                    </w:rPr>
                    <w:t>1000-5000</w:t>
                  </w:r>
                </w:p>
              </w:tc>
              <w:tc>
                <w:tcPr>
                  <w:tcW w:w="1168" w:type="dxa"/>
                  <w:tcBorders>
                    <w:top w:val="nil"/>
                    <w:left w:val="nil"/>
                    <w:bottom w:val="single" w:color="auto" w:sz="8" w:space="0"/>
                    <w:right w:val="single" w:color="auto" w:sz="8" w:space="0"/>
                  </w:tcBorders>
                </w:tcPr>
                <w:p w14:paraId="323643E2">
                  <w:pPr>
                    <w:rPr>
                      <w:rFonts w:hint="eastAsia" w:ascii="宋体" w:hAnsi="宋体" w:eastAsia="宋体" w:cs="宋体"/>
                      <w:szCs w:val="21"/>
                    </w:rPr>
                  </w:pPr>
                  <w:r>
                    <w:rPr>
                      <w:rFonts w:hint="eastAsia" w:ascii="宋体" w:hAnsi="宋体" w:eastAsia="宋体" w:cs="宋体"/>
                      <w:szCs w:val="21"/>
                    </w:rPr>
                    <w:t>0.35%</w:t>
                  </w:r>
                </w:p>
              </w:tc>
              <w:tc>
                <w:tcPr>
                  <w:tcW w:w="1125" w:type="dxa"/>
                  <w:tcBorders>
                    <w:top w:val="nil"/>
                    <w:left w:val="nil"/>
                    <w:bottom w:val="single" w:color="auto" w:sz="8" w:space="0"/>
                    <w:right w:val="single" w:color="auto" w:sz="8" w:space="0"/>
                  </w:tcBorders>
                </w:tcPr>
                <w:p w14:paraId="66D70EB7">
                  <w:pPr>
                    <w:rPr>
                      <w:rFonts w:hint="eastAsia" w:ascii="宋体" w:hAnsi="宋体" w:eastAsia="宋体" w:cs="宋体"/>
                      <w:szCs w:val="21"/>
                    </w:rPr>
                  </w:pPr>
                  <w:r>
                    <w:rPr>
                      <w:rFonts w:hint="eastAsia" w:ascii="宋体" w:hAnsi="宋体" w:eastAsia="宋体" w:cs="宋体"/>
                      <w:szCs w:val="21"/>
                    </w:rPr>
                    <w:t>0.50%</w:t>
                  </w:r>
                </w:p>
              </w:tc>
              <w:tc>
                <w:tcPr>
                  <w:tcW w:w="1111" w:type="dxa"/>
                  <w:tcBorders>
                    <w:top w:val="nil"/>
                    <w:left w:val="nil"/>
                    <w:bottom w:val="single" w:color="auto" w:sz="8" w:space="0"/>
                    <w:right w:val="single" w:color="auto" w:sz="8" w:space="0"/>
                  </w:tcBorders>
                </w:tcPr>
                <w:p w14:paraId="635C659C">
                  <w:pPr>
                    <w:rPr>
                      <w:rFonts w:hint="eastAsia" w:ascii="宋体" w:hAnsi="宋体" w:eastAsia="宋体" w:cs="宋体"/>
                      <w:szCs w:val="21"/>
                    </w:rPr>
                  </w:pPr>
                  <w:r>
                    <w:rPr>
                      <w:rFonts w:hint="eastAsia" w:ascii="宋体" w:hAnsi="宋体" w:eastAsia="宋体" w:cs="宋体"/>
                      <w:szCs w:val="21"/>
                    </w:rPr>
                    <w:t>0.25%</w:t>
                  </w:r>
                </w:p>
              </w:tc>
            </w:tr>
            <w:tr w14:paraId="57849F47">
              <w:tblPrEx>
                <w:tblCellMar>
                  <w:top w:w="0" w:type="dxa"/>
                  <w:left w:w="108" w:type="dxa"/>
                  <w:bottom w:w="0" w:type="dxa"/>
                  <w:right w:w="108" w:type="dxa"/>
                </w:tblCellMar>
              </w:tblPrEx>
              <w:trPr>
                <w:trHeight w:val="23" w:hRule="atLeast"/>
                <w:jc w:val="center"/>
              </w:trPr>
              <w:tc>
                <w:tcPr>
                  <w:tcW w:w="1740" w:type="dxa"/>
                  <w:tcBorders>
                    <w:top w:val="nil"/>
                    <w:left w:val="single" w:color="auto" w:sz="8" w:space="0"/>
                    <w:bottom w:val="single" w:color="auto" w:sz="8" w:space="0"/>
                    <w:right w:val="single" w:color="auto" w:sz="8" w:space="0"/>
                  </w:tcBorders>
                </w:tcPr>
                <w:p w14:paraId="6ECADDB2">
                  <w:pPr>
                    <w:rPr>
                      <w:rFonts w:hint="eastAsia" w:ascii="宋体" w:hAnsi="宋体" w:eastAsia="宋体" w:cs="宋体"/>
                      <w:szCs w:val="21"/>
                    </w:rPr>
                  </w:pPr>
                  <w:r>
                    <w:rPr>
                      <w:rFonts w:hint="eastAsia" w:ascii="宋体" w:hAnsi="宋体" w:eastAsia="宋体" w:cs="宋体"/>
                      <w:szCs w:val="21"/>
                    </w:rPr>
                    <w:t>5000-10000</w:t>
                  </w:r>
                </w:p>
              </w:tc>
              <w:tc>
                <w:tcPr>
                  <w:tcW w:w="1168" w:type="dxa"/>
                  <w:tcBorders>
                    <w:top w:val="nil"/>
                    <w:left w:val="nil"/>
                    <w:bottom w:val="single" w:color="auto" w:sz="8" w:space="0"/>
                    <w:right w:val="single" w:color="auto" w:sz="8" w:space="0"/>
                  </w:tcBorders>
                </w:tcPr>
                <w:p w14:paraId="77A7F257">
                  <w:pPr>
                    <w:rPr>
                      <w:rFonts w:hint="eastAsia" w:ascii="宋体" w:hAnsi="宋体" w:eastAsia="宋体" w:cs="宋体"/>
                      <w:szCs w:val="21"/>
                    </w:rPr>
                  </w:pPr>
                  <w:r>
                    <w:rPr>
                      <w:rFonts w:hint="eastAsia" w:ascii="宋体" w:hAnsi="宋体" w:eastAsia="宋体" w:cs="宋体"/>
                      <w:szCs w:val="21"/>
                    </w:rPr>
                    <w:t>0.20%</w:t>
                  </w:r>
                </w:p>
              </w:tc>
              <w:tc>
                <w:tcPr>
                  <w:tcW w:w="1125" w:type="dxa"/>
                  <w:tcBorders>
                    <w:top w:val="nil"/>
                    <w:left w:val="nil"/>
                    <w:bottom w:val="single" w:color="auto" w:sz="8" w:space="0"/>
                    <w:right w:val="single" w:color="auto" w:sz="8" w:space="0"/>
                  </w:tcBorders>
                </w:tcPr>
                <w:p w14:paraId="0108FD67">
                  <w:pPr>
                    <w:rPr>
                      <w:rFonts w:hint="eastAsia" w:ascii="宋体" w:hAnsi="宋体" w:eastAsia="宋体" w:cs="宋体"/>
                      <w:szCs w:val="21"/>
                    </w:rPr>
                  </w:pPr>
                  <w:r>
                    <w:rPr>
                      <w:rFonts w:hint="eastAsia" w:ascii="宋体" w:hAnsi="宋体" w:eastAsia="宋体" w:cs="宋体"/>
                      <w:szCs w:val="21"/>
                    </w:rPr>
                    <w:t>0.25%</w:t>
                  </w:r>
                </w:p>
              </w:tc>
              <w:tc>
                <w:tcPr>
                  <w:tcW w:w="1111" w:type="dxa"/>
                  <w:tcBorders>
                    <w:top w:val="nil"/>
                    <w:left w:val="nil"/>
                    <w:bottom w:val="single" w:color="auto" w:sz="8" w:space="0"/>
                    <w:right w:val="single" w:color="auto" w:sz="8" w:space="0"/>
                  </w:tcBorders>
                </w:tcPr>
                <w:p w14:paraId="50EE0D64">
                  <w:pPr>
                    <w:rPr>
                      <w:rFonts w:hint="eastAsia" w:ascii="宋体" w:hAnsi="宋体" w:eastAsia="宋体" w:cs="宋体"/>
                      <w:szCs w:val="21"/>
                    </w:rPr>
                  </w:pPr>
                  <w:r>
                    <w:rPr>
                      <w:rFonts w:hint="eastAsia" w:ascii="宋体" w:hAnsi="宋体" w:eastAsia="宋体" w:cs="宋体"/>
                      <w:szCs w:val="21"/>
                    </w:rPr>
                    <w:t>0.10%</w:t>
                  </w:r>
                </w:p>
              </w:tc>
            </w:tr>
            <w:tr w14:paraId="3A74FC28">
              <w:tblPrEx>
                <w:tblCellMar>
                  <w:top w:w="0" w:type="dxa"/>
                  <w:left w:w="108" w:type="dxa"/>
                  <w:bottom w:w="0" w:type="dxa"/>
                  <w:right w:w="108" w:type="dxa"/>
                </w:tblCellMar>
              </w:tblPrEx>
              <w:trPr>
                <w:trHeight w:val="23" w:hRule="atLeast"/>
                <w:jc w:val="center"/>
              </w:trPr>
              <w:tc>
                <w:tcPr>
                  <w:tcW w:w="1740" w:type="dxa"/>
                  <w:tcBorders>
                    <w:top w:val="nil"/>
                    <w:left w:val="single" w:color="auto" w:sz="8" w:space="0"/>
                    <w:bottom w:val="single" w:color="auto" w:sz="8" w:space="0"/>
                    <w:right w:val="single" w:color="auto" w:sz="8" w:space="0"/>
                  </w:tcBorders>
                </w:tcPr>
                <w:p w14:paraId="15DF45F4">
                  <w:pPr>
                    <w:rPr>
                      <w:rFonts w:hint="eastAsia" w:ascii="宋体" w:hAnsi="宋体" w:eastAsia="宋体" w:cs="宋体"/>
                      <w:szCs w:val="21"/>
                    </w:rPr>
                  </w:pPr>
                  <w:r>
                    <w:rPr>
                      <w:rFonts w:hint="eastAsia" w:ascii="宋体" w:hAnsi="宋体" w:eastAsia="宋体" w:cs="宋体"/>
                      <w:szCs w:val="21"/>
                    </w:rPr>
                    <w:t>10000-50000</w:t>
                  </w:r>
                </w:p>
              </w:tc>
              <w:tc>
                <w:tcPr>
                  <w:tcW w:w="1168" w:type="dxa"/>
                  <w:tcBorders>
                    <w:top w:val="nil"/>
                    <w:left w:val="nil"/>
                    <w:bottom w:val="single" w:color="auto" w:sz="8" w:space="0"/>
                    <w:right w:val="single" w:color="auto" w:sz="8" w:space="0"/>
                  </w:tcBorders>
                </w:tcPr>
                <w:p w14:paraId="318B6F58">
                  <w:pPr>
                    <w:rPr>
                      <w:rFonts w:hint="eastAsia" w:ascii="宋体" w:hAnsi="宋体" w:eastAsia="宋体" w:cs="宋体"/>
                      <w:szCs w:val="21"/>
                    </w:rPr>
                  </w:pPr>
                  <w:r>
                    <w:rPr>
                      <w:rFonts w:hint="eastAsia" w:ascii="宋体" w:hAnsi="宋体" w:eastAsia="宋体" w:cs="宋体"/>
                      <w:szCs w:val="21"/>
                    </w:rPr>
                    <w:t>0.05%</w:t>
                  </w:r>
                </w:p>
              </w:tc>
              <w:tc>
                <w:tcPr>
                  <w:tcW w:w="1125" w:type="dxa"/>
                  <w:tcBorders>
                    <w:top w:val="nil"/>
                    <w:left w:val="nil"/>
                    <w:bottom w:val="single" w:color="auto" w:sz="8" w:space="0"/>
                    <w:right w:val="single" w:color="auto" w:sz="8" w:space="0"/>
                  </w:tcBorders>
                </w:tcPr>
                <w:p w14:paraId="4D3B444E">
                  <w:pPr>
                    <w:rPr>
                      <w:rFonts w:hint="eastAsia" w:ascii="宋体" w:hAnsi="宋体" w:eastAsia="宋体" w:cs="宋体"/>
                      <w:szCs w:val="21"/>
                    </w:rPr>
                  </w:pPr>
                  <w:r>
                    <w:rPr>
                      <w:rFonts w:hint="eastAsia" w:ascii="宋体" w:hAnsi="宋体" w:eastAsia="宋体" w:cs="宋体"/>
                      <w:szCs w:val="21"/>
                    </w:rPr>
                    <w:t>0.05%</w:t>
                  </w:r>
                </w:p>
              </w:tc>
              <w:tc>
                <w:tcPr>
                  <w:tcW w:w="1111" w:type="dxa"/>
                  <w:tcBorders>
                    <w:top w:val="nil"/>
                    <w:left w:val="nil"/>
                    <w:bottom w:val="single" w:color="auto" w:sz="8" w:space="0"/>
                    <w:right w:val="single" w:color="auto" w:sz="8" w:space="0"/>
                  </w:tcBorders>
                </w:tcPr>
                <w:p w14:paraId="75B84D28">
                  <w:pPr>
                    <w:rPr>
                      <w:rFonts w:hint="eastAsia" w:ascii="宋体" w:hAnsi="宋体" w:eastAsia="宋体" w:cs="宋体"/>
                      <w:szCs w:val="21"/>
                    </w:rPr>
                  </w:pPr>
                  <w:r>
                    <w:rPr>
                      <w:rFonts w:hint="eastAsia" w:ascii="宋体" w:hAnsi="宋体" w:eastAsia="宋体" w:cs="宋体"/>
                      <w:szCs w:val="21"/>
                    </w:rPr>
                    <w:t>0.05%</w:t>
                  </w:r>
                </w:p>
              </w:tc>
            </w:tr>
            <w:tr w14:paraId="3C2E8F59">
              <w:tblPrEx>
                <w:tblCellMar>
                  <w:top w:w="0" w:type="dxa"/>
                  <w:left w:w="108" w:type="dxa"/>
                  <w:bottom w:w="0" w:type="dxa"/>
                  <w:right w:w="108" w:type="dxa"/>
                </w:tblCellMar>
              </w:tblPrEx>
              <w:trPr>
                <w:trHeight w:val="23" w:hRule="atLeast"/>
                <w:jc w:val="center"/>
              </w:trPr>
              <w:tc>
                <w:tcPr>
                  <w:tcW w:w="1740" w:type="dxa"/>
                  <w:tcBorders>
                    <w:top w:val="single" w:color="auto" w:sz="8" w:space="0"/>
                    <w:left w:val="single" w:color="auto" w:sz="8" w:space="0"/>
                    <w:bottom w:val="single" w:color="auto" w:sz="8" w:space="0"/>
                    <w:right w:val="single" w:color="auto" w:sz="8" w:space="0"/>
                  </w:tcBorders>
                </w:tcPr>
                <w:p w14:paraId="34FA517D">
                  <w:pPr>
                    <w:rPr>
                      <w:rFonts w:hint="eastAsia" w:ascii="宋体" w:hAnsi="宋体" w:eastAsia="宋体" w:cs="宋体"/>
                      <w:szCs w:val="21"/>
                    </w:rPr>
                  </w:pPr>
                  <w:r>
                    <w:rPr>
                      <w:rFonts w:hint="eastAsia" w:ascii="宋体" w:hAnsi="宋体" w:eastAsia="宋体" w:cs="宋体"/>
                      <w:szCs w:val="21"/>
                    </w:rPr>
                    <w:t>50000-100000</w:t>
                  </w:r>
                </w:p>
              </w:tc>
              <w:tc>
                <w:tcPr>
                  <w:tcW w:w="1168" w:type="dxa"/>
                  <w:tcBorders>
                    <w:top w:val="single" w:color="auto" w:sz="8" w:space="0"/>
                    <w:left w:val="single" w:color="auto" w:sz="8" w:space="0"/>
                    <w:bottom w:val="single" w:color="auto" w:sz="8" w:space="0"/>
                    <w:right w:val="single" w:color="auto" w:sz="8" w:space="0"/>
                  </w:tcBorders>
                </w:tcPr>
                <w:p w14:paraId="021502C7">
                  <w:pPr>
                    <w:rPr>
                      <w:rFonts w:hint="eastAsia" w:ascii="宋体" w:hAnsi="宋体" w:eastAsia="宋体" w:cs="宋体"/>
                      <w:szCs w:val="21"/>
                    </w:rPr>
                  </w:pPr>
                  <w:r>
                    <w:rPr>
                      <w:rFonts w:hint="eastAsia" w:ascii="宋体" w:hAnsi="宋体" w:eastAsia="宋体" w:cs="宋体"/>
                      <w:szCs w:val="21"/>
                    </w:rPr>
                    <w:t>0.035%</w:t>
                  </w:r>
                </w:p>
              </w:tc>
              <w:tc>
                <w:tcPr>
                  <w:tcW w:w="1125" w:type="dxa"/>
                  <w:tcBorders>
                    <w:top w:val="single" w:color="auto" w:sz="8" w:space="0"/>
                    <w:left w:val="single" w:color="auto" w:sz="8" w:space="0"/>
                    <w:bottom w:val="single" w:color="auto" w:sz="8" w:space="0"/>
                    <w:right w:val="single" w:color="auto" w:sz="8" w:space="0"/>
                  </w:tcBorders>
                </w:tcPr>
                <w:p w14:paraId="7B184203">
                  <w:pPr>
                    <w:rPr>
                      <w:rFonts w:hint="eastAsia" w:ascii="宋体" w:hAnsi="宋体" w:eastAsia="宋体" w:cs="宋体"/>
                      <w:szCs w:val="21"/>
                    </w:rPr>
                  </w:pPr>
                  <w:r>
                    <w:rPr>
                      <w:rFonts w:hint="eastAsia" w:ascii="宋体" w:hAnsi="宋体" w:eastAsia="宋体" w:cs="宋体"/>
                      <w:szCs w:val="21"/>
                    </w:rPr>
                    <w:t>0.035%</w:t>
                  </w:r>
                </w:p>
              </w:tc>
              <w:tc>
                <w:tcPr>
                  <w:tcW w:w="1111" w:type="dxa"/>
                  <w:tcBorders>
                    <w:top w:val="single" w:color="auto" w:sz="8" w:space="0"/>
                    <w:left w:val="single" w:color="auto" w:sz="8" w:space="0"/>
                    <w:bottom w:val="single" w:color="auto" w:sz="8" w:space="0"/>
                    <w:right w:val="single" w:color="auto" w:sz="8" w:space="0"/>
                  </w:tcBorders>
                </w:tcPr>
                <w:p w14:paraId="6CA9765C">
                  <w:pPr>
                    <w:rPr>
                      <w:rFonts w:hint="eastAsia" w:ascii="宋体" w:hAnsi="宋体" w:eastAsia="宋体" w:cs="宋体"/>
                      <w:szCs w:val="21"/>
                    </w:rPr>
                  </w:pPr>
                  <w:r>
                    <w:rPr>
                      <w:rFonts w:hint="eastAsia" w:ascii="宋体" w:hAnsi="宋体" w:eastAsia="宋体" w:cs="宋体"/>
                      <w:szCs w:val="21"/>
                    </w:rPr>
                    <w:t>0.035%</w:t>
                  </w:r>
                </w:p>
              </w:tc>
            </w:tr>
            <w:tr w14:paraId="4B9ACDD0">
              <w:tblPrEx>
                <w:tblCellMar>
                  <w:top w:w="0" w:type="dxa"/>
                  <w:left w:w="108" w:type="dxa"/>
                  <w:bottom w:w="0" w:type="dxa"/>
                  <w:right w:w="108" w:type="dxa"/>
                </w:tblCellMar>
              </w:tblPrEx>
              <w:trPr>
                <w:trHeight w:val="23" w:hRule="atLeast"/>
                <w:jc w:val="center"/>
              </w:trPr>
              <w:tc>
                <w:tcPr>
                  <w:tcW w:w="1740" w:type="dxa"/>
                  <w:tcBorders>
                    <w:top w:val="single" w:color="auto" w:sz="8" w:space="0"/>
                    <w:left w:val="single" w:color="auto" w:sz="8" w:space="0"/>
                    <w:bottom w:val="single" w:color="auto" w:sz="8" w:space="0"/>
                    <w:right w:val="single" w:color="auto" w:sz="8" w:space="0"/>
                  </w:tcBorders>
                </w:tcPr>
                <w:p w14:paraId="613E20C6">
                  <w:pPr>
                    <w:rPr>
                      <w:rFonts w:hint="eastAsia" w:ascii="宋体" w:hAnsi="宋体" w:eastAsia="宋体" w:cs="宋体"/>
                      <w:szCs w:val="21"/>
                    </w:rPr>
                  </w:pPr>
                  <w:r>
                    <w:rPr>
                      <w:rFonts w:hint="eastAsia" w:ascii="宋体" w:hAnsi="宋体" w:eastAsia="宋体" w:cs="宋体"/>
                      <w:szCs w:val="21"/>
                    </w:rPr>
                    <w:t>100000-500000</w:t>
                  </w:r>
                </w:p>
              </w:tc>
              <w:tc>
                <w:tcPr>
                  <w:tcW w:w="1168" w:type="dxa"/>
                  <w:tcBorders>
                    <w:top w:val="single" w:color="auto" w:sz="8" w:space="0"/>
                    <w:left w:val="single" w:color="auto" w:sz="8" w:space="0"/>
                    <w:bottom w:val="single" w:color="auto" w:sz="8" w:space="0"/>
                    <w:right w:val="single" w:color="auto" w:sz="8" w:space="0"/>
                  </w:tcBorders>
                </w:tcPr>
                <w:p w14:paraId="277C24CC">
                  <w:pPr>
                    <w:rPr>
                      <w:rFonts w:hint="eastAsia" w:ascii="宋体" w:hAnsi="宋体" w:eastAsia="宋体" w:cs="宋体"/>
                      <w:szCs w:val="21"/>
                    </w:rPr>
                  </w:pPr>
                  <w:r>
                    <w:rPr>
                      <w:rFonts w:hint="eastAsia" w:ascii="宋体" w:hAnsi="宋体" w:eastAsia="宋体" w:cs="宋体"/>
                      <w:szCs w:val="21"/>
                    </w:rPr>
                    <w:t>0.008%</w:t>
                  </w:r>
                </w:p>
              </w:tc>
              <w:tc>
                <w:tcPr>
                  <w:tcW w:w="1125" w:type="dxa"/>
                  <w:tcBorders>
                    <w:top w:val="single" w:color="auto" w:sz="8" w:space="0"/>
                    <w:left w:val="single" w:color="auto" w:sz="8" w:space="0"/>
                    <w:bottom w:val="single" w:color="auto" w:sz="8" w:space="0"/>
                    <w:right w:val="single" w:color="auto" w:sz="8" w:space="0"/>
                  </w:tcBorders>
                </w:tcPr>
                <w:p w14:paraId="609C69EB">
                  <w:pPr>
                    <w:rPr>
                      <w:rFonts w:hint="eastAsia" w:ascii="宋体" w:hAnsi="宋体" w:eastAsia="宋体" w:cs="宋体"/>
                      <w:szCs w:val="21"/>
                    </w:rPr>
                  </w:pPr>
                  <w:r>
                    <w:rPr>
                      <w:rFonts w:hint="eastAsia" w:ascii="宋体" w:hAnsi="宋体" w:eastAsia="宋体" w:cs="宋体"/>
                      <w:szCs w:val="21"/>
                    </w:rPr>
                    <w:t>0.008%</w:t>
                  </w:r>
                </w:p>
              </w:tc>
              <w:tc>
                <w:tcPr>
                  <w:tcW w:w="1111" w:type="dxa"/>
                  <w:tcBorders>
                    <w:top w:val="single" w:color="auto" w:sz="8" w:space="0"/>
                    <w:left w:val="single" w:color="auto" w:sz="8" w:space="0"/>
                    <w:bottom w:val="single" w:color="auto" w:sz="8" w:space="0"/>
                    <w:right w:val="single" w:color="auto" w:sz="8" w:space="0"/>
                  </w:tcBorders>
                </w:tcPr>
                <w:p w14:paraId="6B9844F8">
                  <w:pPr>
                    <w:rPr>
                      <w:rFonts w:hint="eastAsia" w:ascii="宋体" w:hAnsi="宋体" w:eastAsia="宋体" w:cs="宋体"/>
                      <w:szCs w:val="21"/>
                    </w:rPr>
                  </w:pPr>
                  <w:r>
                    <w:rPr>
                      <w:rFonts w:hint="eastAsia" w:ascii="宋体" w:hAnsi="宋体" w:eastAsia="宋体" w:cs="宋体"/>
                      <w:szCs w:val="21"/>
                    </w:rPr>
                    <w:t>0.008%</w:t>
                  </w:r>
                </w:p>
              </w:tc>
            </w:tr>
            <w:tr w14:paraId="4962E951">
              <w:tblPrEx>
                <w:tblCellMar>
                  <w:top w:w="0" w:type="dxa"/>
                  <w:left w:w="108" w:type="dxa"/>
                  <w:bottom w:w="0" w:type="dxa"/>
                  <w:right w:w="108" w:type="dxa"/>
                </w:tblCellMar>
              </w:tblPrEx>
              <w:trPr>
                <w:trHeight w:val="90" w:hRule="atLeast"/>
                <w:jc w:val="center"/>
              </w:trPr>
              <w:tc>
                <w:tcPr>
                  <w:tcW w:w="1740" w:type="dxa"/>
                  <w:tcBorders>
                    <w:top w:val="single" w:color="auto" w:sz="8" w:space="0"/>
                    <w:left w:val="single" w:color="auto" w:sz="8" w:space="0"/>
                    <w:bottom w:val="single" w:color="auto" w:sz="8" w:space="0"/>
                    <w:right w:val="single" w:color="auto" w:sz="8" w:space="0"/>
                  </w:tcBorders>
                </w:tcPr>
                <w:p w14:paraId="0CD677D0">
                  <w:pPr>
                    <w:rPr>
                      <w:rFonts w:hint="eastAsia" w:ascii="宋体" w:hAnsi="宋体" w:eastAsia="宋体" w:cs="宋体"/>
                      <w:szCs w:val="21"/>
                    </w:rPr>
                  </w:pPr>
                  <w:r>
                    <w:rPr>
                      <w:rFonts w:hint="eastAsia" w:ascii="宋体" w:hAnsi="宋体" w:eastAsia="宋体" w:cs="宋体"/>
                      <w:szCs w:val="21"/>
                    </w:rPr>
                    <w:t>500000-1000000</w:t>
                  </w:r>
                </w:p>
              </w:tc>
              <w:tc>
                <w:tcPr>
                  <w:tcW w:w="1168" w:type="dxa"/>
                  <w:tcBorders>
                    <w:top w:val="single" w:color="auto" w:sz="8" w:space="0"/>
                    <w:left w:val="single" w:color="auto" w:sz="8" w:space="0"/>
                    <w:bottom w:val="single" w:color="auto" w:sz="8" w:space="0"/>
                    <w:right w:val="single" w:color="auto" w:sz="8" w:space="0"/>
                  </w:tcBorders>
                </w:tcPr>
                <w:p w14:paraId="1ABF1279">
                  <w:pPr>
                    <w:rPr>
                      <w:rFonts w:hint="eastAsia" w:ascii="宋体" w:hAnsi="宋体" w:eastAsia="宋体" w:cs="宋体"/>
                      <w:szCs w:val="21"/>
                    </w:rPr>
                  </w:pPr>
                  <w:r>
                    <w:rPr>
                      <w:rFonts w:hint="eastAsia" w:ascii="宋体" w:hAnsi="宋体" w:eastAsia="宋体" w:cs="宋体"/>
                      <w:szCs w:val="21"/>
                    </w:rPr>
                    <w:t>0.006%</w:t>
                  </w:r>
                </w:p>
              </w:tc>
              <w:tc>
                <w:tcPr>
                  <w:tcW w:w="1125" w:type="dxa"/>
                  <w:tcBorders>
                    <w:top w:val="single" w:color="auto" w:sz="8" w:space="0"/>
                    <w:left w:val="single" w:color="auto" w:sz="8" w:space="0"/>
                    <w:bottom w:val="single" w:color="auto" w:sz="8" w:space="0"/>
                    <w:right w:val="single" w:color="auto" w:sz="8" w:space="0"/>
                  </w:tcBorders>
                </w:tcPr>
                <w:p w14:paraId="2F34705E">
                  <w:pPr>
                    <w:rPr>
                      <w:rFonts w:hint="eastAsia" w:ascii="宋体" w:hAnsi="宋体" w:eastAsia="宋体" w:cs="宋体"/>
                      <w:szCs w:val="21"/>
                    </w:rPr>
                  </w:pPr>
                  <w:r>
                    <w:rPr>
                      <w:rFonts w:hint="eastAsia" w:ascii="宋体" w:hAnsi="宋体" w:eastAsia="宋体" w:cs="宋体"/>
                      <w:szCs w:val="21"/>
                    </w:rPr>
                    <w:t>0.006%</w:t>
                  </w:r>
                </w:p>
              </w:tc>
              <w:tc>
                <w:tcPr>
                  <w:tcW w:w="1111" w:type="dxa"/>
                  <w:tcBorders>
                    <w:top w:val="single" w:color="auto" w:sz="8" w:space="0"/>
                    <w:left w:val="single" w:color="auto" w:sz="8" w:space="0"/>
                    <w:bottom w:val="single" w:color="auto" w:sz="8" w:space="0"/>
                    <w:right w:val="single" w:color="auto" w:sz="8" w:space="0"/>
                  </w:tcBorders>
                </w:tcPr>
                <w:p w14:paraId="09C799C6">
                  <w:pPr>
                    <w:rPr>
                      <w:rFonts w:hint="eastAsia" w:ascii="宋体" w:hAnsi="宋体" w:eastAsia="宋体" w:cs="宋体"/>
                      <w:szCs w:val="21"/>
                    </w:rPr>
                  </w:pPr>
                  <w:r>
                    <w:rPr>
                      <w:rFonts w:hint="eastAsia" w:ascii="宋体" w:hAnsi="宋体" w:eastAsia="宋体" w:cs="宋体"/>
                      <w:szCs w:val="21"/>
                    </w:rPr>
                    <w:t>0.006%</w:t>
                  </w:r>
                </w:p>
              </w:tc>
            </w:tr>
            <w:tr w14:paraId="134C5507">
              <w:tblPrEx>
                <w:tblCellMar>
                  <w:top w:w="0" w:type="dxa"/>
                  <w:left w:w="108" w:type="dxa"/>
                  <w:bottom w:w="0" w:type="dxa"/>
                  <w:right w:w="108" w:type="dxa"/>
                </w:tblCellMar>
              </w:tblPrEx>
              <w:trPr>
                <w:trHeight w:val="23" w:hRule="atLeast"/>
                <w:jc w:val="center"/>
              </w:trPr>
              <w:tc>
                <w:tcPr>
                  <w:tcW w:w="1740" w:type="dxa"/>
                  <w:tcBorders>
                    <w:top w:val="single" w:color="auto" w:sz="8" w:space="0"/>
                    <w:left w:val="single" w:color="auto" w:sz="8" w:space="0"/>
                    <w:bottom w:val="single" w:color="auto" w:sz="8" w:space="0"/>
                    <w:right w:val="single" w:color="auto" w:sz="8" w:space="0"/>
                  </w:tcBorders>
                </w:tcPr>
                <w:p w14:paraId="729D9E97">
                  <w:pPr>
                    <w:rPr>
                      <w:rFonts w:hint="eastAsia" w:ascii="宋体" w:hAnsi="宋体" w:eastAsia="宋体" w:cs="宋体"/>
                      <w:szCs w:val="21"/>
                    </w:rPr>
                  </w:pPr>
                  <w:r>
                    <w:rPr>
                      <w:rFonts w:hint="eastAsia" w:ascii="宋体" w:hAnsi="宋体" w:eastAsia="宋体" w:cs="宋体"/>
                      <w:szCs w:val="21"/>
                    </w:rPr>
                    <w:t>1000000以上</w:t>
                  </w:r>
                </w:p>
              </w:tc>
              <w:tc>
                <w:tcPr>
                  <w:tcW w:w="1168" w:type="dxa"/>
                  <w:tcBorders>
                    <w:top w:val="single" w:color="auto" w:sz="8" w:space="0"/>
                    <w:left w:val="single" w:color="auto" w:sz="8" w:space="0"/>
                    <w:bottom w:val="single" w:color="auto" w:sz="8" w:space="0"/>
                    <w:right w:val="single" w:color="auto" w:sz="8" w:space="0"/>
                  </w:tcBorders>
                </w:tcPr>
                <w:p w14:paraId="23DA02B7">
                  <w:pPr>
                    <w:rPr>
                      <w:rFonts w:hint="eastAsia" w:ascii="宋体" w:hAnsi="宋体" w:eastAsia="宋体" w:cs="宋体"/>
                      <w:szCs w:val="21"/>
                    </w:rPr>
                  </w:pPr>
                  <w:r>
                    <w:rPr>
                      <w:rFonts w:hint="eastAsia" w:ascii="宋体" w:hAnsi="宋体" w:eastAsia="宋体" w:cs="宋体"/>
                      <w:szCs w:val="21"/>
                    </w:rPr>
                    <w:t>0.004%</w:t>
                  </w:r>
                </w:p>
              </w:tc>
              <w:tc>
                <w:tcPr>
                  <w:tcW w:w="1125" w:type="dxa"/>
                  <w:tcBorders>
                    <w:top w:val="single" w:color="auto" w:sz="8" w:space="0"/>
                    <w:left w:val="single" w:color="auto" w:sz="8" w:space="0"/>
                    <w:bottom w:val="single" w:color="auto" w:sz="8" w:space="0"/>
                    <w:right w:val="single" w:color="auto" w:sz="8" w:space="0"/>
                  </w:tcBorders>
                </w:tcPr>
                <w:p w14:paraId="7DA6E3B2">
                  <w:pPr>
                    <w:rPr>
                      <w:rFonts w:hint="eastAsia" w:ascii="宋体" w:hAnsi="宋体" w:eastAsia="宋体" w:cs="宋体"/>
                      <w:szCs w:val="21"/>
                    </w:rPr>
                  </w:pPr>
                  <w:r>
                    <w:rPr>
                      <w:rFonts w:hint="eastAsia" w:ascii="宋体" w:hAnsi="宋体" w:eastAsia="宋体" w:cs="宋体"/>
                      <w:szCs w:val="21"/>
                    </w:rPr>
                    <w:t>0.004%</w:t>
                  </w:r>
                </w:p>
              </w:tc>
              <w:tc>
                <w:tcPr>
                  <w:tcW w:w="1111" w:type="dxa"/>
                  <w:tcBorders>
                    <w:top w:val="single" w:color="auto" w:sz="8" w:space="0"/>
                    <w:left w:val="single" w:color="auto" w:sz="8" w:space="0"/>
                    <w:bottom w:val="single" w:color="auto" w:sz="8" w:space="0"/>
                    <w:right w:val="single" w:color="auto" w:sz="8" w:space="0"/>
                  </w:tcBorders>
                </w:tcPr>
                <w:p w14:paraId="067A0CDE">
                  <w:pPr>
                    <w:rPr>
                      <w:rFonts w:hint="eastAsia" w:ascii="宋体" w:hAnsi="宋体" w:eastAsia="宋体" w:cs="宋体"/>
                      <w:szCs w:val="21"/>
                    </w:rPr>
                  </w:pPr>
                  <w:r>
                    <w:rPr>
                      <w:rFonts w:hint="eastAsia" w:ascii="宋体" w:hAnsi="宋体" w:eastAsia="宋体" w:cs="宋体"/>
                      <w:szCs w:val="21"/>
                    </w:rPr>
                    <w:t>0.004%</w:t>
                  </w:r>
                </w:p>
              </w:tc>
            </w:tr>
          </w:tbl>
          <w:p w14:paraId="72669FBE">
            <w:pPr>
              <w:rPr>
                <w:rFonts w:hint="eastAsia" w:ascii="宋体" w:hAnsi="宋体" w:eastAsia="宋体" w:cs="宋体"/>
                <w:szCs w:val="21"/>
                <w:highlight w:val="yellow"/>
                <w:u w:val="single"/>
              </w:rPr>
            </w:pPr>
          </w:p>
        </w:tc>
      </w:tr>
      <w:bookmarkEnd w:id="25"/>
      <w:bookmarkEnd w:id="26"/>
      <w:bookmarkEnd w:id="27"/>
      <w:bookmarkEnd w:id="28"/>
      <w:bookmarkEnd w:id="29"/>
      <w:bookmarkEnd w:id="30"/>
      <w:bookmarkEnd w:id="31"/>
      <w:bookmarkEnd w:id="32"/>
    </w:tbl>
    <w:p w14:paraId="5657A2BB">
      <w:pPr>
        <w:rPr>
          <w:rFonts w:hint="eastAsia" w:ascii="宋体" w:hAnsi="宋体" w:eastAsia="宋体" w:cs="宋体"/>
          <w:b/>
        </w:rPr>
      </w:pPr>
      <w:r>
        <w:rPr>
          <w:rFonts w:hint="eastAsia" w:ascii="宋体" w:hAnsi="宋体" w:eastAsia="宋体" w:cs="宋体"/>
          <w:szCs w:val="21"/>
        </w:rPr>
        <w:t>备注：本表为通用条款相关内容的补充和明确，如与通用条款相冲突的以本表为准。</w:t>
      </w:r>
    </w:p>
    <w:p w14:paraId="7B0AD51E">
      <w:pPr>
        <w:rPr>
          <w:rFonts w:hint="eastAsia" w:ascii="宋体" w:hAnsi="宋体" w:eastAsia="宋体" w:cs="宋体"/>
          <w:b/>
        </w:rPr>
      </w:pPr>
      <w:r>
        <w:rPr>
          <w:rFonts w:hint="eastAsia" w:ascii="宋体" w:hAnsi="宋体" w:eastAsia="宋体" w:cs="宋体"/>
          <w:b/>
        </w:rPr>
        <w:br w:type="page"/>
      </w:r>
    </w:p>
    <w:p w14:paraId="699EE365">
      <w:pPr>
        <w:tabs>
          <w:tab w:val="left" w:pos="5670"/>
        </w:tabs>
        <w:spacing w:before="260" w:after="260" w:line="360" w:lineRule="auto"/>
        <w:jc w:val="center"/>
        <w:outlineLvl w:val="2"/>
        <w:rPr>
          <w:rFonts w:hint="eastAsia" w:ascii="宋体" w:hAnsi="宋体" w:eastAsia="宋体" w:cs="宋体"/>
          <w:sz w:val="28"/>
          <w:szCs w:val="28"/>
        </w:rPr>
      </w:pPr>
      <w:bookmarkStart w:id="33" w:name="_Toc128884461"/>
      <w:r>
        <w:rPr>
          <w:rFonts w:hint="eastAsia" w:ascii="宋体" w:hAnsi="宋体" w:eastAsia="宋体" w:cs="宋体"/>
          <w:sz w:val="28"/>
          <w:szCs w:val="28"/>
        </w:rPr>
        <w:t>二、实质性条款</w:t>
      </w:r>
    </w:p>
    <w:tbl>
      <w:tblPr>
        <w:tblStyle w:val="26"/>
        <w:tblW w:w="82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7589"/>
      </w:tblGrid>
      <w:tr w14:paraId="722E1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tcPr>
          <w:p w14:paraId="0F869181">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序号</w:t>
            </w:r>
          </w:p>
        </w:tc>
        <w:tc>
          <w:tcPr>
            <w:tcW w:w="7589" w:type="dxa"/>
          </w:tcPr>
          <w:p w14:paraId="3888C659">
            <w:pPr>
              <w:adjustRightInd w:val="0"/>
              <w:snapToGrid w:val="0"/>
              <w:spacing w:line="360" w:lineRule="auto"/>
              <w:jc w:val="center"/>
              <w:rPr>
                <w:rFonts w:hint="eastAsia" w:ascii="宋体" w:hAnsi="宋体" w:eastAsia="宋体" w:cs="宋体"/>
                <w:szCs w:val="21"/>
              </w:rPr>
            </w:pPr>
            <w:r>
              <w:rPr>
                <w:rFonts w:hint="eastAsia" w:ascii="宋体" w:hAnsi="宋体" w:eastAsia="宋体" w:cs="宋体"/>
                <w:szCs w:val="21"/>
              </w:rPr>
              <w:t>采购人要求内容</w:t>
            </w:r>
          </w:p>
        </w:tc>
      </w:tr>
      <w:tr w14:paraId="27E55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6E650E5C">
            <w:pPr>
              <w:widowControl w:val="0"/>
              <w:spacing w:line="360" w:lineRule="auto"/>
              <w:jc w:val="center"/>
              <w:rPr>
                <w:rFonts w:hint="eastAsia" w:ascii="宋体" w:hAnsi="宋体" w:eastAsia="宋体" w:cs="宋体"/>
              </w:rPr>
            </w:pPr>
            <w:r>
              <w:rPr>
                <w:rFonts w:hint="eastAsia" w:ascii="宋体" w:hAnsi="宋体" w:eastAsia="宋体" w:cs="宋体"/>
              </w:rPr>
              <w:t>1</w:t>
            </w:r>
          </w:p>
        </w:tc>
        <w:tc>
          <w:tcPr>
            <w:tcW w:w="7589" w:type="dxa"/>
          </w:tcPr>
          <w:p w14:paraId="35E4DC54">
            <w:pPr>
              <w:widowControl w:val="0"/>
              <w:numPr>
                <w:ilvl w:val="255"/>
                <w:numId w:val="0"/>
              </w:numPr>
              <w:spacing w:line="360" w:lineRule="auto"/>
              <w:jc w:val="both"/>
              <w:rPr>
                <w:rFonts w:hint="eastAsia" w:ascii="宋体" w:hAnsi="宋体" w:eastAsia="宋体" w:cs="宋体"/>
              </w:rPr>
            </w:pPr>
            <w:r>
              <w:rPr>
                <w:rFonts w:hint="eastAsia" w:ascii="宋体" w:hAnsi="宋体" w:eastAsia="宋体" w:cs="宋体"/>
              </w:rPr>
              <w:t>本项目预算金额：人民币 16,310,000.00元，投标报价超过预算金额的投标将被拒绝。</w:t>
            </w:r>
          </w:p>
        </w:tc>
      </w:tr>
      <w:tr w14:paraId="59CF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23E9EE2F">
            <w:pPr>
              <w:widowControl w:val="0"/>
              <w:spacing w:line="360" w:lineRule="auto"/>
              <w:jc w:val="center"/>
              <w:rPr>
                <w:rFonts w:hint="eastAsia" w:ascii="宋体" w:hAnsi="宋体" w:eastAsia="宋体" w:cs="宋体"/>
              </w:rPr>
            </w:pPr>
            <w:r>
              <w:rPr>
                <w:rFonts w:hint="eastAsia" w:ascii="宋体" w:hAnsi="宋体" w:eastAsia="宋体" w:cs="宋体"/>
              </w:rPr>
              <w:t>2</w:t>
            </w:r>
          </w:p>
        </w:tc>
        <w:tc>
          <w:tcPr>
            <w:tcW w:w="7589" w:type="dxa"/>
          </w:tcPr>
          <w:p w14:paraId="60633AB1">
            <w:pPr>
              <w:widowControl w:val="0"/>
              <w:spacing w:line="360" w:lineRule="auto"/>
              <w:jc w:val="both"/>
              <w:rPr>
                <w:rFonts w:hint="eastAsia" w:ascii="宋体" w:hAnsi="宋体" w:eastAsia="宋体" w:cs="宋体"/>
              </w:rPr>
            </w:pPr>
            <w:r>
              <w:rPr>
                <w:rFonts w:hint="eastAsia" w:ascii="宋体" w:hAnsi="宋体" w:eastAsia="宋体" w:cs="宋体"/>
              </w:rPr>
              <w:t>本项目不接受联合体投标，不允许分包、转包。</w:t>
            </w:r>
          </w:p>
        </w:tc>
      </w:tr>
      <w:tr w14:paraId="6B1BE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0A45D39E">
            <w:pPr>
              <w:widowControl w:val="0"/>
              <w:spacing w:line="360" w:lineRule="auto"/>
              <w:jc w:val="center"/>
              <w:rPr>
                <w:rFonts w:hint="eastAsia" w:ascii="宋体" w:hAnsi="宋体" w:eastAsia="宋体" w:cs="宋体"/>
              </w:rPr>
            </w:pPr>
            <w:r>
              <w:rPr>
                <w:rFonts w:hint="eastAsia" w:ascii="宋体" w:hAnsi="宋体" w:eastAsia="宋体" w:cs="宋体"/>
              </w:rPr>
              <w:t>3</w:t>
            </w:r>
          </w:p>
        </w:tc>
        <w:tc>
          <w:tcPr>
            <w:tcW w:w="7589" w:type="dxa"/>
          </w:tcPr>
          <w:p w14:paraId="33D41AFB">
            <w:pPr>
              <w:widowControl w:val="0"/>
              <w:spacing w:line="360" w:lineRule="auto"/>
              <w:jc w:val="both"/>
              <w:rPr>
                <w:rFonts w:hint="eastAsia" w:ascii="宋体" w:hAnsi="宋体" w:eastAsia="宋体" w:cs="宋体"/>
              </w:rPr>
            </w:pPr>
            <w:r>
              <w:rPr>
                <w:rFonts w:hint="eastAsia" w:ascii="宋体" w:hAnsi="宋体" w:cs="宋体"/>
              </w:rPr>
              <w:t>服务期：自合同签订之日起1年。本项目服务期满后，招标人可根据中标人履约情况确定合同期限是否延长，但总合同期限最长不超过三十六个月。</w:t>
            </w:r>
          </w:p>
        </w:tc>
      </w:tr>
      <w:tr w14:paraId="45D06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296295DF">
            <w:pPr>
              <w:widowControl w:val="0"/>
              <w:spacing w:line="360" w:lineRule="auto"/>
              <w:jc w:val="center"/>
              <w:rPr>
                <w:rFonts w:hint="eastAsia" w:ascii="宋体" w:hAnsi="宋体" w:eastAsia="宋体" w:cs="宋体"/>
              </w:rPr>
            </w:pPr>
            <w:r>
              <w:rPr>
                <w:rFonts w:hint="eastAsia" w:ascii="宋体" w:hAnsi="宋体" w:eastAsia="宋体" w:cs="宋体"/>
              </w:rPr>
              <w:t>4</w:t>
            </w:r>
          </w:p>
        </w:tc>
        <w:tc>
          <w:tcPr>
            <w:tcW w:w="7589" w:type="dxa"/>
          </w:tcPr>
          <w:p w14:paraId="461C46AE">
            <w:pPr>
              <w:widowControl w:val="0"/>
              <w:spacing w:line="360" w:lineRule="auto"/>
              <w:jc w:val="both"/>
              <w:rPr>
                <w:rFonts w:hint="eastAsia" w:ascii="宋体" w:hAnsi="宋体" w:eastAsia="宋体" w:cs="宋体"/>
              </w:rPr>
            </w:pPr>
            <w:r>
              <w:rPr>
                <w:rFonts w:hint="eastAsia" w:ascii="宋体" w:hAnsi="宋体" w:eastAsia="宋体" w:cs="宋体"/>
              </w:rPr>
              <w:t>付款方式：招标人每月10日前向中标人支付本月服务费，每月绩效金按照《南方科技大学校区服务绩效考核管理办法》执行，招标人收到中标人提供合法发票后10个工作日内支付管理费。（因招标人使用财政性资金，支付进度以深圳市财政局国库集中支付中心办理进度为准，中标人对此表示理解并同意招标人不因此构成付款延迟。）</w:t>
            </w:r>
          </w:p>
        </w:tc>
      </w:tr>
      <w:tr w14:paraId="0E719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668C6485">
            <w:pPr>
              <w:widowControl w:val="0"/>
              <w:spacing w:line="360" w:lineRule="auto"/>
              <w:jc w:val="center"/>
              <w:rPr>
                <w:rFonts w:hint="eastAsia" w:ascii="宋体" w:hAnsi="宋体" w:eastAsia="宋体" w:cs="宋体"/>
              </w:rPr>
            </w:pPr>
            <w:r>
              <w:rPr>
                <w:rFonts w:hint="eastAsia" w:ascii="宋体" w:hAnsi="宋体" w:eastAsia="宋体" w:cs="宋体"/>
              </w:rPr>
              <w:t>5</w:t>
            </w:r>
          </w:p>
        </w:tc>
        <w:tc>
          <w:tcPr>
            <w:tcW w:w="7589" w:type="dxa"/>
          </w:tcPr>
          <w:p w14:paraId="32F93482">
            <w:pPr>
              <w:widowControl w:val="0"/>
              <w:spacing w:line="360" w:lineRule="auto"/>
              <w:jc w:val="both"/>
              <w:rPr>
                <w:rFonts w:hint="eastAsia" w:asciiTheme="minorEastAsia" w:hAnsiTheme="minorEastAsia" w:eastAsiaTheme="minorEastAsia"/>
              </w:rPr>
            </w:pPr>
            <w:r>
              <w:rPr>
                <w:rFonts w:hint="eastAsia" w:asciiTheme="minorEastAsia" w:hAnsiTheme="minorEastAsia" w:eastAsiaTheme="minorEastAsia"/>
              </w:rPr>
              <w:t>质量考核验收标准及违约金：</w:t>
            </w:r>
          </w:p>
          <w:p w14:paraId="1D60322D">
            <w:pPr>
              <w:widowControl w:val="0"/>
              <w:spacing w:line="360" w:lineRule="auto"/>
              <w:ind w:firstLine="480" w:firstLineChars="200"/>
              <w:jc w:val="both"/>
              <w:rPr>
                <w:rFonts w:hint="eastAsia" w:ascii="宋体" w:hAnsi="宋体" w:eastAsia="宋体" w:cs="宋体"/>
              </w:rPr>
            </w:pPr>
            <w:r>
              <w:rPr>
                <w:rFonts w:hint="eastAsia" w:ascii="宋体" w:hAnsi="宋体" w:eastAsia="宋体" w:cs="宋体"/>
              </w:rPr>
              <w:t>招标人按照南方科技大学校区服务绩效考核管理办法对中标单位开展季度考核。季度考核及年度考核：季度考核结果作为绩效金支付依据，预留每月服务费用的10%作为绩效金，季度末考核完成后随同下月服务费用一起支付。</w:t>
            </w:r>
          </w:p>
        </w:tc>
      </w:tr>
      <w:tr w14:paraId="33AB5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37E3DA48">
            <w:pPr>
              <w:pStyle w:val="2"/>
              <w:widowControl w:val="0"/>
              <w:jc w:val="center"/>
              <w:rPr>
                <w:rFonts w:hint="eastAsia" w:ascii="宋体" w:hAnsi="宋体" w:eastAsia="宋体" w:cs="宋体"/>
                <w:b w:val="0"/>
                <w:bCs w:val="0"/>
                <w:kern w:val="2"/>
              </w:rPr>
            </w:pPr>
            <w:r>
              <w:rPr>
                <w:rFonts w:hint="eastAsia" w:ascii="宋体" w:hAnsi="宋体" w:eastAsia="宋体" w:cs="宋体"/>
                <w:b w:val="0"/>
                <w:bCs w:val="0"/>
                <w:kern w:val="2"/>
              </w:rPr>
              <w:t>6</w:t>
            </w:r>
          </w:p>
        </w:tc>
        <w:tc>
          <w:tcPr>
            <w:tcW w:w="7589" w:type="dxa"/>
          </w:tcPr>
          <w:p w14:paraId="3B39CE47">
            <w:pPr>
              <w:widowControl w:val="0"/>
              <w:spacing w:line="360" w:lineRule="auto"/>
              <w:rPr>
                <w:rFonts w:hint="eastAsia" w:ascii="宋体" w:hAnsi="宋体" w:eastAsia="宋体" w:cs="宋体"/>
              </w:rPr>
            </w:pPr>
            <w:r>
              <w:rPr>
                <w:rFonts w:hint="eastAsia" w:ascii="宋体" w:hAnsi="宋体" w:eastAsia="宋体" w:cs="宋体"/>
              </w:rPr>
              <w:t>保密要求：技术保障人员负有保密义务，应严格遵守各项保密规定，所有工作人员需签署遵守安全操作规程及信息保密协议，未经授权，不得接触与本学校业务相关的信息数据，不能擅自拷贝任何文件和数据并携带出工作区域，不得以任何理由损害招标方的名义和利益。</w:t>
            </w:r>
          </w:p>
        </w:tc>
      </w:tr>
      <w:tr w14:paraId="3C3B6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vAlign w:val="center"/>
          </w:tcPr>
          <w:p w14:paraId="4F273A5A">
            <w:pPr>
              <w:pStyle w:val="2"/>
              <w:widowControl w:val="0"/>
              <w:jc w:val="center"/>
              <w:rPr>
                <w:rFonts w:hint="eastAsia" w:ascii="宋体" w:hAnsi="宋体" w:eastAsia="宋体" w:cs="宋体"/>
                <w:b w:val="0"/>
                <w:bCs w:val="0"/>
                <w:kern w:val="2"/>
              </w:rPr>
            </w:pPr>
            <w:r>
              <w:rPr>
                <w:rFonts w:hint="eastAsia" w:ascii="宋体" w:hAnsi="宋体" w:eastAsia="宋体" w:cs="宋体"/>
                <w:b w:val="0"/>
                <w:bCs w:val="0"/>
                <w:kern w:val="2"/>
              </w:rPr>
              <w:t>7</w:t>
            </w:r>
          </w:p>
        </w:tc>
        <w:tc>
          <w:tcPr>
            <w:tcW w:w="7589" w:type="dxa"/>
          </w:tcPr>
          <w:p w14:paraId="2EF65CB2">
            <w:pPr>
              <w:pStyle w:val="43"/>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履约保证金：本项目须提供中标合同总金额5%的履约保证金，供应商自主选择以支票、汇票、本票、保函等非现金方式提交履约担保；</w:t>
            </w:r>
          </w:p>
          <w:p w14:paraId="3C4EF5E0">
            <w:pPr>
              <w:widowControl w:val="0"/>
              <w:spacing w:line="360" w:lineRule="auto"/>
              <w:rPr>
                <w:rFonts w:hint="eastAsia" w:ascii="宋体" w:hAnsi="宋体" w:eastAsia="宋体" w:cs="宋体"/>
              </w:rPr>
            </w:pPr>
            <w:r>
              <w:rPr>
                <w:rFonts w:hint="eastAsia" w:ascii="宋体" w:hAnsi="宋体" w:eastAsia="宋体" w:cs="宋体"/>
              </w:rPr>
              <w:t>注：履约保证金在中标人履行完成合同约定权利义务事项在合同期满之日起 30 日内按原方式退还，不计利息。采购人逾期退还履约保证金的，向中标人每日偿付履约保证金的0.5‰的利息。因中标人原因而未能达到本项目验收标准或验收不通过的，履约保证金不予退还。</w:t>
            </w:r>
          </w:p>
        </w:tc>
      </w:tr>
    </w:tbl>
    <w:p w14:paraId="4E79CE3D">
      <w:pPr>
        <w:snapToGrid w:val="0"/>
        <w:spacing w:line="360" w:lineRule="auto"/>
        <w:rPr>
          <w:rFonts w:hint="eastAsia" w:ascii="宋体" w:hAnsi="宋体" w:eastAsia="宋体" w:cs="宋体"/>
        </w:rPr>
      </w:pPr>
      <w:r>
        <w:rPr>
          <w:rFonts w:hint="eastAsia" w:ascii="宋体" w:hAnsi="宋体" w:eastAsia="宋体" w:cs="宋体"/>
          <w:b/>
          <w:sz w:val="21"/>
          <w:szCs w:val="21"/>
        </w:rPr>
        <w:t>注：</w:t>
      </w:r>
      <w:r>
        <w:rPr>
          <w:rFonts w:hint="eastAsia" w:ascii="宋体" w:hAnsi="宋体" w:eastAsia="宋体" w:cs="宋体"/>
          <w:b/>
          <w:bCs/>
          <w:sz w:val="21"/>
          <w:szCs w:val="21"/>
        </w:rPr>
        <w:t>上表所列内容均为实质性条款，如出现负偏离，将被视为未实质性满足招标文件要求作投标无效处理。</w:t>
      </w:r>
    </w:p>
    <w:p w14:paraId="31E9D93F">
      <w:pPr>
        <w:rPr>
          <w:rFonts w:hint="eastAsia" w:ascii="宋体" w:hAnsi="宋体" w:eastAsia="宋体" w:cs="宋体"/>
          <w:b/>
        </w:rPr>
      </w:pPr>
    </w:p>
    <w:bookmarkEnd w:id="33"/>
    <w:p w14:paraId="73400C9E">
      <w:pPr>
        <w:rPr>
          <w:rFonts w:hint="eastAsia" w:ascii="宋体" w:hAnsi="宋体" w:eastAsia="宋体" w:cs="宋体"/>
          <w:b/>
          <w:bCs/>
          <w:sz w:val="28"/>
          <w:szCs w:val="28"/>
        </w:rPr>
      </w:pPr>
      <w:r>
        <w:rPr>
          <w:rFonts w:hint="eastAsia" w:ascii="宋体" w:hAnsi="宋体" w:eastAsia="宋体" w:cs="宋体"/>
          <w:b/>
          <w:bCs/>
          <w:sz w:val="28"/>
          <w:szCs w:val="28"/>
        </w:rPr>
        <w:br w:type="page"/>
      </w:r>
    </w:p>
    <w:p w14:paraId="7B30F538">
      <w:pPr>
        <w:tabs>
          <w:tab w:val="left" w:pos="5670"/>
        </w:tabs>
        <w:spacing w:line="360" w:lineRule="auto"/>
        <w:jc w:val="center"/>
        <w:outlineLvl w:val="2"/>
        <w:rPr>
          <w:rFonts w:hint="eastAsia" w:ascii="宋体" w:hAnsi="宋体" w:eastAsia="宋体" w:cs="宋体"/>
          <w:sz w:val="28"/>
          <w:szCs w:val="28"/>
        </w:rPr>
      </w:pPr>
      <w:r>
        <w:rPr>
          <w:rFonts w:hint="eastAsia" w:ascii="宋体" w:hAnsi="宋体" w:eastAsia="宋体" w:cs="宋体"/>
          <w:sz w:val="28"/>
          <w:szCs w:val="28"/>
        </w:rPr>
        <w:t>三、项目概况</w:t>
      </w:r>
    </w:p>
    <w:p w14:paraId="203C4DDF">
      <w:pPr>
        <w:spacing w:line="360" w:lineRule="auto"/>
        <w:ind w:firstLine="482" w:firstLineChars="200"/>
        <w:rPr>
          <w:rFonts w:hint="eastAsia" w:ascii="宋体" w:hAnsi="宋体" w:eastAsia="宋体" w:cs="宋体"/>
          <w:b/>
          <w:u w:val="single"/>
        </w:rPr>
      </w:pPr>
      <w:r>
        <w:rPr>
          <w:rFonts w:hint="eastAsia" w:ascii="宋体" w:hAnsi="宋体" w:eastAsia="宋体" w:cs="宋体"/>
          <w:b/>
          <w:szCs w:val="21"/>
        </w:rPr>
        <w:t>（一）预算金额:</w:t>
      </w:r>
      <w:r>
        <w:rPr>
          <w:rFonts w:hint="eastAsia" w:ascii="宋体" w:hAnsi="宋体" w:eastAsia="宋体" w:cs="宋体"/>
          <w:b/>
          <w:u w:val="single"/>
        </w:rPr>
        <w:t>16,310,000.00元</w:t>
      </w:r>
      <w:r>
        <w:rPr>
          <w:rFonts w:hint="eastAsia" w:ascii="宋体" w:hAnsi="宋体" w:eastAsia="宋体" w:cs="宋体"/>
          <w:b/>
          <w:szCs w:val="21"/>
        </w:rPr>
        <w:t>，支付上限:</w:t>
      </w:r>
      <w:r>
        <w:rPr>
          <w:rFonts w:hint="eastAsia" w:ascii="宋体" w:hAnsi="宋体" w:eastAsia="宋体" w:cs="宋体"/>
          <w:b/>
        </w:rPr>
        <w:t xml:space="preserve"> </w:t>
      </w:r>
      <w:r>
        <w:rPr>
          <w:rFonts w:hint="eastAsia" w:ascii="宋体" w:hAnsi="宋体" w:eastAsia="宋体" w:cs="宋体"/>
          <w:b/>
          <w:u w:val="single"/>
        </w:rPr>
        <w:t>16,310,000.00元</w:t>
      </w:r>
    </w:p>
    <w:p w14:paraId="44842679">
      <w:pPr>
        <w:spacing w:line="360" w:lineRule="auto"/>
        <w:ind w:firstLine="482" w:firstLineChars="200"/>
        <w:rPr>
          <w:rFonts w:hint="eastAsia" w:ascii="宋体" w:hAnsi="宋体" w:eastAsia="宋体" w:cs="宋体"/>
        </w:rPr>
      </w:pPr>
      <w:r>
        <w:rPr>
          <w:rFonts w:hint="eastAsia" w:ascii="宋体" w:hAnsi="宋体" w:eastAsia="宋体" w:cs="宋体"/>
          <w:b/>
          <w:szCs w:val="21"/>
        </w:rPr>
        <w:t>（二）项目概况:</w:t>
      </w:r>
      <w:r>
        <w:rPr>
          <w:rFonts w:hint="eastAsia" w:ascii="宋体" w:hAnsi="宋体" w:eastAsia="宋体" w:cs="宋体"/>
        </w:rPr>
        <w:t xml:space="preserve"> </w:t>
      </w:r>
    </w:p>
    <w:p w14:paraId="1CC4CE38">
      <w:pPr>
        <w:spacing w:line="360" w:lineRule="auto"/>
        <w:ind w:firstLine="480" w:firstLineChars="200"/>
      </w:pPr>
      <w:r>
        <w:rPr>
          <w:rFonts w:hint="eastAsia"/>
        </w:rPr>
        <w:t>南方科技大学范围内所有建筑物共104栋，建筑面积114.49万㎡，绿化养护面积156.89万㎡，项目形态涵盖：第三科研楼（5-10层）、医学院、行政办公楼、科研楼、教学楼、图书馆、学生宿舍（含本科、硕士、博士）、教师公寓、学生书院、餐厅、游泳馆、体育场馆、会议中心、公共设施等。</w:t>
      </w:r>
    </w:p>
    <w:p w14:paraId="45280127">
      <w:pPr>
        <w:widowControl w:val="0"/>
        <w:adjustRightInd w:val="0"/>
        <w:snapToGrid w:val="0"/>
        <w:spacing w:line="360" w:lineRule="auto"/>
        <w:ind w:firstLine="480" w:firstLineChars="200"/>
        <w:rPr>
          <w:rFonts w:hint="eastAsia" w:ascii="宋体" w:hAnsi="宋体" w:eastAsia="宋体" w:cs="宋体"/>
          <w:iCs/>
          <w:kern w:val="2"/>
          <w:u w:val="single"/>
        </w:rPr>
      </w:pPr>
    </w:p>
    <w:p w14:paraId="2AC10199">
      <w:pPr>
        <w:numPr>
          <w:ilvl w:val="0"/>
          <w:numId w:val="4"/>
        </w:numPr>
        <w:jc w:val="center"/>
        <w:outlineLvl w:val="2"/>
        <w:rPr>
          <w:rFonts w:hint="eastAsia" w:ascii="宋体" w:hAnsi="宋体" w:eastAsia="宋体" w:cs="宋体"/>
          <w:sz w:val="28"/>
          <w:szCs w:val="28"/>
        </w:rPr>
      </w:pPr>
      <w:r>
        <w:rPr>
          <w:rFonts w:hint="eastAsia" w:ascii="宋体" w:hAnsi="宋体" w:eastAsia="宋体" w:cs="宋体"/>
          <w:sz w:val="28"/>
          <w:szCs w:val="28"/>
        </w:rPr>
        <w:t>服务项目清单</w:t>
      </w:r>
    </w:p>
    <w:tbl>
      <w:tblPr>
        <w:tblStyle w:val="26"/>
        <w:tblW w:w="85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814"/>
        <w:gridCol w:w="1088"/>
        <w:gridCol w:w="737"/>
        <w:gridCol w:w="763"/>
        <w:gridCol w:w="700"/>
        <w:gridCol w:w="1737"/>
        <w:gridCol w:w="1179"/>
      </w:tblGrid>
      <w:tr w14:paraId="7531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508" w:type="dxa"/>
            <w:vAlign w:val="center"/>
          </w:tcPr>
          <w:p w14:paraId="4967088C">
            <w:pPr>
              <w:spacing w:before="156" w:after="156"/>
              <w:jc w:val="center"/>
              <w:rPr>
                <w:rFonts w:hint="eastAsia" w:ascii="宋体" w:hAnsi="宋体" w:eastAsia="宋体" w:cs="宋体"/>
                <w:b/>
                <w:bCs/>
              </w:rPr>
            </w:pPr>
            <w:r>
              <w:rPr>
                <w:rFonts w:hint="eastAsia" w:ascii="宋体" w:hAnsi="宋体" w:eastAsia="宋体" w:cs="宋体"/>
                <w:b/>
                <w:bCs/>
              </w:rPr>
              <w:t>序号</w:t>
            </w:r>
          </w:p>
        </w:tc>
        <w:tc>
          <w:tcPr>
            <w:tcW w:w="1814" w:type="dxa"/>
            <w:vAlign w:val="center"/>
          </w:tcPr>
          <w:p w14:paraId="10BFC505">
            <w:pPr>
              <w:spacing w:before="156" w:after="156"/>
              <w:jc w:val="center"/>
              <w:rPr>
                <w:rFonts w:hint="eastAsia" w:ascii="宋体" w:hAnsi="宋体" w:eastAsia="宋体" w:cs="宋体"/>
                <w:b/>
                <w:bCs/>
              </w:rPr>
            </w:pPr>
            <w:r>
              <w:rPr>
                <w:rFonts w:hint="eastAsia" w:ascii="宋体" w:hAnsi="宋体" w:eastAsia="宋体" w:cs="宋体"/>
                <w:b/>
                <w:bCs/>
              </w:rPr>
              <w:t>采购计划编号</w:t>
            </w:r>
          </w:p>
        </w:tc>
        <w:tc>
          <w:tcPr>
            <w:tcW w:w="1088" w:type="dxa"/>
            <w:vAlign w:val="center"/>
          </w:tcPr>
          <w:p w14:paraId="27F60259">
            <w:pPr>
              <w:spacing w:before="156" w:after="156"/>
              <w:jc w:val="center"/>
              <w:rPr>
                <w:rFonts w:hint="eastAsia" w:ascii="宋体" w:hAnsi="宋体" w:eastAsia="宋体" w:cs="宋体"/>
                <w:b/>
                <w:bCs/>
              </w:rPr>
            </w:pPr>
            <w:r>
              <w:rPr>
                <w:rFonts w:hint="eastAsia" w:ascii="宋体" w:hAnsi="宋体" w:eastAsia="宋体" w:cs="宋体"/>
                <w:b/>
                <w:bCs/>
              </w:rPr>
              <w:t>标的名称</w:t>
            </w:r>
          </w:p>
        </w:tc>
        <w:tc>
          <w:tcPr>
            <w:tcW w:w="737" w:type="dxa"/>
            <w:vAlign w:val="center"/>
          </w:tcPr>
          <w:p w14:paraId="23C4C648">
            <w:pPr>
              <w:spacing w:before="156" w:after="156"/>
              <w:jc w:val="center"/>
              <w:rPr>
                <w:rFonts w:hint="eastAsia" w:ascii="宋体" w:hAnsi="宋体" w:eastAsia="宋体" w:cs="宋体"/>
                <w:b/>
                <w:bCs/>
              </w:rPr>
            </w:pPr>
            <w:r>
              <w:rPr>
                <w:rFonts w:hint="eastAsia" w:ascii="宋体" w:hAnsi="宋体" w:eastAsia="宋体" w:cs="宋体"/>
                <w:b/>
                <w:bCs/>
              </w:rPr>
              <w:t>数量</w:t>
            </w:r>
          </w:p>
        </w:tc>
        <w:tc>
          <w:tcPr>
            <w:tcW w:w="763" w:type="dxa"/>
            <w:vAlign w:val="center"/>
          </w:tcPr>
          <w:p w14:paraId="4EF7899A">
            <w:pPr>
              <w:spacing w:before="156" w:after="156"/>
              <w:jc w:val="center"/>
              <w:rPr>
                <w:rFonts w:hint="eastAsia" w:ascii="宋体" w:hAnsi="宋体" w:eastAsia="宋体" w:cs="宋体"/>
                <w:b/>
                <w:bCs/>
              </w:rPr>
            </w:pPr>
            <w:r>
              <w:rPr>
                <w:rFonts w:hint="eastAsia" w:ascii="宋体" w:hAnsi="宋体" w:eastAsia="宋体" w:cs="宋体"/>
                <w:b/>
                <w:bCs/>
              </w:rPr>
              <w:t>单位</w:t>
            </w:r>
          </w:p>
        </w:tc>
        <w:tc>
          <w:tcPr>
            <w:tcW w:w="700" w:type="dxa"/>
            <w:vAlign w:val="center"/>
          </w:tcPr>
          <w:p w14:paraId="0966C3CC">
            <w:pPr>
              <w:spacing w:before="156" w:after="156"/>
              <w:jc w:val="center"/>
              <w:rPr>
                <w:rFonts w:hint="eastAsia" w:ascii="宋体" w:hAnsi="宋体" w:eastAsia="宋体" w:cs="宋体"/>
                <w:b/>
                <w:bCs/>
              </w:rPr>
            </w:pPr>
            <w:r>
              <w:rPr>
                <w:rFonts w:hint="eastAsia" w:ascii="宋体" w:hAnsi="宋体" w:eastAsia="宋体" w:cs="宋体"/>
                <w:b/>
                <w:bCs/>
              </w:rPr>
              <w:t>备注</w:t>
            </w:r>
          </w:p>
        </w:tc>
        <w:tc>
          <w:tcPr>
            <w:tcW w:w="1737" w:type="dxa"/>
            <w:vAlign w:val="center"/>
          </w:tcPr>
          <w:p w14:paraId="46721D56">
            <w:pPr>
              <w:spacing w:line="276" w:lineRule="auto"/>
              <w:jc w:val="center"/>
              <w:rPr>
                <w:rFonts w:hint="eastAsia" w:ascii="宋体" w:hAnsi="宋体" w:eastAsia="宋体" w:cs="宋体"/>
                <w:b/>
                <w:bCs/>
              </w:rPr>
            </w:pPr>
            <w:r>
              <w:rPr>
                <w:rFonts w:hint="eastAsia" w:ascii="宋体" w:hAnsi="宋体" w:eastAsia="宋体" w:cs="宋体"/>
                <w:b/>
                <w:bCs/>
              </w:rPr>
              <w:t>财政预算限额（元）</w:t>
            </w:r>
          </w:p>
        </w:tc>
        <w:tc>
          <w:tcPr>
            <w:tcW w:w="1179" w:type="dxa"/>
            <w:vAlign w:val="center"/>
          </w:tcPr>
          <w:p w14:paraId="22DC36DF">
            <w:pPr>
              <w:spacing w:before="156" w:after="156"/>
              <w:jc w:val="center"/>
              <w:rPr>
                <w:rFonts w:hint="eastAsia" w:ascii="宋体" w:hAnsi="宋体" w:eastAsia="宋体" w:cs="宋体"/>
                <w:b/>
                <w:bCs/>
              </w:rPr>
            </w:pPr>
            <w:r>
              <w:rPr>
                <w:rFonts w:hint="eastAsia" w:ascii="宋体" w:hAnsi="宋体" w:eastAsia="宋体" w:cs="宋体"/>
                <w:b/>
                <w:bCs/>
              </w:rPr>
              <w:t>所属行业</w:t>
            </w:r>
          </w:p>
        </w:tc>
      </w:tr>
      <w:tr w14:paraId="5F61B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8" w:type="dxa"/>
            <w:vAlign w:val="center"/>
          </w:tcPr>
          <w:p w14:paraId="155A1C8F">
            <w:pPr>
              <w:spacing w:before="156" w:after="156"/>
              <w:jc w:val="center"/>
              <w:rPr>
                <w:rFonts w:hint="eastAsia" w:ascii="宋体" w:hAnsi="宋体" w:eastAsia="宋体" w:cs="宋体"/>
              </w:rPr>
            </w:pPr>
            <w:r>
              <w:rPr>
                <w:rFonts w:hint="eastAsia" w:ascii="宋体" w:hAnsi="宋体" w:eastAsia="宋体" w:cs="宋体"/>
              </w:rPr>
              <w:t>1</w:t>
            </w:r>
          </w:p>
        </w:tc>
        <w:tc>
          <w:tcPr>
            <w:tcW w:w="1814" w:type="dxa"/>
            <w:vAlign w:val="center"/>
          </w:tcPr>
          <w:p w14:paraId="3D066900">
            <w:pPr>
              <w:spacing w:before="156" w:after="156"/>
              <w:jc w:val="center"/>
              <w:rPr>
                <w:rFonts w:hint="eastAsia" w:ascii="宋体" w:hAnsi="宋体" w:eastAsia="宋体" w:cs="宋体"/>
              </w:rPr>
            </w:pPr>
            <w:r>
              <w:rPr>
                <w:rFonts w:hint="eastAsia" w:ascii="宋体" w:hAnsi="宋体" w:eastAsia="宋体" w:cs="宋体"/>
              </w:rPr>
              <w:t>PLAN-2026-440300000-103604-09552</w:t>
            </w:r>
          </w:p>
        </w:tc>
        <w:tc>
          <w:tcPr>
            <w:tcW w:w="1088" w:type="dxa"/>
            <w:vMerge w:val="restart"/>
            <w:vAlign w:val="center"/>
          </w:tcPr>
          <w:p w14:paraId="39F6F0AE">
            <w:pPr>
              <w:spacing w:before="156" w:after="156"/>
              <w:jc w:val="center"/>
              <w:rPr>
                <w:rFonts w:hint="eastAsia" w:ascii="宋体" w:hAnsi="宋体" w:eastAsia="宋体" w:cs="宋体"/>
              </w:rPr>
            </w:pPr>
            <w:r>
              <w:rPr>
                <w:rFonts w:hint="eastAsia" w:ascii="宋体" w:hAnsi="宋体" w:eastAsia="宋体" w:cs="宋体"/>
              </w:rPr>
              <w:t>南方科技大学教学及学生生活管理服务</w:t>
            </w:r>
          </w:p>
        </w:tc>
        <w:tc>
          <w:tcPr>
            <w:tcW w:w="737" w:type="dxa"/>
            <w:vMerge w:val="restart"/>
            <w:vAlign w:val="center"/>
          </w:tcPr>
          <w:p w14:paraId="517C0838">
            <w:pPr>
              <w:jc w:val="center"/>
              <w:rPr>
                <w:rFonts w:hint="eastAsia" w:ascii="宋体" w:hAnsi="宋体" w:eastAsia="宋体" w:cs="宋体"/>
              </w:rPr>
            </w:pPr>
            <w:r>
              <w:rPr>
                <w:rFonts w:hint="eastAsia" w:ascii="宋体" w:hAnsi="宋体" w:eastAsia="宋体" w:cs="宋体"/>
                <w:bCs/>
                <w:szCs w:val="21"/>
              </w:rPr>
              <w:t>1</w:t>
            </w:r>
          </w:p>
        </w:tc>
        <w:tc>
          <w:tcPr>
            <w:tcW w:w="763" w:type="dxa"/>
            <w:vMerge w:val="restart"/>
            <w:vAlign w:val="center"/>
          </w:tcPr>
          <w:p w14:paraId="1E543159">
            <w:pPr>
              <w:jc w:val="center"/>
              <w:rPr>
                <w:rFonts w:hint="eastAsia" w:ascii="宋体" w:hAnsi="宋体" w:eastAsia="宋体" w:cs="宋体"/>
              </w:rPr>
            </w:pPr>
            <w:r>
              <w:rPr>
                <w:rFonts w:hint="eastAsia" w:ascii="宋体" w:hAnsi="宋体" w:eastAsia="宋体" w:cs="宋体"/>
                <w:bCs/>
                <w:szCs w:val="21"/>
              </w:rPr>
              <w:t>项</w:t>
            </w:r>
          </w:p>
        </w:tc>
        <w:tc>
          <w:tcPr>
            <w:tcW w:w="700" w:type="dxa"/>
            <w:vMerge w:val="restart"/>
            <w:vAlign w:val="center"/>
          </w:tcPr>
          <w:p w14:paraId="1EF5F77B">
            <w:pPr>
              <w:spacing w:before="156" w:after="156"/>
              <w:jc w:val="center"/>
              <w:rPr>
                <w:rFonts w:hint="eastAsia" w:ascii="宋体" w:hAnsi="宋体" w:eastAsia="宋体" w:cs="宋体"/>
              </w:rPr>
            </w:pPr>
            <w:r>
              <w:rPr>
                <w:rFonts w:hint="eastAsia" w:ascii="宋体" w:hAnsi="宋体" w:eastAsia="宋体" w:cs="宋体"/>
              </w:rPr>
              <w:t>/</w:t>
            </w:r>
          </w:p>
        </w:tc>
        <w:tc>
          <w:tcPr>
            <w:tcW w:w="1737" w:type="dxa"/>
            <w:vAlign w:val="center"/>
          </w:tcPr>
          <w:p w14:paraId="5D23DC7C">
            <w:pPr>
              <w:spacing w:line="276" w:lineRule="auto"/>
              <w:jc w:val="both"/>
              <w:rPr>
                <w:rFonts w:hint="eastAsia" w:ascii="宋体" w:hAnsi="宋体" w:eastAsia="宋体" w:cs="宋体"/>
              </w:rPr>
            </w:pPr>
            <w:r>
              <w:rPr>
                <w:rFonts w:hint="eastAsia" w:ascii="宋体" w:hAnsi="宋体" w:eastAsia="宋体" w:cs="宋体"/>
              </w:rPr>
              <w:t>4077500.00</w:t>
            </w:r>
          </w:p>
        </w:tc>
        <w:tc>
          <w:tcPr>
            <w:tcW w:w="1179" w:type="dxa"/>
            <w:vAlign w:val="center"/>
          </w:tcPr>
          <w:p w14:paraId="43CE60BB">
            <w:pPr>
              <w:tabs>
                <w:tab w:val="left" w:pos="720"/>
              </w:tabs>
              <w:spacing w:before="156" w:after="156"/>
              <w:jc w:val="center"/>
              <w:rPr>
                <w:rFonts w:hint="eastAsia" w:ascii="宋体" w:hAnsi="宋体" w:eastAsia="宋体" w:cs="宋体"/>
              </w:rPr>
            </w:pPr>
            <w:r>
              <w:rPr>
                <w:rFonts w:hint="eastAsia" w:ascii="宋体" w:hAnsi="宋体" w:eastAsia="宋体" w:cs="宋体"/>
              </w:rPr>
              <w:t>商务服务业</w:t>
            </w:r>
          </w:p>
        </w:tc>
      </w:tr>
      <w:tr w14:paraId="21CBA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8" w:type="dxa"/>
            <w:vAlign w:val="center"/>
          </w:tcPr>
          <w:p w14:paraId="43C4C393">
            <w:pPr>
              <w:spacing w:before="156" w:after="156"/>
              <w:jc w:val="center"/>
              <w:rPr>
                <w:rFonts w:hint="eastAsia" w:ascii="宋体" w:hAnsi="宋体" w:eastAsia="宋体" w:cs="宋体"/>
              </w:rPr>
            </w:pPr>
            <w:r>
              <w:rPr>
                <w:rFonts w:hint="eastAsia" w:ascii="宋体" w:hAnsi="宋体" w:eastAsia="宋体" w:cs="宋体"/>
              </w:rPr>
              <w:t>2</w:t>
            </w:r>
          </w:p>
        </w:tc>
        <w:tc>
          <w:tcPr>
            <w:tcW w:w="1814" w:type="dxa"/>
            <w:vAlign w:val="center"/>
          </w:tcPr>
          <w:p w14:paraId="6E8FC9D9">
            <w:pPr>
              <w:spacing w:before="156" w:after="156"/>
              <w:jc w:val="center"/>
              <w:rPr>
                <w:rFonts w:hint="eastAsia" w:ascii="宋体" w:hAnsi="宋体" w:eastAsia="宋体" w:cs="宋体"/>
              </w:rPr>
            </w:pPr>
            <w:r>
              <w:rPr>
                <w:rFonts w:hint="eastAsia" w:ascii="宋体" w:hAnsi="宋体" w:eastAsia="宋体" w:cs="宋体"/>
              </w:rPr>
              <w:t>PLAN-2026-440300000-103604-09556</w:t>
            </w:r>
          </w:p>
        </w:tc>
        <w:tc>
          <w:tcPr>
            <w:tcW w:w="1088" w:type="dxa"/>
            <w:vMerge w:val="continue"/>
            <w:vAlign w:val="center"/>
          </w:tcPr>
          <w:p w14:paraId="1D3F75CE">
            <w:pPr>
              <w:spacing w:before="156" w:after="156"/>
              <w:jc w:val="center"/>
              <w:rPr>
                <w:rFonts w:hint="eastAsia" w:ascii="宋体" w:hAnsi="宋体" w:eastAsia="宋体" w:cs="宋体"/>
              </w:rPr>
            </w:pPr>
          </w:p>
        </w:tc>
        <w:tc>
          <w:tcPr>
            <w:tcW w:w="737" w:type="dxa"/>
            <w:vMerge w:val="continue"/>
            <w:vAlign w:val="center"/>
          </w:tcPr>
          <w:p w14:paraId="26972FF0">
            <w:pPr>
              <w:jc w:val="center"/>
              <w:rPr>
                <w:rFonts w:hint="eastAsia" w:ascii="宋体" w:hAnsi="宋体" w:eastAsia="宋体" w:cs="宋体"/>
                <w:bCs/>
                <w:szCs w:val="21"/>
              </w:rPr>
            </w:pPr>
          </w:p>
        </w:tc>
        <w:tc>
          <w:tcPr>
            <w:tcW w:w="763" w:type="dxa"/>
            <w:vMerge w:val="continue"/>
            <w:vAlign w:val="center"/>
          </w:tcPr>
          <w:p w14:paraId="1116C456">
            <w:pPr>
              <w:jc w:val="center"/>
              <w:rPr>
                <w:rFonts w:hint="eastAsia" w:ascii="宋体" w:hAnsi="宋体" w:eastAsia="宋体" w:cs="宋体"/>
                <w:bCs/>
                <w:szCs w:val="21"/>
              </w:rPr>
            </w:pPr>
          </w:p>
        </w:tc>
        <w:tc>
          <w:tcPr>
            <w:tcW w:w="700" w:type="dxa"/>
            <w:vMerge w:val="continue"/>
            <w:vAlign w:val="center"/>
          </w:tcPr>
          <w:p w14:paraId="3176C8EC">
            <w:pPr>
              <w:spacing w:before="156" w:after="156"/>
              <w:jc w:val="center"/>
              <w:rPr>
                <w:rFonts w:hint="eastAsia" w:ascii="宋体" w:hAnsi="宋体" w:eastAsia="宋体" w:cs="宋体"/>
              </w:rPr>
            </w:pPr>
          </w:p>
        </w:tc>
        <w:tc>
          <w:tcPr>
            <w:tcW w:w="1737" w:type="dxa"/>
            <w:vAlign w:val="center"/>
          </w:tcPr>
          <w:p w14:paraId="3506C99F">
            <w:pPr>
              <w:spacing w:line="276" w:lineRule="auto"/>
              <w:jc w:val="both"/>
              <w:rPr>
                <w:rFonts w:hint="eastAsia" w:ascii="宋体" w:hAnsi="宋体" w:eastAsia="宋体" w:cs="宋体"/>
              </w:rPr>
            </w:pPr>
            <w:r>
              <w:rPr>
                <w:rFonts w:hint="eastAsia" w:ascii="宋体" w:hAnsi="宋体" w:eastAsia="宋体" w:cs="宋体"/>
              </w:rPr>
              <w:t>12232500.00</w:t>
            </w:r>
          </w:p>
          <w:p w14:paraId="6071A1F7">
            <w:pPr>
              <w:spacing w:line="276" w:lineRule="auto"/>
              <w:jc w:val="both"/>
              <w:rPr>
                <w:rFonts w:hint="eastAsia" w:ascii="宋体" w:hAnsi="宋体" w:eastAsia="宋体" w:cs="宋体"/>
                <w:b/>
                <w:bCs/>
                <w:color w:val="FF0000"/>
                <w:szCs w:val="21"/>
              </w:rPr>
            </w:pPr>
          </w:p>
        </w:tc>
        <w:tc>
          <w:tcPr>
            <w:tcW w:w="1179" w:type="dxa"/>
            <w:vAlign w:val="center"/>
          </w:tcPr>
          <w:p w14:paraId="025F6C55">
            <w:pPr>
              <w:tabs>
                <w:tab w:val="left" w:pos="720"/>
              </w:tabs>
              <w:spacing w:before="156" w:after="156"/>
              <w:jc w:val="center"/>
              <w:rPr>
                <w:rFonts w:hint="eastAsia" w:ascii="宋体" w:hAnsi="宋体" w:eastAsia="宋体" w:cs="宋体"/>
              </w:rPr>
            </w:pPr>
            <w:r>
              <w:rPr>
                <w:rFonts w:hint="eastAsia" w:ascii="宋体" w:hAnsi="宋体" w:eastAsia="宋体" w:cs="宋体"/>
              </w:rPr>
              <w:t>商务服务业</w:t>
            </w:r>
          </w:p>
        </w:tc>
      </w:tr>
    </w:tbl>
    <w:p w14:paraId="1CAE7B99">
      <w:pPr>
        <w:rPr>
          <w:rFonts w:hint="eastAsia" w:ascii="宋体" w:hAnsi="宋体" w:eastAsia="宋体" w:cs="宋体"/>
        </w:rPr>
      </w:pPr>
      <w:r>
        <w:rPr>
          <w:rFonts w:hint="eastAsia" w:ascii="宋体" w:hAnsi="宋体" w:eastAsia="宋体" w:cs="宋体"/>
          <w:szCs w:val="28"/>
        </w:rPr>
        <w:br w:type="page"/>
      </w:r>
    </w:p>
    <w:p w14:paraId="6CC86782">
      <w:pPr>
        <w:numPr>
          <w:ilvl w:val="0"/>
          <w:numId w:val="4"/>
        </w:numPr>
        <w:jc w:val="center"/>
        <w:outlineLvl w:val="2"/>
        <w:rPr>
          <w:rFonts w:hint="eastAsia" w:ascii="宋体" w:hAnsi="宋体" w:eastAsia="宋体" w:cs="宋体"/>
          <w:sz w:val="28"/>
          <w:szCs w:val="28"/>
        </w:rPr>
      </w:pPr>
      <w:r>
        <w:rPr>
          <w:rFonts w:hint="eastAsia" w:ascii="宋体" w:hAnsi="宋体" w:eastAsia="宋体" w:cs="宋体"/>
          <w:sz w:val="28"/>
          <w:szCs w:val="28"/>
        </w:rPr>
        <w:t>项目服务要求</w:t>
      </w:r>
    </w:p>
    <w:p w14:paraId="5F37D8A4">
      <w:pPr>
        <w:numPr>
          <w:ilvl w:val="0"/>
          <w:numId w:val="5"/>
        </w:numPr>
        <w:ind w:left="0"/>
        <w:rPr>
          <w:rFonts w:hint="eastAsia" w:ascii="宋体" w:hAnsi="宋体" w:eastAsia="宋体" w:cs="宋体"/>
          <w:b/>
          <w:bCs/>
        </w:rPr>
      </w:pPr>
      <w:r>
        <w:rPr>
          <w:rFonts w:hint="eastAsia" w:ascii="宋体" w:hAnsi="宋体" w:eastAsia="宋体" w:cs="宋体"/>
          <w:b/>
          <w:bCs/>
        </w:rPr>
        <w:t>建筑物及公共设施设备情况</w:t>
      </w:r>
    </w:p>
    <w:p w14:paraId="7C7EF380">
      <w:pPr>
        <w:numPr>
          <w:ilvl w:val="0"/>
          <w:numId w:val="6"/>
        </w:numPr>
        <w:rPr>
          <w:rFonts w:hint="eastAsia" w:ascii="宋体" w:hAnsi="宋体" w:eastAsia="宋体" w:cs="宋体"/>
        </w:rPr>
      </w:pPr>
      <w:r>
        <w:rPr>
          <w:rFonts w:hint="eastAsia" w:ascii="宋体" w:hAnsi="宋体" w:eastAsia="宋体" w:cs="宋体"/>
        </w:rPr>
        <w:t>主要项目概况</w:t>
      </w:r>
    </w:p>
    <w:p w14:paraId="2D50733B">
      <w:pPr>
        <w:ind w:firstLine="480" w:firstLineChars="200"/>
        <w:rPr>
          <w:rFonts w:hint="eastAsia" w:ascii="宋体" w:hAnsi="宋体" w:eastAsia="宋体" w:cs="宋体"/>
        </w:rPr>
      </w:pPr>
      <w:bookmarkStart w:id="34" w:name="_Toc337622142"/>
      <w:bookmarkStart w:id="35" w:name="_Toc342398527"/>
      <w:bookmarkStart w:id="36" w:name="_Toc344738543"/>
      <w:r>
        <w:rPr>
          <w:rFonts w:hint="eastAsia" w:ascii="宋体" w:hAnsi="宋体" w:eastAsia="宋体" w:cs="宋体"/>
        </w:rPr>
        <w:t>南方科技大学建筑物共104栋，建筑面积114.49万㎡，绿化养护面积156.89万㎡，项目形态涵盖：第三科研楼（5-10层）、医学院、行政办公楼、科研楼、教学楼、图书馆、学生宿舍（含本科、硕士、博士）、教师公寓、学生书院、餐厅、游泳馆、体育场馆、会议中心、公共设施等。</w:t>
      </w:r>
    </w:p>
    <w:p w14:paraId="0261707C">
      <w:pPr>
        <w:numPr>
          <w:ilvl w:val="0"/>
          <w:numId w:val="6"/>
        </w:numPr>
        <w:ind w:firstLine="480" w:firstLineChars="200"/>
        <w:rPr>
          <w:rFonts w:hint="eastAsia" w:ascii="宋体" w:hAnsi="宋体" w:eastAsia="宋体" w:cs="宋体"/>
        </w:rPr>
      </w:pPr>
      <w:r>
        <w:rPr>
          <w:rFonts w:hint="eastAsia" w:ascii="宋体" w:hAnsi="宋体" w:eastAsia="宋体" w:cs="宋体"/>
        </w:rPr>
        <w:t>服务基本内容招标范围</w:t>
      </w:r>
    </w:p>
    <w:p w14:paraId="6F24F48D">
      <w:pPr>
        <w:numPr>
          <w:ilvl w:val="255"/>
          <w:numId w:val="0"/>
        </w:numPr>
        <w:ind w:firstLine="480" w:firstLineChars="200"/>
        <w:rPr>
          <w:rFonts w:hint="eastAsia" w:ascii="宋体" w:hAnsi="宋体" w:eastAsia="宋体" w:cs="宋体"/>
        </w:rPr>
      </w:pPr>
      <w:r>
        <w:rPr>
          <w:rFonts w:hint="eastAsia" w:ascii="宋体" w:hAnsi="宋体" w:eastAsia="宋体" w:cs="宋体"/>
        </w:rPr>
        <w:t>包括南方科技大学校区所有建筑，具体以现场情况为准。</w:t>
      </w:r>
    </w:p>
    <w:bookmarkEnd w:id="34"/>
    <w:bookmarkEnd w:id="35"/>
    <w:bookmarkEnd w:id="36"/>
    <w:p w14:paraId="77C6A534">
      <w:pPr>
        <w:numPr>
          <w:ilvl w:val="0"/>
          <w:numId w:val="5"/>
        </w:numPr>
        <w:ind w:left="0" w:firstLine="480"/>
        <w:rPr>
          <w:rFonts w:hint="eastAsia" w:ascii="宋体" w:hAnsi="宋体" w:eastAsia="宋体" w:cs="宋体"/>
          <w:b/>
          <w:bCs/>
        </w:rPr>
      </w:pPr>
      <w:r>
        <w:rPr>
          <w:rFonts w:hint="eastAsia" w:ascii="宋体" w:hAnsi="宋体" w:eastAsia="宋体" w:cs="宋体"/>
          <w:b/>
          <w:bCs/>
        </w:rPr>
        <w:t>管理服务要求</w:t>
      </w:r>
    </w:p>
    <w:p w14:paraId="1ABCC6E3">
      <w:pPr>
        <w:rPr>
          <w:rFonts w:hint="eastAsia" w:ascii="宋体" w:hAnsi="宋体" w:eastAsia="宋体" w:cs="宋体"/>
          <w:b/>
          <w:bCs/>
          <w:szCs w:val="21"/>
        </w:rPr>
      </w:pPr>
      <w:r>
        <w:rPr>
          <w:rFonts w:hint="eastAsia" w:ascii="宋体" w:hAnsi="宋体" w:eastAsia="宋体" w:cs="宋体"/>
          <w:b/>
          <w:bCs/>
          <w:szCs w:val="21"/>
        </w:rPr>
        <w:t>1．会务服务管理</w:t>
      </w:r>
    </w:p>
    <w:p w14:paraId="5726A3D7">
      <w:pPr>
        <w:rPr>
          <w:rFonts w:hint="eastAsia" w:ascii="宋体" w:hAnsi="宋体" w:eastAsia="宋体" w:cs="宋体"/>
          <w:szCs w:val="21"/>
        </w:rPr>
      </w:pPr>
      <w:r>
        <w:rPr>
          <w:rFonts w:hint="eastAsia" w:ascii="宋体" w:hAnsi="宋体" w:eastAsia="宋体" w:cs="宋体"/>
          <w:szCs w:val="21"/>
        </w:rPr>
        <w:t>1.1前台会务包括会务服务、前台接待服务、工勤协管等服务。根据学校的安排，为会议室和报告厅提供会议接待服务。会（接待）前准备、会（接待）中服务、会（接待）后整理阶段等一系列工作。</w:t>
      </w:r>
    </w:p>
    <w:p w14:paraId="006863D9">
      <w:pPr>
        <w:rPr>
          <w:rFonts w:hint="eastAsia" w:ascii="宋体" w:hAnsi="宋体" w:eastAsia="宋体" w:cs="宋体"/>
          <w:szCs w:val="21"/>
        </w:rPr>
      </w:pPr>
      <w:r>
        <w:rPr>
          <w:rFonts w:hint="eastAsia" w:ascii="宋体" w:hAnsi="宋体" w:eastAsia="宋体" w:cs="宋体"/>
          <w:szCs w:val="21"/>
        </w:rPr>
        <w:t>1.2中标单位需针对会议性质进行分类制定有针对性方案（国际会议、校级会议、部门级会议、一般会议），由不同级别管理者负责跟进，并安排相应的服务。如国际会议由项目负责人跟进、部门经理具体实施、配备客服礼仪、设备技术人员现场保障。</w:t>
      </w:r>
    </w:p>
    <w:p w14:paraId="3FCB2F29">
      <w:pPr>
        <w:rPr>
          <w:rFonts w:hint="eastAsia" w:ascii="宋体" w:hAnsi="宋体" w:eastAsia="宋体" w:cs="宋体"/>
          <w:szCs w:val="21"/>
        </w:rPr>
      </w:pPr>
      <w:r>
        <w:rPr>
          <w:rFonts w:hint="eastAsia" w:ascii="宋体" w:hAnsi="宋体" w:eastAsia="宋体" w:cs="宋体"/>
          <w:szCs w:val="21"/>
        </w:rPr>
        <w:t>1.3中标单位负责会议和接待活动的安排、登记和服务，并落实采购单位要求的相关会议安排，及时向有关管理部门通报情况。</w:t>
      </w:r>
    </w:p>
    <w:p w14:paraId="70DCFBA1">
      <w:pPr>
        <w:rPr>
          <w:rFonts w:hint="eastAsia" w:ascii="宋体" w:hAnsi="宋体" w:eastAsia="宋体" w:cs="宋体"/>
          <w:szCs w:val="21"/>
        </w:rPr>
      </w:pPr>
      <w:r>
        <w:rPr>
          <w:rFonts w:hint="eastAsia" w:ascii="宋体" w:hAnsi="宋体" w:eastAsia="宋体" w:cs="宋体"/>
          <w:szCs w:val="21"/>
        </w:rPr>
        <w:t>1.4中标单位负责会议和接待姓名牌及欢迎指示牌的制作及摆放，其中会议签到台、姓名牌架补充列入中标费用中，采购单位</w:t>
      </w:r>
      <w:r>
        <w:rPr>
          <w:rFonts w:hint="eastAsia" w:ascii="宋体" w:hAnsi="宋体" w:eastAsia="宋体" w:cs="宋体"/>
          <w:szCs w:val="21"/>
          <w:lang w:bidi="ar"/>
        </w:rPr>
        <w:t>不再另行支付费用，中标人基于会议服务设计、制作的物品的所有权和全部知识产权归采购单位所有，中标人应保证不存在权利瑕疵，不存在侵犯其他第三方合法权益的行为，不存在损害采购单位品牌和商誉的行为，否则由中标人自行承担全部责任和费用，并赔偿采购单位的损失。</w:t>
      </w:r>
    </w:p>
    <w:p w14:paraId="68AE3F81">
      <w:pPr>
        <w:rPr>
          <w:rFonts w:hint="eastAsia" w:ascii="宋体" w:hAnsi="宋体" w:eastAsia="宋体" w:cs="宋体"/>
          <w:szCs w:val="21"/>
        </w:rPr>
      </w:pPr>
      <w:r>
        <w:rPr>
          <w:rFonts w:hint="eastAsia" w:ascii="宋体" w:hAnsi="宋体" w:eastAsia="宋体" w:cs="宋体"/>
          <w:szCs w:val="21"/>
        </w:rPr>
        <w:t>1.5中标单位负责会场布置、桌椅摆放、茶水、咖啡供应、准时开关门、开启和关闭多媒体设备、空调、灯光等会务服务相关工作。</w:t>
      </w:r>
    </w:p>
    <w:p w14:paraId="7FC726FA">
      <w:pPr>
        <w:rPr>
          <w:rFonts w:hint="eastAsia" w:ascii="宋体" w:hAnsi="宋体" w:eastAsia="宋体" w:cs="宋体"/>
          <w:szCs w:val="21"/>
        </w:rPr>
      </w:pPr>
      <w:r>
        <w:rPr>
          <w:rFonts w:hint="eastAsia" w:ascii="宋体" w:hAnsi="宋体" w:eastAsia="宋体" w:cs="宋体"/>
          <w:szCs w:val="21"/>
        </w:rPr>
        <w:t>1.6中标单位负责协助采购方完成大型活动或会议的布置、会务、保洁及应急保障，大型活动中标单位外请支援人员费用列入招标费用中，采购方不再另行支付费用。</w:t>
      </w:r>
    </w:p>
    <w:p w14:paraId="162F5356">
      <w:pPr>
        <w:rPr>
          <w:rFonts w:hint="eastAsia" w:ascii="宋体" w:hAnsi="宋体" w:eastAsia="宋体" w:cs="宋体"/>
          <w:szCs w:val="21"/>
        </w:rPr>
      </w:pPr>
      <w:r>
        <w:rPr>
          <w:rFonts w:hint="eastAsia" w:ascii="宋体" w:hAnsi="宋体" w:eastAsia="宋体" w:cs="宋体"/>
          <w:szCs w:val="21"/>
        </w:rPr>
        <w:t>1.7中标单位负责会议或接待期间工作人员进行巡查，并根据需要提供茶水、咖啡、纸巾等物资的补充和摆放服务，及时处理突发事件，确保会议顺利进行。提供茶水间工器具并清理和维护，</w:t>
      </w:r>
      <w:r>
        <w:rPr>
          <w:rFonts w:hint="eastAsia" w:ascii="宋体" w:hAnsi="宋体" w:eastAsia="宋体" w:cs="宋体"/>
          <w:szCs w:val="21"/>
          <w:lang w:bidi="ar"/>
        </w:rPr>
        <w:t>会议中心所用会务耗材（包括但不限于一次性纸杯、纸巾、笔、茶叶、咖啡等）费用列入招标费用中，采购单位不再另行支付费用</w:t>
      </w:r>
      <w:r>
        <w:rPr>
          <w:rFonts w:hint="eastAsia" w:ascii="宋体" w:hAnsi="宋体" w:eastAsia="宋体" w:cs="宋体"/>
          <w:szCs w:val="21"/>
        </w:rPr>
        <w:t>。</w:t>
      </w:r>
    </w:p>
    <w:p w14:paraId="309CD04D">
      <w:pPr>
        <w:rPr>
          <w:rFonts w:hint="eastAsia" w:ascii="宋体" w:hAnsi="宋体" w:eastAsia="宋体" w:cs="宋体"/>
          <w:szCs w:val="21"/>
        </w:rPr>
      </w:pPr>
      <w:r>
        <w:rPr>
          <w:rFonts w:hint="eastAsia" w:ascii="宋体" w:hAnsi="宋体" w:eastAsia="宋体" w:cs="宋体"/>
          <w:szCs w:val="21"/>
        </w:rPr>
        <w:t>1.8中标单位对会议室、报告厅安排专人管理，会前根据实际情况开启灯光、空调、投影等设备，会议或接待结束后，及时清理、保洁和整理现场环境，恢复桌椅摆放，关闭设备仪器，发现异常情况及时处理或报告。</w:t>
      </w:r>
    </w:p>
    <w:p w14:paraId="0AEFED72">
      <w:pPr>
        <w:rPr>
          <w:rFonts w:hint="eastAsia" w:ascii="宋体" w:hAnsi="宋体" w:eastAsia="宋体" w:cs="宋体"/>
          <w:szCs w:val="21"/>
        </w:rPr>
      </w:pPr>
      <w:r>
        <w:rPr>
          <w:rFonts w:hint="eastAsia" w:ascii="宋体" w:hAnsi="宋体" w:eastAsia="宋体" w:cs="宋体"/>
          <w:szCs w:val="21"/>
        </w:rPr>
        <w:t>1.9中标单位负责学校会议中心的会议保障服务。根据采购方服务需求，成立专业的会议中心服务保障团队，包含会务、保洁、维修、弱电等人员，全天候保障会议中心各项会议服务。</w:t>
      </w:r>
    </w:p>
    <w:p w14:paraId="3174EF3A">
      <w:pPr>
        <w:rPr>
          <w:rFonts w:hint="eastAsia" w:ascii="宋体" w:hAnsi="宋体" w:eastAsia="宋体" w:cs="宋体"/>
          <w:szCs w:val="21"/>
        </w:rPr>
      </w:pPr>
      <w:r>
        <w:rPr>
          <w:rFonts w:hint="eastAsia" w:ascii="宋体" w:hAnsi="宋体" w:eastAsia="宋体" w:cs="宋体"/>
          <w:szCs w:val="21"/>
        </w:rPr>
        <w:t>1.10会务人员具备基本的英语口语能力，满足日常会务服务要求。</w:t>
      </w:r>
    </w:p>
    <w:p w14:paraId="6E0A627A">
      <w:pPr>
        <w:rPr>
          <w:rFonts w:hint="eastAsia" w:ascii="宋体" w:hAnsi="宋体" w:eastAsia="宋体" w:cs="宋体"/>
          <w:szCs w:val="21"/>
        </w:rPr>
      </w:pPr>
      <w:r>
        <w:rPr>
          <w:rFonts w:hint="eastAsia" w:ascii="宋体" w:hAnsi="宋体" w:eastAsia="宋体" w:cs="宋体"/>
          <w:szCs w:val="21"/>
        </w:rPr>
        <w:t>1.11中标人</w:t>
      </w:r>
      <w:r>
        <w:rPr>
          <w:rFonts w:hint="eastAsia" w:ascii="宋体" w:hAnsi="宋体" w:eastAsia="宋体" w:cs="宋体"/>
          <w:szCs w:val="21"/>
          <w:lang w:bidi="ar"/>
        </w:rPr>
        <w:t>及中标人会务人员对涉及的会议负有保密义务，未经采购单位同意，中标人及中标人会务人员不得向第三人泄露，因此造成采购单位或第三人损失的，由中标人承担全部责任。</w:t>
      </w:r>
    </w:p>
    <w:p w14:paraId="1F70DD6E">
      <w:pPr>
        <w:rPr>
          <w:rFonts w:hint="eastAsia" w:ascii="宋体" w:hAnsi="宋体" w:eastAsia="宋体" w:cs="宋体"/>
          <w:b/>
          <w:bCs/>
          <w:szCs w:val="21"/>
        </w:rPr>
      </w:pPr>
      <w:r>
        <w:rPr>
          <w:rFonts w:hint="eastAsia" w:ascii="宋体" w:hAnsi="宋体" w:eastAsia="宋体" w:cs="宋体"/>
          <w:b/>
          <w:bCs/>
          <w:szCs w:val="21"/>
        </w:rPr>
        <w:t>2. 邮件收发服务管理</w:t>
      </w:r>
    </w:p>
    <w:p w14:paraId="47EB8938">
      <w:pPr>
        <w:rPr>
          <w:rFonts w:hint="eastAsia" w:ascii="宋体" w:hAnsi="宋体" w:eastAsia="宋体" w:cs="宋体"/>
          <w:szCs w:val="21"/>
        </w:rPr>
      </w:pPr>
      <w:r>
        <w:rPr>
          <w:rFonts w:hint="eastAsia" w:ascii="宋体" w:hAnsi="宋体" w:eastAsia="宋体" w:cs="宋体"/>
          <w:szCs w:val="21"/>
        </w:rPr>
        <w:t>2.1中标单位负责按照学校各院系、办公室提供的报刊、杂志订阅信息做好分发、派送工作，并设置专岗将报刊、杂志及时送达订阅信息中的指定地址。</w:t>
      </w:r>
    </w:p>
    <w:p w14:paraId="31FC1564">
      <w:pPr>
        <w:rPr>
          <w:rFonts w:hint="eastAsia" w:ascii="宋体" w:hAnsi="宋体" w:eastAsia="宋体" w:cs="宋体"/>
          <w:szCs w:val="21"/>
        </w:rPr>
      </w:pPr>
      <w:r>
        <w:rPr>
          <w:rFonts w:hint="eastAsia" w:ascii="宋体" w:hAnsi="宋体" w:eastAsia="宋体" w:cs="宋体"/>
          <w:szCs w:val="21"/>
        </w:rPr>
        <w:t>2.2中标单位负责按照学校通信录做好校内普通信件、挂号信件的登记、分拣、派送工作，确保所有校内信件不丢失。</w:t>
      </w:r>
    </w:p>
    <w:p w14:paraId="2ECD7452">
      <w:pPr>
        <w:rPr>
          <w:rFonts w:hint="eastAsia" w:ascii="宋体" w:hAnsi="宋体" w:eastAsia="宋体" w:cs="宋体"/>
          <w:szCs w:val="21"/>
        </w:rPr>
      </w:pPr>
      <w:r>
        <w:rPr>
          <w:rFonts w:hint="eastAsia" w:ascii="宋体" w:hAnsi="宋体" w:eastAsia="宋体" w:cs="宋体"/>
          <w:szCs w:val="21"/>
        </w:rPr>
        <w:t>2.3中标单位负责校内快递中转的管理服务，与各快递公司保持高效对接。准确将快递分拣、派送至各区域。</w:t>
      </w:r>
    </w:p>
    <w:p w14:paraId="1AF44336">
      <w:pPr>
        <w:rPr>
          <w:rFonts w:hint="eastAsia" w:ascii="宋体" w:hAnsi="宋体" w:eastAsia="宋体" w:cs="宋体"/>
          <w:szCs w:val="21"/>
        </w:rPr>
      </w:pPr>
      <w:r>
        <w:rPr>
          <w:rFonts w:hint="eastAsia" w:ascii="宋体" w:hAnsi="宋体" w:eastAsia="宋体" w:cs="宋体"/>
          <w:szCs w:val="21"/>
        </w:rPr>
        <w:t>2.4中标单位根据学校设置的校内快递服务站，配备专岗。</w:t>
      </w:r>
    </w:p>
    <w:p w14:paraId="27C324CB">
      <w:pPr>
        <w:rPr>
          <w:rFonts w:hint="eastAsia" w:ascii="宋体" w:hAnsi="宋体" w:eastAsia="宋体" w:cs="宋体"/>
          <w:szCs w:val="21"/>
        </w:rPr>
      </w:pPr>
      <w:r>
        <w:rPr>
          <w:rFonts w:hint="eastAsia" w:ascii="宋体" w:hAnsi="宋体" w:eastAsia="宋体" w:cs="宋体"/>
          <w:szCs w:val="21"/>
        </w:rPr>
        <w:t>2.5中标单位负责做好校内快递的收发、记录工作，为采购方提供便捷的快递领取服务。</w:t>
      </w:r>
    </w:p>
    <w:p w14:paraId="04673FBD">
      <w:pPr>
        <w:rPr>
          <w:rFonts w:hint="eastAsia" w:ascii="宋体" w:hAnsi="宋体" w:eastAsia="宋体" w:cs="宋体"/>
          <w:szCs w:val="21"/>
        </w:rPr>
      </w:pPr>
      <w:r>
        <w:rPr>
          <w:rFonts w:hint="eastAsia" w:ascii="宋体" w:hAnsi="宋体" w:eastAsia="宋体" w:cs="宋体"/>
          <w:szCs w:val="21"/>
        </w:rPr>
        <w:t>2.6中标单位负责配合采购方做好快递管理服务，并完成采购方安排的其他临时性快递服务工作。</w:t>
      </w:r>
    </w:p>
    <w:p w14:paraId="0804EDC9">
      <w:pPr>
        <w:rPr>
          <w:rFonts w:hint="eastAsia" w:ascii="宋体" w:hAnsi="宋体" w:eastAsia="宋体" w:cs="宋体"/>
          <w:szCs w:val="21"/>
        </w:rPr>
      </w:pPr>
      <w:r>
        <w:rPr>
          <w:rFonts w:hint="eastAsia" w:ascii="宋体" w:hAnsi="宋体" w:eastAsia="宋体" w:cs="宋体"/>
          <w:szCs w:val="21"/>
        </w:rPr>
        <w:t>2.7中标单位负责配备邮件收发会务人员具备基本的英语口语能力，满足日常服务要求。</w:t>
      </w:r>
    </w:p>
    <w:p w14:paraId="4022ED5E">
      <w:pPr>
        <w:rPr>
          <w:rFonts w:hint="eastAsia" w:ascii="宋体" w:hAnsi="宋体" w:eastAsia="宋体" w:cs="宋体"/>
          <w:b/>
          <w:bCs/>
          <w:szCs w:val="21"/>
        </w:rPr>
      </w:pPr>
      <w:r>
        <w:rPr>
          <w:rFonts w:hint="eastAsia" w:ascii="宋体" w:hAnsi="宋体" w:eastAsia="宋体" w:cs="宋体"/>
          <w:b/>
          <w:bCs/>
          <w:szCs w:val="21"/>
        </w:rPr>
        <w:t>3.教务服务管理</w:t>
      </w:r>
    </w:p>
    <w:p w14:paraId="16F91594">
      <w:pPr>
        <w:rPr>
          <w:rFonts w:hint="eastAsia" w:ascii="宋体" w:hAnsi="宋体" w:eastAsia="宋体" w:cs="宋体"/>
          <w:szCs w:val="21"/>
        </w:rPr>
      </w:pPr>
      <w:r>
        <w:rPr>
          <w:rFonts w:hint="eastAsia" w:ascii="宋体" w:hAnsi="宋体" w:eastAsia="宋体" w:cs="宋体"/>
          <w:szCs w:val="21"/>
        </w:rPr>
        <w:t>3.1中标单位负责为教室、其他教务功能用房提供教务服务。设置至少7个教室管理员岗位，分为第一、智华教学楼2个值班室。根据教务部门课表安排、调课通知、考试安排等教室使用计划准时开关教室门，并开启和关闭教室多媒体教学设备，为师生提供方便、舒适的上课环境，做好教学服务工作。关门前认真检查教室电气设备及总电源的关闭情况，防止浪费和发生事故。中标单位应具备处理应急突发事件的能力。</w:t>
      </w:r>
    </w:p>
    <w:p w14:paraId="6CBD8DDA">
      <w:pPr>
        <w:rPr>
          <w:rFonts w:hint="eastAsia" w:ascii="宋体" w:hAnsi="宋体" w:eastAsia="宋体" w:cs="宋体"/>
          <w:szCs w:val="21"/>
        </w:rPr>
      </w:pPr>
      <w:r>
        <w:rPr>
          <w:rFonts w:hint="eastAsia" w:ascii="宋体" w:hAnsi="宋体" w:eastAsia="宋体" w:cs="宋体"/>
          <w:szCs w:val="21"/>
        </w:rPr>
        <w:t>3.2中标单位负责为在教室召开的学校级别的（或以上）大型临时会议提供会务服务。主要包括会场布置、桌椅摆放、茶水供应、准时开关门、开启和关闭多媒体设备、空调、灯光等会务服务相关工作。</w:t>
      </w:r>
    </w:p>
    <w:p w14:paraId="3EF7E226">
      <w:pPr>
        <w:rPr>
          <w:rFonts w:hint="eastAsia" w:ascii="宋体" w:hAnsi="宋体" w:eastAsia="宋体" w:cs="宋体"/>
          <w:szCs w:val="21"/>
        </w:rPr>
      </w:pPr>
      <w:r>
        <w:rPr>
          <w:rFonts w:hint="eastAsia" w:ascii="宋体" w:hAnsi="宋体" w:eastAsia="宋体" w:cs="宋体"/>
          <w:szCs w:val="21"/>
        </w:rPr>
        <w:t>3.3中标单位负责每天上午、下午分别检查教室课桌椅并保证整齐摆放。及时检查、提供教室内的白板笔、白板擦等教学耗材，确保教学正常进行。</w:t>
      </w:r>
    </w:p>
    <w:p w14:paraId="46ABB2AE">
      <w:pPr>
        <w:rPr>
          <w:rFonts w:hint="eastAsia" w:ascii="宋体" w:hAnsi="宋体" w:eastAsia="宋体" w:cs="宋体"/>
          <w:szCs w:val="21"/>
        </w:rPr>
      </w:pPr>
      <w:r>
        <w:rPr>
          <w:rFonts w:hint="eastAsia" w:ascii="宋体" w:hAnsi="宋体" w:eastAsia="宋体" w:cs="宋体"/>
          <w:szCs w:val="21"/>
        </w:rPr>
        <w:t>3.4中标单位负责设立教室管理值班室，明确教室管理值班员责任，及时接收、处理师生的服务需求。值班室不得作为员工休息房，晚上10:30以后方可关闭。</w:t>
      </w:r>
    </w:p>
    <w:p w14:paraId="43F2A61C">
      <w:pPr>
        <w:rPr>
          <w:rFonts w:hint="eastAsia" w:ascii="宋体" w:hAnsi="宋体" w:eastAsia="宋体" w:cs="宋体"/>
          <w:szCs w:val="21"/>
        </w:rPr>
      </w:pPr>
      <w:r>
        <w:rPr>
          <w:rFonts w:hint="eastAsia" w:ascii="宋体" w:hAnsi="宋体" w:eastAsia="宋体" w:cs="宋体"/>
          <w:szCs w:val="21"/>
        </w:rPr>
        <w:t>3.5中标单位负责协助信息中心定期对电铃时间进行校正，保证电铃准时运行，并能根据各类考试进行调整，出现故障及时报告。</w:t>
      </w:r>
    </w:p>
    <w:p w14:paraId="4EDB6566">
      <w:pPr>
        <w:rPr>
          <w:rFonts w:hint="eastAsia" w:ascii="宋体" w:hAnsi="宋体" w:eastAsia="宋体" w:cs="宋体"/>
          <w:szCs w:val="21"/>
        </w:rPr>
      </w:pPr>
      <w:r>
        <w:rPr>
          <w:rFonts w:hint="eastAsia" w:ascii="宋体" w:hAnsi="宋体" w:eastAsia="宋体" w:cs="宋体"/>
          <w:szCs w:val="21"/>
        </w:rPr>
        <w:t>3.6中标单位负责教学楼，教室、休息室及功能用房公共设施与设备的日常维护、零星维修及管理。督促学生下课后将个人物品带离教室，发现学生遗失物品及时组织失物招领，对于贵重物品上报教务部门。</w:t>
      </w:r>
    </w:p>
    <w:p w14:paraId="51CDE31A">
      <w:pPr>
        <w:rPr>
          <w:rFonts w:hint="eastAsia" w:ascii="宋体" w:hAnsi="宋体" w:eastAsia="宋体" w:cs="宋体"/>
          <w:szCs w:val="21"/>
        </w:rPr>
      </w:pPr>
      <w:r>
        <w:rPr>
          <w:rFonts w:hint="eastAsia" w:ascii="宋体" w:hAnsi="宋体" w:eastAsia="宋体" w:cs="宋体"/>
          <w:szCs w:val="21"/>
        </w:rPr>
        <w:t>3.7中标单位负责做好教学楼房间的门窗、屋檐、天花板、公告栏、标识牌、窗帘、各类灯光、空调黑板日常巡查工作，如有问题及时报修。</w:t>
      </w:r>
    </w:p>
    <w:p w14:paraId="628E4F9C">
      <w:pPr>
        <w:rPr>
          <w:rFonts w:hint="eastAsia" w:ascii="宋体" w:hAnsi="宋体" w:eastAsia="宋体" w:cs="宋体"/>
          <w:szCs w:val="21"/>
        </w:rPr>
      </w:pPr>
      <w:r>
        <w:rPr>
          <w:rFonts w:hint="eastAsia" w:ascii="宋体" w:hAnsi="宋体" w:eastAsia="宋体" w:cs="宋体"/>
          <w:szCs w:val="21"/>
        </w:rPr>
        <w:t>3.8中标单位负责教室多媒体电教设备、课桌椅故障的登记报修，并负责与相关维护单位进行联络跟进，及时掌握维修进度。为每年寒暑假集中组织人员进行教室本体、设施设备及座椅进行维护维修提供准确数据。</w:t>
      </w:r>
    </w:p>
    <w:p w14:paraId="0890F47C">
      <w:pPr>
        <w:rPr>
          <w:rFonts w:hint="eastAsia" w:ascii="宋体" w:hAnsi="宋体" w:eastAsia="宋体" w:cs="宋体"/>
          <w:szCs w:val="21"/>
        </w:rPr>
      </w:pPr>
      <w:r>
        <w:rPr>
          <w:rFonts w:hint="eastAsia" w:ascii="宋体" w:hAnsi="宋体" w:eastAsia="宋体" w:cs="宋体"/>
          <w:szCs w:val="21"/>
        </w:rPr>
        <w:t>3.9中标单位教室管理员应协助教学工作部开展教学楼内所有资产、设备的保全工作，不得出现丢失情况。教学楼桌椅的借用需在教学工作部允许的情况下登记借出并及时跟进归还情况。</w:t>
      </w:r>
    </w:p>
    <w:p w14:paraId="3BFFE03C">
      <w:pPr>
        <w:rPr>
          <w:rFonts w:hint="eastAsia" w:ascii="宋体" w:hAnsi="宋体" w:eastAsia="宋体" w:cs="宋体"/>
          <w:szCs w:val="21"/>
        </w:rPr>
      </w:pPr>
      <w:r>
        <w:rPr>
          <w:rFonts w:hint="eastAsia" w:ascii="宋体" w:hAnsi="宋体" w:eastAsia="宋体" w:cs="宋体"/>
          <w:szCs w:val="21"/>
        </w:rPr>
        <w:t>3.10中标单位教室管理员每周根据需要向教务部门领取教学耗材（白板笔、白板擦、电池、粉笔等），负责对教学用的话筒（含小蜜蜂）进行保管和领取登记。</w:t>
      </w:r>
    </w:p>
    <w:p w14:paraId="624A378F">
      <w:pPr>
        <w:rPr>
          <w:rFonts w:hint="eastAsia" w:ascii="宋体" w:hAnsi="宋体" w:eastAsia="宋体" w:cs="宋体"/>
          <w:szCs w:val="21"/>
        </w:rPr>
      </w:pPr>
      <w:r>
        <w:rPr>
          <w:rFonts w:hint="eastAsia" w:ascii="宋体" w:hAnsi="宋体" w:eastAsia="宋体" w:cs="宋体"/>
          <w:szCs w:val="21"/>
        </w:rPr>
        <w:t>3.11中标单位根据学校要求做好有关教务管理的其他服务工作。</w:t>
      </w:r>
    </w:p>
    <w:p w14:paraId="54425A04">
      <w:pPr>
        <w:rPr>
          <w:rFonts w:hint="eastAsia" w:ascii="宋体" w:hAnsi="宋体" w:eastAsia="宋体" w:cs="宋体"/>
          <w:szCs w:val="21"/>
        </w:rPr>
      </w:pPr>
      <w:r>
        <w:rPr>
          <w:rFonts w:hint="eastAsia" w:ascii="宋体" w:hAnsi="宋体" w:eastAsia="宋体" w:cs="宋体"/>
          <w:szCs w:val="21"/>
        </w:rPr>
        <w:t>3.12中标单位教务人员具备基本的英语口语能力，满足日常服务要求。</w:t>
      </w:r>
    </w:p>
    <w:p w14:paraId="04F11EEE">
      <w:pPr>
        <w:rPr>
          <w:rFonts w:hint="default" w:ascii="宋体" w:hAnsi="宋体" w:eastAsia="宋体" w:cs="宋体"/>
          <w:szCs w:val="21"/>
          <w:lang w:val="en-US" w:eastAsia="zh-CN"/>
        </w:rPr>
      </w:pPr>
      <w:r>
        <w:rPr>
          <w:rFonts w:hint="eastAsia" w:ascii="宋体" w:hAnsi="宋体" w:eastAsia="宋体" w:cs="宋体"/>
          <w:szCs w:val="21"/>
          <w:lang w:val="en-US" w:eastAsia="zh-CN"/>
        </w:rPr>
        <w:t>3.13配合</w:t>
      </w:r>
      <w:r>
        <w:rPr>
          <w:rFonts w:hint="eastAsia" w:ascii="宋体" w:hAnsi="宋体" w:eastAsia="宋体" w:cs="宋体"/>
          <w:szCs w:val="21"/>
        </w:rPr>
        <w:t>学校</w:t>
      </w:r>
      <w:r>
        <w:rPr>
          <w:rFonts w:hint="eastAsia" w:ascii="宋体" w:hAnsi="宋体" w:eastAsia="宋体" w:cs="宋体"/>
          <w:szCs w:val="21"/>
          <w:lang w:val="en-US" w:eastAsia="zh-CN"/>
        </w:rPr>
        <w:t>开展教务相关保障工作，严格恪守保密要求，做好教务涉密资料、办公场所保密安全管理。</w:t>
      </w:r>
    </w:p>
    <w:p w14:paraId="108428F8">
      <w:pPr>
        <w:rPr>
          <w:rFonts w:hint="eastAsia" w:ascii="宋体" w:hAnsi="宋体" w:eastAsia="宋体" w:cs="宋体"/>
          <w:b/>
          <w:bCs/>
          <w:szCs w:val="21"/>
        </w:rPr>
      </w:pPr>
      <w:r>
        <w:rPr>
          <w:rFonts w:hint="eastAsia" w:ascii="宋体" w:hAnsi="宋体" w:eastAsia="宋体" w:cs="宋体"/>
          <w:b/>
          <w:bCs/>
          <w:szCs w:val="21"/>
        </w:rPr>
        <w:t>4.场馆及健身运动场所服务管理</w:t>
      </w:r>
    </w:p>
    <w:p w14:paraId="39245995">
      <w:pPr>
        <w:rPr>
          <w:rFonts w:hint="eastAsia" w:ascii="宋体" w:hAnsi="宋体" w:eastAsia="宋体" w:cs="宋体"/>
          <w:szCs w:val="21"/>
        </w:rPr>
      </w:pPr>
      <w:r>
        <w:rPr>
          <w:rFonts w:hint="eastAsia" w:ascii="宋体" w:hAnsi="宋体" w:eastAsia="宋体" w:cs="宋体"/>
          <w:szCs w:val="21"/>
        </w:rPr>
        <w:t>4.1中标单位负责游泳馆、风雨操场、室内体育馆、体育场、露天体育场、综合训练馆及健身运动场所人员进出管理、维护维修、保洁工作，专用设备器材维修保养及耗材不在招标范围（如体育器材，篮球架、跑道维护保养及篮球网、足球网体育运动耗材等）。游泳馆的水质处理工作及费用由中标单位负责承担，水质必须达到国家标准，符合采购方要求。</w:t>
      </w:r>
    </w:p>
    <w:p w14:paraId="428D7867">
      <w:pPr>
        <w:rPr>
          <w:rFonts w:hint="eastAsia" w:ascii="宋体" w:hAnsi="宋体" w:eastAsia="宋体" w:cs="宋体"/>
          <w:szCs w:val="21"/>
        </w:rPr>
      </w:pPr>
      <w:r>
        <w:rPr>
          <w:rFonts w:hint="eastAsia" w:ascii="宋体" w:hAnsi="宋体" w:eastAsia="宋体" w:cs="宋体"/>
          <w:szCs w:val="21"/>
        </w:rPr>
        <w:t>4.2中标单位负责游泳馆运营期间（每年4月--11月）正常运作，含设备维护保养、场馆保洁、水质处理（游泳池原水和补充水水质必须符合GB5749的要求）、救生服务（水质处理、投药、检测、游泳馆防滑垫等费用均列入投标报价中），不含专项比赛的救生保障。</w:t>
      </w:r>
      <w:r>
        <w:rPr>
          <w:rFonts w:hint="eastAsia" w:ascii="宋体" w:hAnsi="宋体" w:eastAsia="宋体" w:cs="宋体"/>
          <w:iCs/>
          <w:szCs w:val="21"/>
        </w:rPr>
        <w:t>需</w:t>
      </w:r>
      <w:r>
        <w:rPr>
          <w:rFonts w:hint="eastAsia" w:ascii="宋体" w:hAnsi="宋体" w:eastAsia="宋体" w:cs="宋体"/>
          <w:szCs w:val="21"/>
          <w:lang w:bidi="ar"/>
        </w:rPr>
        <w:t>单独为采购方游泳池购买每次事故保额不低于人民币 200万元的公众责任险。</w:t>
      </w:r>
    </w:p>
    <w:p w14:paraId="4850E800">
      <w:pPr>
        <w:rPr>
          <w:rFonts w:hint="eastAsia" w:ascii="宋体" w:hAnsi="宋体" w:eastAsia="宋体" w:cs="宋体"/>
          <w:szCs w:val="21"/>
        </w:rPr>
      </w:pPr>
      <w:r>
        <w:rPr>
          <w:rFonts w:hint="eastAsia" w:ascii="宋体" w:hAnsi="宋体" w:eastAsia="宋体" w:cs="宋体"/>
          <w:szCs w:val="21"/>
        </w:rPr>
        <w:t>4.3中标单位负责风雨操场、室内体育馆、体育场及其他露天体育场等场地场馆均需安排人员值班管理，按照采购方要求开启、关闭灯光、空调等设备，中标单位须制定相应节能管理措施，不得出现长明灯、无人状态开启空调。</w:t>
      </w:r>
    </w:p>
    <w:p w14:paraId="62E12702">
      <w:pPr>
        <w:rPr>
          <w:rFonts w:hint="eastAsia" w:ascii="宋体" w:hAnsi="宋体" w:eastAsia="宋体" w:cs="宋体"/>
          <w:szCs w:val="21"/>
        </w:rPr>
      </w:pPr>
      <w:r>
        <w:rPr>
          <w:rFonts w:hint="eastAsia" w:ascii="宋体" w:hAnsi="宋体" w:eastAsia="宋体" w:cs="宋体"/>
          <w:szCs w:val="21"/>
        </w:rPr>
        <w:t>4.4中标单位负责按照学校的课表安排、调课通知、考试安排等使用计划准时开闭体育场馆。</w:t>
      </w:r>
    </w:p>
    <w:p w14:paraId="72A25DDA">
      <w:pPr>
        <w:rPr>
          <w:rFonts w:hint="eastAsia" w:ascii="宋体" w:hAnsi="宋体" w:eastAsia="宋体" w:cs="宋体"/>
          <w:szCs w:val="21"/>
        </w:rPr>
      </w:pPr>
      <w:r>
        <w:rPr>
          <w:rFonts w:hint="eastAsia" w:ascii="宋体" w:hAnsi="宋体" w:eastAsia="宋体" w:cs="宋体"/>
          <w:szCs w:val="21"/>
        </w:rPr>
        <w:t>4.5体育器材损坏应及时报学校相关部门进行维修，并跟进维修进度，确保教学工作的正常进行。</w:t>
      </w:r>
    </w:p>
    <w:p w14:paraId="59F76423">
      <w:pPr>
        <w:rPr>
          <w:rFonts w:hint="eastAsia" w:ascii="宋体" w:hAnsi="宋体" w:eastAsia="宋体" w:cs="宋体"/>
          <w:szCs w:val="21"/>
        </w:rPr>
      </w:pPr>
      <w:r>
        <w:rPr>
          <w:rFonts w:hint="eastAsia" w:ascii="宋体" w:hAnsi="宋体" w:eastAsia="宋体" w:cs="宋体"/>
          <w:szCs w:val="21"/>
        </w:rPr>
        <w:t>4.6中标单位负责各场馆教学、文体活动结束后，及时安排人员保洁、整理，恢复原貌，关闭相关设备设施，发现异常情况及时报告。</w:t>
      </w:r>
    </w:p>
    <w:p w14:paraId="02C97AF2">
      <w:pPr>
        <w:rPr>
          <w:rFonts w:hint="eastAsia" w:ascii="宋体" w:hAnsi="宋体" w:eastAsia="宋体" w:cs="宋体"/>
          <w:szCs w:val="21"/>
        </w:rPr>
      </w:pPr>
      <w:r>
        <w:rPr>
          <w:rFonts w:hint="eastAsia" w:ascii="宋体" w:hAnsi="宋体" w:eastAsia="宋体" w:cs="宋体"/>
          <w:szCs w:val="21"/>
        </w:rPr>
        <w:t>4.7中标单位负责负责健身运动场所的管理，根据要求开关灯光，每天巡视检查运动场所器材设备，发现故障及时维修，保障健身器材的正常使用。</w:t>
      </w:r>
    </w:p>
    <w:p w14:paraId="067E3C6E">
      <w:pPr>
        <w:rPr>
          <w:rFonts w:hint="eastAsia" w:ascii="宋体" w:hAnsi="宋体" w:eastAsia="宋体" w:cs="宋体"/>
          <w:szCs w:val="21"/>
        </w:rPr>
      </w:pPr>
      <w:r>
        <w:rPr>
          <w:rFonts w:hint="eastAsia" w:ascii="宋体" w:hAnsi="宋体" w:eastAsia="宋体" w:cs="宋体"/>
          <w:szCs w:val="21"/>
        </w:rPr>
        <w:t>4.8上述服务项目内容实施包括课余场馆开放时间（含晚上10：30前、节假日）。</w:t>
      </w:r>
    </w:p>
    <w:p w14:paraId="33E10960">
      <w:pPr>
        <w:rPr>
          <w:rFonts w:hint="eastAsia" w:ascii="宋体" w:hAnsi="宋体" w:eastAsia="宋体" w:cs="宋体"/>
          <w:szCs w:val="21"/>
        </w:rPr>
      </w:pPr>
      <w:r>
        <w:rPr>
          <w:rFonts w:hint="eastAsia" w:ascii="宋体" w:hAnsi="宋体" w:eastAsia="宋体" w:cs="宋体"/>
          <w:szCs w:val="21"/>
        </w:rPr>
        <w:t>4.9中标单位根据学校要求做好其他相关的场馆服务工作。</w:t>
      </w:r>
    </w:p>
    <w:p w14:paraId="5B31884C">
      <w:pPr>
        <w:rPr>
          <w:rFonts w:hint="eastAsia" w:ascii="宋体" w:hAnsi="宋体" w:eastAsia="宋体" w:cs="宋体"/>
          <w:szCs w:val="21"/>
        </w:rPr>
      </w:pPr>
      <w:r>
        <w:rPr>
          <w:rFonts w:hint="eastAsia" w:ascii="宋体" w:hAnsi="宋体" w:eastAsia="宋体" w:cs="宋体"/>
          <w:szCs w:val="21"/>
        </w:rPr>
        <w:t>4.10中标单位场馆服务人员具备基本的英语口语能力，满足日常服务要求。</w:t>
      </w:r>
    </w:p>
    <w:p w14:paraId="1646B3CD">
      <w:pPr>
        <w:rPr>
          <w:rFonts w:hint="eastAsia" w:ascii="宋体" w:hAnsi="宋体" w:eastAsia="宋体" w:cs="宋体"/>
          <w:szCs w:val="21"/>
        </w:rPr>
      </w:pPr>
      <w:r>
        <w:rPr>
          <w:rFonts w:hint="eastAsia" w:ascii="宋体" w:hAnsi="宋体" w:eastAsia="宋体" w:cs="宋体"/>
          <w:szCs w:val="21"/>
        </w:rPr>
        <w:t>4.11负责场馆线上预约系统的维护，及时修补系统安全漏洞和功能更新升级工作。</w:t>
      </w:r>
    </w:p>
    <w:p w14:paraId="316C75B9">
      <w:pPr>
        <w:numPr>
          <w:ilvl w:val="255"/>
          <w:numId w:val="0"/>
        </w:numPr>
        <w:rPr>
          <w:rFonts w:hint="eastAsia" w:ascii="宋体" w:hAnsi="宋体" w:eastAsia="宋体" w:cs="宋体"/>
          <w:b/>
          <w:bCs/>
          <w:szCs w:val="21"/>
        </w:rPr>
      </w:pPr>
      <w:r>
        <w:rPr>
          <w:rFonts w:hint="eastAsia" w:ascii="宋体" w:hAnsi="宋体" w:eastAsia="宋体" w:cs="宋体"/>
          <w:b/>
          <w:bCs/>
          <w:szCs w:val="21"/>
        </w:rPr>
        <w:t>5.学生公寓服务管理</w:t>
      </w:r>
    </w:p>
    <w:p w14:paraId="28ED012A">
      <w:pPr>
        <w:rPr>
          <w:rFonts w:hint="eastAsia" w:ascii="宋体" w:hAnsi="宋体" w:eastAsia="宋体" w:cs="宋体"/>
          <w:szCs w:val="21"/>
        </w:rPr>
      </w:pPr>
      <w:r>
        <w:rPr>
          <w:rFonts w:hint="eastAsia" w:ascii="宋体" w:hAnsi="宋体" w:eastAsia="宋体" w:cs="宋体"/>
          <w:szCs w:val="21"/>
        </w:rPr>
        <w:t>5.1中标单位负责配备学生公寓宿舍管理各岗位所需的办公用品及服务用品，值班室电脑设备由采购方提供。</w:t>
      </w:r>
    </w:p>
    <w:p w14:paraId="275282A0">
      <w:pPr>
        <w:rPr>
          <w:rFonts w:hint="eastAsia" w:ascii="宋体" w:hAnsi="宋体" w:eastAsia="宋体" w:cs="宋体"/>
          <w:szCs w:val="21"/>
        </w:rPr>
      </w:pPr>
      <w:r>
        <w:rPr>
          <w:rFonts w:hint="eastAsia" w:ascii="宋体" w:hAnsi="宋体" w:eastAsia="宋体" w:cs="宋体"/>
          <w:szCs w:val="21"/>
        </w:rPr>
        <w:t>5.2中标单位负责建立学生诉求响应及投诉处理机制，对学生提出的住宿服务、设施维修等诉求及投诉及时受理，并定期向采购单位报送诉求及投诉处理情况。</w:t>
      </w:r>
    </w:p>
    <w:p w14:paraId="2369E9DA">
      <w:pPr>
        <w:rPr>
          <w:rFonts w:hint="eastAsia" w:ascii="宋体" w:hAnsi="宋体" w:eastAsia="宋体" w:cs="宋体"/>
          <w:szCs w:val="21"/>
        </w:rPr>
      </w:pPr>
      <w:r>
        <w:rPr>
          <w:rFonts w:hint="eastAsia" w:ascii="宋体" w:hAnsi="宋体" w:eastAsia="宋体" w:cs="宋体"/>
          <w:szCs w:val="21"/>
        </w:rPr>
        <w:t>5.3中标单位负责组织宿管团队开展常态化培训工作，确保工作人员具备相应的岗位能力，服务态度良好、操作规范。</w:t>
      </w:r>
    </w:p>
    <w:p w14:paraId="313D0CBD">
      <w:pPr>
        <w:rPr>
          <w:rFonts w:hint="eastAsia" w:ascii="宋体" w:hAnsi="宋体" w:eastAsia="宋体" w:cs="宋体"/>
          <w:szCs w:val="21"/>
        </w:rPr>
      </w:pPr>
      <w:r>
        <w:rPr>
          <w:rFonts w:hint="eastAsia" w:ascii="宋体" w:hAnsi="宋体" w:eastAsia="宋体" w:cs="宋体"/>
          <w:szCs w:val="21"/>
        </w:rPr>
        <w:t>5.4中标单位负责需掌握本楼栋内各项数据，对学生公寓住宿信息数据做好保密工作，无泄漏、外传。若发生数据泄露、外传或错误等问题，引发任何后果，中标单位需承担相应法律责任及赔偿义务。</w:t>
      </w:r>
    </w:p>
    <w:p w14:paraId="0E1E7F83">
      <w:pPr>
        <w:rPr>
          <w:rFonts w:hint="eastAsia" w:ascii="宋体" w:hAnsi="宋体" w:eastAsia="宋体" w:cs="宋体"/>
          <w:szCs w:val="21"/>
        </w:rPr>
      </w:pPr>
      <w:r>
        <w:rPr>
          <w:rFonts w:hint="eastAsia" w:ascii="宋体" w:hAnsi="宋体" w:eastAsia="宋体" w:cs="宋体"/>
          <w:szCs w:val="21"/>
        </w:rPr>
        <w:t>5.5中标单位负责学生公寓公共区域日常清洁，学生公寓空调、洗衣机的日常维护工作，并进行每年不少于一次的空调深度清洁养护和洗衣机内外机深度清洁养护。</w:t>
      </w:r>
    </w:p>
    <w:p w14:paraId="430E77B1">
      <w:pPr>
        <w:rPr>
          <w:rFonts w:hint="eastAsia" w:ascii="宋体" w:hAnsi="宋体" w:eastAsia="宋体" w:cs="宋体"/>
          <w:szCs w:val="21"/>
        </w:rPr>
      </w:pPr>
      <w:r>
        <w:rPr>
          <w:rFonts w:hint="eastAsia" w:ascii="宋体" w:hAnsi="宋体" w:eastAsia="宋体" w:cs="宋体"/>
          <w:szCs w:val="21"/>
        </w:rPr>
        <w:t>5.6中标单位负责学生公寓冰箱、微波炉的日常清洁、维修及调试；负责学生公寓毕业生宿舍的窗帘、纱窗、电风扇每年不少于一次的清洗、拆装及日常维修工作；负责学生公寓空置房间家具检修。</w:t>
      </w:r>
    </w:p>
    <w:p w14:paraId="1D12967F">
      <w:pPr>
        <w:rPr>
          <w:rFonts w:hint="eastAsia" w:ascii="宋体" w:hAnsi="宋体" w:eastAsia="宋体" w:cs="宋体"/>
          <w:szCs w:val="21"/>
        </w:rPr>
      </w:pPr>
      <w:r>
        <w:rPr>
          <w:rFonts w:hint="eastAsia" w:ascii="宋体" w:hAnsi="宋体" w:eastAsia="宋体" w:cs="宋体"/>
          <w:szCs w:val="21"/>
        </w:rPr>
        <w:t>5.7中标单位需建立24小时值班及应急处置机制，及时处理宿舍报修、投诉、突发情况及安全隐患，重大事件第一时间上报采购单位。</w:t>
      </w:r>
    </w:p>
    <w:p w14:paraId="6D244DC4">
      <w:pPr>
        <w:rPr>
          <w:rFonts w:hint="eastAsia" w:ascii="宋体" w:hAnsi="宋体" w:eastAsia="宋体" w:cs="宋体"/>
          <w:szCs w:val="21"/>
        </w:rPr>
      </w:pPr>
      <w:r>
        <w:rPr>
          <w:rFonts w:hint="eastAsia" w:ascii="宋体" w:hAnsi="宋体" w:eastAsia="宋体" w:cs="宋体"/>
          <w:szCs w:val="21"/>
        </w:rPr>
        <w:t>5.8中标单位负责配合学校开展开学季、毕业季、节假日等特殊时段的学生公寓保障工作。</w:t>
      </w:r>
    </w:p>
    <w:p w14:paraId="24C84AEC">
      <w:pPr>
        <w:rPr>
          <w:rFonts w:hint="eastAsia" w:ascii="宋体" w:hAnsi="宋体" w:eastAsia="宋体" w:cs="宋体"/>
          <w:szCs w:val="21"/>
        </w:rPr>
      </w:pPr>
      <w:r>
        <w:rPr>
          <w:rFonts w:hint="eastAsia" w:ascii="宋体" w:hAnsi="宋体" w:eastAsia="宋体" w:cs="宋体"/>
          <w:szCs w:val="21"/>
        </w:rPr>
        <w:t>5.9中标单位负责学生公寓的日常门值及巡查工作，配合开展宿舍安全宣传教育，配合采购单位开展安全检查及专项整治工作。</w:t>
      </w:r>
    </w:p>
    <w:p w14:paraId="32EEF6CF">
      <w:pPr>
        <w:rPr>
          <w:rFonts w:hint="eastAsia" w:ascii="宋体" w:hAnsi="宋体" w:eastAsia="宋体" w:cs="宋体"/>
          <w:szCs w:val="21"/>
        </w:rPr>
      </w:pPr>
      <w:r>
        <w:rPr>
          <w:rFonts w:hint="eastAsia" w:ascii="宋体" w:hAnsi="宋体" w:eastAsia="宋体" w:cs="宋体"/>
          <w:szCs w:val="21"/>
        </w:rPr>
        <w:t>5.10中标单位负责学生公寓公共区域的节能减排管理工作，合理管控灯光、空调、电梯等设备的开启及使用，及时关闭闲置设备，杜绝浪费现象，配合采购单位完成节能减排相关工作要求。</w:t>
      </w:r>
    </w:p>
    <w:p w14:paraId="147F2A16">
      <w:pPr>
        <w:rPr>
          <w:rFonts w:hint="eastAsia" w:ascii="宋体" w:hAnsi="宋体" w:eastAsia="宋体" w:cs="宋体"/>
          <w:b/>
          <w:bCs/>
          <w:szCs w:val="21"/>
        </w:rPr>
      </w:pPr>
      <w:r>
        <w:rPr>
          <w:rFonts w:hint="eastAsia" w:ascii="宋体" w:hAnsi="宋体" w:eastAsia="宋体" w:cs="宋体"/>
          <w:b/>
          <w:bCs/>
          <w:szCs w:val="21"/>
        </w:rPr>
        <w:t>6.校内小型物资搬运及电瓶车预约服务管理</w:t>
      </w:r>
    </w:p>
    <w:p w14:paraId="6D7E3B06">
      <w:pPr>
        <w:rPr>
          <w:rFonts w:hint="eastAsia" w:ascii="宋体" w:hAnsi="宋体" w:eastAsia="宋体" w:cs="宋体"/>
          <w:szCs w:val="21"/>
        </w:rPr>
      </w:pPr>
      <w:r>
        <w:rPr>
          <w:rFonts w:hint="eastAsia" w:ascii="宋体" w:hAnsi="宋体" w:eastAsia="宋体" w:cs="宋体"/>
          <w:szCs w:val="21"/>
        </w:rPr>
        <w:t>6.1中标单位负责成立校内小型物资搬运服务中心，中标单位安排不少于8名员工负责校内小型物资搬运服务。</w:t>
      </w:r>
    </w:p>
    <w:p w14:paraId="1EAB3564">
      <w:pPr>
        <w:rPr>
          <w:rFonts w:hint="eastAsia" w:ascii="宋体" w:hAnsi="宋体" w:eastAsia="宋体" w:cs="宋体"/>
          <w:szCs w:val="21"/>
        </w:rPr>
      </w:pPr>
      <w:r>
        <w:rPr>
          <w:rFonts w:hint="eastAsia" w:ascii="宋体" w:hAnsi="宋体" w:eastAsia="宋体" w:cs="宋体"/>
          <w:szCs w:val="21"/>
        </w:rPr>
        <w:t>6.2中标单位负责按照采购单位要求，执行小型物资搬运服务。</w:t>
      </w:r>
    </w:p>
    <w:p w14:paraId="292BF97F">
      <w:pPr>
        <w:rPr>
          <w:rFonts w:hint="eastAsia" w:ascii="宋体" w:hAnsi="宋体" w:eastAsia="宋体" w:cs="宋体"/>
          <w:szCs w:val="21"/>
        </w:rPr>
      </w:pPr>
      <w:r>
        <w:rPr>
          <w:rFonts w:hint="eastAsia" w:ascii="宋体" w:hAnsi="宋体" w:eastAsia="宋体" w:cs="宋体"/>
          <w:szCs w:val="21"/>
        </w:rPr>
        <w:t>6.3中标单位提供的8名小型物资搬运岗人员，由中标单位统一调配，配合师生开展小型搬运工作（不含办公室整体搬迁、大型器械设备搬运等大型搬运工作）。</w:t>
      </w:r>
    </w:p>
    <w:p w14:paraId="170F5182">
      <w:pPr>
        <w:rPr>
          <w:rFonts w:hint="eastAsia" w:ascii="宋体" w:hAnsi="宋体" w:eastAsia="宋体" w:cs="宋体"/>
          <w:szCs w:val="21"/>
        </w:rPr>
      </w:pPr>
      <w:r>
        <w:rPr>
          <w:rFonts w:hint="eastAsia" w:ascii="宋体" w:hAnsi="宋体" w:eastAsia="宋体" w:cs="宋体"/>
          <w:szCs w:val="21"/>
        </w:rPr>
        <w:t>6.4中标单位负责提供不少于2台物资搬运电瓶车，不少于2台液压拖车，不少于3台平板人工拖车，以保障校区内小型物资搬运工作。</w:t>
      </w:r>
    </w:p>
    <w:p w14:paraId="41B6AFEF">
      <w:pPr>
        <w:rPr>
          <w:rFonts w:hint="eastAsia" w:ascii="宋体" w:hAnsi="宋体" w:eastAsia="宋体" w:cs="宋体"/>
          <w:szCs w:val="21"/>
        </w:rPr>
      </w:pPr>
      <w:r>
        <w:rPr>
          <w:rFonts w:hint="eastAsia" w:ascii="宋体" w:hAnsi="宋体" w:eastAsia="宋体" w:cs="宋体"/>
          <w:szCs w:val="21"/>
        </w:rPr>
        <w:t>6.5中标单位配备14座电瓶车2台，8座电瓶车3台，安排专人在总务后勤部的指导下，开展校园服务。</w:t>
      </w:r>
    </w:p>
    <w:p w14:paraId="18883726">
      <w:pPr>
        <w:rPr>
          <w:rFonts w:hint="eastAsia" w:ascii="宋体" w:hAnsi="宋体" w:eastAsia="宋体" w:cs="宋体"/>
          <w:szCs w:val="21"/>
        </w:rPr>
      </w:pPr>
      <w:r>
        <w:rPr>
          <w:rFonts w:hint="eastAsia" w:ascii="宋体" w:hAnsi="宋体" w:eastAsia="宋体" w:cs="宋体"/>
          <w:szCs w:val="21"/>
        </w:rPr>
        <w:t>6.6中标单位配备不少于4台23座电瓶车，安排专人在总务后勤部的指导下，为师生提供校园摆渡服务。</w:t>
      </w:r>
    </w:p>
    <w:p w14:paraId="3CB85FAE">
      <w:pPr>
        <w:rPr>
          <w:rFonts w:hint="eastAsia" w:ascii="宋体" w:hAnsi="宋体" w:eastAsia="宋体" w:cs="宋体"/>
          <w:szCs w:val="21"/>
        </w:rPr>
      </w:pPr>
      <w:r>
        <w:rPr>
          <w:rFonts w:hint="eastAsia" w:ascii="宋体" w:hAnsi="宋体" w:eastAsia="宋体" w:cs="宋体"/>
          <w:szCs w:val="21"/>
        </w:rPr>
        <w:t>6.7</w:t>
      </w:r>
      <w:r>
        <w:rPr>
          <w:rFonts w:hint="eastAsia" w:ascii="宋体" w:hAnsi="宋体" w:eastAsia="宋体" w:cs="宋体"/>
          <w:szCs w:val="21"/>
          <w:lang w:bidi="ar"/>
        </w:rPr>
        <w:t>中标单位配备提供的设备车辆等费用由中标单位自行承担。</w:t>
      </w:r>
    </w:p>
    <w:p w14:paraId="083B7CDE">
      <w:pPr>
        <w:rPr>
          <w:rFonts w:hint="eastAsia" w:ascii="宋体" w:hAnsi="宋体" w:eastAsia="宋体" w:cs="宋体"/>
          <w:color w:val="000000"/>
          <w:szCs w:val="21"/>
          <w:lang w:bidi="ar"/>
        </w:rPr>
      </w:pPr>
      <w:r>
        <w:rPr>
          <w:rFonts w:hint="eastAsia" w:ascii="宋体" w:hAnsi="宋体" w:eastAsia="宋体" w:cs="宋体"/>
          <w:szCs w:val="21"/>
        </w:rPr>
        <w:t>6.8</w:t>
      </w:r>
      <w:r>
        <w:rPr>
          <w:rFonts w:hint="eastAsia" w:ascii="宋体" w:hAnsi="宋体" w:eastAsia="宋体" w:cs="宋体"/>
          <w:szCs w:val="21"/>
          <w:lang w:bidi="ar"/>
        </w:rPr>
        <w:t>中标单位</w:t>
      </w:r>
      <w:r>
        <w:rPr>
          <w:rFonts w:hint="eastAsia" w:ascii="宋体" w:hAnsi="宋体" w:eastAsia="宋体" w:cs="宋体"/>
          <w:color w:val="000000"/>
          <w:szCs w:val="21"/>
          <w:lang w:bidi="ar"/>
        </w:rPr>
        <w:t>配备的车辆及驾驶员应符合相关道路要求和资质。</w:t>
      </w:r>
    </w:p>
    <w:p w14:paraId="6D31FE47">
      <w:pPr>
        <w:rPr>
          <w:rFonts w:hint="eastAsia" w:ascii="宋体" w:hAnsi="宋体" w:eastAsia="宋体" w:cs="宋体"/>
          <w:b/>
          <w:bCs/>
          <w:szCs w:val="21"/>
        </w:rPr>
      </w:pPr>
      <w:r>
        <w:rPr>
          <w:rFonts w:hint="eastAsia" w:ascii="宋体" w:hAnsi="宋体" w:eastAsia="宋体" w:cs="宋体"/>
          <w:b/>
          <w:bCs/>
          <w:szCs w:val="21"/>
        </w:rPr>
        <w:t>7校园服务工勤服务管理</w:t>
      </w:r>
    </w:p>
    <w:p w14:paraId="31F4DB63">
      <w:pPr>
        <w:rPr>
          <w:rFonts w:hint="eastAsia" w:ascii="宋体" w:hAnsi="宋体" w:eastAsia="宋体" w:cs="宋体"/>
          <w:szCs w:val="21"/>
        </w:rPr>
      </w:pPr>
      <w:r>
        <w:rPr>
          <w:rFonts w:hint="eastAsia" w:ascii="宋体" w:hAnsi="宋体" w:eastAsia="宋体" w:cs="宋体"/>
          <w:szCs w:val="21"/>
        </w:rPr>
        <w:t>7.1中标单位需安排员工负责协助总务后勤部开展管理服务工作，均需本科及以上学历，且具有酒店、行政类管理1年以上经验。</w:t>
      </w:r>
    </w:p>
    <w:p w14:paraId="19912688">
      <w:pPr>
        <w:rPr>
          <w:rFonts w:hint="eastAsia" w:ascii="宋体" w:hAnsi="宋体" w:eastAsia="宋体" w:cs="宋体"/>
          <w:szCs w:val="21"/>
        </w:rPr>
      </w:pPr>
      <w:r>
        <w:rPr>
          <w:rFonts w:hint="eastAsia" w:ascii="宋体" w:hAnsi="宋体" w:eastAsia="宋体" w:cs="宋体"/>
          <w:szCs w:val="21"/>
        </w:rPr>
        <w:t>7.2中标单位根据采购方管理服务需要为保障校园提供协助，为广大师生提供更为完善的管理服务。</w:t>
      </w:r>
    </w:p>
    <w:p w14:paraId="707FE068">
      <w:pPr>
        <w:tabs>
          <w:tab w:val="left" w:pos="562"/>
          <w:tab w:val="left" w:pos="3372"/>
          <w:tab w:val="left" w:pos="3653"/>
        </w:tabs>
        <w:rPr>
          <w:rFonts w:hint="eastAsia" w:ascii="宋体" w:hAnsi="宋体" w:eastAsia="宋体" w:cs="宋体"/>
          <w:szCs w:val="21"/>
        </w:rPr>
      </w:pPr>
      <w:r>
        <w:rPr>
          <w:rFonts w:hint="eastAsia" w:ascii="宋体" w:hAnsi="宋体" w:eastAsia="宋体" w:cs="宋体"/>
          <w:szCs w:val="21"/>
        </w:rPr>
        <w:t>7.3中标单位负责协助完成图书馆管理工作，设置不少于4个图书馆管理岗位。</w:t>
      </w:r>
    </w:p>
    <w:p w14:paraId="74D0EE0A">
      <w:pPr>
        <w:rPr>
          <w:rFonts w:hint="eastAsia" w:ascii="宋体" w:hAnsi="宋体" w:eastAsia="宋体" w:cs="宋体"/>
          <w:b/>
          <w:bCs/>
          <w:szCs w:val="21"/>
        </w:rPr>
      </w:pPr>
      <w:r>
        <w:rPr>
          <w:rFonts w:hint="eastAsia" w:ascii="宋体" w:hAnsi="宋体" w:eastAsia="宋体" w:cs="宋体"/>
          <w:b/>
          <w:bCs/>
          <w:szCs w:val="21"/>
        </w:rPr>
        <w:t>8其他</w:t>
      </w:r>
    </w:p>
    <w:p w14:paraId="0E48E401">
      <w:pPr>
        <w:rPr>
          <w:rFonts w:hint="eastAsia" w:ascii="宋体" w:hAnsi="宋体" w:eastAsia="宋体" w:cs="宋体"/>
          <w:b/>
          <w:bCs/>
          <w:szCs w:val="21"/>
        </w:rPr>
      </w:pPr>
      <w:r>
        <w:rPr>
          <w:rFonts w:hint="eastAsia" w:ascii="宋体" w:hAnsi="宋体" w:eastAsia="宋体" w:cs="宋体"/>
          <w:b/>
          <w:bCs/>
          <w:szCs w:val="21"/>
        </w:rPr>
        <w:t>8.1要求中标单位具备完整信息化管理能力，配套搭建与本项目服务相关的场馆管理、公寓管理、物资管理、服务品质质量管理、服务中心一站式服务管理、会务服务与预约、教务服务及课室管理、资源智能识别、疾控预警上报、投诉处理等信息化平台，以数字化手段统筹校园各类资源、规范作业标准、实时监控服务质量、快速处置各类突发事项，适配学校现代化、智慧化、国际化办学配套服务要求，持续提升教学保障效率、师生服务体验与校园后勤精细化治理水平。</w:t>
      </w:r>
    </w:p>
    <w:p w14:paraId="1D5FC345">
      <w:pPr>
        <w:numPr>
          <w:ilvl w:val="0"/>
          <w:numId w:val="5"/>
        </w:numPr>
        <w:ind w:hanging="60"/>
        <w:rPr>
          <w:rFonts w:hint="eastAsia" w:ascii="宋体" w:hAnsi="宋体" w:eastAsia="宋体" w:cs="宋体"/>
          <w:b/>
          <w:bCs/>
        </w:rPr>
      </w:pPr>
      <w:r>
        <w:rPr>
          <w:rFonts w:hint="eastAsia" w:ascii="宋体" w:hAnsi="宋体" w:eastAsia="宋体" w:cs="宋体"/>
          <w:b/>
          <w:bCs/>
        </w:rPr>
        <w:t>管理标准</w:t>
      </w:r>
    </w:p>
    <w:p w14:paraId="7DD2FDC9">
      <w:pPr>
        <w:spacing w:line="360" w:lineRule="auto"/>
        <w:ind w:firstLine="480" w:firstLineChars="200"/>
        <w:rPr>
          <w:rFonts w:hint="eastAsia" w:ascii="宋体" w:hAnsi="宋体" w:eastAsia="宋体" w:cs="宋体"/>
          <w:iCs/>
          <w:szCs w:val="21"/>
        </w:rPr>
      </w:pPr>
      <w:r>
        <w:rPr>
          <w:rFonts w:hint="eastAsia" w:ascii="宋体" w:hAnsi="宋体" w:eastAsia="宋体" w:cs="宋体"/>
          <w:iCs/>
          <w:szCs w:val="21"/>
        </w:rPr>
        <w:t>因中标单位工作不到位造成以下影响的，学校管理部门有权向中标单位发出整改通知书，并进行处罚。</w:t>
      </w:r>
    </w:p>
    <w:p w14:paraId="225F126A">
      <w:pPr>
        <w:spacing w:line="360" w:lineRule="auto"/>
        <w:rPr>
          <w:rFonts w:hint="eastAsia" w:ascii="宋体" w:hAnsi="宋体" w:eastAsia="宋体" w:cs="宋体"/>
          <w:iCs/>
          <w:szCs w:val="21"/>
        </w:rPr>
      </w:pPr>
      <w:r>
        <w:rPr>
          <w:rFonts w:hint="eastAsia" w:ascii="宋体" w:hAnsi="宋体" w:eastAsia="宋体" w:cs="宋体"/>
          <w:iCs/>
          <w:szCs w:val="21"/>
        </w:rPr>
        <w:t>​  1.因中标单位工作不到位，导致学校管理部门收到师生有效投诉的，每次罚扣1000元；同一事项因中标单位原因第二次被投诉的，罚扣5000元，并在季度绩效考核分中扣5分。</w:t>
      </w:r>
    </w:p>
    <w:p w14:paraId="345232DE">
      <w:pPr>
        <w:spacing w:line="360" w:lineRule="auto"/>
        <w:rPr>
          <w:rFonts w:hint="eastAsia" w:ascii="宋体" w:hAnsi="宋体" w:eastAsia="宋体" w:cs="宋体"/>
          <w:iCs/>
          <w:szCs w:val="21"/>
        </w:rPr>
      </w:pPr>
      <w:r>
        <w:rPr>
          <w:rFonts w:hint="eastAsia" w:ascii="宋体" w:hAnsi="宋体" w:eastAsia="宋体" w:cs="宋体"/>
          <w:iCs/>
          <w:szCs w:val="21"/>
        </w:rPr>
        <w:t>​  2.因中标单位原因，采购人认为：对师生办公、教学、科研及生活造成影响，情节轻微的，每次罚扣5000元，在季度绩效考核分中扣2分；情节严重的，每次罚扣10000元，在季度绩效考核分中扣4分；情节特别严重的，每次罚扣20000元，在季度绩效考核分中扣6分。</w:t>
      </w:r>
    </w:p>
    <w:p w14:paraId="507637A1">
      <w:pPr>
        <w:spacing w:line="360" w:lineRule="auto"/>
        <w:rPr>
          <w:rFonts w:hint="eastAsia" w:ascii="宋体" w:hAnsi="宋体" w:eastAsia="宋体" w:cs="宋体"/>
          <w:iCs/>
          <w:szCs w:val="21"/>
        </w:rPr>
      </w:pPr>
      <w:r>
        <w:rPr>
          <w:rFonts w:hint="eastAsia" w:ascii="宋体" w:hAnsi="宋体" w:eastAsia="宋体" w:cs="宋体"/>
          <w:iCs/>
          <w:szCs w:val="21"/>
        </w:rPr>
        <w:t>​  3.因中标单位原因，造成舆情的，采购人认为：情节轻微的，每次罚扣5000元，在季度绩效考核分中扣2分；情节严重的，每次罚扣10000元，在季度绩效考核分中扣4分；情节特别严重的，每次罚扣20000元，在季度绩效考核分中扣6分。</w:t>
      </w:r>
    </w:p>
    <w:p w14:paraId="6240F22E">
      <w:pPr>
        <w:spacing w:line="360" w:lineRule="auto"/>
        <w:rPr>
          <w:rFonts w:hint="eastAsia" w:ascii="宋体" w:hAnsi="宋体" w:eastAsia="宋体" w:cs="宋体"/>
          <w:iCs/>
          <w:szCs w:val="21"/>
        </w:rPr>
      </w:pPr>
      <w:r>
        <w:rPr>
          <w:rFonts w:hint="eastAsia" w:ascii="宋体" w:hAnsi="宋体" w:eastAsia="宋体" w:cs="宋体"/>
          <w:iCs/>
          <w:szCs w:val="21"/>
        </w:rPr>
        <w:t>​  4.中标单位在接到整改通知后，未在规定期限内完成整改的，每逾期一天，罚扣2000元，直至整改完成。​</w:t>
      </w:r>
    </w:p>
    <w:p w14:paraId="7097AE9E">
      <w:pPr>
        <w:spacing w:line="360" w:lineRule="auto"/>
        <w:rPr>
          <w:rFonts w:hint="eastAsia" w:ascii="宋体" w:hAnsi="宋体" w:eastAsia="宋体" w:cs="宋体"/>
          <w:iCs/>
          <w:szCs w:val="21"/>
        </w:rPr>
      </w:pPr>
      <w:r>
        <w:rPr>
          <w:rFonts w:hint="eastAsia" w:ascii="宋体" w:hAnsi="宋体" w:eastAsia="宋体" w:cs="宋体"/>
          <w:iCs/>
          <w:szCs w:val="21"/>
        </w:rPr>
        <w:t>​  5.所有罚扣金额将从月度服务费中直接扣除，并在支付明细中予以注明。</w:t>
      </w:r>
    </w:p>
    <w:p w14:paraId="0612D06C">
      <w:pPr>
        <w:tabs>
          <w:tab w:val="left" w:pos="562"/>
          <w:tab w:val="left" w:pos="3372"/>
          <w:tab w:val="left" w:pos="3653"/>
        </w:tabs>
        <w:rPr>
          <w:rFonts w:hint="eastAsia" w:ascii="宋体" w:hAnsi="宋体" w:eastAsia="宋体" w:cs="宋体"/>
        </w:rPr>
      </w:pPr>
    </w:p>
    <w:p w14:paraId="1AD27DCD">
      <w:pPr>
        <w:numPr>
          <w:ilvl w:val="0"/>
          <w:numId w:val="5"/>
        </w:numPr>
        <w:ind w:hanging="60"/>
        <w:rPr>
          <w:rFonts w:hint="eastAsia" w:ascii="宋体" w:hAnsi="宋体" w:eastAsia="宋体" w:cs="宋体"/>
          <w:b/>
          <w:bCs/>
        </w:rPr>
      </w:pPr>
      <w:r>
        <w:rPr>
          <w:rFonts w:hint="eastAsia" w:ascii="宋体" w:hAnsi="宋体" w:eastAsia="宋体" w:cs="宋体"/>
          <w:b/>
          <w:bCs/>
        </w:rPr>
        <w:t>服务人员岗位配置要求</w:t>
      </w:r>
    </w:p>
    <w:p w14:paraId="1830EEA7">
      <w:pPr>
        <w:rPr>
          <w:rFonts w:hint="eastAsia" w:ascii="宋体" w:hAnsi="宋体" w:eastAsia="宋体" w:cs="宋体"/>
          <w:szCs w:val="21"/>
        </w:rPr>
      </w:pPr>
      <w:r>
        <w:rPr>
          <w:rFonts w:hint="eastAsia" w:ascii="宋体" w:hAnsi="宋体" w:eastAsia="宋体" w:cs="宋体"/>
          <w:szCs w:val="21"/>
        </w:rPr>
        <w:t>1.人员配置要求</w:t>
      </w:r>
    </w:p>
    <w:p w14:paraId="28403398">
      <w:pPr>
        <w:rPr>
          <w:rFonts w:hint="eastAsia" w:ascii="宋体" w:hAnsi="宋体" w:eastAsia="宋体" w:cs="宋体"/>
          <w:szCs w:val="21"/>
        </w:rPr>
      </w:pPr>
      <w:r>
        <w:rPr>
          <w:rFonts w:hint="eastAsia" w:ascii="宋体" w:hAnsi="宋体" w:eastAsia="宋体" w:cs="宋体"/>
          <w:szCs w:val="21"/>
        </w:rPr>
        <w:t>1.1人数需求为基本配置人数详见《服务管理人员岗位清单》、《服务现场保障人员岗位清单》，投标单位可根据岗位情况，节假日调休需要酌情增加人员，采购方不另行支付费用。</w:t>
      </w:r>
    </w:p>
    <w:p w14:paraId="4208072A">
      <w:pPr>
        <w:rPr>
          <w:rFonts w:hint="eastAsia" w:ascii="宋体" w:hAnsi="宋体" w:eastAsia="宋体" w:cs="宋体"/>
          <w:szCs w:val="21"/>
        </w:rPr>
      </w:pPr>
      <w:r>
        <w:rPr>
          <w:rFonts w:hint="eastAsia" w:ascii="宋体" w:hAnsi="宋体" w:eastAsia="宋体" w:cs="宋体"/>
          <w:szCs w:val="21"/>
        </w:rPr>
        <w:t>1.2考虑到学校突发、应急事件处理及开学典礼、毕业季等大型活动人力保障，要求中标单位在学校突发、应急事件发生时能够30分钟内不低于基础岗位10%的人力保障进行应急保障。同时，在学校大型活动期间提供不低于基础岗位10%的人员的人力保障。突发、应急事件处理及大型活动保障不另行支付人工费用。</w:t>
      </w:r>
    </w:p>
    <w:p w14:paraId="4907B1E5">
      <w:pPr>
        <w:rPr>
          <w:rFonts w:hint="eastAsia" w:ascii="宋体" w:hAnsi="宋体" w:eastAsia="宋体" w:cs="宋体"/>
          <w:szCs w:val="21"/>
        </w:rPr>
      </w:pPr>
      <w:r>
        <w:rPr>
          <w:rFonts w:hint="eastAsia" w:ascii="宋体" w:hAnsi="宋体" w:eastAsia="宋体" w:cs="宋体"/>
          <w:szCs w:val="21"/>
        </w:rPr>
        <w:t>1.3投标单位报价要考虑节假日、加班等因素，一旦中标，不得以此为由要求增加费用。</w:t>
      </w:r>
    </w:p>
    <w:p w14:paraId="47407DA6">
      <w:pPr>
        <w:rPr>
          <w:rFonts w:hint="eastAsia" w:ascii="宋体" w:hAnsi="宋体" w:eastAsia="宋体" w:cs="宋体"/>
          <w:szCs w:val="21"/>
        </w:rPr>
      </w:pPr>
      <w:r>
        <w:rPr>
          <w:rFonts w:hint="eastAsia" w:ascii="宋体" w:hAnsi="宋体" w:eastAsia="宋体" w:cs="宋体"/>
          <w:szCs w:val="21"/>
        </w:rPr>
        <w:t>1.4所设岗位为基本岗位配置，中标单位需严格按照要求配置管理人员、一线服务人员的岗位并严格遵守《中华人民共和国劳动法》等相关规定。采购方将采取不定期抽查，若发现缺岗情况，采购方有权按管理人员5000元/人·次、现场保障人员3000元/人·次进行处罚。如管理人员岗位调整需提前向采购方报备同意后进行调整。</w:t>
      </w:r>
    </w:p>
    <w:p w14:paraId="102132E2">
      <w:pPr>
        <w:tabs>
          <w:tab w:val="left" w:pos="562"/>
          <w:tab w:val="left" w:pos="3372"/>
          <w:tab w:val="left" w:pos="3653"/>
        </w:tabs>
        <w:rPr>
          <w:rFonts w:hint="eastAsia" w:ascii="宋体" w:hAnsi="宋体" w:eastAsia="宋体" w:cs="宋体"/>
          <w:szCs w:val="21"/>
        </w:rPr>
      </w:pPr>
    </w:p>
    <w:p w14:paraId="64A9B8F4">
      <w:pPr>
        <w:rPr>
          <w:rFonts w:hint="eastAsia" w:ascii="宋体" w:hAnsi="宋体" w:eastAsia="宋体" w:cs="宋体"/>
          <w:vanish/>
          <w:szCs w:val="21"/>
        </w:rPr>
      </w:pPr>
    </w:p>
    <w:tbl>
      <w:tblPr>
        <w:tblStyle w:val="26"/>
        <w:tblW w:w="8185" w:type="dxa"/>
        <w:jc w:val="center"/>
        <w:tblLayout w:type="fixed"/>
        <w:tblCellMar>
          <w:top w:w="0" w:type="dxa"/>
          <w:left w:w="108" w:type="dxa"/>
          <w:bottom w:w="0" w:type="dxa"/>
          <w:right w:w="108" w:type="dxa"/>
        </w:tblCellMar>
      </w:tblPr>
      <w:tblGrid>
        <w:gridCol w:w="732"/>
        <w:gridCol w:w="1097"/>
        <w:gridCol w:w="1537"/>
        <w:gridCol w:w="1725"/>
        <w:gridCol w:w="795"/>
        <w:gridCol w:w="855"/>
        <w:gridCol w:w="735"/>
        <w:gridCol w:w="709"/>
      </w:tblGrid>
      <w:tr w14:paraId="72609DE7">
        <w:tblPrEx>
          <w:tblCellMar>
            <w:top w:w="0" w:type="dxa"/>
            <w:left w:w="108" w:type="dxa"/>
            <w:bottom w:w="0" w:type="dxa"/>
            <w:right w:w="108" w:type="dxa"/>
          </w:tblCellMar>
        </w:tblPrEx>
        <w:trPr>
          <w:trHeight w:val="283" w:hRule="atLeast"/>
          <w:jc w:val="center"/>
        </w:trPr>
        <w:tc>
          <w:tcPr>
            <w:tcW w:w="8185" w:type="dxa"/>
            <w:gridSpan w:val="8"/>
            <w:tcBorders>
              <w:top w:val="single" w:color="000000" w:sz="4" w:space="0"/>
              <w:left w:val="single" w:color="000000" w:sz="4" w:space="0"/>
              <w:bottom w:val="single" w:color="000000" w:sz="4" w:space="0"/>
              <w:right w:val="single" w:color="000000" w:sz="4" w:space="0"/>
            </w:tcBorders>
            <w:vAlign w:val="center"/>
          </w:tcPr>
          <w:p w14:paraId="5E2952F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服务管理人员岗位清单</w:t>
            </w:r>
          </w:p>
        </w:tc>
      </w:tr>
      <w:tr w14:paraId="01F73AB8">
        <w:tblPrEx>
          <w:tblCellMar>
            <w:top w:w="0" w:type="dxa"/>
            <w:left w:w="108" w:type="dxa"/>
            <w:bottom w:w="0" w:type="dxa"/>
            <w:right w:w="108" w:type="dxa"/>
          </w:tblCellMar>
        </w:tblPrEx>
        <w:trPr>
          <w:trHeight w:val="307" w:hRule="atLeast"/>
          <w:jc w:val="center"/>
        </w:trPr>
        <w:tc>
          <w:tcPr>
            <w:tcW w:w="732" w:type="dxa"/>
            <w:vMerge w:val="restart"/>
            <w:tcBorders>
              <w:top w:val="single" w:color="000000" w:sz="4" w:space="0"/>
              <w:left w:val="single" w:color="000000" w:sz="4" w:space="0"/>
              <w:right w:val="single" w:color="000000" w:sz="4" w:space="0"/>
            </w:tcBorders>
            <w:vAlign w:val="center"/>
          </w:tcPr>
          <w:p w14:paraId="7F968E6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序号</w:t>
            </w:r>
          </w:p>
        </w:tc>
        <w:tc>
          <w:tcPr>
            <w:tcW w:w="1097" w:type="dxa"/>
            <w:vMerge w:val="restart"/>
            <w:tcBorders>
              <w:top w:val="single" w:color="000000" w:sz="4" w:space="0"/>
              <w:left w:val="single" w:color="000000" w:sz="4" w:space="0"/>
              <w:right w:val="single" w:color="000000" w:sz="4" w:space="0"/>
            </w:tcBorders>
            <w:vAlign w:val="center"/>
          </w:tcPr>
          <w:p w14:paraId="4DE18CA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部门</w:t>
            </w:r>
          </w:p>
        </w:tc>
        <w:tc>
          <w:tcPr>
            <w:tcW w:w="1537" w:type="dxa"/>
            <w:vMerge w:val="restart"/>
            <w:tcBorders>
              <w:top w:val="single" w:color="000000" w:sz="4" w:space="0"/>
              <w:left w:val="single" w:color="000000" w:sz="4" w:space="0"/>
              <w:right w:val="single" w:color="000000" w:sz="4" w:space="0"/>
            </w:tcBorders>
            <w:vAlign w:val="center"/>
          </w:tcPr>
          <w:p w14:paraId="60DF073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类别</w:t>
            </w:r>
          </w:p>
        </w:tc>
        <w:tc>
          <w:tcPr>
            <w:tcW w:w="1725" w:type="dxa"/>
            <w:vMerge w:val="restart"/>
            <w:tcBorders>
              <w:top w:val="single" w:color="000000" w:sz="4" w:space="0"/>
              <w:left w:val="single" w:color="000000" w:sz="4" w:space="0"/>
              <w:right w:val="single" w:color="auto" w:sz="4" w:space="0"/>
            </w:tcBorders>
            <w:noWrap/>
            <w:vAlign w:val="center"/>
          </w:tcPr>
          <w:p w14:paraId="67259E0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岗位名称</w:t>
            </w:r>
          </w:p>
        </w:tc>
        <w:tc>
          <w:tcPr>
            <w:tcW w:w="795" w:type="dxa"/>
            <w:tcBorders>
              <w:top w:val="single" w:color="auto" w:sz="4" w:space="0"/>
              <w:left w:val="single" w:color="auto" w:sz="4" w:space="0"/>
              <w:bottom w:val="single" w:color="auto" w:sz="4" w:space="0"/>
              <w:right w:val="single" w:color="auto" w:sz="4" w:space="0"/>
            </w:tcBorders>
            <w:noWrap/>
            <w:vAlign w:val="center"/>
          </w:tcPr>
          <w:p w14:paraId="292D525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工作天数</w:t>
            </w:r>
          </w:p>
        </w:tc>
        <w:tc>
          <w:tcPr>
            <w:tcW w:w="855" w:type="dxa"/>
            <w:tcBorders>
              <w:top w:val="single" w:color="auto" w:sz="4" w:space="0"/>
              <w:left w:val="single" w:color="auto" w:sz="4" w:space="0"/>
              <w:bottom w:val="single" w:color="auto" w:sz="4" w:space="0"/>
              <w:right w:val="single" w:color="auto" w:sz="4" w:space="0"/>
            </w:tcBorders>
            <w:vAlign w:val="center"/>
          </w:tcPr>
          <w:p w14:paraId="4ABC592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工作时长</w:t>
            </w:r>
          </w:p>
        </w:tc>
        <w:tc>
          <w:tcPr>
            <w:tcW w:w="735" w:type="dxa"/>
            <w:vMerge w:val="restart"/>
            <w:tcBorders>
              <w:top w:val="single" w:color="000000" w:sz="4" w:space="0"/>
              <w:left w:val="single" w:color="auto" w:sz="4" w:space="0"/>
              <w:right w:val="single" w:color="000000" w:sz="4" w:space="0"/>
            </w:tcBorders>
            <w:vAlign w:val="center"/>
          </w:tcPr>
          <w:p w14:paraId="36B4F19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岗位数量</w:t>
            </w:r>
          </w:p>
        </w:tc>
        <w:tc>
          <w:tcPr>
            <w:tcW w:w="709" w:type="dxa"/>
            <w:vMerge w:val="restart"/>
            <w:tcBorders>
              <w:top w:val="single" w:color="000000" w:sz="4" w:space="0"/>
              <w:left w:val="single" w:color="000000" w:sz="4" w:space="0"/>
              <w:right w:val="single" w:color="000000" w:sz="4" w:space="0"/>
            </w:tcBorders>
            <w:vAlign w:val="center"/>
          </w:tcPr>
          <w:p w14:paraId="56A48E6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基本人数</w:t>
            </w:r>
          </w:p>
        </w:tc>
      </w:tr>
      <w:tr w14:paraId="41EF025C">
        <w:tblPrEx>
          <w:tblCellMar>
            <w:top w:w="0" w:type="dxa"/>
            <w:left w:w="108" w:type="dxa"/>
            <w:bottom w:w="0" w:type="dxa"/>
            <w:right w:w="108" w:type="dxa"/>
          </w:tblCellMar>
        </w:tblPrEx>
        <w:trPr>
          <w:trHeight w:val="307" w:hRule="atLeast"/>
          <w:jc w:val="center"/>
        </w:trPr>
        <w:tc>
          <w:tcPr>
            <w:tcW w:w="732" w:type="dxa"/>
            <w:vMerge w:val="continue"/>
            <w:tcBorders>
              <w:left w:val="single" w:color="000000" w:sz="4" w:space="0"/>
              <w:bottom w:val="single" w:color="000000" w:sz="4" w:space="0"/>
              <w:right w:val="single" w:color="000000" w:sz="4" w:space="0"/>
            </w:tcBorders>
            <w:vAlign w:val="center"/>
          </w:tcPr>
          <w:p w14:paraId="049454A7">
            <w:pPr>
              <w:jc w:val="center"/>
              <w:textAlignment w:val="center"/>
              <w:rPr>
                <w:rFonts w:hint="eastAsia" w:ascii="宋体" w:hAnsi="宋体" w:eastAsia="宋体" w:cs="宋体"/>
              </w:rPr>
            </w:pPr>
          </w:p>
        </w:tc>
        <w:tc>
          <w:tcPr>
            <w:tcW w:w="1097" w:type="dxa"/>
            <w:vMerge w:val="continue"/>
            <w:tcBorders>
              <w:left w:val="single" w:color="000000" w:sz="4" w:space="0"/>
              <w:bottom w:val="single" w:color="000000" w:sz="4" w:space="0"/>
              <w:right w:val="single" w:color="000000" w:sz="4" w:space="0"/>
            </w:tcBorders>
            <w:vAlign w:val="center"/>
          </w:tcPr>
          <w:p w14:paraId="498039CD">
            <w:pPr>
              <w:jc w:val="center"/>
              <w:textAlignment w:val="center"/>
              <w:rPr>
                <w:rFonts w:hint="eastAsia" w:ascii="宋体" w:hAnsi="宋体" w:eastAsia="宋体" w:cs="宋体"/>
              </w:rPr>
            </w:pPr>
          </w:p>
        </w:tc>
        <w:tc>
          <w:tcPr>
            <w:tcW w:w="1537" w:type="dxa"/>
            <w:vMerge w:val="continue"/>
            <w:tcBorders>
              <w:left w:val="single" w:color="000000" w:sz="4" w:space="0"/>
              <w:bottom w:val="single" w:color="000000" w:sz="4" w:space="0"/>
              <w:right w:val="single" w:color="000000" w:sz="4" w:space="0"/>
            </w:tcBorders>
            <w:vAlign w:val="center"/>
          </w:tcPr>
          <w:p w14:paraId="5736419B">
            <w:pPr>
              <w:jc w:val="center"/>
              <w:textAlignment w:val="center"/>
              <w:rPr>
                <w:rFonts w:hint="eastAsia" w:ascii="宋体" w:hAnsi="宋体" w:eastAsia="宋体" w:cs="宋体"/>
              </w:rPr>
            </w:pPr>
          </w:p>
        </w:tc>
        <w:tc>
          <w:tcPr>
            <w:tcW w:w="1725" w:type="dxa"/>
            <w:vMerge w:val="continue"/>
            <w:tcBorders>
              <w:left w:val="single" w:color="000000" w:sz="4" w:space="0"/>
              <w:bottom w:val="single" w:color="000000" w:sz="4" w:space="0"/>
              <w:right w:val="single" w:color="auto" w:sz="4" w:space="0"/>
            </w:tcBorders>
            <w:noWrap/>
            <w:vAlign w:val="center"/>
          </w:tcPr>
          <w:p w14:paraId="577FC78D">
            <w:pPr>
              <w:jc w:val="center"/>
              <w:textAlignment w:val="center"/>
              <w:rPr>
                <w:rFonts w:hint="eastAsia" w:ascii="宋体" w:hAnsi="宋体" w:eastAsia="宋体" w:cs="宋体"/>
              </w:rPr>
            </w:pPr>
          </w:p>
        </w:tc>
        <w:tc>
          <w:tcPr>
            <w:tcW w:w="795" w:type="dxa"/>
            <w:tcBorders>
              <w:top w:val="single" w:color="auto" w:sz="4" w:space="0"/>
              <w:left w:val="single" w:color="auto" w:sz="4" w:space="0"/>
              <w:bottom w:val="single" w:color="auto" w:sz="4" w:space="0"/>
              <w:right w:val="single" w:color="auto" w:sz="4" w:space="0"/>
            </w:tcBorders>
            <w:noWrap/>
            <w:vAlign w:val="center"/>
          </w:tcPr>
          <w:p w14:paraId="5C1749C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每周</w:t>
            </w:r>
          </w:p>
        </w:tc>
        <w:tc>
          <w:tcPr>
            <w:tcW w:w="855" w:type="dxa"/>
            <w:tcBorders>
              <w:top w:val="single" w:color="auto" w:sz="4" w:space="0"/>
              <w:left w:val="single" w:color="auto" w:sz="4" w:space="0"/>
              <w:bottom w:val="single" w:color="auto" w:sz="4" w:space="0"/>
              <w:right w:val="single" w:color="auto" w:sz="4" w:space="0"/>
            </w:tcBorders>
            <w:vAlign w:val="center"/>
          </w:tcPr>
          <w:p w14:paraId="04775F0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(小时/日)</w:t>
            </w:r>
          </w:p>
        </w:tc>
        <w:tc>
          <w:tcPr>
            <w:tcW w:w="735" w:type="dxa"/>
            <w:vMerge w:val="continue"/>
            <w:tcBorders>
              <w:left w:val="single" w:color="auto" w:sz="4" w:space="0"/>
              <w:bottom w:val="single" w:color="000000" w:sz="4" w:space="0"/>
              <w:right w:val="single" w:color="000000" w:sz="4" w:space="0"/>
            </w:tcBorders>
            <w:vAlign w:val="center"/>
          </w:tcPr>
          <w:p w14:paraId="72850DF7">
            <w:pPr>
              <w:jc w:val="center"/>
              <w:textAlignment w:val="center"/>
              <w:rPr>
                <w:rFonts w:hint="eastAsia" w:ascii="宋体" w:hAnsi="宋体" w:eastAsia="宋体" w:cs="宋体"/>
                <w:color w:val="000000"/>
                <w:szCs w:val="21"/>
              </w:rPr>
            </w:pPr>
          </w:p>
        </w:tc>
        <w:tc>
          <w:tcPr>
            <w:tcW w:w="709" w:type="dxa"/>
            <w:vMerge w:val="continue"/>
            <w:tcBorders>
              <w:left w:val="single" w:color="000000" w:sz="4" w:space="0"/>
              <w:bottom w:val="single" w:color="000000" w:sz="4" w:space="0"/>
              <w:right w:val="single" w:color="000000" w:sz="4" w:space="0"/>
            </w:tcBorders>
            <w:vAlign w:val="center"/>
          </w:tcPr>
          <w:p w14:paraId="7575C40C">
            <w:pPr>
              <w:jc w:val="center"/>
              <w:textAlignment w:val="center"/>
              <w:rPr>
                <w:rFonts w:hint="eastAsia" w:ascii="宋体" w:hAnsi="宋体" w:eastAsia="宋体" w:cs="宋体"/>
                <w:color w:val="000000"/>
                <w:szCs w:val="21"/>
              </w:rPr>
            </w:pPr>
          </w:p>
        </w:tc>
      </w:tr>
      <w:tr w14:paraId="3F4F2C32">
        <w:tblPrEx>
          <w:tblCellMar>
            <w:top w:w="0" w:type="dxa"/>
            <w:left w:w="108" w:type="dxa"/>
            <w:bottom w:w="0" w:type="dxa"/>
            <w:right w:w="108" w:type="dxa"/>
          </w:tblCellMar>
        </w:tblPrEx>
        <w:trPr>
          <w:trHeight w:val="307" w:hRule="atLeast"/>
          <w:jc w:val="center"/>
        </w:trPr>
        <w:tc>
          <w:tcPr>
            <w:tcW w:w="732" w:type="dxa"/>
            <w:tcBorders>
              <w:left w:val="single" w:color="000000" w:sz="4" w:space="0"/>
              <w:bottom w:val="single" w:color="000000" w:sz="4" w:space="0"/>
              <w:right w:val="single" w:color="000000" w:sz="4" w:space="0"/>
            </w:tcBorders>
            <w:vAlign w:val="center"/>
          </w:tcPr>
          <w:p w14:paraId="093A62F6">
            <w:pPr>
              <w:jc w:val="center"/>
              <w:textAlignment w:val="center"/>
              <w:rPr>
                <w:rFonts w:hint="eastAsia" w:ascii="宋体" w:hAnsi="宋体" w:eastAsia="宋体" w:cs="宋体"/>
              </w:rPr>
            </w:pPr>
            <w:r>
              <w:rPr>
                <w:rFonts w:hint="eastAsia" w:ascii="宋体" w:hAnsi="宋体" w:eastAsia="宋体" w:cs="宋体"/>
                <w:color w:val="000000"/>
                <w:szCs w:val="21"/>
              </w:rPr>
              <w:t>1</w:t>
            </w:r>
          </w:p>
        </w:tc>
        <w:tc>
          <w:tcPr>
            <w:tcW w:w="1097" w:type="dxa"/>
            <w:tcBorders>
              <w:left w:val="single" w:color="000000" w:sz="4" w:space="0"/>
              <w:bottom w:val="single" w:color="000000" w:sz="4" w:space="0"/>
              <w:right w:val="single" w:color="000000" w:sz="4" w:space="0"/>
            </w:tcBorders>
            <w:vAlign w:val="center"/>
          </w:tcPr>
          <w:p w14:paraId="1FF31B2F">
            <w:pPr>
              <w:jc w:val="center"/>
              <w:textAlignment w:val="center"/>
              <w:rPr>
                <w:rFonts w:hint="eastAsia" w:ascii="宋体" w:hAnsi="宋体" w:eastAsia="宋体" w:cs="宋体"/>
              </w:rPr>
            </w:pPr>
            <w:r>
              <w:rPr>
                <w:rFonts w:hint="eastAsia" w:ascii="宋体" w:hAnsi="宋体" w:eastAsia="宋体" w:cs="宋体"/>
              </w:rPr>
              <w:t>管理部门</w:t>
            </w:r>
          </w:p>
        </w:tc>
        <w:tc>
          <w:tcPr>
            <w:tcW w:w="1537" w:type="dxa"/>
            <w:tcBorders>
              <w:left w:val="single" w:color="000000" w:sz="4" w:space="0"/>
              <w:bottom w:val="single" w:color="000000" w:sz="4" w:space="0"/>
              <w:right w:val="single" w:color="000000" w:sz="4" w:space="0"/>
            </w:tcBorders>
            <w:vAlign w:val="center"/>
          </w:tcPr>
          <w:p w14:paraId="4C66AD2B">
            <w:pPr>
              <w:jc w:val="center"/>
              <w:textAlignment w:val="center"/>
              <w:rPr>
                <w:rFonts w:hint="eastAsia" w:ascii="宋体" w:hAnsi="宋体" w:eastAsia="宋体" w:cs="宋体"/>
              </w:rPr>
            </w:pPr>
            <w:r>
              <w:rPr>
                <w:rFonts w:hint="eastAsia" w:ascii="宋体" w:hAnsi="宋体" w:eastAsia="宋体" w:cs="宋体"/>
              </w:rPr>
              <w:t>管理岗</w:t>
            </w:r>
          </w:p>
        </w:tc>
        <w:tc>
          <w:tcPr>
            <w:tcW w:w="1725" w:type="dxa"/>
            <w:tcBorders>
              <w:left w:val="single" w:color="000000" w:sz="4" w:space="0"/>
              <w:bottom w:val="single" w:color="000000" w:sz="4" w:space="0"/>
              <w:right w:val="single" w:color="auto" w:sz="4" w:space="0"/>
            </w:tcBorders>
            <w:noWrap/>
            <w:vAlign w:val="center"/>
          </w:tcPr>
          <w:p w14:paraId="1A0E3552">
            <w:pPr>
              <w:jc w:val="center"/>
              <w:textAlignment w:val="center"/>
              <w:rPr>
                <w:rFonts w:hint="eastAsia" w:ascii="宋体" w:hAnsi="宋体" w:eastAsia="宋体" w:cs="宋体"/>
              </w:rPr>
            </w:pPr>
            <w:r>
              <w:rPr>
                <w:rFonts w:hint="eastAsia" w:ascii="宋体" w:hAnsi="宋体" w:eastAsia="宋体" w:cs="宋体"/>
              </w:rPr>
              <w:t>项目负责人</w:t>
            </w:r>
          </w:p>
        </w:tc>
        <w:tc>
          <w:tcPr>
            <w:tcW w:w="795" w:type="dxa"/>
            <w:tcBorders>
              <w:top w:val="single" w:color="auto" w:sz="4" w:space="0"/>
              <w:left w:val="single" w:color="auto" w:sz="4" w:space="0"/>
              <w:bottom w:val="single" w:color="auto" w:sz="4" w:space="0"/>
              <w:right w:val="single" w:color="auto" w:sz="4" w:space="0"/>
            </w:tcBorders>
            <w:noWrap/>
            <w:vAlign w:val="center"/>
          </w:tcPr>
          <w:p w14:paraId="2E20577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auto" w:sz="4" w:space="0"/>
              <w:left w:val="single" w:color="auto" w:sz="4" w:space="0"/>
              <w:bottom w:val="single" w:color="auto" w:sz="4" w:space="0"/>
              <w:right w:val="single" w:color="auto" w:sz="4" w:space="0"/>
            </w:tcBorders>
            <w:vAlign w:val="center"/>
          </w:tcPr>
          <w:p w14:paraId="29C75CE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left w:val="single" w:color="auto" w:sz="4" w:space="0"/>
              <w:bottom w:val="single" w:color="000000" w:sz="4" w:space="0"/>
              <w:right w:val="single" w:color="000000" w:sz="4" w:space="0"/>
            </w:tcBorders>
            <w:vAlign w:val="center"/>
          </w:tcPr>
          <w:p w14:paraId="60449F8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left w:val="single" w:color="000000" w:sz="4" w:space="0"/>
              <w:bottom w:val="single" w:color="000000" w:sz="4" w:space="0"/>
              <w:right w:val="single" w:color="000000" w:sz="4" w:space="0"/>
            </w:tcBorders>
            <w:vAlign w:val="center"/>
          </w:tcPr>
          <w:p w14:paraId="43A8D70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36CA685">
        <w:tblPrEx>
          <w:tblCellMar>
            <w:top w:w="0" w:type="dxa"/>
            <w:left w:w="108" w:type="dxa"/>
            <w:bottom w:w="0" w:type="dxa"/>
            <w:right w:w="108" w:type="dxa"/>
          </w:tblCellMar>
        </w:tblPrEx>
        <w:trPr>
          <w:trHeight w:val="283"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5B5F5A8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c>
          <w:tcPr>
            <w:tcW w:w="1097" w:type="dxa"/>
            <w:tcBorders>
              <w:top w:val="single" w:color="000000" w:sz="4" w:space="0"/>
              <w:left w:val="single" w:color="000000" w:sz="4" w:space="0"/>
              <w:bottom w:val="single" w:color="000000" w:sz="4" w:space="0"/>
              <w:right w:val="single" w:color="000000" w:sz="4" w:space="0"/>
            </w:tcBorders>
            <w:vAlign w:val="center"/>
          </w:tcPr>
          <w:p w14:paraId="742090C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宿管中心</w:t>
            </w:r>
          </w:p>
        </w:tc>
        <w:tc>
          <w:tcPr>
            <w:tcW w:w="1537" w:type="dxa"/>
            <w:tcBorders>
              <w:top w:val="single" w:color="000000" w:sz="4" w:space="0"/>
              <w:left w:val="single" w:color="000000" w:sz="4" w:space="0"/>
              <w:bottom w:val="single" w:color="000000" w:sz="4" w:space="0"/>
              <w:right w:val="single" w:color="000000" w:sz="4" w:space="0"/>
            </w:tcBorders>
            <w:vAlign w:val="center"/>
          </w:tcPr>
          <w:p w14:paraId="205F3B2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宿管管理岗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006CE94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宿管中心主管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6D3D7B9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6ABC32C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50F5656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13FB0C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D78176B">
        <w:tblPrEx>
          <w:tblCellMar>
            <w:top w:w="0" w:type="dxa"/>
            <w:left w:w="108" w:type="dxa"/>
            <w:bottom w:w="0" w:type="dxa"/>
            <w:right w:w="108" w:type="dxa"/>
          </w:tblCellMar>
        </w:tblPrEx>
        <w:trPr>
          <w:trHeight w:val="283"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6A3CFE0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w:t>
            </w:r>
          </w:p>
        </w:tc>
        <w:tc>
          <w:tcPr>
            <w:tcW w:w="1097" w:type="dxa"/>
            <w:tcBorders>
              <w:top w:val="single" w:color="000000" w:sz="4" w:space="0"/>
              <w:left w:val="single" w:color="000000" w:sz="4" w:space="0"/>
              <w:bottom w:val="single" w:color="000000" w:sz="4" w:space="0"/>
              <w:right w:val="single" w:color="000000" w:sz="4" w:space="0"/>
            </w:tcBorders>
            <w:vAlign w:val="center"/>
          </w:tcPr>
          <w:p w14:paraId="40EA37D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巡查组</w:t>
            </w:r>
          </w:p>
        </w:tc>
        <w:tc>
          <w:tcPr>
            <w:tcW w:w="1537" w:type="dxa"/>
            <w:tcBorders>
              <w:top w:val="single" w:color="000000" w:sz="4" w:space="0"/>
              <w:left w:val="single" w:color="000000" w:sz="4" w:space="0"/>
              <w:bottom w:val="single" w:color="000000" w:sz="4" w:space="0"/>
              <w:right w:val="single" w:color="000000" w:sz="4" w:space="0"/>
            </w:tcBorders>
            <w:vAlign w:val="center"/>
          </w:tcPr>
          <w:p w14:paraId="746D497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巡查管理岗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1FA9091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巡查中心主管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32CE98B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3AC46FE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1D05D43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3AA75D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1 </w:t>
            </w:r>
          </w:p>
        </w:tc>
      </w:tr>
      <w:tr w14:paraId="3EA2ED5E">
        <w:tblPrEx>
          <w:tblCellMar>
            <w:top w:w="0" w:type="dxa"/>
            <w:left w:w="108" w:type="dxa"/>
            <w:bottom w:w="0" w:type="dxa"/>
            <w:right w:w="108" w:type="dxa"/>
          </w:tblCellMar>
        </w:tblPrEx>
        <w:trPr>
          <w:trHeight w:val="90"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43273AF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w:t>
            </w:r>
          </w:p>
        </w:tc>
        <w:tc>
          <w:tcPr>
            <w:tcW w:w="1097" w:type="dxa"/>
            <w:tcBorders>
              <w:top w:val="single" w:color="000000" w:sz="4" w:space="0"/>
              <w:left w:val="single" w:color="000000" w:sz="4" w:space="0"/>
              <w:bottom w:val="single" w:color="000000" w:sz="4" w:space="0"/>
              <w:right w:val="single" w:color="000000" w:sz="4" w:space="0"/>
            </w:tcBorders>
            <w:vAlign w:val="center"/>
          </w:tcPr>
          <w:p w14:paraId="530CE59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资运中心</w:t>
            </w:r>
          </w:p>
        </w:tc>
        <w:tc>
          <w:tcPr>
            <w:tcW w:w="1537" w:type="dxa"/>
            <w:tcBorders>
              <w:top w:val="single" w:color="000000" w:sz="4" w:space="0"/>
              <w:left w:val="single" w:color="000000" w:sz="4" w:space="0"/>
              <w:bottom w:val="single" w:color="000000" w:sz="4" w:space="0"/>
              <w:right w:val="single" w:color="000000" w:sz="4" w:space="0"/>
            </w:tcBorders>
            <w:vAlign w:val="center"/>
          </w:tcPr>
          <w:p w14:paraId="30D010D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资运管理岗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392208A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资运中心主管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69B2C9A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0AEE12F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6A5A294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FEF692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1 </w:t>
            </w:r>
          </w:p>
        </w:tc>
      </w:tr>
      <w:tr w14:paraId="2A0BCACE">
        <w:tblPrEx>
          <w:tblCellMar>
            <w:top w:w="0" w:type="dxa"/>
            <w:left w:w="108" w:type="dxa"/>
            <w:bottom w:w="0" w:type="dxa"/>
            <w:right w:w="108" w:type="dxa"/>
          </w:tblCellMar>
        </w:tblPrEx>
        <w:trPr>
          <w:trHeight w:val="283"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0B78F8F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1097" w:type="dxa"/>
            <w:tcBorders>
              <w:top w:val="single" w:color="000000" w:sz="4" w:space="0"/>
              <w:left w:val="single" w:color="000000" w:sz="4" w:space="0"/>
              <w:bottom w:val="single" w:color="000000" w:sz="4" w:space="0"/>
              <w:right w:val="single" w:color="000000" w:sz="4" w:space="0"/>
            </w:tcBorders>
            <w:vAlign w:val="center"/>
          </w:tcPr>
          <w:p w14:paraId="3AF37F4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会务中心</w:t>
            </w:r>
          </w:p>
        </w:tc>
        <w:tc>
          <w:tcPr>
            <w:tcW w:w="1537" w:type="dxa"/>
            <w:tcBorders>
              <w:top w:val="single" w:color="000000" w:sz="4" w:space="0"/>
              <w:left w:val="single" w:color="000000" w:sz="4" w:space="0"/>
              <w:bottom w:val="single" w:color="000000" w:sz="4" w:space="0"/>
              <w:right w:val="single" w:color="000000" w:sz="4" w:space="0"/>
            </w:tcBorders>
            <w:vAlign w:val="center"/>
          </w:tcPr>
          <w:p w14:paraId="2A65DFE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214C052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7C6E674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327D254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060AD7E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69096F9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1 </w:t>
            </w:r>
          </w:p>
        </w:tc>
      </w:tr>
      <w:tr w14:paraId="2DD7580D">
        <w:tblPrEx>
          <w:tblCellMar>
            <w:top w:w="0" w:type="dxa"/>
            <w:left w:w="108" w:type="dxa"/>
            <w:bottom w:w="0" w:type="dxa"/>
            <w:right w:w="108" w:type="dxa"/>
          </w:tblCellMar>
        </w:tblPrEx>
        <w:trPr>
          <w:trHeight w:val="283"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2170027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6</w:t>
            </w:r>
          </w:p>
        </w:tc>
        <w:tc>
          <w:tcPr>
            <w:tcW w:w="1097" w:type="dxa"/>
            <w:tcBorders>
              <w:top w:val="single" w:color="000000" w:sz="4" w:space="0"/>
              <w:left w:val="single" w:color="000000" w:sz="4" w:space="0"/>
              <w:bottom w:val="single" w:color="000000" w:sz="4" w:space="0"/>
              <w:right w:val="single" w:color="000000" w:sz="4" w:space="0"/>
            </w:tcBorders>
            <w:vAlign w:val="center"/>
          </w:tcPr>
          <w:p w14:paraId="611BBA4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教务中心</w:t>
            </w:r>
          </w:p>
        </w:tc>
        <w:tc>
          <w:tcPr>
            <w:tcW w:w="1537" w:type="dxa"/>
            <w:tcBorders>
              <w:top w:val="single" w:color="000000" w:sz="4" w:space="0"/>
              <w:left w:val="single" w:color="000000" w:sz="4" w:space="0"/>
              <w:bottom w:val="single" w:color="000000" w:sz="4" w:space="0"/>
              <w:right w:val="single" w:color="000000" w:sz="4" w:space="0"/>
            </w:tcBorders>
            <w:vAlign w:val="center"/>
          </w:tcPr>
          <w:p w14:paraId="7FC69D0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0182B77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0EC5F4D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5B4E284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606B36A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C1C1ED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1 </w:t>
            </w:r>
          </w:p>
        </w:tc>
      </w:tr>
      <w:tr w14:paraId="60759750">
        <w:tblPrEx>
          <w:tblCellMar>
            <w:top w:w="0" w:type="dxa"/>
            <w:left w:w="108" w:type="dxa"/>
            <w:bottom w:w="0" w:type="dxa"/>
            <w:right w:w="108" w:type="dxa"/>
          </w:tblCellMar>
        </w:tblPrEx>
        <w:trPr>
          <w:trHeight w:val="283"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3959A49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1097" w:type="dxa"/>
            <w:tcBorders>
              <w:top w:val="single" w:color="000000" w:sz="4" w:space="0"/>
              <w:left w:val="single" w:color="000000" w:sz="4" w:space="0"/>
              <w:bottom w:val="single" w:color="000000" w:sz="4" w:space="0"/>
              <w:right w:val="single" w:color="000000" w:sz="4" w:space="0"/>
            </w:tcBorders>
            <w:vAlign w:val="center"/>
          </w:tcPr>
          <w:p w14:paraId="3F0B313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邮件中心</w:t>
            </w:r>
          </w:p>
        </w:tc>
        <w:tc>
          <w:tcPr>
            <w:tcW w:w="1537" w:type="dxa"/>
            <w:tcBorders>
              <w:top w:val="single" w:color="000000" w:sz="4" w:space="0"/>
              <w:left w:val="single" w:color="000000" w:sz="4" w:space="0"/>
              <w:bottom w:val="single" w:color="000000" w:sz="4" w:space="0"/>
              <w:right w:val="single" w:color="000000" w:sz="4" w:space="0"/>
            </w:tcBorders>
            <w:vAlign w:val="center"/>
          </w:tcPr>
          <w:p w14:paraId="2B6B92A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58E4CBD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5C6C7DB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491F154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487FB85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66D04F0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99A3091">
        <w:tblPrEx>
          <w:tblCellMar>
            <w:top w:w="0" w:type="dxa"/>
            <w:left w:w="108" w:type="dxa"/>
            <w:bottom w:w="0" w:type="dxa"/>
            <w:right w:w="108" w:type="dxa"/>
          </w:tblCellMar>
        </w:tblPrEx>
        <w:trPr>
          <w:trHeight w:val="283" w:hRule="atLeast"/>
          <w:jc w:val="center"/>
        </w:trPr>
        <w:tc>
          <w:tcPr>
            <w:tcW w:w="732" w:type="dxa"/>
            <w:tcBorders>
              <w:top w:val="single" w:color="000000" w:sz="4" w:space="0"/>
              <w:left w:val="single" w:color="000000" w:sz="4" w:space="0"/>
              <w:bottom w:val="single" w:color="000000" w:sz="4" w:space="0"/>
              <w:right w:val="single" w:color="000000" w:sz="4" w:space="0"/>
            </w:tcBorders>
            <w:vAlign w:val="center"/>
          </w:tcPr>
          <w:p w14:paraId="1A3ABFF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8</w:t>
            </w:r>
          </w:p>
        </w:tc>
        <w:tc>
          <w:tcPr>
            <w:tcW w:w="1097" w:type="dxa"/>
            <w:tcBorders>
              <w:top w:val="single" w:color="000000" w:sz="4" w:space="0"/>
              <w:left w:val="single" w:color="000000" w:sz="4" w:space="0"/>
              <w:bottom w:val="single" w:color="000000" w:sz="4" w:space="0"/>
              <w:right w:val="single" w:color="000000" w:sz="4" w:space="0"/>
            </w:tcBorders>
            <w:vAlign w:val="center"/>
          </w:tcPr>
          <w:p w14:paraId="5AE4244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场馆中心</w:t>
            </w:r>
          </w:p>
        </w:tc>
        <w:tc>
          <w:tcPr>
            <w:tcW w:w="1537" w:type="dxa"/>
            <w:tcBorders>
              <w:top w:val="single" w:color="000000" w:sz="4" w:space="0"/>
              <w:left w:val="single" w:color="000000" w:sz="4" w:space="0"/>
              <w:bottom w:val="single" w:color="000000" w:sz="4" w:space="0"/>
              <w:right w:val="single" w:color="000000" w:sz="4" w:space="0"/>
            </w:tcBorders>
            <w:vAlign w:val="center"/>
          </w:tcPr>
          <w:p w14:paraId="7D5089B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场馆管理岗</w:t>
            </w:r>
          </w:p>
        </w:tc>
        <w:tc>
          <w:tcPr>
            <w:tcW w:w="1725" w:type="dxa"/>
            <w:tcBorders>
              <w:top w:val="single" w:color="000000" w:sz="4" w:space="0"/>
              <w:left w:val="single" w:color="000000" w:sz="4" w:space="0"/>
              <w:bottom w:val="single" w:color="000000" w:sz="4" w:space="0"/>
              <w:right w:val="single" w:color="000000" w:sz="4" w:space="0"/>
            </w:tcBorders>
            <w:noWrap/>
            <w:vAlign w:val="center"/>
          </w:tcPr>
          <w:p w14:paraId="15BF133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场馆中心主管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5E51A6A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5</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7D736E4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505A34D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2FAA0BF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4C79FA7">
        <w:tblPrEx>
          <w:tblCellMar>
            <w:top w:w="0" w:type="dxa"/>
            <w:left w:w="108" w:type="dxa"/>
            <w:bottom w:w="0" w:type="dxa"/>
            <w:right w:w="108" w:type="dxa"/>
          </w:tblCellMar>
        </w:tblPrEx>
        <w:trPr>
          <w:trHeight w:val="283" w:hRule="atLeast"/>
          <w:jc w:val="center"/>
        </w:trPr>
        <w:tc>
          <w:tcPr>
            <w:tcW w:w="5091" w:type="dxa"/>
            <w:gridSpan w:val="4"/>
            <w:tcBorders>
              <w:top w:val="single" w:color="000000" w:sz="4" w:space="0"/>
              <w:left w:val="single" w:color="000000" w:sz="4" w:space="0"/>
              <w:bottom w:val="single" w:color="000000" w:sz="4" w:space="0"/>
              <w:right w:val="single" w:color="000000" w:sz="4" w:space="0"/>
            </w:tcBorders>
            <w:vAlign w:val="center"/>
          </w:tcPr>
          <w:p w14:paraId="1B45EDB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合计</w:t>
            </w:r>
          </w:p>
        </w:tc>
        <w:tc>
          <w:tcPr>
            <w:tcW w:w="795" w:type="dxa"/>
            <w:tcBorders>
              <w:top w:val="single" w:color="000000" w:sz="4" w:space="0"/>
              <w:left w:val="single" w:color="000000" w:sz="4" w:space="0"/>
              <w:bottom w:val="single" w:color="000000" w:sz="4" w:space="0"/>
              <w:right w:val="single" w:color="000000" w:sz="4" w:space="0"/>
            </w:tcBorders>
            <w:noWrap/>
            <w:vAlign w:val="center"/>
          </w:tcPr>
          <w:p w14:paraId="64BE34F0">
            <w:pPr>
              <w:jc w:val="center"/>
              <w:textAlignment w:val="center"/>
              <w:rPr>
                <w:rFonts w:hint="eastAsia" w:ascii="宋体" w:hAnsi="宋体" w:eastAsia="宋体" w:cs="宋体"/>
                <w:color w:val="000000"/>
                <w:szCs w:val="21"/>
              </w:rPr>
            </w:pPr>
            <w:r>
              <w:rPr>
                <w:rFonts w:hint="eastAsia" w:ascii="宋体" w:hAnsi="宋体" w:eastAsia="宋体" w:cs="宋体"/>
                <w:szCs w:val="21"/>
              </w:rPr>
              <w:t>/</w:t>
            </w:r>
          </w:p>
        </w:tc>
        <w:tc>
          <w:tcPr>
            <w:tcW w:w="855" w:type="dxa"/>
            <w:tcBorders>
              <w:top w:val="single" w:color="000000" w:sz="4" w:space="0"/>
              <w:left w:val="single" w:color="000000" w:sz="4" w:space="0"/>
              <w:bottom w:val="single" w:color="000000" w:sz="4" w:space="0"/>
              <w:right w:val="single" w:color="000000" w:sz="4" w:space="0"/>
            </w:tcBorders>
            <w:noWrap/>
            <w:vAlign w:val="center"/>
          </w:tcPr>
          <w:p w14:paraId="7001CDC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w:t>
            </w:r>
          </w:p>
        </w:tc>
        <w:tc>
          <w:tcPr>
            <w:tcW w:w="735" w:type="dxa"/>
            <w:tcBorders>
              <w:top w:val="single" w:color="000000" w:sz="4" w:space="0"/>
              <w:left w:val="single" w:color="000000" w:sz="4" w:space="0"/>
              <w:bottom w:val="single" w:color="000000" w:sz="4" w:space="0"/>
              <w:right w:val="single" w:color="000000" w:sz="4" w:space="0"/>
            </w:tcBorders>
            <w:noWrap/>
            <w:vAlign w:val="center"/>
          </w:tcPr>
          <w:p w14:paraId="103F348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63CF5A4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r>
    </w:tbl>
    <w:p w14:paraId="19448A2F">
      <w:pPr>
        <w:rPr>
          <w:rFonts w:hint="eastAsia" w:ascii="宋体" w:hAnsi="宋体" w:eastAsia="宋体" w:cs="宋体"/>
          <w:szCs w:val="21"/>
        </w:rPr>
      </w:pPr>
    </w:p>
    <w:tbl>
      <w:tblPr>
        <w:tblStyle w:val="26"/>
        <w:tblW w:w="8346" w:type="dxa"/>
        <w:tblInd w:w="100" w:type="dxa"/>
        <w:tblLayout w:type="fixed"/>
        <w:tblCellMar>
          <w:top w:w="0" w:type="dxa"/>
          <w:left w:w="108" w:type="dxa"/>
          <w:bottom w:w="0" w:type="dxa"/>
          <w:right w:w="108" w:type="dxa"/>
        </w:tblCellMar>
      </w:tblPr>
      <w:tblGrid>
        <w:gridCol w:w="704"/>
        <w:gridCol w:w="1150"/>
        <w:gridCol w:w="1678"/>
        <w:gridCol w:w="1874"/>
        <w:gridCol w:w="704"/>
        <w:gridCol w:w="365"/>
        <w:gridCol w:w="1181"/>
        <w:gridCol w:w="690"/>
      </w:tblGrid>
      <w:tr w14:paraId="487618E6">
        <w:tblPrEx>
          <w:tblCellMar>
            <w:top w:w="0" w:type="dxa"/>
            <w:left w:w="108" w:type="dxa"/>
            <w:bottom w:w="0" w:type="dxa"/>
            <w:right w:w="108" w:type="dxa"/>
          </w:tblCellMar>
        </w:tblPrEx>
        <w:trPr>
          <w:trHeight w:val="740" w:hRule="atLeast"/>
        </w:trPr>
        <w:tc>
          <w:tcPr>
            <w:tcW w:w="8346" w:type="dxa"/>
            <w:gridSpan w:val="8"/>
            <w:tcBorders>
              <w:top w:val="nil"/>
              <w:left w:val="nil"/>
              <w:bottom w:val="nil"/>
              <w:right w:val="nil"/>
            </w:tcBorders>
            <w:noWrap/>
            <w:vAlign w:val="center"/>
          </w:tcPr>
          <w:p w14:paraId="7575EF9C">
            <w:pPr>
              <w:jc w:val="center"/>
              <w:textAlignment w:val="center"/>
              <w:rPr>
                <w:rFonts w:hint="eastAsia" w:ascii="宋体" w:hAnsi="宋体" w:eastAsia="宋体" w:cs="宋体"/>
                <w:b/>
                <w:bCs/>
                <w:color w:val="000000"/>
                <w:szCs w:val="21"/>
              </w:rPr>
            </w:pPr>
            <w:r>
              <w:rPr>
                <w:rFonts w:hint="eastAsia" w:ascii="宋体" w:hAnsi="宋体" w:eastAsia="宋体" w:cs="宋体"/>
                <w:b/>
                <w:bCs/>
                <w:color w:val="000000"/>
                <w:szCs w:val="21"/>
              </w:rPr>
              <w:t>服务现场保障人员岗位清单</w:t>
            </w:r>
          </w:p>
        </w:tc>
      </w:tr>
      <w:tr w14:paraId="44C9BE8F">
        <w:tblPrEx>
          <w:tblCellMar>
            <w:top w:w="0" w:type="dxa"/>
            <w:left w:w="108" w:type="dxa"/>
            <w:bottom w:w="0" w:type="dxa"/>
            <w:right w:w="108" w:type="dxa"/>
          </w:tblCellMar>
        </w:tblPrEx>
        <w:trPr>
          <w:trHeight w:val="315" w:hRule="atLeast"/>
        </w:trPr>
        <w:tc>
          <w:tcPr>
            <w:tcW w:w="704" w:type="dxa"/>
            <w:vMerge w:val="restart"/>
            <w:tcBorders>
              <w:top w:val="single" w:color="000000" w:sz="4" w:space="0"/>
              <w:left w:val="single" w:color="000000" w:sz="4" w:space="0"/>
              <w:bottom w:val="single" w:color="000000" w:sz="4" w:space="0"/>
              <w:right w:val="single" w:color="000000" w:sz="4" w:space="0"/>
            </w:tcBorders>
            <w:vAlign w:val="center"/>
          </w:tcPr>
          <w:p w14:paraId="75A618A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序号</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000D9EF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部门</w:t>
            </w: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2598E00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类别</w:t>
            </w:r>
          </w:p>
        </w:tc>
        <w:tc>
          <w:tcPr>
            <w:tcW w:w="1874" w:type="dxa"/>
            <w:vMerge w:val="restart"/>
            <w:tcBorders>
              <w:top w:val="single" w:color="000000" w:sz="4" w:space="0"/>
              <w:left w:val="single" w:color="000000" w:sz="4" w:space="0"/>
              <w:bottom w:val="single" w:color="000000" w:sz="4" w:space="0"/>
              <w:right w:val="single" w:color="000000" w:sz="4" w:space="0"/>
            </w:tcBorders>
            <w:noWrap/>
            <w:vAlign w:val="center"/>
          </w:tcPr>
          <w:p w14:paraId="74D6FBA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岗位名称</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6821DD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工作天数</w:t>
            </w:r>
          </w:p>
        </w:tc>
        <w:tc>
          <w:tcPr>
            <w:tcW w:w="1181" w:type="dxa"/>
            <w:tcBorders>
              <w:top w:val="single" w:color="000000" w:sz="4" w:space="0"/>
              <w:left w:val="single" w:color="000000" w:sz="4" w:space="0"/>
              <w:bottom w:val="single" w:color="000000" w:sz="4" w:space="0"/>
              <w:right w:val="single" w:color="000000" w:sz="4" w:space="0"/>
            </w:tcBorders>
            <w:vAlign w:val="center"/>
          </w:tcPr>
          <w:p w14:paraId="78BFED5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工作时长</w:t>
            </w:r>
          </w:p>
        </w:tc>
        <w:tc>
          <w:tcPr>
            <w:tcW w:w="690" w:type="dxa"/>
            <w:vMerge w:val="restart"/>
            <w:tcBorders>
              <w:top w:val="single" w:color="000000" w:sz="4" w:space="0"/>
              <w:left w:val="single" w:color="000000" w:sz="4" w:space="0"/>
              <w:bottom w:val="single" w:color="000000" w:sz="4" w:space="0"/>
              <w:right w:val="single" w:color="000000" w:sz="4" w:space="0"/>
            </w:tcBorders>
            <w:vAlign w:val="center"/>
          </w:tcPr>
          <w:p w14:paraId="7601F96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岗位数量</w:t>
            </w:r>
          </w:p>
        </w:tc>
      </w:tr>
      <w:tr w14:paraId="38EE1FDD">
        <w:tblPrEx>
          <w:tblCellMar>
            <w:top w:w="0" w:type="dxa"/>
            <w:left w:w="108" w:type="dxa"/>
            <w:bottom w:w="0" w:type="dxa"/>
            <w:right w:w="108" w:type="dxa"/>
          </w:tblCellMar>
        </w:tblPrEx>
        <w:trPr>
          <w:trHeight w:val="27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0AA03B36">
            <w:pPr>
              <w:jc w:val="center"/>
              <w:rPr>
                <w:rFonts w:hint="eastAsia" w:ascii="宋体" w:hAnsi="宋体" w:eastAsia="宋体" w:cs="宋体"/>
                <w:color w:val="000000"/>
                <w:szCs w:val="21"/>
              </w:rPr>
            </w:pP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00C3021">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2E9F2D98">
            <w:pPr>
              <w:jc w:val="center"/>
              <w:rPr>
                <w:rFonts w:hint="eastAsia" w:ascii="宋体" w:hAnsi="宋体" w:eastAsia="宋体" w:cs="宋体"/>
                <w:color w:val="000000"/>
                <w:szCs w:val="21"/>
              </w:rPr>
            </w:pPr>
          </w:p>
        </w:tc>
        <w:tc>
          <w:tcPr>
            <w:tcW w:w="1874" w:type="dxa"/>
            <w:vMerge w:val="continue"/>
            <w:tcBorders>
              <w:top w:val="single" w:color="000000" w:sz="4" w:space="0"/>
              <w:left w:val="single" w:color="000000" w:sz="4" w:space="0"/>
              <w:bottom w:val="single" w:color="000000" w:sz="4" w:space="0"/>
              <w:right w:val="single" w:color="000000" w:sz="4" w:space="0"/>
            </w:tcBorders>
            <w:noWrap/>
            <w:vAlign w:val="center"/>
          </w:tcPr>
          <w:p w14:paraId="2BA4DE43">
            <w:pPr>
              <w:jc w:val="center"/>
              <w:rPr>
                <w:rFonts w:hint="eastAsia" w:ascii="宋体" w:hAnsi="宋体" w:eastAsia="宋体" w:cs="宋体"/>
                <w:color w:val="000000"/>
                <w:szCs w:val="21"/>
              </w:rPr>
            </w:pP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6EEF731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每周</w:t>
            </w:r>
          </w:p>
        </w:tc>
        <w:tc>
          <w:tcPr>
            <w:tcW w:w="1181" w:type="dxa"/>
            <w:tcBorders>
              <w:top w:val="single" w:color="000000" w:sz="4" w:space="0"/>
              <w:left w:val="single" w:color="000000" w:sz="4" w:space="0"/>
              <w:bottom w:val="single" w:color="000000" w:sz="4" w:space="0"/>
              <w:right w:val="single" w:color="000000" w:sz="4" w:space="0"/>
            </w:tcBorders>
            <w:vAlign w:val="center"/>
          </w:tcPr>
          <w:p w14:paraId="731F803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(小时/日)</w:t>
            </w:r>
          </w:p>
        </w:tc>
        <w:tc>
          <w:tcPr>
            <w:tcW w:w="690" w:type="dxa"/>
            <w:vMerge w:val="continue"/>
            <w:tcBorders>
              <w:top w:val="single" w:color="000000" w:sz="4" w:space="0"/>
              <w:left w:val="single" w:color="000000" w:sz="4" w:space="0"/>
              <w:bottom w:val="single" w:color="000000" w:sz="4" w:space="0"/>
              <w:right w:val="single" w:color="000000" w:sz="4" w:space="0"/>
            </w:tcBorders>
            <w:vAlign w:val="center"/>
          </w:tcPr>
          <w:p w14:paraId="1A869AD2">
            <w:pPr>
              <w:jc w:val="center"/>
              <w:rPr>
                <w:rFonts w:hint="eastAsia" w:ascii="宋体" w:hAnsi="宋体" w:eastAsia="宋体" w:cs="宋体"/>
                <w:color w:val="000000"/>
                <w:szCs w:val="21"/>
              </w:rPr>
            </w:pPr>
          </w:p>
        </w:tc>
      </w:tr>
      <w:tr w14:paraId="6435FF07">
        <w:tblPrEx>
          <w:tblCellMar>
            <w:top w:w="0" w:type="dxa"/>
            <w:left w:w="108" w:type="dxa"/>
            <w:bottom w:w="0" w:type="dxa"/>
            <w:right w:w="108" w:type="dxa"/>
          </w:tblCellMar>
        </w:tblPrEx>
        <w:trPr>
          <w:trHeight w:val="31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249364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6DB334B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巡查组</w:t>
            </w: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0EF9B61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校园巡查岗</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CCC060C">
            <w:pPr>
              <w:textAlignment w:val="center"/>
              <w:rPr>
                <w:rFonts w:hint="eastAsia" w:ascii="宋体" w:hAnsi="宋体" w:eastAsia="宋体" w:cs="宋体"/>
                <w:color w:val="000000"/>
                <w:szCs w:val="21"/>
              </w:rPr>
            </w:pPr>
            <w:r>
              <w:rPr>
                <w:rFonts w:hint="eastAsia" w:ascii="宋体" w:hAnsi="宋体" w:eastAsia="宋体" w:cs="宋体"/>
                <w:color w:val="000000"/>
                <w:szCs w:val="21"/>
              </w:rPr>
              <w:t>巡查助理（白班）</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A10C4D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05C34B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C5F045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r>
      <w:tr w14:paraId="017E669C">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6859AC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w:t>
            </w:r>
          </w:p>
        </w:tc>
        <w:tc>
          <w:tcPr>
            <w:tcW w:w="1150" w:type="dxa"/>
            <w:vMerge w:val="continue"/>
            <w:tcBorders>
              <w:top w:val="single" w:color="000000" w:sz="4" w:space="0"/>
              <w:left w:val="single" w:color="000000" w:sz="4" w:space="0"/>
              <w:bottom w:val="single" w:color="auto" w:sz="4" w:space="0"/>
              <w:right w:val="single" w:color="000000" w:sz="4" w:space="0"/>
            </w:tcBorders>
            <w:vAlign w:val="center"/>
          </w:tcPr>
          <w:p w14:paraId="4E8F2845">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auto" w:sz="4" w:space="0"/>
              <w:right w:val="single" w:color="000000" w:sz="4" w:space="0"/>
            </w:tcBorders>
            <w:vAlign w:val="center"/>
          </w:tcPr>
          <w:p w14:paraId="6508BB73">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auto" w:sz="4" w:space="0"/>
              <w:right w:val="single" w:color="000000" w:sz="4" w:space="0"/>
            </w:tcBorders>
            <w:noWrap/>
            <w:vAlign w:val="center"/>
          </w:tcPr>
          <w:p w14:paraId="1B0C298F">
            <w:pPr>
              <w:textAlignment w:val="center"/>
              <w:rPr>
                <w:rFonts w:hint="eastAsia" w:ascii="宋体" w:hAnsi="宋体" w:eastAsia="宋体" w:cs="宋体"/>
                <w:color w:val="000000"/>
                <w:szCs w:val="21"/>
              </w:rPr>
            </w:pPr>
            <w:r>
              <w:rPr>
                <w:rFonts w:hint="eastAsia" w:ascii="宋体" w:hAnsi="宋体" w:eastAsia="宋体" w:cs="宋体"/>
                <w:color w:val="000000"/>
                <w:szCs w:val="21"/>
              </w:rPr>
              <w:t>巡查助理（夜班）</w:t>
            </w:r>
          </w:p>
        </w:tc>
        <w:tc>
          <w:tcPr>
            <w:tcW w:w="1069" w:type="dxa"/>
            <w:gridSpan w:val="2"/>
            <w:tcBorders>
              <w:top w:val="single" w:color="000000" w:sz="4" w:space="0"/>
              <w:left w:val="single" w:color="000000" w:sz="4" w:space="0"/>
              <w:bottom w:val="single" w:color="auto" w:sz="4" w:space="0"/>
              <w:right w:val="single" w:color="000000" w:sz="4" w:space="0"/>
            </w:tcBorders>
            <w:noWrap/>
            <w:vAlign w:val="center"/>
          </w:tcPr>
          <w:p w14:paraId="3CA3135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auto" w:sz="4" w:space="0"/>
              <w:right w:val="single" w:color="000000" w:sz="4" w:space="0"/>
            </w:tcBorders>
            <w:noWrap/>
            <w:vAlign w:val="center"/>
          </w:tcPr>
          <w:p w14:paraId="5728BF0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auto" w:sz="4" w:space="0"/>
              <w:right w:val="single" w:color="000000" w:sz="4" w:space="0"/>
            </w:tcBorders>
            <w:noWrap/>
            <w:vAlign w:val="center"/>
          </w:tcPr>
          <w:p w14:paraId="513536A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F2FF791">
        <w:tblPrEx>
          <w:tblCellMar>
            <w:top w:w="0" w:type="dxa"/>
            <w:left w:w="108" w:type="dxa"/>
            <w:bottom w:w="0" w:type="dxa"/>
            <w:right w:w="108" w:type="dxa"/>
          </w:tblCellMar>
        </w:tblPrEx>
        <w:trPr>
          <w:trHeight w:val="735" w:hRule="atLeast"/>
        </w:trPr>
        <w:tc>
          <w:tcPr>
            <w:tcW w:w="704" w:type="dxa"/>
            <w:tcBorders>
              <w:top w:val="single" w:color="000000" w:sz="4" w:space="0"/>
              <w:left w:val="single" w:color="000000" w:sz="4" w:space="0"/>
              <w:bottom w:val="single" w:color="000000" w:sz="4" w:space="0"/>
              <w:right w:val="single" w:color="auto" w:sz="4" w:space="0"/>
            </w:tcBorders>
            <w:vAlign w:val="center"/>
          </w:tcPr>
          <w:p w14:paraId="69331C2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w:t>
            </w:r>
          </w:p>
        </w:tc>
        <w:tc>
          <w:tcPr>
            <w:tcW w:w="1150" w:type="dxa"/>
            <w:vMerge w:val="restart"/>
            <w:tcBorders>
              <w:top w:val="single" w:color="auto" w:sz="4" w:space="0"/>
              <w:left w:val="single" w:color="auto" w:sz="4" w:space="0"/>
              <w:right w:val="single" w:color="000000" w:sz="4" w:space="0"/>
            </w:tcBorders>
            <w:noWrap/>
            <w:vAlign w:val="center"/>
          </w:tcPr>
          <w:p w14:paraId="68CBE7D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宿管中心</w:t>
            </w:r>
          </w:p>
        </w:tc>
        <w:tc>
          <w:tcPr>
            <w:tcW w:w="1678" w:type="dxa"/>
            <w:tcBorders>
              <w:top w:val="single" w:color="auto" w:sz="4" w:space="0"/>
              <w:left w:val="single" w:color="000000" w:sz="4" w:space="0"/>
              <w:right w:val="single" w:color="000000" w:sz="4" w:space="0"/>
            </w:tcBorders>
            <w:vAlign w:val="center"/>
          </w:tcPr>
          <w:p w14:paraId="71895EE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学生宿舍区</w:t>
            </w:r>
          </w:p>
        </w:tc>
        <w:tc>
          <w:tcPr>
            <w:tcW w:w="1874" w:type="dxa"/>
            <w:tcBorders>
              <w:top w:val="single" w:color="auto" w:sz="4" w:space="0"/>
              <w:left w:val="single" w:color="000000" w:sz="4" w:space="0"/>
              <w:bottom w:val="single" w:color="auto" w:sz="4" w:space="0"/>
              <w:right w:val="single" w:color="000000" w:sz="4" w:space="0"/>
            </w:tcBorders>
            <w:noWrap/>
            <w:vAlign w:val="center"/>
          </w:tcPr>
          <w:p w14:paraId="3E0B525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宿舍管理员</w:t>
            </w:r>
          </w:p>
        </w:tc>
        <w:tc>
          <w:tcPr>
            <w:tcW w:w="1069" w:type="dxa"/>
            <w:gridSpan w:val="2"/>
            <w:tcBorders>
              <w:top w:val="single" w:color="auto" w:sz="4" w:space="0"/>
              <w:left w:val="single" w:color="000000" w:sz="4" w:space="0"/>
              <w:bottom w:val="single" w:color="auto" w:sz="4" w:space="0"/>
              <w:right w:val="single" w:color="000000" w:sz="4" w:space="0"/>
            </w:tcBorders>
            <w:noWrap/>
            <w:vAlign w:val="center"/>
          </w:tcPr>
          <w:p w14:paraId="5362758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1181" w:type="dxa"/>
            <w:tcBorders>
              <w:top w:val="single" w:color="auto" w:sz="4" w:space="0"/>
              <w:left w:val="single" w:color="000000" w:sz="4" w:space="0"/>
              <w:bottom w:val="single" w:color="auto" w:sz="4" w:space="0"/>
              <w:right w:val="single" w:color="000000" w:sz="4" w:space="0"/>
            </w:tcBorders>
            <w:noWrap/>
            <w:vAlign w:val="center"/>
          </w:tcPr>
          <w:p w14:paraId="0344609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24</w:t>
            </w:r>
          </w:p>
        </w:tc>
        <w:tc>
          <w:tcPr>
            <w:tcW w:w="690" w:type="dxa"/>
            <w:tcBorders>
              <w:top w:val="single" w:color="auto" w:sz="4" w:space="0"/>
              <w:left w:val="single" w:color="000000" w:sz="4" w:space="0"/>
              <w:bottom w:val="single" w:color="auto" w:sz="4" w:space="0"/>
              <w:right w:val="single" w:color="auto" w:sz="4" w:space="0"/>
            </w:tcBorders>
            <w:noWrap/>
            <w:vAlign w:val="center"/>
          </w:tcPr>
          <w:p w14:paraId="713952F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35</w:t>
            </w:r>
          </w:p>
        </w:tc>
      </w:tr>
      <w:tr w14:paraId="71D570DD">
        <w:tblPrEx>
          <w:tblCellMar>
            <w:top w:w="0" w:type="dxa"/>
            <w:left w:w="108" w:type="dxa"/>
            <w:bottom w:w="0" w:type="dxa"/>
            <w:right w:w="108" w:type="dxa"/>
          </w:tblCellMar>
        </w:tblPrEx>
        <w:trPr>
          <w:trHeight w:val="73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E39449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w:t>
            </w:r>
          </w:p>
        </w:tc>
        <w:tc>
          <w:tcPr>
            <w:tcW w:w="1150" w:type="dxa"/>
            <w:vMerge w:val="continue"/>
            <w:tcBorders>
              <w:top w:val="single" w:color="auto" w:sz="4" w:space="0"/>
              <w:left w:val="single" w:color="000000" w:sz="4" w:space="0"/>
              <w:bottom w:val="single" w:color="000000" w:sz="4" w:space="0"/>
              <w:right w:val="single" w:color="000000" w:sz="4" w:space="0"/>
            </w:tcBorders>
            <w:noWrap/>
            <w:vAlign w:val="center"/>
          </w:tcPr>
          <w:p w14:paraId="66089F81">
            <w:pPr>
              <w:jc w:val="center"/>
              <w:textAlignment w:val="center"/>
              <w:rPr>
                <w:rFonts w:hint="eastAsia" w:ascii="宋体" w:hAnsi="宋体" w:eastAsia="宋体" w:cs="宋体"/>
                <w:color w:val="000000"/>
                <w:szCs w:val="21"/>
                <w:lang w:bidi="ar"/>
              </w:rPr>
            </w:pPr>
          </w:p>
        </w:tc>
        <w:tc>
          <w:tcPr>
            <w:tcW w:w="1678" w:type="dxa"/>
            <w:tcBorders>
              <w:top w:val="single" w:color="auto" w:sz="4" w:space="0"/>
              <w:left w:val="single" w:color="000000" w:sz="4" w:space="0"/>
              <w:bottom w:val="single" w:color="000000" w:sz="4" w:space="0"/>
              <w:right w:val="single" w:color="000000" w:sz="4" w:space="0"/>
            </w:tcBorders>
            <w:vAlign w:val="center"/>
          </w:tcPr>
          <w:p w14:paraId="73DC0B7A">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医学院宿舍区</w:t>
            </w:r>
          </w:p>
        </w:tc>
        <w:tc>
          <w:tcPr>
            <w:tcW w:w="1874" w:type="dxa"/>
            <w:tcBorders>
              <w:top w:val="single" w:color="auto" w:sz="4" w:space="0"/>
              <w:left w:val="single" w:color="000000" w:sz="4" w:space="0"/>
              <w:bottom w:val="single" w:color="000000" w:sz="4" w:space="0"/>
              <w:right w:val="single" w:color="000000" w:sz="4" w:space="0"/>
            </w:tcBorders>
            <w:noWrap/>
            <w:vAlign w:val="center"/>
          </w:tcPr>
          <w:p w14:paraId="5BB12B93">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rPr>
              <w:t>管家</w:t>
            </w:r>
          </w:p>
        </w:tc>
        <w:tc>
          <w:tcPr>
            <w:tcW w:w="1069" w:type="dxa"/>
            <w:gridSpan w:val="2"/>
            <w:tcBorders>
              <w:top w:val="single" w:color="auto" w:sz="4" w:space="0"/>
              <w:left w:val="single" w:color="000000" w:sz="4" w:space="0"/>
              <w:bottom w:val="single" w:color="000000" w:sz="4" w:space="0"/>
              <w:right w:val="single" w:color="000000" w:sz="4" w:space="0"/>
            </w:tcBorders>
            <w:noWrap/>
            <w:vAlign w:val="center"/>
          </w:tcPr>
          <w:p w14:paraId="36E181BE">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rPr>
              <w:t>7</w:t>
            </w:r>
          </w:p>
        </w:tc>
        <w:tc>
          <w:tcPr>
            <w:tcW w:w="1181" w:type="dxa"/>
            <w:tcBorders>
              <w:top w:val="single" w:color="auto" w:sz="4" w:space="0"/>
              <w:left w:val="single" w:color="000000" w:sz="4" w:space="0"/>
              <w:bottom w:val="single" w:color="000000" w:sz="4" w:space="0"/>
              <w:right w:val="single" w:color="000000" w:sz="4" w:space="0"/>
            </w:tcBorders>
            <w:noWrap/>
            <w:vAlign w:val="center"/>
          </w:tcPr>
          <w:p w14:paraId="043B199D">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rPr>
              <w:t>16</w:t>
            </w:r>
          </w:p>
        </w:tc>
        <w:tc>
          <w:tcPr>
            <w:tcW w:w="690" w:type="dxa"/>
            <w:tcBorders>
              <w:top w:val="single" w:color="auto" w:sz="4" w:space="0"/>
              <w:left w:val="single" w:color="000000" w:sz="4" w:space="0"/>
              <w:bottom w:val="single" w:color="000000" w:sz="4" w:space="0"/>
              <w:right w:val="single" w:color="000000" w:sz="4" w:space="0"/>
            </w:tcBorders>
            <w:noWrap/>
            <w:vAlign w:val="center"/>
          </w:tcPr>
          <w:p w14:paraId="6A52495D">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rPr>
              <w:t>1</w:t>
            </w:r>
          </w:p>
        </w:tc>
      </w:tr>
      <w:tr w14:paraId="2E1330D0">
        <w:tblPrEx>
          <w:tblCellMar>
            <w:top w:w="0" w:type="dxa"/>
            <w:left w:w="108" w:type="dxa"/>
            <w:bottom w:w="0" w:type="dxa"/>
            <w:right w:w="108" w:type="dxa"/>
          </w:tblCellMar>
        </w:tblPrEx>
        <w:trPr>
          <w:trHeight w:val="49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457C6B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w:t>
            </w:r>
          </w:p>
        </w:tc>
        <w:tc>
          <w:tcPr>
            <w:tcW w:w="1150" w:type="dxa"/>
            <w:vMerge w:val="continue"/>
            <w:tcBorders>
              <w:top w:val="single" w:color="000000" w:sz="4" w:space="0"/>
              <w:left w:val="single" w:color="000000" w:sz="4" w:space="0"/>
              <w:right w:val="single" w:color="000000" w:sz="4" w:space="0"/>
            </w:tcBorders>
            <w:vAlign w:val="center"/>
          </w:tcPr>
          <w:p w14:paraId="566E709B">
            <w:pPr>
              <w:jc w:val="center"/>
              <w:textAlignment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65E2D14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荔园、欣园宿舍区</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4982C0D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管家</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382CFF94">
            <w:pPr>
              <w:jc w:val="center"/>
              <w:textAlignment w:val="center"/>
              <w:rPr>
                <w:rFonts w:hint="eastAsia" w:ascii="宋体" w:hAnsi="宋体" w:eastAsia="宋体" w:cs="宋体"/>
                <w:color w:val="000000"/>
                <w:szCs w:val="21"/>
              </w:rPr>
            </w:pPr>
            <w:r>
              <w:rPr>
                <w:rFonts w:hint="eastAsia" w:ascii="宋体" w:hAnsi="宋体" w:eastAsia="宋体" w:cs="宋体"/>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5593D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B14F54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75C5B38A">
        <w:tblPrEx>
          <w:tblCellMar>
            <w:top w:w="0" w:type="dxa"/>
            <w:left w:w="108" w:type="dxa"/>
            <w:bottom w:w="0" w:type="dxa"/>
            <w:right w:w="108" w:type="dxa"/>
          </w:tblCellMar>
        </w:tblPrEx>
        <w:trPr>
          <w:trHeight w:val="49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1446AF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6</w:t>
            </w:r>
          </w:p>
        </w:tc>
        <w:tc>
          <w:tcPr>
            <w:tcW w:w="1150" w:type="dxa"/>
            <w:vMerge w:val="continue"/>
            <w:tcBorders>
              <w:left w:val="single" w:color="000000" w:sz="4" w:space="0"/>
              <w:right w:val="single" w:color="000000" w:sz="4" w:space="0"/>
            </w:tcBorders>
            <w:vAlign w:val="center"/>
          </w:tcPr>
          <w:p w14:paraId="28C93411">
            <w:pPr>
              <w:jc w:val="center"/>
              <w:textAlignment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49DF46F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湖畔、二期宿舍区</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5B1726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管家</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37FA87F">
            <w:pPr>
              <w:jc w:val="center"/>
              <w:textAlignment w:val="center"/>
              <w:rPr>
                <w:rFonts w:hint="eastAsia" w:ascii="宋体" w:hAnsi="宋体" w:eastAsia="宋体" w:cs="宋体"/>
                <w:color w:val="000000"/>
                <w:szCs w:val="21"/>
              </w:rPr>
            </w:pPr>
            <w:r>
              <w:rPr>
                <w:rFonts w:hint="eastAsia" w:ascii="宋体" w:hAnsi="宋体" w:eastAsia="宋体" w:cs="宋体"/>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6FF55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924D9D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56D1180C">
        <w:tblPrEx>
          <w:tblCellMar>
            <w:top w:w="0" w:type="dxa"/>
            <w:left w:w="108" w:type="dxa"/>
            <w:bottom w:w="0" w:type="dxa"/>
            <w:right w:w="108" w:type="dxa"/>
          </w:tblCellMar>
        </w:tblPrEx>
        <w:trPr>
          <w:trHeight w:val="493"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C85BC4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7195C9E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行政教学区</w:t>
            </w:r>
          </w:p>
        </w:tc>
        <w:tc>
          <w:tcPr>
            <w:tcW w:w="1678" w:type="dxa"/>
            <w:tcBorders>
              <w:top w:val="single" w:color="000000" w:sz="4" w:space="0"/>
              <w:left w:val="single" w:color="000000" w:sz="4" w:space="0"/>
              <w:bottom w:val="single" w:color="000000" w:sz="4" w:space="0"/>
              <w:right w:val="single" w:color="000000" w:sz="4" w:space="0"/>
            </w:tcBorders>
            <w:vAlign w:val="center"/>
          </w:tcPr>
          <w:p w14:paraId="1A6EE33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工学院管家</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2B10194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管家</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3A6F0F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6771FB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3080C6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50939534">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E94608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8</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D47B832">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1371FC8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商学院、理学院管家</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6F1A0E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管家</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EB5CFC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FF0B85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0DBF00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5D24CCE">
        <w:tblPrEx>
          <w:tblCellMar>
            <w:top w:w="0" w:type="dxa"/>
            <w:left w:w="108" w:type="dxa"/>
            <w:bottom w:w="0" w:type="dxa"/>
            <w:right w:w="108" w:type="dxa"/>
          </w:tblCellMar>
        </w:tblPrEx>
        <w:trPr>
          <w:trHeight w:val="51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8CFDE3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9</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698D5E50">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6F681DF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南科大中心、台州楼、生物楼管家</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0851A29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管家</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3ED6131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5A7AD6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CB423E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77A3D15C">
        <w:tblPrEx>
          <w:tblCellMar>
            <w:top w:w="0" w:type="dxa"/>
            <w:left w:w="108" w:type="dxa"/>
            <w:bottom w:w="0" w:type="dxa"/>
            <w:right w:w="108" w:type="dxa"/>
          </w:tblCellMar>
        </w:tblPrEx>
        <w:trPr>
          <w:trHeight w:val="51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FD9464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10</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1D6A5B5A">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143F56B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人文、专家公寓、教师公寓、院士楼管家</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5CEDE40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管家</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D52841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1A2372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729BF7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A9EC3C2">
        <w:tblPrEx>
          <w:tblCellMar>
            <w:top w:w="0" w:type="dxa"/>
            <w:left w:w="108" w:type="dxa"/>
            <w:bottom w:w="0" w:type="dxa"/>
            <w:right w:w="108" w:type="dxa"/>
          </w:tblCellMar>
        </w:tblPrEx>
        <w:trPr>
          <w:trHeight w:val="49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2A3A40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11</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3AD909F2">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335F5B7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图书馆管理</w:t>
            </w:r>
          </w:p>
        </w:tc>
        <w:tc>
          <w:tcPr>
            <w:tcW w:w="1874" w:type="dxa"/>
            <w:tcBorders>
              <w:top w:val="single" w:color="000000" w:sz="4" w:space="0"/>
              <w:left w:val="single" w:color="000000" w:sz="4" w:space="0"/>
              <w:bottom w:val="single" w:color="000000" w:sz="4" w:space="0"/>
              <w:right w:val="single" w:color="000000" w:sz="4" w:space="0"/>
            </w:tcBorders>
            <w:vAlign w:val="center"/>
          </w:tcPr>
          <w:p w14:paraId="6C45845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琳恩图书馆一楼固定岗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1F2740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598DB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F9DFA7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8DA08D0">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7C8AE1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12</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8CC50B2">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3140A56A">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vAlign w:val="center"/>
          </w:tcPr>
          <w:p w14:paraId="1816AAC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一丹图书馆一楼固定岗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38A3456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AAA4C7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24</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2447F7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879DCA5">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F90E99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13</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155DC0B0">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48B5E552">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vAlign w:val="center"/>
          </w:tcPr>
          <w:p w14:paraId="052B5C4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一丹图书馆二楼固定岗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6B7FA8F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B820D2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73E9F8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1C476971">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6129C6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14</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3306FBED">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2DFB8B24">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vAlign w:val="center"/>
          </w:tcPr>
          <w:p w14:paraId="2615A7F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涵泳图书馆固定岗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7D977F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CDAF76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752BDC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7E54205">
        <w:tblPrEx>
          <w:tblCellMar>
            <w:top w:w="0" w:type="dxa"/>
            <w:left w:w="108" w:type="dxa"/>
            <w:bottom w:w="0" w:type="dxa"/>
            <w:right w:w="108" w:type="dxa"/>
          </w:tblCellMar>
        </w:tblPrEx>
        <w:trPr>
          <w:trHeight w:val="30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AA4C7F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15</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1E9896F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资运中心</w:t>
            </w:r>
          </w:p>
        </w:tc>
        <w:tc>
          <w:tcPr>
            <w:tcW w:w="1678" w:type="dxa"/>
            <w:tcBorders>
              <w:top w:val="single" w:color="000000" w:sz="4" w:space="0"/>
              <w:left w:val="single" w:color="000000" w:sz="4" w:space="0"/>
              <w:bottom w:val="single" w:color="000000" w:sz="4" w:space="0"/>
              <w:right w:val="single" w:color="000000" w:sz="4" w:space="0"/>
            </w:tcBorders>
            <w:vAlign w:val="center"/>
          </w:tcPr>
          <w:p w14:paraId="5EE35C3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资产搬运</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53557A7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小型资产搬运</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147912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197626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7A7B55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r>
      <w:tr w14:paraId="4BCCB0BA">
        <w:tblPrEx>
          <w:tblCellMar>
            <w:top w:w="0" w:type="dxa"/>
            <w:left w:w="108" w:type="dxa"/>
            <w:bottom w:w="0" w:type="dxa"/>
            <w:right w:w="108" w:type="dxa"/>
          </w:tblCellMar>
        </w:tblPrEx>
        <w:trPr>
          <w:trHeight w:val="30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122969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16</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6F8F0A3">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17344A6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电瓶车接驳服务</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4C16F2D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电瓶车接驳岗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76ED60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215C60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85ABB3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288C0A02">
        <w:tblPrEx>
          <w:tblCellMar>
            <w:top w:w="0" w:type="dxa"/>
            <w:left w:w="108" w:type="dxa"/>
            <w:bottom w:w="0" w:type="dxa"/>
            <w:right w:w="108" w:type="dxa"/>
          </w:tblCellMar>
        </w:tblPrEx>
        <w:trPr>
          <w:trHeight w:val="31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6A4ACB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17</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76826D1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会务中心</w:t>
            </w:r>
          </w:p>
        </w:tc>
        <w:tc>
          <w:tcPr>
            <w:tcW w:w="1678" w:type="dxa"/>
            <w:vMerge w:val="restart"/>
            <w:tcBorders>
              <w:top w:val="single" w:color="000000" w:sz="4" w:space="0"/>
              <w:left w:val="single" w:color="000000" w:sz="4" w:space="0"/>
              <w:right w:val="single" w:color="000000" w:sz="4" w:space="0"/>
            </w:tcBorders>
            <w:vAlign w:val="center"/>
          </w:tcPr>
          <w:p w14:paraId="04A1488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会议中心</w:t>
            </w:r>
          </w:p>
        </w:tc>
        <w:tc>
          <w:tcPr>
            <w:tcW w:w="1874" w:type="dxa"/>
            <w:tcBorders>
              <w:top w:val="single" w:color="000000" w:sz="4" w:space="0"/>
              <w:left w:val="single" w:color="000000" w:sz="4" w:space="0"/>
              <w:bottom w:val="single" w:color="000000" w:sz="4" w:space="0"/>
              <w:right w:val="single" w:color="000000" w:sz="4" w:space="0"/>
            </w:tcBorders>
            <w:vAlign w:val="center"/>
          </w:tcPr>
          <w:p w14:paraId="3A675BA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会务领班</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A33C08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E6DD0F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5F73A7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82C5A9D">
        <w:tblPrEx>
          <w:tblCellMar>
            <w:top w:w="0" w:type="dxa"/>
            <w:left w:w="108" w:type="dxa"/>
            <w:bottom w:w="0" w:type="dxa"/>
            <w:right w:w="108" w:type="dxa"/>
          </w:tblCellMar>
        </w:tblPrEx>
        <w:trPr>
          <w:trHeight w:val="30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F68A98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18</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D3D29E4">
            <w:pPr>
              <w:jc w:val="center"/>
              <w:rPr>
                <w:rFonts w:hint="eastAsia" w:ascii="宋体" w:hAnsi="宋体" w:eastAsia="宋体" w:cs="宋体"/>
                <w:color w:val="000000"/>
                <w:szCs w:val="21"/>
              </w:rPr>
            </w:pPr>
          </w:p>
        </w:tc>
        <w:tc>
          <w:tcPr>
            <w:tcW w:w="1678" w:type="dxa"/>
            <w:vMerge w:val="continue"/>
            <w:tcBorders>
              <w:left w:val="single" w:color="000000" w:sz="4" w:space="0"/>
              <w:right w:val="single" w:color="000000" w:sz="4" w:space="0"/>
            </w:tcBorders>
            <w:vAlign w:val="center"/>
          </w:tcPr>
          <w:p w14:paraId="7E7CD4FC">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603BA7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会务前台</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816197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2DBABB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057823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70AF6A3D">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89D2E0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19</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10FA7E3C">
            <w:pPr>
              <w:jc w:val="center"/>
              <w:rPr>
                <w:rFonts w:hint="eastAsia" w:ascii="宋体" w:hAnsi="宋体" w:eastAsia="宋体" w:cs="宋体"/>
                <w:color w:val="000000"/>
                <w:szCs w:val="21"/>
              </w:rPr>
            </w:pPr>
          </w:p>
        </w:tc>
        <w:tc>
          <w:tcPr>
            <w:tcW w:w="1678" w:type="dxa"/>
            <w:vMerge w:val="continue"/>
            <w:tcBorders>
              <w:left w:val="single" w:color="000000" w:sz="4" w:space="0"/>
              <w:right w:val="single" w:color="000000" w:sz="4" w:space="0"/>
            </w:tcBorders>
            <w:vAlign w:val="center"/>
          </w:tcPr>
          <w:p w14:paraId="74C97B2A">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7087036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0699634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5834A5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8C74BA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3</w:t>
            </w:r>
          </w:p>
        </w:tc>
      </w:tr>
      <w:tr w14:paraId="2EE5E7CE">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48B950F">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20</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9E20D55">
            <w:pPr>
              <w:jc w:val="center"/>
              <w:rPr>
                <w:rFonts w:hint="eastAsia" w:ascii="宋体" w:hAnsi="宋体" w:eastAsia="宋体" w:cs="宋体"/>
                <w:color w:val="000000"/>
                <w:szCs w:val="21"/>
              </w:rPr>
            </w:pPr>
          </w:p>
        </w:tc>
        <w:tc>
          <w:tcPr>
            <w:tcW w:w="1678" w:type="dxa"/>
            <w:vMerge w:val="continue"/>
            <w:tcBorders>
              <w:left w:val="single" w:color="000000" w:sz="4" w:space="0"/>
              <w:bottom w:val="single" w:color="000000" w:sz="4" w:space="0"/>
              <w:right w:val="single" w:color="000000" w:sz="4" w:space="0"/>
            </w:tcBorders>
            <w:vAlign w:val="center"/>
          </w:tcPr>
          <w:p w14:paraId="00264828">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57AAC49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机动岗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D44356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CC0F41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1615AD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757FC577">
        <w:tblPrEx>
          <w:tblCellMar>
            <w:top w:w="0" w:type="dxa"/>
            <w:left w:w="108" w:type="dxa"/>
            <w:bottom w:w="0" w:type="dxa"/>
            <w:right w:w="108" w:type="dxa"/>
          </w:tblCellMar>
        </w:tblPrEx>
        <w:trPr>
          <w:trHeight w:val="28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4FAA88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21</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F20CD1D">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0869AB9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办公楼</w:t>
            </w:r>
          </w:p>
        </w:tc>
        <w:tc>
          <w:tcPr>
            <w:tcW w:w="1874" w:type="dxa"/>
            <w:tcBorders>
              <w:top w:val="single" w:color="000000" w:sz="4" w:space="0"/>
              <w:left w:val="single" w:color="000000" w:sz="4" w:space="0"/>
              <w:bottom w:val="single" w:color="000000" w:sz="4" w:space="0"/>
              <w:right w:val="single" w:color="000000" w:sz="4" w:space="0"/>
            </w:tcBorders>
            <w:vAlign w:val="center"/>
          </w:tcPr>
          <w:p w14:paraId="58E8F32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会务领班</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BC538E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825851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26F5E4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B074A8E">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1C76EF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22</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1AF93355">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6532F46E">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6ED814C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会务前台</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2A1D09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CBF09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EDACD6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3AD21297">
        <w:tblPrEx>
          <w:tblCellMar>
            <w:top w:w="0" w:type="dxa"/>
            <w:left w:w="108" w:type="dxa"/>
            <w:bottom w:w="0" w:type="dxa"/>
            <w:right w:w="108" w:type="dxa"/>
          </w:tblCellMar>
        </w:tblPrEx>
        <w:trPr>
          <w:trHeight w:val="30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1C3E46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23</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31E33CF">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78B677B8">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0B1BC0C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会务员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2BFAB1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E12B96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F5F01B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4</w:t>
            </w:r>
          </w:p>
        </w:tc>
      </w:tr>
      <w:tr w14:paraId="5CB38423">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81FF26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24</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6CA391E4">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5A20B94F">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3471F1A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机动岗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2515BD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63DAA8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6C3482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1F81C96E">
        <w:tblPrEx>
          <w:tblCellMar>
            <w:top w:w="0" w:type="dxa"/>
            <w:left w:w="108" w:type="dxa"/>
            <w:bottom w:w="0" w:type="dxa"/>
            <w:right w:w="108" w:type="dxa"/>
          </w:tblCellMar>
        </w:tblPrEx>
        <w:trPr>
          <w:trHeight w:val="28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DE1249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25</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71462BB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教务中心</w:t>
            </w: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2C09055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第一教学楼</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711EDB6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教务领班</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7D407D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C3D7BA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DBE7B0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E84015E">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119424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26</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111466F">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1EC7EE96">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7718B74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教务助理</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0A3CD16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5A3A1A6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21303C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16BFB4EF">
        <w:tblPrEx>
          <w:tblCellMar>
            <w:top w:w="0" w:type="dxa"/>
            <w:left w:w="108" w:type="dxa"/>
            <w:bottom w:w="0" w:type="dxa"/>
            <w:right w:w="108" w:type="dxa"/>
          </w:tblCellMar>
        </w:tblPrEx>
        <w:trPr>
          <w:trHeight w:val="28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9354F7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27</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2D364A52">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16CDE73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智华教学楼/商学院</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742BB7A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教务领班</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C31E5A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144ED7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8</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C57FE3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1641A931">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38CF67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28</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61D7EB33">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3366F7AB">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038236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教务助理</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4B3F14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63CF59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BA724F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7821AE99">
        <w:tblPrEx>
          <w:tblCellMar>
            <w:top w:w="0" w:type="dxa"/>
            <w:left w:w="108" w:type="dxa"/>
            <w:bottom w:w="0" w:type="dxa"/>
            <w:right w:w="108" w:type="dxa"/>
          </w:tblCellMar>
        </w:tblPrEx>
        <w:trPr>
          <w:trHeight w:val="31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0047CA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29</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772E701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邮件中心</w:t>
            </w: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4B905FA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学生宿舍8栋收发室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7CB2766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6574A34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A9E48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EB16FF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529C545">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F34094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30</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A54158C">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16CB7D45">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79178A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2CDE46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BF049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E1F631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5A955BD4">
        <w:tblPrEx>
          <w:tblCellMar>
            <w:top w:w="0" w:type="dxa"/>
            <w:left w:w="108" w:type="dxa"/>
            <w:bottom w:w="0" w:type="dxa"/>
            <w:right w:w="108" w:type="dxa"/>
          </w:tblCellMar>
        </w:tblPrEx>
        <w:trPr>
          <w:trHeight w:val="31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E81C65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31</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23A24B53">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24307B9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学生宿舍13栋收发室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7301C11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55997E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924446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F6180C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A3F4913">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EF0CDA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32</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670D4565">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032C1E78">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4E998ED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40A0FF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112A41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032DAC7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B34DB5F">
        <w:tblPrEx>
          <w:tblCellMar>
            <w:top w:w="0" w:type="dxa"/>
            <w:left w:w="108" w:type="dxa"/>
            <w:bottom w:w="0" w:type="dxa"/>
            <w:right w:w="108" w:type="dxa"/>
          </w:tblCellMar>
        </w:tblPrEx>
        <w:trPr>
          <w:trHeight w:val="31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8E3159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33</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7ABF97A9">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232A153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欣园2栋收发室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207C011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042DF1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07477D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F26B68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7D80F760">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5D070E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34</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288819E6">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08564714">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70F1786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AA59CE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802EE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5693C1D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47CC03F">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79F11A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35</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C748C7C">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6E3E249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慧园7栋收发室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610EDA3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1D6920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FADD24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A694B5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C18BD45">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0E7F0C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36</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D0DBFFD">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238B2CBF">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2D405B1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8F2D0E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6440D9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BC97EF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9E611BF">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C21DD8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37</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A3B64BF">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6394C6C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书院5栋收发室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5D9AC6D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5CBEED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B959C4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599D75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604B4EC7">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A43A5A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38</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2035D1C7">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4BBD934A">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42C8491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8A99F1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E49597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EF962A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457C896E">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41A108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39</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36F88B32">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7800BE9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荔园8栋收发室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4F9BFD3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E4D414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4CF148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752FB3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49080D7">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5B124F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40</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7E4EA8F">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740731F5">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5314852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546153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CA9DC1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B6C4B4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4CF7C3A4">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6AB8BB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41</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E1C2D53">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6A0378F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理学院收发室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2244248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B38FFA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4B418C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C289C0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59128869">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58193C6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42</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B2EFC61">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34950196">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536AA3F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3D22329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3FAE91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BCC562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55A03677">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3708075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43</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A0ECE0D">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3503B81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教师公寓4栋收发室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6AB93AD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F14368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257DD29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705692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9628A06">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E5654A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44</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0F9D026">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1AB3210B">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6507514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64C6DA8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BBB3C6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909D5F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1DCD3CA9">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455D67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45</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2C11FF68">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498000A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医学院收发室</w:t>
            </w:r>
          </w:p>
        </w:tc>
        <w:tc>
          <w:tcPr>
            <w:tcW w:w="1874" w:type="dxa"/>
            <w:tcBorders>
              <w:top w:val="single" w:color="000000" w:sz="4" w:space="0"/>
              <w:left w:val="single" w:color="000000" w:sz="4" w:space="0"/>
              <w:bottom w:val="single" w:color="000000" w:sz="4" w:space="0"/>
              <w:right w:val="single" w:color="000000" w:sz="4" w:space="0"/>
            </w:tcBorders>
            <w:vAlign w:val="center"/>
          </w:tcPr>
          <w:p w14:paraId="4EA54E7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收发室客服</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36C048F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9BBA00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DF792F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r>
      <w:tr w14:paraId="1A126852">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59CE4D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46</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4F0467A5">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770906B8">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vAlign w:val="center"/>
          </w:tcPr>
          <w:p w14:paraId="3053C29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邮件分拣员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85E185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CD7AAFF">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8C7F51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1</w:t>
            </w:r>
          </w:p>
        </w:tc>
      </w:tr>
      <w:tr w14:paraId="1C71538F">
        <w:tblPrEx>
          <w:tblCellMar>
            <w:top w:w="0" w:type="dxa"/>
            <w:left w:w="108" w:type="dxa"/>
            <w:bottom w:w="0" w:type="dxa"/>
            <w:right w:w="108" w:type="dxa"/>
          </w:tblCellMar>
        </w:tblPrEx>
        <w:trPr>
          <w:trHeight w:val="55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F38DA0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47</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310CF8D">
            <w:pPr>
              <w:jc w:val="center"/>
              <w:rPr>
                <w:rFonts w:hint="eastAsia" w:ascii="宋体" w:hAnsi="宋体" w:eastAsia="宋体" w:cs="宋体"/>
                <w:color w:val="000000"/>
                <w:szCs w:val="21"/>
              </w:rPr>
            </w:pP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46F736F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邮件运输岗</w:t>
            </w:r>
          </w:p>
        </w:tc>
        <w:tc>
          <w:tcPr>
            <w:tcW w:w="1874" w:type="dxa"/>
            <w:tcBorders>
              <w:top w:val="single" w:color="000000" w:sz="4" w:space="0"/>
              <w:left w:val="single" w:color="000000" w:sz="4" w:space="0"/>
              <w:bottom w:val="single" w:color="000000" w:sz="4" w:space="0"/>
              <w:right w:val="single" w:color="000000" w:sz="4" w:space="0"/>
            </w:tcBorders>
            <w:vAlign w:val="center"/>
          </w:tcPr>
          <w:p w14:paraId="1504FE1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投递员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B94C06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4A6EA0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26D76B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2C3ABB75">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29F441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48</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730396C5">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6BBBE5CC">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226BA20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快递运输员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16345F3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2362F1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12</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3B9DC0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439315EC">
        <w:tblPrEx>
          <w:tblCellMar>
            <w:top w:w="0" w:type="dxa"/>
            <w:left w:w="108" w:type="dxa"/>
            <w:bottom w:w="0" w:type="dxa"/>
            <w:right w:w="108" w:type="dxa"/>
          </w:tblCellMar>
        </w:tblPrEx>
        <w:trPr>
          <w:trHeight w:val="28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43632D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49</w:t>
            </w:r>
          </w:p>
        </w:tc>
        <w:tc>
          <w:tcPr>
            <w:tcW w:w="1150" w:type="dxa"/>
            <w:vMerge w:val="restart"/>
            <w:tcBorders>
              <w:top w:val="single" w:color="000000" w:sz="4" w:space="0"/>
              <w:left w:val="single" w:color="000000" w:sz="4" w:space="0"/>
              <w:bottom w:val="single" w:color="000000" w:sz="4" w:space="0"/>
              <w:right w:val="single" w:color="000000" w:sz="4" w:space="0"/>
            </w:tcBorders>
            <w:vAlign w:val="center"/>
          </w:tcPr>
          <w:p w14:paraId="0E49834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场馆中心</w:t>
            </w:r>
          </w:p>
        </w:tc>
        <w:tc>
          <w:tcPr>
            <w:tcW w:w="1678" w:type="dxa"/>
            <w:vMerge w:val="restart"/>
            <w:tcBorders>
              <w:top w:val="single" w:color="000000" w:sz="4" w:space="0"/>
              <w:left w:val="single" w:color="000000" w:sz="4" w:space="0"/>
              <w:bottom w:val="single" w:color="000000" w:sz="4" w:space="0"/>
              <w:right w:val="single" w:color="000000" w:sz="4" w:space="0"/>
            </w:tcBorders>
            <w:vAlign w:val="center"/>
          </w:tcPr>
          <w:p w14:paraId="353E097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游泳池</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27FE0FC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游泳馆前台</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8B0B85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E9D848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BF2FAF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37E9A95B">
        <w:tblPrEx>
          <w:tblCellMar>
            <w:top w:w="0" w:type="dxa"/>
            <w:left w:w="108" w:type="dxa"/>
            <w:bottom w:w="0" w:type="dxa"/>
            <w:right w:w="108" w:type="dxa"/>
          </w:tblCellMar>
        </w:tblPrEx>
        <w:trPr>
          <w:trHeight w:val="795"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CBCD50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50</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73463726">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67BEAE81">
            <w:pPr>
              <w:jc w:val="center"/>
              <w:rPr>
                <w:rFonts w:hint="eastAsia" w:ascii="宋体" w:hAnsi="宋体" w:eastAsia="宋体" w:cs="宋体"/>
                <w:color w:val="000000"/>
                <w:szCs w:val="21"/>
              </w:rPr>
            </w:pP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93974E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救生员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C46032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4F2DA9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3B87EE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6</w:t>
            </w:r>
          </w:p>
        </w:tc>
      </w:tr>
      <w:tr w14:paraId="0361511E">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1A12D37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51</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5F463F2F">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24F2E39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风雨操场</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510DDF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431FE74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9F78DFE">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690F19E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D11834F">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4771A71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52</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6E240A39">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77A929F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专家公寓健身房</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2FBC9D5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71EDB327">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46FECC1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7E95292">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4E0DBE10">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73E7202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53</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4C84ED6">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138507B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欣园运动场</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7186A6A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55B3B845">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6AB10F0C">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259B335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2</w:t>
            </w:r>
          </w:p>
        </w:tc>
      </w:tr>
      <w:tr w14:paraId="53883358">
        <w:tblPrEx>
          <w:tblCellMar>
            <w:top w:w="0" w:type="dxa"/>
            <w:left w:w="108" w:type="dxa"/>
            <w:bottom w:w="0" w:type="dxa"/>
            <w:right w:w="108" w:type="dxa"/>
          </w:tblCellMar>
        </w:tblPrEx>
        <w:trPr>
          <w:trHeight w:val="30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004158C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54</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65F6E85C">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4C3D021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润杨体育馆</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5B8701F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6562CB4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1A1E24C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117513E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E5B9841">
        <w:tblPrEx>
          <w:tblCellMar>
            <w:top w:w="0" w:type="dxa"/>
            <w:left w:w="108" w:type="dxa"/>
            <w:bottom w:w="0" w:type="dxa"/>
            <w:right w:w="108" w:type="dxa"/>
          </w:tblCellMar>
        </w:tblPrEx>
        <w:trPr>
          <w:trHeight w:val="51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2B268EF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55</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01464A1C">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0095BB2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松禾田径场-风雨操场-教师公寓球场</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0B38F294">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22BED3F8">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0DD6A52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7E89FA7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48E010C8">
        <w:tblPrEx>
          <w:tblCellMar>
            <w:top w:w="0" w:type="dxa"/>
            <w:left w:w="108" w:type="dxa"/>
            <w:bottom w:w="0" w:type="dxa"/>
            <w:right w:w="108" w:type="dxa"/>
          </w:tblCellMar>
        </w:tblPrEx>
        <w:trPr>
          <w:trHeight w:val="27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AECBF6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56</w:t>
            </w: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1778427E">
            <w:pPr>
              <w:jc w:val="center"/>
              <w:rPr>
                <w:rFonts w:hint="eastAsia" w:ascii="宋体" w:hAnsi="宋体" w:eastAsia="宋体" w:cs="宋体"/>
                <w:color w:val="000000"/>
                <w:szCs w:val="21"/>
              </w:rPr>
            </w:pPr>
          </w:p>
        </w:tc>
        <w:tc>
          <w:tcPr>
            <w:tcW w:w="1678" w:type="dxa"/>
            <w:tcBorders>
              <w:top w:val="single" w:color="000000" w:sz="4" w:space="0"/>
              <w:left w:val="single" w:color="000000" w:sz="4" w:space="0"/>
              <w:bottom w:val="single" w:color="000000" w:sz="4" w:space="0"/>
              <w:right w:val="single" w:color="000000" w:sz="4" w:space="0"/>
            </w:tcBorders>
            <w:vAlign w:val="center"/>
          </w:tcPr>
          <w:p w14:paraId="7B9B8E5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综合训练馆</w:t>
            </w:r>
          </w:p>
        </w:tc>
        <w:tc>
          <w:tcPr>
            <w:tcW w:w="1874" w:type="dxa"/>
            <w:tcBorders>
              <w:top w:val="single" w:color="000000" w:sz="4" w:space="0"/>
              <w:left w:val="single" w:color="000000" w:sz="4" w:space="0"/>
              <w:bottom w:val="single" w:color="000000" w:sz="4" w:space="0"/>
              <w:right w:val="single" w:color="000000" w:sz="4" w:space="0"/>
            </w:tcBorders>
            <w:noWrap/>
            <w:vAlign w:val="center"/>
          </w:tcPr>
          <w:p w14:paraId="19B0DD7A">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场馆管理员</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312D4F9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7</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32530529">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16</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35F9BD4D">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w:t>
            </w:r>
          </w:p>
        </w:tc>
      </w:tr>
      <w:tr w14:paraId="03EEBDE5">
        <w:tblPrEx>
          <w:tblCellMar>
            <w:top w:w="0" w:type="dxa"/>
            <w:left w:w="108" w:type="dxa"/>
            <w:bottom w:w="0" w:type="dxa"/>
            <w:right w:w="108" w:type="dxa"/>
          </w:tblCellMar>
        </w:tblPrEx>
        <w:trPr>
          <w:trHeight w:val="270" w:hRule="atLeast"/>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6F0B261">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57</w:t>
            </w:r>
          </w:p>
        </w:tc>
        <w:tc>
          <w:tcPr>
            <w:tcW w:w="1150" w:type="dxa"/>
            <w:vMerge w:val="restart"/>
            <w:tcBorders>
              <w:left w:val="single" w:color="000000" w:sz="4" w:space="0"/>
              <w:bottom w:val="single" w:color="000000" w:sz="4" w:space="0"/>
              <w:right w:val="single" w:color="000000" w:sz="4" w:space="0"/>
            </w:tcBorders>
            <w:shd w:val="clear" w:color="auto" w:fill="FFFFFF"/>
            <w:vAlign w:val="center"/>
          </w:tcPr>
          <w:p w14:paraId="6AF81864">
            <w:pPr>
              <w:jc w:val="center"/>
              <w:rPr>
                <w:rFonts w:hint="eastAsia" w:ascii="宋体" w:hAnsi="宋体" w:eastAsia="宋体" w:cs="宋体"/>
                <w:color w:val="000000"/>
                <w:szCs w:val="21"/>
                <w:highlight w:val="yellow"/>
              </w:rPr>
            </w:pPr>
            <w:r>
              <w:rPr>
                <w:rFonts w:hint="eastAsia" w:ascii="宋体" w:hAnsi="宋体" w:eastAsia="宋体" w:cs="宋体"/>
                <w:color w:val="000000"/>
                <w:szCs w:val="21"/>
              </w:rPr>
              <w:t>生活服务中心</w:t>
            </w:r>
          </w:p>
        </w:tc>
        <w:tc>
          <w:tcPr>
            <w:tcW w:w="167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ACC9669">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教师公寓3栋</w:t>
            </w:r>
          </w:p>
        </w:tc>
        <w:tc>
          <w:tcPr>
            <w:tcW w:w="18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30B25">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综合咨询服务岗</w:t>
            </w:r>
          </w:p>
        </w:tc>
        <w:tc>
          <w:tcPr>
            <w:tcW w:w="106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F4B7A">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6</w:t>
            </w:r>
          </w:p>
        </w:tc>
        <w:tc>
          <w:tcPr>
            <w:tcW w:w="11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F7AA3">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D08799">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1</w:t>
            </w:r>
          </w:p>
        </w:tc>
      </w:tr>
      <w:tr w14:paraId="4E2B92F1">
        <w:tblPrEx>
          <w:tblCellMar>
            <w:top w:w="0" w:type="dxa"/>
            <w:left w:w="108" w:type="dxa"/>
            <w:bottom w:w="0" w:type="dxa"/>
            <w:right w:w="108" w:type="dxa"/>
          </w:tblCellMar>
        </w:tblPrEx>
        <w:trPr>
          <w:trHeight w:val="270" w:hRule="atLeast"/>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F7AE57">
            <w:pPr>
              <w:jc w:val="center"/>
              <w:textAlignment w:val="center"/>
              <w:rPr>
                <w:rFonts w:hint="eastAsia" w:ascii="宋体" w:hAnsi="宋体" w:eastAsia="宋体" w:cs="宋体"/>
                <w:color w:val="000000"/>
                <w:szCs w:val="21"/>
                <w:lang w:bidi="ar"/>
              </w:rPr>
            </w:pPr>
          </w:p>
        </w:tc>
        <w:tc>
          <w:tcPr>
            <w:tcW w:w="1150" w:type="dxa"/>
            <w:vMerge w:val="continue"/>
            <w:tcBorders>
              <w:left w:val="single" w:color="000000" w:sz="4" w:space="0"/>
              <w:bottom w:val="single" w:color="000000" w:sz="4" w:space="0"/>
              <w:right w:val="single" w:color="000000" w:sz="4" w:space="0"/>
            </w:tcBorders>
            <w:shd w:val="clear" w:color="auto" w:fill="FFFFFF"/>
            <w:vAlign w:val="center"/>
          </w:tcPr>
          <w:p w14:paraId="50E829A1">
            <w:pPr>
              <w:jc w:val="center"/>
              <w:rPr>
                <w:rFonts w:hint="eastAsia" w:ascii="宋体" w:hAnsi="宋体" w:eastAsia="宋体" w:cs="宋体"/>
                <w:color w:val="000000"/>
                <w:szCs w:val="21"/>
                <w:highlight w:val="yellow"/>
              </w:rPr>
            </w:pPr>
          </w:p>
        </w:tc>
        <w:tc>
          <w:tcPr>
            <w:tcW w:w="16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91E039">
            <w:pPr>
              <w:jc w:val="center"/>
              <w:textAlignment w:val="center"/>
              <w:rPr>
                <w:rFonts w:hint="eastAsia" w:ascii="宋体" w:hAnsi="宋体" w:eastAsia="宋体" w:cs="宋体"/>
                <w:color w:val="000000"/>
                <w:szCs w:val="21"/>
                <w:lang w:bidi="ar"/>
              </w:rPr>
            </w:pPr>
          </w:p>
        </w:tc>
        <w:tc>
          <w:tcPr>
            <w:tcW w:w="187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3E9A2">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商户服务岗</w:t>
            </w:r>
          </w:p>
        </w:tc>
        <w:tc>
          <w:tcPr>
            <w:tcW w:w="1069" w:type="dxa"/>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36E0AA">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6</w:t>
            </w:r>
          </w:p>
        </w:tc>
        <w:tc>
          <w:tcPr>
            <w:tcW w:w="11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55BA7E">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10</w:t>
            </w:r>
          </w:p>
        </w:tc>
        <w:tc>
          <w:tcPr>
            <w:tcW w:w="6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03A5A">
            <w:pPr>
              <w:jc w:val="center"/>
              <w:textAlignment w:val="center"/>
              <w:rPr>
                <w:rFonts w:hint="eastAsia" w:ascii="宋体" w:hAnsi="宋体" w:eastAsia="宋体" w:cs="宋体"/>
                <w:color w:val="000000"/>
                <w:szCs w:val="21"/>
                <w:lang w:bidi="ar"/>
              </w:rPr>
            </w:pPr>
            <w:r>
              <w:rPr>
                <w:rFonts w:hint="eastAsia" w:ascii="宋体" w:hAnsi="宋体" w:eastAsia="宋体" w:cs="宋体"/>
                <w:color w:val="000000"/>
                <w:szCs w:val="21"/>
                <w:lang w:bidi="ar"/>
              </w:rPr>
              <w:t>1</w:t>
            </w:r>
          </w:p>
        </w:tc>
      </w:tr>
      <w:tr w14:paraId="4E9FD927">
        <w:tblPrEx>
          <w:tblCellMar>
            <w:top w:w="0" w:type="dxa"/>
            <w:left w:w="108" w:type="dxa"/>
            <w:bottom w:w="0" w:type="dxa"/>
            <w:right w:w="108" w:type="dxa"/>
          </w:tblCellMar>
        </w:tblPrEx>
        <w:trPr>
          <w:trHeight w:val="90" w:hRule="atLeast"/>
        </w:trPr>
        <w:tc>
          <w:tcPr>
            <w:tcW w:w="704" w:type="dxa"/>
            <w:vMerge w:val="continue"/>
            <w:tcBorders>
              <w:top w:val="single" w:color="000000" w:sz="4" w:space="0"/>
              <w:left w:val="single" w:color="000000" w:sz="4" w:space="0"/>
              <w:bottom w:val="single" w:color="000000" w:sz="4" w:space="0"/>
              <w:right w:val="single" w:color="000000" w:sz="4" w:space="0"/>
            </w:tcBorders>
            <w:vAlign w:val="center"/>
          </w:tcPr>
          <w:p w14:paraId="78B11851">
            <w:pPr>
              <w:jc w:val="center"/>
              <w:textAlignment w:val="center"/>
              <w:rPr>
                <w:rFonts w:hint="eastAsia" w:ascii="宋体" w:hAnsi="宋体" w:eastAsia="宋体" w:cs="宋体"/>
                <w:color w:val="000000"/>
                <w:szCs w:val="21"/>
              </w:rPr>
            </w:pPr>
          </w:p>
        </w:tc>
        <w:tc>
          <w:tcPr>
            <w:tcW w:w="1150" w:type="dxa"/>
            <w:vMerge w:val="continue"/>
            <w:tcBorders>
              <w:top w:val="single" w:color="000000" w:sz="4" w:space="0"/>
              <w:left w:val="single" w:color="000000" w:sz="4" w:space="0"/>
              <w:bottom w:val="single" w:color="000000" w:sz="4" w:space="0"/>
              <w:right w:val="single" w:color="000000" w:sz="4" w:space="0"/>
            </w:tcBorders>
            <w:vAlign w:val="center"/>
          </w:tcPr>
          <w:p w14:paraId="3CFEC36D">
            <w:pPr>
              <w:jc w:val="center"/>
              <w:rPr>
                <w:rFonts w:hint="eastAsia" w:ascii="宋体" w:hAnsi="宋体" w:eastAsia="宋体" w:cs="宋体"/>
                <w:color w:val="000000"/>
                <w:szCs w:val="21"/>
              </w:rPr>
            </w:pPr>
          </w:p>
        </w:tc>
        <w:tc>
          <w:tcPr>
            <w:tcW w:w="1678" w:type="dxa"/>
            <w:vMerge w:val="continue"/>
            <w:tcBorders>
              <w:top w:val="single" w:color="000000" w:sz="4" w:space="0"/>
              <w:left w:val="single" w:color="000000" w:sz="4" w:space="0"/>
              <w:bottom w:val="single" w:color="000000" w:sz="4" w:space="0"/>
              <w:right w:val="single" w:color="000000" w:sz="4" w:space="0"/>
            </w:tcBorders>
            <w:vAlign w:val="center"/>
          </w:tcPr>
          <w:p w14:paraId="149C0AEF">
            <w:pPr>
              <w:jc w:val="center"/>
              <w:textAlignment w:val="center"/>
              <w:rPr>
                <w:rFonts w:hint="eastAsia" w:ascii="宋体" w:hAnsi="宋体" w:eastAsia="宋体" w:cs="宋体"/>
                <w:szCs w:val="21"/>
              </w:rPr>
            </w:pPr>
          </w:p>
        </w:tc>
        <w:tc>
          <w:tcPr>
            <w:tcW w:w="1874" w:type="dxa"/>
            <w:tcBorders>
              <w:top w:val="single" w:color="000000" w:sz="4" w:space="0"/>
              <w:left w:val="single" w:color="000000" w:sz="4" w:space="0"/>
              <w:bottom w:val="single" w:color="000000" w:sz="4" w:space="0"/>
              <w:right w:val="single" w:color="000000" w:sz="4" w:space="0"/>
            </w:tcBorders>
            <w:vAlign w:val="center"/>
          </w:tcPr>
          <w:p w14:paraId="415C409A">
            <w:pPr>
              <w:jc w:val="center"/>
              <w:textAlignment w:val="center"/>
              <w:rPr>
                <w:rFonts w:hint="eastAsia" w:ascii="宋体" w:hAnsi="宋体" w:eastAsia="宋体" w:cs="宋体"/>
                <w:szCs w:val="21"/>
              </w:rPr>
            </w:pPr>
            <w:r>
              <w:rPr>
                <w:rFonts w:hint="eastAsia" w:ascii="宋体" w:hAnsi="宋体" w:eastAsia="宋体" w:cs="宋体"/>
                <w:color w:val="000000"/>
                <w:szCs w:val="21"/>
                <w:lang w:bidi="ar"/>
              </w:rPr>
              <w:t>水电收缴服务岗</w:t>
            </w:r>
          </w:p>
        </w:tc>
        <w:tc>
          <w:tcPr>
            <w:tcW w:w="1069" w:type="dxa"/>
            <w:gridSpan w:val="2"/>
            <w:tcBorders>
              <w:top w:val="single" w:color="000000" w:sz="4" w:space="0"/>
              <w:left w:val="single" w:color="000000" w:sz="4" w:space="0"/>
              <w:bottom w:val="single" w:color="000000" w:sz="4" w:space="0"/>
              <w:right w:val="single" w:color="000000" w:sz="4" w:space="0"/>
            </w:tcBorders>
            <w:noWrap/>
            <w:vAlign w:val="center"/>
          </w:tcPr>
          <w:p w14:paraId="0B271C41">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lang w:bidi="ar"/>
              </w:rPr>
              <w:t>6</w:t>
            </w:r>
          </w:p>
        </w:tc>
        <w:tc>
          <w:tcPr>
            <w:tcW w:w="1181" w:type="dxa"/>
            <w:tcBorders>
              <w:top w:val="single" w:color="000000" w:sz="4" w:space="0"/>
              <w:left w:val="single" w:color="000000" w:sz="4" w:space="0"/>
              <w:bottom w:val="single" w:color="000000" w:sz="4" w:space="0"/>
              <w:right w:val="single" w:color="000000" w:sz="4" w:space="0"/>
            </w:tcBorders>
            <w:noWrap/>
            <w:vAlign w:val="center"/>
          </w:tcPr>
          <w:p w14:paraId="7673A7F3">
            <w:pPr>
              <w:jc w:val="center"/>
              <w:textAlignment w:val="center"/>
              <w:rPr>
                <w:rFonts w:hint="eastAsia" w:ascii="宋体" w:hAnsi="宋体" w:eastAsia="宋体" w:cs="宋体"/>
                <w:szCs w:val="21"/>
              </w:rPr>
            </w:pPr>
            <w:r>
              <w:rPr>
                <w:rFonts w:hint="eastAsia" w:ascii="宋体" w:hAnsi="宋体" w:eastAsia="宋体" w:cs="宋体"/>
                <w:color w:val="000000"/>
                <w:szCs w:val="21"/>
                <w:lang w:bidi="ar"/>
              </w:rPr>
              <w:t>10</w:t>
            </w:r>
          </w:p>
        </w:tc>
        <w:tc>
          <w:tcPr>
            <w:tcW w:w="690" w:type="dxa"/>
            <w:tcBorders>
              <w:top w:val="single" w:color="000000" w:sz="4" w:space="0"/>
              <w:left w:val="single" w:color="000000" w:sz="4" w:space="0"/>
              <w:bottom w:val="single" w:color="000000" w:sz="4" w:space="0"/>
              <w:right w:val="single" w:color="000000" w:sz="4" w:space="0"/>
            </w:tcBorders>
            <w:noWrap/>
            <w:vAlign w:val="center"/>
          </w:tcPr>
          <w:p w14:paraId="4DFF1A46">
            <w:pPr>
              <w:jc w:val="center"/>
              <w:textAlignment w:val="center"/>
              <w:rPr>
                <w:rFonts w:hint="eastAsia" w:ascii="宋体" w:hAnsi="宋体" w:eastAsia="宋体" w:cs="宋体"/>
                <w:szCs w:val="21"/>
              </w:rPr>
            </w:pPr>
            <w:r>
              <w:rPr>
                <w:rFonts w:hint="eastAsia" w:ascii="宋体" w:hAnsi="宋体" w:eastAsia="宋体" w:cs="宋体"/>
                <w:color w:val="000000"/>
                <w:szCs w:val="21"/>
                <w:lang w:bidi="ar"/>
              </w:rPr>
              <w:t>1</w:t>
            </w:r>
          </w:p>
        </w:tc>
      </w:tr>
      <w:tr w14:paraId="5B14BD41">
        <w:tblPrEx>
          <w:tblCellMar>
            <w:top w:w="0" w:type="dxa"/>
            <w:left w:w="108" w:type="dxa"/>
            <w:bottom w:w="0" w:type="dxa"/>
            <w:right w:w="108" w:type="dxa"/>
          </w:tblCellMar>
        </w:tblPrEx>
        <w:trPr>
          <w:trHeight w:val="90" w:hRule="atLeast"/>
        </w:trPr>
        <w:tc>
          <w:tcPr>
            <w:tcW w:w="704" w:type="dxa"/>
            <w:tcBorders>
              <w:top w:val="single" w:color="000000" w:sz="4" w:space="0"/>
              <w:left w:val="single" w:color="000000" w:sz="4" w:space="0"/>
              <w:bottom w:val="single" w:color="000000" w:sz="4" w:space="0"/>
              <w:right w:val="single" w:color="000000" w:sz="4" w:space="0"/>
            </w:tcBorders>
            <w:vAlign w:val="center"/>
          </w:tcPr>
          <w:p w14:paraId="655A9252">
            <w:pPr>
              <w:jc w:val="center"/>
              <w:textAlignment w:val="center"/>
              <w:rPr>
                <w:rFonts w:hint="eastAsia" w:ascii="宋体" w:hAnsi="宋体" w:eastAsia="宋体" w:cs="宋体"/>
                <w:color w:val="000000"/>
                <w:szCs w:val="21"/>
              </w:rPr>
            </w:pPr>
          </w:p>
        </w:tc>
        <w:tc>
          <w:tcPr>
            <w:tcW w:w="5406" w:type="dxa"/>
            <w:gridSpan w:val="4"/>
            <w:tcBorders>
              <w:top w:val="single" w:color="000000" w:sz="4" w:space="0"/>
              <w:left w:val="single" w:color="000000" w:sz="4" w:space="0"/>
              <w:bottom w:val="single" w:color="000000" w:sz="4" w:space="0"/>
              <w:right w:val="single" w:color="000000" w:sz="4" w:space="0"/>
            </w:tcBorders>
            <w:vAlign w:val="center"/>
          </w:tcPr>
          <w:p w14:paraId="5EAC35DE">
            <w:pPr>
              <w:jc w:val="center"/>
              <w:textAlignment w:val="center"/>
              <w:rPr>
                <w:rFonts w:hint="eastAsia" w:ascii="宋体" w:hAnsi="宋体" w:eastAsia="宋体" w:cs="宋体"/>
                <w:szCs w:val="21"/>
              </w:rPr>
            </w:pPr>
            <w:r>
              <w:rPr>
                <w:rFonts w:hint="eastAsia" w:ascii="宋体" w:hAnsi="宋体" w:eastAsia="宋体" w:cs="宋体"/>
                <w:color w:val="000000"/>
                <w:szCs w:val="21"/>
              </w:rPr>
              <w:t>合计</w:t>
            </w:r>
          </w:p>
        </w:tc>
        <w:tc>
          <w:tcPr>
            <w:tcW w:w="2236" w:type="dxa"/>
            <w:gridSpan w:val="3"/>
            <w:tcBorders>
              <w:top w:val="single" w:color="000000" w:sz="4" w:space="0"/>
              <w:left w:val="single" w:color="000000" w:sz="4" w:space="0"/>
              <w:bottom w:val="single" w:color="000000" w:sz="4" w:space="0"/>
              <w:right w:val="single" w:color="000000" w:sz="4" w:space="0"/>
            </w:tcBorders>
            <w:noWrap/>
            <w:vAlign w:val="center"/>
          </w:tcPr>
          <w:p w14:paraId="0F9B7CF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134</w:t>
            </w:r>
          </w:p>
        </w:tc>
      </w:tr>
    </w:tbl>
    <w:p w14:paraId="45AD5E0D">
      <w:pPr>
        <w:rPr>
          <w:rFonts w:hint="eastAsia" w:ascii="宋体" w:hAnsi="宋体" w:eastAsia="宋体" w:cs="宋体"/>
          <w:szCs w:val="21"/>
        </w:rPr>
      </w:pPr>
      <w:r>
        <w:rPr>
          <w:rFonts w:hint="eastAsia" w:ascii="宋体" w:hAnsi="宋体" w:eastAsia="宋体" w:cs="宋体"/>
          <w:szCs w:val="21"/>
        </w:rPr>
        <w:t>2.人员素质要求</w:t>
      </w:r>
    </w:p>
    <w:tbl>
      <w:tblPr>
        <w:tblStyle w:val="26"/>
        <w:tblW w:w="8434" w:type="dxa"/>
        <w:tblInd w:w="-20" w:type="dxa"/>
        <w:tblLayout w:type="fixed"/>
        <w:tblCellMar>
          <w:top w:w="15" w:type="dxa"/>
          <w:left w:w="15" w:type="dxa"/>
          <w:bottom w:w="15" w:type="dxa"/>
          <w:right w:w="15" w:type="dxa"/>
        </w:tblCellMar>
      </w:tblPr>
      <w:tblGrid>
        <w:gridCol w:w="1695"/>
        <w:gridCol w:w="2130"/>
        <w:gridCol w:w="4609"/>
      </w:tblGrid>
      <w:tr w14:paraId="1A60E83B">
        <w:tblPrEx>
          <w:tblCellMar>
            <w:top w:w="15" w:type="dxa"/>
            <w:left w:w="15" w:type="dxa"/>
            <w:bottom w:w="15" w:type="dxa"/>
            <w:right w:w="15" w:type="dxa"/>
          </w:tblCellMar>
        </w:tblPrEx>
        <w:trPr>
          <w:trHeight w:val="283" w:hRule="atLeast"/>
        </w:trPr>
        <w:tc>
          <w:tcPr>
            <w:tcW w:w="1695" w:type="dxa"/>
            <w:tcBorders>
              <w:top w:val="single" w:color="000000" w:sz="4" w:space="0"/>
              <w:left w:val="single" w:color="000000" w:sz="4" w:space="0"/>
              <w:bottom w:val="single" w:color="auto" w:sz="4" w:space="0"/>
              <w:right w:val="single" w:color="000000" w:sz="4" w:space="0"/>
            </w:tcBorders>
            <w:vAlign w:val="center"/>
          </w:tcPr>
          <w:p w14:paraId="26FDE0B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岗位</w:t>
            </w:r>
          </w:p>
        </w:tc>
        <w:tc>
          <w:tcPr>
            <w:tcW w:w="2130" w:type="dxa"/>
            <w:tcBorders>
              <w:top w:val="single" w:color="000000" w:sz="4" w:space="0"/>
              <w:left w:val="single" w:color="000000" w:sz="4" w:space="0"/>
              <w:bottom w:val="single" w:color="auto" w:sz="4" w:space="0"/>
              <w:right w:val="single" w:color="000000" w:sz="4" w:space="0"/>
            </w:tcBorders>
            <w:vAlign w:val="center"/>
          </w:tcPr>
          <w:p w14:paraId="74A32EC3">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文化素质</w:t>
            </w:r>
          </w:p>
        </w:tc>
        <w:tc>
          <w:tcPr>
            <w:tcW w:w="4609" w:type="dxa"/>
            <w:tcBorders>
              <w:top w:val="single" w:color="000000" w:sz="4" w:space="0"/>
              <w:left w:val="single" w:color="000000" w:sz="4" w:space="0"/>
              <w:bottom w:val="single" w:color="auto" w:sz="4" w:space="0"/>
              <w:right w:val="single" w:color="000000" w:sz="4" w:space="0"/>
            </w:tcBorders>
            <w:vAlign w:val="center"/>
          </w:tcPr>
          <w:p w14:paraId="3345DDF6">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专业素质</w:t>
            </w:r>
          </w:p>
        </w:tc>
      </w:tr>
      <w:tr w14:paraId="1E828704">
        <w:tblPrEx>
          <w:tblCellMar>
            <w:top w:w="15" w:type="dxa"/>
            <w:left w:w="15" w:type="dxa"/>
            <w:bottom w:w="15" w:type="dxa"/>
            <w:right w:w="15" w:type="dxa"/>
          </w:tblCellMar>
        </w:tblPrEx>
        <w:trPr>
          <w:trHeight w:val="283" w:hRule="atLeast"/>
        </w:trPr>
        <w:tc>
          <w:tcPr>
            <w:tcW w:w="1695" w:type="dxa"/>
            <w:vMerge w:val="restart"/>
            <w:tcBorders>
              <w:top w:val="single" w:color="000000" w:sz="4" w:space="0"/>
              <w:left w:val="single" w:color="000000" w:sz="4" w:space="0"/>
              <w:right w:val="single" w:color="000000" w:sz="4" w:space="0"/>
            </w:tcBorders>
            <w:vAlign w:val="center"/>
          </w:tcPr>
          <w:p w14:paraId="12B9EC50">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项目负责人</w:t>
            </w:r>
          </w:p>
        </w:tc>
        <w:tc>
          <w:tcPr>
            <w:tcW w:w="2130" w:type="dxa"/>
            <w:vMerge w:val="restart"/>
            <w:tcBorders>
              <w:top w:val="single" w:color="000000" w:sz="4" w:space="0"/>
              <w:left w:val="single" w:color="000000" w:sz="4" w:space="0"/>
              <w:right w:val="single" w:color="000000" w:sz="4" w:space="0"/>
            </w:tcBorders>
            <w:vAlign w:val="center"/>
          </w:tcPr>
          <w:p w14:paraId="01AB7A7B">
            <w:pPr>
              <w:jc w:val="center"/>
              <w:textAlignment w:val="center"/>
              <w:rPr>
                <w:rFonts w:hint="eastAsia" w:ascii="宋体" w:hAnsi="宋体" w:eastAsia="宋体" w:cs="宋体"/>
                <w:color w:val="000000"/>
                <w:szCs w:val="21"/>
              </w:rPr>
            </w:pPr>
            <w:r>
              <w:rPr>
                <w:rFonts w:hint="eastAsia" w:ascii="宋体" w:hAnsi="宋体" w:eastAsia="宋体" w:cs="宋体"/>
                <w:color w:val="000000"/>
                <w:szCs w:val="21"/>
              </w:rPr>
              <w:t>具有计算机或电子信息相关专业本科（或以上）学历</w:t>
            </w:r>
          </w:p>
        </w:tc>
        <w:tc>
          <w:tcPr>
            <w:tcW w:w="4609" w:type="dxa"/>
            <w:tcBorders>
              <w:top w:val="single" w:color="000000" w:sz="4" w:space="0"/>
              <w:left w:val="single" w:color="000000" w:sz="4" w:space="0"/>
              <w:bottom w:val="single" w:color="auto" w:sz="4" w:space="0"/>
              <w:right w:val="single" w:color="000000" w:sz="4" w:space="0"/>
            </w:tcBorders>
            <w:vAlign w:val="center"/>
          </w:tcPr>
          <w:p w14:paraId="2A8663C0">
            <w:pPr>
              <w:textAlignment w:val="center"/>
              <w:rPr>
                <w:rFonts w:hint="eastAsia" w:ascii="宋体" w:hAnsi="宋体" w:eastAsia="宋体" w:cs="宋体"/>
                <w:color w:val="000000"/>
                <w:szCs w:val="21"/>
              </w:rPr>
            </w:pPr>
            <w:r>
              <w:rPr>
                <w:rFonts w:hint="eastAsia" w:ascii="宋体" w:hAnsi="宋体" w:eastAsia="宋体" w:cs="宋体"/>
                <w:color w:val="000000"/>
                <w:szCs w:val="21"/>
              </w:rPr>
              <w:t>具有人社部门（或其他具有颁发职称资格的单位）颁发的楼宇智能化类专业副高级或以上工程师职称证书。</w:t>
            </w:r>
          </w:p>
          <w:p w14:paraId="00AD96E5">
            <w:pPr>
              <w:textAlignment w:val="center"/>
              <w:rPr>
                <w:rFonts w:hint="eastAsia" w:ascii="宋体" w:hAnsi="宋体" w:eastAsia="宋体" w:cs="宋体"/>
                <w:color w:val="000000"/>
                <w:szCs w:val="21"/>
              </w:rPr>
            </w:pPr>
            <w:r>
              <w:rPr>
                <w:rFonts w:hint="eastAsia" w:ascii="宋体" w:hAnsi="宋体" w:eastAsia="宋体" w:cs="宋体"/>
                <w:color w:val="000000"/>
                <w:szCs w:val="21"/>
              </w:rPr>
              <w:t>曾担任过5年以上的类似项目管理经验。</w:t>
            </w:r>
          </w:p>
        </w:tc>
      </w:tr>
      <w:tr w14:paraId="5DFD12F5">
        <w:tblPrEx>
          <w:tblCellMar>
            <w:top w:w="15" w:type="dxa"/>
            <w:left w:w="15" w:type="dxa"/>
            <w:bottom w:w="15" w:type="dxa"/>
            <w:right w:w="15" w:type="dxa"/>
          </w:tblCellMar>
        </w:tblPrEx>
        <w:trPr>
          <w:trHeight w:val="283" w:hRule="atLeast"/>
        </w:trPr>
        <w:tc>
          <w:tcPr>
            <w:tcW w:w="1695" w:type="dxa"/>
            <w:vMerge w:val="continue"/>
            <w:tcBorders>
              <w:left w:val="single" w:color="000000" w:sz="4" w:space="0"/>
              <w:bottom w:val="single" w:color="auto" w:sz="4" w:space="0"/>
              <w:right w:val="single" w:color="000000" w:sz="4" w:space="0"/>
            </w:tcBorders>
            <w:vAlign w:val="center"/>
          </w:tcPr>
          <w:p w14:paraId="1082644C">
            <w:pPr>
              <w:jc w:val="center"/>
              <w:textAlignment w:val="center"/>
              <w:rPr>
                <w:rFonts w:hint="eastAsia" w:ascii="宋体" w:hAnsi="宋体" w:eastAsia="宋体" w:cs="宋体"/>
                <w:color w:val="000000"/>
                <w:szCs w:val="21"/>
              </w:rPr>
            </w:pPr>
          </w:p>
        </w:tc>
        <w:tc>
          <w:tcPr>
            <w:tcW w:w="2130" w:type="dxa"/>
            <w:vMerge w:val="continue"/>
            <w:tcBorders>
              <w:left w:val="single" w:color="000000" w:sz="4" w:space="0"/>
              <w:bottom w:val="single" w:color="auto" w:sz="4" w:space="0"/>
              <w:right w:val="single" w:color="000000" w:sz="4" w:space="0"/>
            </w:tcBorders>
            <w:vAlign w:val="center"/>
          </w:tcPr>
          <w:p w14:paraId="754E6D4B">
            <w:pPr>
              <w:jc w:val="center"/>
              <w:textAlignment w:val="center"/>
              <w:rPr>
                <w:rFonts w:hint="eastAsia" w:ascii="宋体" w:hAnsi="宋体" w:eastAsia="宋体" w:cs="宋体"/>
                <w:color w:val="000000"/>
                <w:szCs w:val="21"/>
              </w:rPr>
            </w:pPr>
          </w:p>
        </w:tc>
        <w:tc>
          <w:tcPr>
            <w:tcW w:w="4609" w:type="dxa"/>
            <w:tcBorders>
              <w:top w:val="single" w:color="000000" w:sz="4" w:space="0"/>
              <w:left w:val="single" w:color="000000" w:sz="4" w:space="0"/>
              <w:bottom w:val="single" w:color="auto" w:sz="4" w:space="0"/>
              <w:right w:val="single" w:color="000000" w:sz="4" w:space="0"/>
            </w:tcBorders>
            <w:vAlign w:val="center"/>
          </w:tcPr>
          <w:p w14:paraId="5CC3C8D9">
            <w:pPr>
              <w:textAlignment w:val="center"/>
              <w:rPr>
                <w:rFonts w:hint="eastAsia" w:ascii="宋体" w:hAnsi="宋体" w:eastAsia="宋体" w:cs="宋体"/>
                <w:color w:val="000000"/>
                <w:szCs w:val="21"/>
              </w:rPr>
            </w:pPr>
            <w:r>
              <w:rPr>
                <w:rFonts w:hint="eastAsia" w:ascii="宋体" w:hAnsi="宋体" w:eastAsia="宋体" w:cs="宋体"/>
                <w:b/>
                <w:bCs/>
                <w:color w:val="FF0000"/>
                <w:szCs w:val="21"/>
              </w:rPr>
              <w:t>★具有人社部门或应急管理部门颁发的注册安全工程师证书。投标时提供证书扫描件，未提供证书或证书不符合要求的作投标无效处理。</w:t>
            </w:r>
          </w:p>
        </w:tc>
      </w:tr>
      <w:tr w14:paraId="341FEDA3">
        <w:tblPrEx>
          <w:tblCellMar>
            <w:top w:w="15" w:type="dxa"/>
            <w:left w:w="15" w:type="dxa"/>
            <w:bottom w:w="15" w:type="dxa"/>
            <w:right w:w="15" w:type="dxa"/>
          </w:tblCellMar>
        </w:tblPrEx>
        <w:trPr>
          <w:trHeight w:val="283" w:hRule="atLeast"/>
        </w:trPr>
        <w:tc>
          <w:tcPr>
            <w:tcW w:w="1695" w:type="dxa"/>
            <w:vMerge w:val="restart"/>
            <w:tcBorders>
              <w:top w:val="single" w:color="auto" w:sz="4" w:space="0"/>
              <w:left w:val="single" w:color="auto" w:sz="4" w:space="0"/>
              <w:bottom w:val="single" w:color="auto" w:sz="4" w:space="0"/>
              <w:right w:val="single" w:color="auto" w:sz="4" w:space="0"/>
            </w:tcBorders>
            <w:vAlign w:val="center"/>
          </w:tcPr>
          <w:p w14:paraId="50CD30F2">
            <w:pPr>
              <w:textAlignment w:val="center"/>
              <w:rPr>
                <w:rFonts w:hint="eastAsia" w:ascii="宋体" w:hAnsi="宋体" w:eastAsia="宋体" w:cs="宋体"/>
                <w:color w:val="000000"/>
                <w:szCs w:val="21"/>
              </w:rPr>
            </w:pPr>
            <w:r>
              <w:rPr>
                <w:rFonts w:hint="eastAsia" w:ascii="宋体" w:hAnsi="宋体" w:eastAsia="宋体" w:cs="宋体"/>
                <w:color w:val="000000"/>
                <w:szCs w:val="21"/>
              </w:rPr>
              <w:t xml:space="preserve"> 宿管中心主管</w:t>
            </w:r>
          </w:p>
        </w:tc>
        <w:tc>
          <w:tcPr>
            <w:tcW w:w="2130" w:type="dxa"/>
            <w:vMerge w:val="restart"/>
            <w:tcBorders>
              <w:top w:val="single" w:color="auto" w:sz="4" w:space="0"/>
              <w:left w:val="single" w:color="auto" w:sz="4" w:space="0"/>
              <w:bottom w:val="single" w:color="auto" w:sz="4" w:space="0"/>
              <w:right w:val="single" w:color="auto" w:sz="4" w:space="0"/>
            </w:tcBorders>
            <w:vAlign w:val="center"/>
          </w:tcPr>
          <w:p w14:paraId="6ADB9BFD">
            <w:pPr>
              <w:textAlignment w:val="center"/>
              <w:rPr>
                <w:rFonts w:hint="eastAsia" w:ascii="宋体" w:hAnsi="宋体" w:eastAsia="宋体" w:cs="宋体"/>
                <w:color w:val="000000"/>
                <w:szCs w:val="21"/>
              </w:rPr>
            </w:pPr>
            <w:r>
              <w:rPr>
                <w:rFonts w:hint="eastAsia" w:ascii="宋体" w:hAnsi="宋体" w:eastAsia="宋体" w:cs="宋体"/>
                <w:color w:val="000000"/>
                <w:szCs w:val="21"/>
              </w:rPr>
              <w:t>本科（或以上）学历</w:t>
            </w:r>
          </w:p>
        </w:tc>
        <w:tc>
          <w:tcPr>
            <w:tcW w:w="4609" w:type="dxa"/>
            <w:tcBorders>
              <w:top w:val="single" w:color="auto" w:sz="4" w:space="0"/>
              <w:left w:val="single" w:color="auto" w:sz="4" w:space="0"/>
              <w:bottom w:val="single" w:color="auto" w:sz="4" w:space="0"/>
              <w:right w:val="single" w:color="auto" w:sz="4" w:space="0"/>
            </w:tcBorders>
            <w:vAlign w:val="center"/>
          </w:tcPr>
          <w:p w14:paraId="05FC1E38">
            <w:pPr>
              <w:textAlignment w:val="center"/>
              <w:rPr>
                <w:rFonts w:hint="eastAsia" w:ascii="宋体" w:hAnsi="宋体" w:eastAsia="宋体" w:cs="宋体"/>
                <w:color w:val="000000"/>
                <w:szCs w:val="21"/>
              </w:rPr>
            </w:pPr>
            <w:r>
              <w:rPr>
                <w:rFonts w:hint="eastAsia" w:ascii="宋体" w:hAnsi="宋体" w:eastAsia="宋体" w:cs="宋体"/>
                <w:color w:val="000000"/>
                <w:szCs w:val="21"/>
              </w:rPr>
              <w:t>要求管理专业本科（或以上），熟悉学生宿舍管理流程，具有管理类或经济类中级或以上职称，具备学生宿舍管理应急救援能力，持有应急管理部门颁发的应急救援员证书，具有5年以上的管理经验。</w:t>
            </w:r>
          </w:p>
        </w:tc>
      </w:tr>
      <w:tr w14:paraId="491C4D71">
        <w:tblPrEx>
          <w:tblCellMar>
            <w:top w:w="15" w:type="dxa"/>
            <w:left w:w="15" w:type="dxa"/>
            <w:bottom w:w="15" w:type="dxa"/>
            <w:right w:w="15" w:type="dxa"/>
          </w:tblCellMar>
        </w:tblPrEx>
        <w:trPr>
          <w:trHeight w:val="283" w:hRule="atLeast"/>
        </w:trPr>
        <w:tc>
          <w:tcPr>
            <w:tcW w:w="1695" w:type="dxa"/>
            <w:vMerge w:val="continue"/>
            <w:tcBorders>
              <w:top w:val="single" w:color="auto" w:sz="4" w:space="0"/>
              <w:left w:val="single" w:color="auto" w:sz="4" w:space="0"/>
              <w:bottom w:val="single" w:color="auto" w:sz="4" w:space="0"/>
              <w:right w:val="single" w:color="auto" w:sz="4" w:space="0"/>
            </w:tcBorders>
            <w:vAlign w:val="center"/>
          </w:tcPr>
          <w:p w14:paraId="47EC4EE5">
            <w:pPr>
              <w:textAlignment w:val="center"/>
              <w:rPr>
                <w:rFonts w:hint="eastAsia" w:ascii="宋体" w:hAnsi="宋体" w:eastAsia="宋体" w:cs="宋体"/>
                <w:color w:val="000000"/>
                <w:szCs w:val="21"/>
              </w:rPr>
            </w:pPr>
          </w:p>
        </w:tc>
        <w:tc>
          <w:tcPr>
            <w:tcW w:w="2130" w:type="dxa"/>
            <w:vMerge w:val="continue"/>
            <w:tcBorders>
              <w:top w:val="single" w:color="auto" w:sz="4" w:space="0"/>
              <w:left w:val="single" w:color="auto" w:sz="4" w:space="0"/>
              <w:bottom w:val="single" w:color="auto" w:sz="4" w:space="0"/>
              <w:right w:val="single" w:color="auto" w:sz="4" w:space="0"/>
            </w:tcBorders>
            <w:vAlign w:val="center"/>
          </w:tcPr>
          <w:p w14:paraId="4F9B885F">
            <w:pPr>
              <w:textAlignment w:val="center"/>
              <w:rPr>
                <w:rFonts w:hint="eastAsia" w:ascii="宋体" w:hAnsi="宋体" w:eastAsia="宋体" w:cs="宋体"/>
                <w:color w:val="000000"/>
                <w:szCs w:val="21"/>
              </w:rPr>
            </w:pPr>
          </w:p>
        </w:tc>
        <w:tc>
          <w:tcPr>
            <w:tcW w:w="4609" w:type="dxa"/>
            <w:tcBorders>
              <w:top w:val="single" w:color="auto" w:sz="4" w:space="0"/>
              <w:left w:val="single" w:color="auto" w:sz="4" w:space="0"/>
              <w:bottom w:val="single" w:color="auto" w:sz="4" w:space="0"/>
              <w:right w:val="single" w:color="auto" w:sz="4" w:space="0"/>
            </w:tcBorders>
            <w:vAlign w:val="center"/>
          </w:tcPr>
          <w:p w14:paraId="1CCB94E8">
            <w:pPr>
              <w:textAlignment w:val="center"/>
              <w:rPr>
                <w:rFonts w:hint="eastAsia" w:ascii="宋体" w:hAnsi="宋体" w:eastAsia="宋体" w:cs="宋体"/>
                <w:color w:val="000000"/>
                <w:szCs w:val="21"/>
              </w:rPr>
            </w:pPr>
            <w:r>
              <w:rPr>
                <w:rFonts w:hint="eastAsia" w:ascii="宋体" w:hAnsi="宋体" w:eastAsia="宋体" w:cs="宋体"/>
                <w:b/>
                <w:bCs/>
                <w:color w:val="FF0000"/>
                <w:szCs w:val="21"/>
              </w:rPr>
              <w:t>★具有政府部门（或事业单位）颁发的中级/四级（或以上）消防设施操作员（或建构筑物消防员）职业资格证书，投标时提供证书扫描件，未提供证书或证书不符合要求的作投标无效处理。</w:t>
            </w:r>
          </w:p>
        </w:tc>
      </w:tr>
      <w:tr w14:paraId="51F2B12A">
        <w:tblPrEx>
          <w:tblCellMar>
            <w:top w:w="15" w:type="dxa"/>
            <w:left w:w="15" w:type="dxa"/>
            <w:bottom w:w="15" w:type="dxa"/>
            <w:right w:w="15" w:type="dxa"/>
          </w:tblCellMar>
        </w:tblPrEx>
        <w:trPr>
          <w:trHeight w:val="283" w:hRule="atLeast"/>
        </w:trPr>
        <w:tc>
          <w:tcPr>
            <w:tcW w:w="1695" w:type="dxa"/>
            <w:tcBorders>
              <w:top w:val="single" w:color="auto" w:sz="4" w:space="0"/>
              <w:left w:val="single" w:color="auto" w:sz="4" w:space="0"/>
              <w:bottom w:val="single" w:color="auto" w:sz="4" w:space="0"/>
              <w:right w:val="single" w:color="auto" w:sz="4" w:space="0"/>
            </w:tcBorders>
            <w:vAlign w:val="center"/>
          </w:tcPr>
          <w:p w14:paraId="5DD3B4A0">
            <w:pPr>
              <w:textAlignment w:val="center"/>
              <w:rPr>
                <w:rFonts w:hint="eastAsia" w:ascii="宋体" w:hAnsi="宋体" w:eastAsia="宋体" w:cs="宋体"/>
                <w:color w:val="000000"/>
                <w:szCs w:val="21"/>
              </w:rPr>
            </w:pPr>
            <w:r>
              <w:rPr>
                <w:rFonts w:hint="eastAsia" w:ascii="宋体" w:hAnsi="宋体" w:eastAsia="宋体" w:cs="宋体"/>
                <w:color w:val="000000"/>
                <w:szCs w:val="21"/>
              </w:rPr>
              <w:t>宿管中心管家</w:t>
            </w:r>
          </w:p>
        </w:tc>
        <w:tc>
          <w:tcPr>
            <w:tcW w:w="2130" w:type="dxa"/>
            <w:tcBorders>
              <w:top w:val="single" w:color="auto" w:sz="4" w:space="0"/>
              <w:left w:val="single" w:color="auto" w:sz="4" w:space="0"/>
              <w:bottom w:val="single" w:color="auto" w:sz="4" w:space="0"/>
              <w:right w:val="single" w:color="auto" w:sz="4" w:space="0"/>
            </w:tcBorders>
            <w:vAlign w:val="center"/>
          </w:tcPr>
          <w:p w14:paraId="1DC55065">
            <w:pPr>
              <w:textAlignment w:val="center"/>
              <w:rPr>
                <w:rFonts w:hint="eastAsia" w:ascii="宋体" w:hAnsi="宋体" w:eastAsia="宋体" w:cs="宋体"/>
                <w:color w:val="000000"/>
                <w:szCs w:val="21"/>
              </w:rPr>
            </w:pPr>
            <w:r>
              <w:rPr>
                <w:rFonts w:hint="eastAsia" w:ascii="宋体" w:hAnsi="宋体" w:eastAsia="宋体" w:cs="宋体"/>
                <w:color w:val="000000"/>
                <w:szCs w:val="21"/>
              </w:rPr>
              <w:t>本科（或以上）学历</w:t>
            </w:r>
          </w:p>
        </w:tc>
        <w:tc>
          <w:tcPr>
            <w:tcW w:w="4609" w:type="dxa"/>
            <w:tcBorders>
              <w:top w:val="single" w:color="auto" w:sz="4" w:space="0"/>
              <w:left w:val="single" w:color="auto" w:sz="4" w:space="0"/>
              <w:bottom w:val="single" w:color="auto" w:sz="4" w:space="0"/>
              <w:right w:val="single" w:color="auto" w:sz="4" w:space="0"/>
            </w:tcBorders>
            <w:vAlign w:val="center"/>
          </w:tcPr>
          <w:p w14:paraId="35A9E63E">
            <w:pPr>
              <w:textAlignment w:val="center"/>
              <w:rPr>
                <w:rFonts w:hint="eastAsia" w:ascii="宋体" w:hAnsi="宋体" w:eastAsia="宋体" w:cs="宋体"/>
                <w:color w:val="000000"/>
                <w:szCs w:val="21"/>
              </w:rPr>
            </w:pPr>
            <w:r>
              <w:rPr>
                <w:rFonts w:hint="eastAsia" w:ascii="宋体" w:hAnsi="宋体" w:eastAsia="宋体" w:cs="宋体"/>
                <w:color w:val="000000"/>
                <w:szCs w:val="21"/>
              </w:rPr>
              <w:t>有2年以上学生宿舍运维保障相关工作经历，工作认真负责，责任心强。</w:t>
            </w:r>
          </w:p>
        </w:tc>
      </w:tr>
      <w:tr w14:paraId="754DE1B7">
        <w:tblPrEx>
          <w:tblCellMar>
            <w:top w:w="15" w:type="dxa"/>
            <w:left w:w="15" w:type="dxa"/>
            <w:bottom w:w="15" w:type="dxa"/>
            <w:right w:w="15" w:type="dxa"/>
          </w:tblCellMar>
        </w:tblPrEx>
        <w:trPr>
          <w:trHeight w:val="283" w:hRule="atLeast"/>
        </w:trPr>
        <w:tc>
          <w:tcPr>
            <w:tcW w:w="1695" w:type="dxa"/>
            <w:tcBorders>
              <w:top w:val="single" w:color="auto" w:sz="4" w:space="0"/>
              <w:left w:val="single" w:color="auto" w:sz="4" w:space="0"/>
              <w:bottom w:val="single" w:color="auto" w:sz="4" w:space="0"/>
              <w:right w:val="single" w:color="auto" w:sz="4" w:space="0"/>
            </w:tcBorders>
            <w:vAlign w:val="center"/>
          </w:tcPr>
          <w:p w14:paraId="66836D86">
            <w:pPr>
              <w:textAlignment w:val="center"/>
              <w:rPr>
                <w:rFonts w:hint="eastAsia" w:ascii="宋体" w:hAnsi="宋体" w:eastAsia="宋体" w:cs="宋体"/>
                <w:color w:val="000000"/>
                <w:szCs w:val="21"/>
              </w:rPr>
            </w:pPr>
            <w:r>
              <w:rPr>
                <w:rFonts w:hint="eastAsia" w:ascii="宋体" w:hAnsi="宋体" w:eastAsia="宋体" w:cs="宋体"/>
                <w:color w:val="000000"/>
                <w:szCs w:val="21"/>
              </w:rPr>
              <w:t>会务中心主管</w:t>
            </w:r>
          </w:p>
        </w:tc>
        <w:tc>
          <w:tcPr>
            <w:tcW w:w="2130" w:type="dxa"/>
            <w:tcBorders>
              <w:top w:val="single" w:color="auto" w:sz="4" w:space="0"/>
              <w:left w:val="single" w:color="auto" w:sz="4" w:space="0"/>
              <w:bottom w:val="single" w:color="auto" w:sz="4" w:space="0"/>
              <w:right w:val="single" w:color="auto" w:sz="4" w:space="0"/>
            </w:tcBorders>
            <w:vAlign w:val="center"/>
          </w:tcPr>
          <w:p w14:paraId="5B0DA2A4">
            <w:pPr>
              <w:textAlignment w:val="center"/>
              <w:rPr>
                <w:rFonts w:hint="eastAsia" w:ascii="宋体" w:hAnsi="宋体" w:eastAsia="宋体" w:cs="宋体"/>
                <w:color w:val="000000"/>
                <w:szCs w:val="21"/>
              </w:rPr>
            </w:pPr>
            <w:r>
              <w:rPr>
                <w:rFonts w:hint="eastAsia" w:ascii="宋体" w:hAnsi="宋体" w:eastAsia="宋体" w:cs="宋体"/>
                <w:color w:val="000000"/>
                <w:szCs w:val="21"/>
              </w:rPr>
              <w:t>本科（或以上）学历</w:t>
            </w:r>
          </w:p>
        </w:tc>
        <w:tc>
          <w:tcPr>
            <w:tcW w:w="4609" w:type="dxa"/>
            <w:tcBorders>
              <w:top w:val="single" w:color="auto" w:sz="4" w:space="0"/>
              <w:left w:val="single" w:color="auto" w:sz="4" w:space="0"/>
              <w:bottom w:val="single" w:color="auto" w:sz="4" w:space="0"/>
              <w:right w:val="single" w:color="auto" w:sz="4" w:space="0"/>
            </w:tcBorders>
            <w:vAlign w:val="center"/>
          </w:tcPr>
          <w:p w14:paraId="35255C2C">
            <w:pPr>
              <w:textAlignment w:val="center"/>
              <w:rPr>
                <w:rFonts w:hint="eastAsia" w:ascii="宋体" w:hAnsi="宋体" w:eastAsia="宋体" w:cs="宋体"/>
                <w:color w:val="000000"/>
                <w:szCs w:val="21"/>
              </w:rPr>
            </w:pPr>
            <w:r>
              <w:rPr>
                <w:rFonts w:hint="eastAsia" w:ascii="宋体" w:hAnsi="宋体" w:eastAsia="宋体" w:cs="宋体"/>
                <w:color w:val="000000"/>
                <w:szCs w:val="21"/>
              </w:rPr>
              <w:t>具有中级或以上管理类或经济类专业职称证书；具备重大活动会务应急处理能力，具有应急救援员职业资格证书（或职业技能等级证书）；英语水平达到大学英语六级；普通话水平到达二级甲等，具有5年以上的会务服务经验。</w:t>
            </w:r>
          </w:p>
        </w:tc>
      </w:tr>
      <w:tr w14:paraId="5A3EE014">
        <w:tblPrEx>
          <w:tblCellMar>
            <w:top w:w="15" w:type="dxa"/>
            <w:left w:w="15" w:type="dxa"/>
            <w:bottom w:w="15" w:type="dxa"/>
            <w:right w:w="15" w:type="dxa"/>
          </w:tblCellMar>
        </w:tblPrEx>
        <w:trPr>
          <w:trHeight w:val="283" w:hRule="atLeast"/>
        </w:trPr>
        <w:tc>
          <w:tcPr>
            <w:tcW w:w="1695" w:type="dxa"/>
            <w:vMerge w:val="restart"/>
            <w:tcBorders>
              <w:top w:val="single" w:color="auto" w:sz="4" w:space="0"/>
              <w:left w:val="single" w:color="auto" w:sz="4" w:space="0"/>
              <w:right w:val="single" w:color="auto" w:sz="4" w:space="0"/>
            </w:tcBorders>
            <w:vAlign w:val="center"/>
          </w:tcPr>
          <w:p w14:paraId="47D93299">
            <w:pPr>
              <w:textAlignment w:val="center"/>
              <w:rPr>
                <w:rFonts w:hint="eastAsia" w:ascii="宋体" w:hAnsi="宋体" w:eastAsia="宋体" w:cs="宋体"/>
                <w:color w:val="000000"/>
                <w:szCs w:val="21"/>
              </w:rPr>
            </w:pPr>
            <w:r>
              <w:rPr>
                <w:rFonts w:hint="eastAsia" w:ascii="宋体" w:hAnsi="宋体" w:eastAsia="宋体" w:cs="宋体"/>
                <w:color w:val="000000"/>
                <w:szCs w:val="21"/>
              </w:rPr>
              <w:t>教务中心主管</w:t>
            </w:r>
          </w:p>
        </w:tc>
        <w:tc>
          <w:tcPr>
            <w:tcW w:w="2130" w:type="dxa"/>
            <w:vMerge w:val="restart"/>
            <w:tcBorders>
              <w:top w:val="single" w:color="auto" w:sz="4" w:space="0"/>
              <w:left w:val="single" w:color="auto" w:sz="4" w:space="0"/>
              <w:right w:val="single" w:color="auto" w:sz="4" w:space="0"/>
            </w:tcBorders>
            <w:vAlign w:val="center"/>
          </w:tcPr>
          <w:p w14:paraId="72770101">
            <w:pPr>
              <w:textAlignment w:val="center"/>
              <w:rPr>
                <w:rFonts w:hint="eastAsia" w:ascii="宋体" w:hAnsi="宋体" w:eastAsia="宋体" w:cs="宋体"/>
                <w:color w:val="000000"/>
                <w:szCs w:val="21"/>
              </w:rPr>
            </w:pPr>
            <w:r>
              <w:rPr>
                <w:rFonts w:hint="eastAsia" w:ascii="宋体" w:hAnsi="宋体" w:eastAsia="宋体" w:cs="宋体"/>
                <w:color w:val="000000"/>
                <w:szCs w:val="21"/>
              </w:rPr>
              <w:t>本科（或以上）学历</w:t>
            </w:r>
          </w:p>
        </w:tc>
        <w:tc>
          <w:tcPr>
            <w:tcW w:w="4609" w:type="dxa"/>
            <w:tcBorders>
              <w:top w:val="single" w:color="auto" w:sz="4" w:space="0"/>
              <w:left w:val="single" w:color="auto" w:sz="4" w:space="0"/>
              <w:bottom w:val="single" w:color="auto" w:sz="4" w:space="0"/>
              <w:right w:val="single" w:color="auto" w:sz="4" w:space="0"/>
            </w:tcBorders>
            <w:vAlign w:val="center"/>
          </w:tcPr>
          <w:p w14:paraId="5A6E7301">
            <w:pPr>
              <w:textAlignment w:val="center"/>
              <w:rPr>
                <w:rFonts w:hint="eastAsia" w:ascii="宋体" w:hAnsi="宋体" w:eastAsia="宋体" w:cs="宋体"/>
                <w:color w:val="000000"/>
                <w:szCs w:val="21"/>
              </w:rPr>
            </w:pPr>
            <w:r>
              <w:rPr>
                <w:rFonts w:hint="eastAsia" w:ascii="宋体" w:hAnsi="宋体" w:eastAsia="宋体" w:cs="宋体"/>
                <w:color w:val="000000"/>
                <w:szCs w:val="21"/>
              </w:rPr>
              <w:t>具有</w:t>
            </w:r>
            <w:r>
              <w:rPr>
                <w:rFonts w:ascii="宋体" w:hAnsi="宋体" w:eastAsia="宋体" w:cs="宋体"/>
                <w:color w:val="000000"/>
                <w:szCs w:val="21"/>
              </w:rPr>
              <w:t>保密相关岗位资格证书（培训内容至少包含计算机保密和保密安全防范技术）</w:t>
            </w:r>
            <w:r>
              <w:rPr>
                <w:rFonts w:hint="eastAsia" w:ascii="宋体" w:hAnsi="宋体" w:eastAsia="宋体" w:cs="宋体"/>
                <w:color w:val="000000"/>
                <w:szCs w:val="21"/>
              </w:rPr>
              <w:t>；具有</w:t>
            </w:r>
            <w:r>
              <w:rPr>
                <w:rFonts w:ascii="宋体" w:hAnsi="宋体" w:eastAsia="宋体" w:cs="宋体"/>
                <w:color w:val="000000"/>
                <w:szCs w:val="21"/>
              </w:rPr>
              <w:t>二级（或以上）客户服务管理师</w:t>
            </w:r>
            <w:r>
              <w:rPr>
                <w:rFonts w:hint="eastAsia" w:ascii="宋体" w:hAnsi="宋体" w:eastAsia="宋体" w:cs="宋体"/>
                <w:color w:val="000000"/>
                <w:szCs w:val="21"/>
              </w:rPr>
              <w:t>职业资格证书；具备一定的教务服务经验、客户服务经验，能够熟练操作多媒体教学设备，具有教室管理经验，对教学相关信息进行严格保密。</w:t>
            </w:r>
          </w:p>
        </w:tc>
      </w:tr>
      <w:tr w14:paraId="17D8E5BC">
        <w:tblPrEx>
          <w:tblCellMar>
            <w:top w:w="15" w:type="dxa"/>
            <w:left w:w="15" w:type="dxa"/>
            <w:bottom w:w="15" w:type="dxa"/>
            <w:right w:w="15" w:type="dxa"/>
          </w:tblCellMar>
        </w:tblPrEx>
        <w:trPr>
          <w:trHeight w:val="283" w:hRule="atLeast"/>
        </w:trPr>
        <w:tc>
          <w:tcPr>
            <w:tcW w:w="1695" w:type="dxa"/>
            <w:vMerge w:val="continue"/>
            <w:tcBorders>
              <w:left w:val="single" w:color="auto" w:sz="4" w:space="0"/>
              <w:bottom w:val="single" w:color="auto" w:sz="4" w:space="0"/>
              <w:right w:val="single" w:color="auto" w:sz="4" w:space="0"/>
            </w:tcBorders>
            <w:vAlign w:val="center"/>
          </w:tcPr>
          <w:p w14:paraId="53B13648">
            <w:pPr>
              <w:textAlignment w:val="center"/>
              <w:rPr>
                <w:rFonts w:hint="eastAsia" w:ascii="宋体" w:hAnsi="宋体" w:eastAsia="宋体" w:cs="宋体"/>
                <w:color w:val="000000"/>
                <w:szCs w:val="21"/>
              </w:rPr>
            </w:pPr>
          </w:p>
        </w:tc>
        <w:tc>
          <w:tcPr>
            <w:tcW w:w="2130" w:type="dxa"/>
            <w:vMerge w:val="continue"/>
            <w:tcBorders>
              <w:left w:val="single" w:color="auto" w:sz="4" w:space="0"/>
              <w:bottom w:val="single" w:color="auto" w:sz="4" w:space="0"/>
              <w:right w:val="single" w:color="auto" w:sz="4" w:space="0"/>
            </w:tcBorders>
            <w:vAlign w:val="center"/>
          </w:tcPr>
          <w:p w14:paraId="507C45AB">
            <w:pPr>
              <w:textAlignment w:val="center"/>
              <w:rPr>
                <w:rFonts w:hint="eastAsia" w:ascii="宋体" w:hAnsi="宋体" w:eastAsia="宋体" w:cs="宋体"/>
                <w:color w:val="000000"/>
                <w:szCs w:val="21"/>
              </w:rPr>
            </w:pPr>
          </w:p>
        </w:tc>
        <w:tc>
          <w:tcPr>
            <w:tcW w:w="4609" w:type="dxa"/>
            <w:tcBorders>
              <w:top w:val="single" w:color="auto" w:sz="4" w:space="0"/>
              <w:left w:val="single" w:color="auto" w:sz="4" w:space="0"/>
              <w:bottom w:val="single" w:color="auto" w:sz="4" w:space="0"/>
              <w:right w:val="single" w:color="auto" w:sz="4" w:space="0"/>
            </w:tcBorders>
            <w:vAlign w:val="center"/>
          </w:tcPr>
          <w:p w14:paraId="4A897EF9">
            <w:pPr>
              <w:textAlignment w:val="center"/>
              <w:rPr>
                <w:rFonts w:hint="eastAsia" w:ascii="宋体" w:hAnsi="宋体" w:eastAsia="宋体" w:cs="宋体"/>
                <w:color w:val="000000"/>
                <w:szCs w:val="21"/>
              </w:rPr>
            </w:pPr>
            <w:r>
              <w:rPr>
                <w:rFonts w:hint="eastAsia" w:ascii="宋体" w:hAnsi="宋体" w:eastAsia="宋体" w:cs="宋体"/>
                <w:b/>
                <w:bCs/>
                <w:color w:val="FF0000"/>
                <w:szCs w:val="21"/>
              </w:rPr>
              <w:t>★具有政府部门（或事业单位）颁发的中级/四级（或以上）消防设施操作员（或建构筑物消防员）职业资格证书，投标时提供证书扫描件，未提供证书或证书不符合要求的作投标无效处理。</w:t>
            </w:r>
          </w:p>
        </w:tc>
      </w:tr>
      <w:tr w14:paraId="08D22AA9">
        <w:tblPrEx>
          <w:tblCellMar>
            <w:top w:w="15" w:type="dxa"/>
            <w:left w:w="15" w:type="dxa"/>
            <w:bottom w:w="15" w:type="dxa"/>
            <w:right w:w="15" w:type="dxa"/>
          </w:tblCellMar>
        </w:tblPrEx>
        <w:trPr>
          <w:trHeight w:val="283" w:hRule="atLeast"/>
        </w:trPr>
        <w:tc>
          <w:tcPr>
            <w:tcW w:w="1695" w:type="dxa"/>
            <w:vMerge w:val="restart"/>
            <w:tcBorders>
              <w:top w:val="single" w:color="auto" w:sz="4" w:space="0"/>
              <w:left w:val="single" w:color="000000" w:sz="4" w:space="0"/>
              <w:right w:val="single" w:color="000000" w:sz="4" w:space="0"/>
            </w:tcBorders>
            <w:vAlign w:val="center"/>
          </w:tcPr>
          <w:p w14:paraId="39273CA1">
            <w:pPr>
              <w:textAlignment w:val="center"/>
              <w:rPr>
                <w:rFonts w:hint="eastAsia" w:ascii="宋体" w:hAnsi="宋体" w:eastAsia="宋体" w:cs="宋体"/>
                <w:color w:val="000000"/>
                <w:szCs w:val="21"/>
              </w:rPr>
            </w:pPr>
            <w:r>
              <w:rPr>
                <w:rFonts w:hint="eastAsia" w:ascii="宋体" w:hAnsi="宋体" w:eastAsia="宋体" w:cs="宋体"/>
                <w:color w:val="000000"/>
                <w:szCs w:val="21"/>
              </w:rPr>
              <w:t>场馆中心主管</w:t>
            </w:r>
          </w:p>
        </w:tc>
        <w:tc>
          <w:tcPr>
            <w:tcW w:w="2130" w:type="dxa"/>
            <w:vMerge w:val="restart"/>
            <w:tcBorders>
              <w:top w:val="single" w:color="auto" w:sz="4" w:space="0"/>
              <w:left w:val="single" w:color="000000" w:sz="4" w:space="0"/>
              <w:right w:val="single" w:color="000000" w:sz="4" w:space="0"/>
            </w:tcBorders>
            <w:vAlign w:val="center"/>
          </w:tcPr>
          <w:p w14:paraId="314DAC67">
            <w:pPr>
              <w:textAlignment w:val="center"/>
              <w:rPr>
                <w:rFonts w:hint="eastAsia" w:ascii="宋体" w:hAnsi="宋体" w:eastAsia="宋体" w:cs="宋体"/>
                <w:color w:val="000000"/>
                <w:szCs w:val="21"/>
              </w:rPr>
            </w:pPr>
            <w:r>
              <w:rPr>
                <w:rFonts w:hint="eastAsia" w:ascii="宋体" w:hAnsi="宋体" w:eastAsia="宋体" w:cs="宋体"/>
                <w:color w:val="000000"/>
                <w:szCs w:val="21"/>
              </w:rPr>
              <w:t>本科（或以上）学历</w:t>
            </w:r>
          </w:p>
        </w:tc>
        <w:tc>
          <w:tcPr>
            <w:tcW w:w="4609" w:type="dxa"/>
            <w:tcBorders>
              <w:top w:val="single" w:color="auto" w:sz="4" w:space="0"/>
              <w:left w:val="single" w:color="000000" w:sz="4" w:space="0"/>
              <w:bottom w:val="single" w:color="000000" w:sz="4" w:space="0"/>
              <w:right w:val="single" w:color="000000" w:sz="4" w:space="0"/>
            </w:tcBorders>
            <w:vAlign w:val="center"/>
          </w:tcPr>
          <w:p w14:paraId="0BDBC2F0">
            <w:pPr>
              <w:textAlignment w:val="center"/>
              <w:rPr>
                <w:rFonts w:hint="eastAsia" w:ascii="宋体" w:hAnsi="宋体" w:eastAsia="宋体" w:cs="宋体"/>
                <w:color w:val="000000"/>
                <w:szCs w:val="21"/>
              </w:rPr>
            </w:pPr>
            <w:r>
              <w:rPr>
                <w:rFonts w:hint="eastAsia" w:ascii="宋体" w:hAnsi="宋体" w:eastAsia="宋体" w:cs="宋体"/>
                <w:color w:val="000000"/>
                <w:szCs w:val="21"/>
              </w:rPr>
              <w:t>熟悉场馆教育管理流程，对运动器材、器械及场地管理，具有管理类或经济类中级或以上职称，具有</w:t>
            </w:r>
            <w:r>
              <w:rPr>
                <w:rFonts w:hint="eastAsia" w:asciiTheme="minorEastAsia" w:hAnsiTheme="minorEastAsia" w:eastAsiaTheme="minorEastAsia" w:cstheme="minorEastAsia"/>
              </w:rPr>
              <w:t>应急救援员职业资格证书，</w:t>
            </w:r>
            <w:r>
              <w:rPr>
                <w:rFonts w:hint="eastAsia" w:ascii="宋体" w:hAnsi="宋体" w:eastAsia="宋体" w:cs="宋体"/>
                <w:color w:val="000000"/>
                <w:szCs w:val="21"/>
              </w:rPr>
              <w:t>具有5年以上的管理经验。</w:t>
            </w:r>
          </w:p>
        </w:tc>
      </w:tr>
      <w:tr w14:paraId="4D280800">
        <w:tblPrEx>
          <w:tblCellMar>
            <w:top w:w="15" w:type="dxa"/>
            <w:left w:w="15" w:type="dxa"/>
            <w:bottom w:w="15" w:type="dxa"/>
            <w:right w:w="15" w:type="dxa"/>
          </w:tblCellMar>
        </w:tblPrEx>
        <w:trPr>
          <w:trHeight w:val="283" w:hRule="atLeast"/>
        </w:trPr>
        <w:tc>
          <w:tcPr>
            <w:tcW w:w="1695" w:type="dxa"/>
            <w:vMerge w:val="continue"/>
            <w:tcBorders>
              <w:left w:val="single" w:color="000000" w:sz="4" w:space="0"/>
              <w:bottom w:val="single" w:color="000000" w:sz="4" w:space="0"/>
              <w:right w:val="single" w:color="000000" w:sz="4" w:space="0"/>
            </w:tcBorders>
            <w:vAlign w:val="center"/>
          </w:tcPr>
          <w:p w14:paraId="01BB5516">
            <w:pPr>
              <w:textAlignment w:val="center"/>
              <w:rPr>
                <w:rFonts w:hint="eastAsia" w:ascii="宋体" w:hAnsi="宋体" w:eastAsia="宋体" w:cs="宋体"/>
                <w:color w:val="000000"/>
                <w:szCs w:val="21"/>
              </w:rPr>
            </w:pPr>
          </w:p>
        </w:tc>
        <w:tc>
          <w:tcPr>
            <w:tcW w:w="2130" w:type="dxa"/>
            <w:vMerge w:val="continue"/>
            <w:tcBorders>
              <w:left w:val="single" w:color="000000" w:sz="4" w:space="0"/>
              <w:bottom w:val="single" w:color="000000" w:sz="4" w:space="0"/>
              <w:right w:val="single" w:color="000000" w:sz="4" w:space="0"/>
            </w:tcBorders>
            <w:vAlign w:val="center"/>
          </w:tcPr>
          <w:p w14:paraId="0ABBEF9B">
            <w:pPr>
              <w:textAlignment w:val="center"/>
              <w:rPr>
                <w:rFonts w:hint="eastAsia" w:ascii="宋体" w:hAnsi="宋体" w:eastAsia="宋体" w:cs="宋体"/>
                <w:color w:val="000000"/>
                <w:szCs w:val="21"/>
              </w:rPr>
            </w:pPr>
          </w:p>
        </w:tc>
        <w:tc>
          <w:tcPr>
            <w:tcW w:w="4609" w:type="dxa"/>
            <w:tcBorders>
              <w:top w:val="single" w:color="auto" w:sz="4" w:space="0"/>
              <w:left w:val="single" w:color="000000" w:sz="4" w:space="0"/>
              <w:bottom w:val="single" w:color="000000" w:sz="4" w:space="0"/>
              <w:right w:val="single" w:color="000000" w:sz="4" w:space="0"/>
            </w:tcBorders>
            <w:vAlign w:val="center"/>
          </w:tcPr>
          <w:p w14:paraId="66E3D324">
            <w:pPr>
              <w:textAlignment w:val="center"/>
              <w:rPr>
                <w:rFonts w:hint="eastAsia" w:ascii="宋体" w:hAnsi="宋体" w:eastAsia="宋体" w:cs="宋体"/>
                <w:color w:val="000000"/>
                <w:szCs w:val="21"/>
              </w:rPr>
            </w:pPr>
            <w:r>
              <w:rPr>
                <w:rFonts w:hint="eastAsia" w:ascii="宋体" w:hAnsi="宋体" w:eastAsia="宋体" w:cs="宋体"/>
                <w:b/>
                <w:bCs/>
                <w:color w:val="FF0000"/>
                <w:szCs w:val="21"/>
              </w:rPr>
              <w:t>★具有政府部门（或事业单位）颁发的中级/四级（或以上）消防设施操作员（或建构筑物消防员）职业资格证书，投标时提供证书扫描件，未提供证书或证书不符合要求的作投标无效处理。</w:t>
            </w:r>
          </w:p>
        </w:tc>
      </w:tr>
      <w:tr w14:paraId="5C16A086">
        <w:tblPrEx>
          <w:tblCellMar>
            <w:top w:w="15" w:type="dxa"/>
            <w:left w:w="15" w:type="dxa"/>
            <w:bottom w:w="15" w:type="dxa"/>
            <w:right w:w="15" w:type="dxa"/>
          </w:tblCellMar>
        </w:tblPrEx>
        <w:trPr>
          <w:trHeight w:val="702" w:hRule="atLeast"/>
        </w:trPr>
        <w:tc>
          <w:tcPr>
            <w:tcW w:w="1695" w:type="dxa"/>
            <w:tcBorders>
              <w:top w:val="single" w:color="000000" w:sz="4" w:space="0"/>
              <w:left w:val="single" w:color="000000" w:sz="4" w:space="0"/>
              <w:bottom w:val="single" w:color="000000" w:sz="4" w:space="0"/>
              <w:right w:val="single" w:color="000000" w:sz="4" w:space="0"/>
            </w:tcBorders>
            <w:vAlign w:val="center"/>
          </w:tcPr>
          <w:p w14:paraId="13C7C331">
            <w:pPr>
              <w:textAlignment w:val="center"/>
              <w:rPr>
                <w:rFonts w:hint="eastAsia" w:ascii="宋体" w:hAnsi="宋体" w:eastAsia="宋体" w:cs="宋体"/>
                <w:color w:val="000000"/>
                <w:szCs w:val="21"/>
              </w:rPr>
            </w:pPr>
            <w:r>
              <w:rPr>
                <w:rFonts w:hint="eastAsia" w:ascii="宋体" w:hAnsi="宋体" w:eastAsia="宋体" w:cs="宋体"/>
                <w:color w:val="000000"/>
                <w:szCs w:val="21"/>
              </w:rPr>
              <w:t>巡查中心主管</w:t>
            </w:r>
          </w:p>
        </w:tc>
        <w:tc>
          <w:tcPr>
            <w:tcW w:w="2130" w:type="dxa"/>
            <w:tcBorders>
              <w:top w:val="single" w:color="000000" w:sz="4" w:space="0"/>
              <w:left w:val="single" w:color="000000" w:sz="4" w:space="0"/>
              <w:bottom w:val="single" w:color="000000" w:sz="4" w:space="0"/>
              <w:right w:val="single" w:color="000000" w:sz="4" w:space="0"/>
            </w:tcBorders>
            <w:vAlign w:val="center"/>
          </w:tcPr>
          <w:p w14:paraId="7197E472">
            <w:pPr>
              <w:textAlignment w:val="center"/>
              <w:rPr>
                <w:rFonts w:hint="eastAsia" w:ascii="宋体" w:hAnsi="宋体" w:eastAsia="宋体" w:cs="宋体"/>
                <w:color w:val="000000"/>
                <w:szCs w:val="21"/>
              </w:rPr>
            </w:pPr>
            <w:r>
              <w:rPr>
                <w:rFonts w:hint="eastAsia" w:ascii="宋体" w:hAnsi="宋体" w:eastAsia="宋体" w:cs="宋体"/>
                <w:color w:val="000000"/>
                <w:szCs w:val="21"/>
              </w:rPr>
              <w:t>本科（或以上）学历</w:t>
            </w:r>
          </w:p>
        </w:tc>
        <w:tc>
          <w:tcPr>
            <w:tcW w:w="4609" w:type="dxa"/>
            <w:tcBorders>
              <w:top w:val="single" w:color="000000" w:sz="4" w:space="0"/>
              <w:left w:val="single" w:color="000000" w:sz="4" w:space="0"/>
              <w:bottom w:val="single" w:color="000000" w:sz="4" w:space="0"/>
              <w:right w:val="single" w:color="000000" w:sz="4" w:space="0"/>
            </w:tcBorders>
            <w:vAlign w:val="center"/>
          </w:tcPr>
          <w:p w14:paraId="6B23EBB6">
            <w:pPr>
              <w:jc w:val="both"/>
              <w:textAlignment w:val="center"/>
              <w:rPr>
                <w:rFonts w:hint="eastAsia" w:ascii="宋体" w:hAnsi="宋体" w:eastAsia="宋体" w:cs="宋体"/>
                <w:color w:val="000000"/>
                <w:szCs w:val="21"/>
              </w:rPr>
            </w:pPr>
            <w:r>
              <w:rPr>
                <w:rFonts w:hint="eastAsia" w:ascii="宋体" w:hAnsi="宋体" w:eastAsia="宋体" w:cs="宋体"/>
                <w:color w:val="000000"/>
                <w:szCs w:val="21"/>
              </w:rPr>
              <w:t>具有人社部门（或其他具有颁发职称资格的单位）颁发的中级或以上安全管理相关专业工程师职称，政府部门颁发的先进个人荣誉。</w:t>
            </w:r>
          </w:p>
        </w:tc>
      </w:tr>
      <w:tr w14:paraId="49B17CF9">
        <w:tblPrEx>
          <w:tblCellMar>
            <w:top w:w="15" w:type="dxa"/>
            <w:left w:w="15" w:type="dxa"/>
            <w:bottom w:w="15" w:type="dxa"/>
            <w:right w:w="15" w:type="dxa"/>
          </w:tblCellMar>
        </w:tblPrEx>
        <w:trPr>
          <w:trHeight w:val="283" w:hRule="atLeast"/>
        </w:trPr>
        <w:tc>
          <w:tcPr>
            <w:tcW w:w="1695" w:type="dxa"/>
            <w:tcBorders>
              <w:top w:val="single" w:color="000000" w:sz="4" w:space="0"/>
              <w:left w:val="single" w:color="000000" w:sz="4" w:space="0"/>
              <w:bottom w:val="single" w:color="000000" w:sz="4" w:space="0"/>
              <w:right w:val="single" w:color="000000" w:sz="4" w:space="0"/>
            </w:tcBorders>
            <w:vAlign w:val="center"/>
          </w:tcPr>
          <w:p w14:paraId="6B1914CF">
            <w:pPr>
              <w:textAlignment w:val="center"/>
              <w:rPr>
                <w:rFonts w:hint="eastAsia" w:ascii="宋体" w:hAnsi="宋体" w:eastAsia="宋体" w:cs="宋体"/>
                <w:color w:val="000000"/>
                <w:szCs w:val="21"/>
              </w:rPr>
            </w:pPr>
            <w:r>
              <w:rPr>
                <w:rFonts w:hint="eastAsia" w:ascii="宋体" w:hAnsi="宋体" w:eastAsia="宋体" w:cs="宋体"/>
                <w:color w:val="000000"/>
                <w:szCs w:val="21"/>
              </w:rPr>
              <w:t>其他服务人员</w:t>
            </w:r>
          </w:p>
        </w:tc>
        <w:tc>
          <w:tcPr>
            <w:tcW w:w="2130" w:type="dxa"/>
            <w:tcBorders>
              <w:top w:val="single" w:color="000000" w:sz="4" w:space="0"/>
              <w:left w:val="single" w:color="000000" w:sz="4" w:space="0"/>
              <w:bottom w:val="single" w:color="000000" w:sz="4" w:space="0"/>
              <w:right w:val="single" w:color="000000" w:sz="4" w:space="0"/>
            </w:tcBorders>
            <w:vAlign w:val="center"/>
          </w:tcPr>
          <w:p w14:paraId="3C404B20">
            <w:pPr>
              <w:textAlignment w:val="center"/>
              <w:rPr>
                <w:rFonts w:hint="eastAsia" w:ascii="宋体" w:hAnsi="宋体" w:eastAsia="宋体" w:cs="宋体"/>
                <w:color w:val="000000"/>
                <w:szCs w:val="21"/>
              </w:rPr>
            </w:pPr>
            <w:r>
              <w:rPr>
                <w:rFonts w:hint="eastAsia" w:ascii="宋体" w:hAnsi="宋体" w:eastAsia="宋体" w:cs="宋体"/>
                <w:color w:val="000000"/>
                <w:szCs w:val="21"/>
              </w:rPr>
              <w:t>高中（或以上）学历</w:t>
            </w:r>
          </w:p>
        </w:tc>
        <w:tc>
          <w:tcPr>
            <w:tcW w:w="4609" w:type="dxa"/>
            <w:tcBorders>
              <w:top w:val="single" w:color="000000" w:sz="4" w:space="0"/>
              <w:left w:val="single" w:color="000000" w:sz="4" w:space="0"/>
              <w:bottom w:val="single" w:color="000000" w:sz="4" w:space="0"/>
              <w:right w:val="single" w:color="000000" w:sz="4" w:space="0"/>
            </w:tcBorders>
            <w:vAlign w:val="center"/>
          </w:tcPr>
          <w:p w14:paraId="098EE345">
            <w:pPr>
              <w:textAlignment w:val="center"/>
              <w:rPr>
                <w:rFonts w:hint="eastAsia" w:ascii="宋体" w:hAnsi="宋体" w:eastAsia="宋体" w:cs="宋体"/>
                <w:color w:val="000000"/>
                <w:szCs w:val="21"/>
              </w:rPr>
            </w:pPr>
            <w:r>
              <w:rPr>
                <w:rFonts w:hint="eastAsia" w:ascii="宋体" w:hAnsi="宋体" w:eastAsia="宋体" w:cs="宋体"/>
                <w:color w:val="000000"/>
                <w:szCs w:val="21"/>
              </w:rPr>
              <w:t>有1年以上类似管理工作经历，工作认真负责，责任心强，各岗位培训具有工作标准操作技能。</w:t>
            </w:r>
          </w:p>
        </w:tc>
      </w:tr>
    </w:tbl>
    <w:p w14:paraId="39142B0F">
      <w:pPr>
        <w:pStyle w:val="43"/>
        <w:rPr>
          <w:rFonts w:hint="eastAsia" w:ascii="宋体" w:hAnsi="宋体" w:eastAsia="宋体" w:cs="宋体"/>
          <w:b/>
          <w:bCs/>
          <w:szCs w:val="21"/>
        </w:rPr>
      </w:pPr>
      <w:r>
        <w:rPr>
          <w:rFonts w:hint="eastAsia" w:ascii="宋体" w:hAnsi="宋体" w:eastAsia="宋体" w:cs="宋体"/>
          <w:szCs w:val="21"/>
        </w:rPr>
        <w:t>注：（1）中标后中层（或以上）管理人员调换必须征得招标人同意后才能调换（人员素质要求不低于原岗位要求）。（2）特种行业必须按照国家要求，持证上岗；同时需定期安排专业的技术培训。（3）以上人员资质作为现场管理要求，不作为招标评分依据。但实质性条款属投标无效项，须完全满足，否则作投标无效处理。</w:t>
      </w:r>
      <w:r>
        <w:rPr>
          <w:rFonts w:hint="eastAsia" w:ascii="宋体" w:hAnsi="宋体" w:eastAsia="宋体" w:cs="宋体"/>
          <w:b/>
          <w:bCs/>
          <w:szCs w:val="21"/>
        </w:rPr>
        <w:br w:type="page"/>
      </w:r>
    </w:p>
    <w:p w14:paraId="55C4A6AE">
      <w:pPr>
        <w:tabs>
          <w:tab w:val="left" w:pos="5670"/>
        </w:tabs>
        <w:spacing w:before="260" w:after="260" w:line="360" w:lineRule="auto"/>
        <w:jc w:val="center"/>
        <w:outlineLvl w:val="2"/>
        <w:rPr>
          <w:rFonts w:hint="eastAsia" w:ascii="宋体" w:hAnsi="宋体" w:eastAsia="宋体" w:cs="宋体"/>
          <w:sz w:val="28"/>
          <w:szCs w:val="28"/>
        </w:rPr>
      </w:pPr>
      <w:r>
        <w:rPr>
          <w:rFonts w:hint="eastAsia" w:ascii="宋体" w:hAnsi="宋体" w:eastAsia="宋体" w:cs="宋体"/>
          <w:sz w:val="28"/>
          <w:szCs w:val="28"/>
        </w:rPr>
        <w:t>六、</w:t>
      </w:r>
      <w:r>
        <w:rPr>
          <w:rFonts w:hint="eastAsia" w:ascii="宋体" w:hAnsi="宋体" w:eastAsia="宋体" w:cs="宋体"/>
        </w:rPr>
        <w:t>★</w:t>
      </w:r>
      <w:r>
        <w:rPr>
          <w:rFonts w:hint="eastAsia" w:ascii="宋体" w:hAnsi="宋体" w:eastAsia="宋体" w:cs="宋体"/>
          <w:sz w:val="28"/>
          <w:szCs w:val="28"/>
        </w:rPr>
        <w:t>项目商务要求</w:t>
      </w:r>
    </w:p>
    <w:tbl>
      <w:tblPr>
        <w:tblStyle w:val="27"/>
        <w:tblW w:w="85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7797"/>
      </w:tblGrid>
      <w:tr w14:paraId="08EF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743B3EF2">
            <w:pPr>
              <w:widowControl w:val="0"/>
              <w:spacing w:line="360" w:lineRule="auto"/>
              <w:jc w:val="both"/>
              <w:rPr>
                <w:rFonts w:hint="eastAsia" w:ascii="宋体" w:hAnsi="宋体" w:eastAsia="宋体" w:cs="宋体"/>
                <w:b/>
                <w:bCs/>
              </w:rPr>
            </w:pPr>
            <w:r>
              <w:rPr>
                <w:rFonts w:hint="eastAsia" w:ascii="宋体" w:hAnsi="宋体" w:eastAsia="宋体" w:cs="宋体"/>
                <w:b/>
                <w:bCs/>
              </w:rPr>
              <w:t>序号</w:t>
            </w:r>
          </w:p>
        </w:tc>
        <w:tc>
          <w:tcPr>
            <w:tcW w:w="7797" w:type="dxa"/>
          </w:tcPr>
          <w:p w14:paraId="1FEAACAC">
            <w:pPr>
              <w:widowControl w:val="0"/>
              <w:spacing w:line="360" w:lineRule="auto"/>
              <w:jc w:val="center"/>
              <w:rPr>
                <w:rFonts w:hint="eastAsia" w:ascii="宋体" w:hAnsi="宋体" w:eastAsia="宋体" w:cs="宋体"/>
                <w:b/>
                <w:bCs/>
              </w:rPr>
            </w:pPr>
            <w:r>
              <w:rPr>
                <w:rFonts w:hint="eastAsia" w:ascii="宋体" w:hAnsi="宋体" w:eastAsia="宋体" w:cs="宋体"/>
                <w:b/>
                <w:bCs/>
              </w:rPr>
              <w:t>商务要求内容</w:t>
            </w:r>
          </w:p>
        </w:tc>
      </w:tr>
      <w:tr w14:paraId="22C3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7" w:type="dxa"/>
            <w:vAlign w:val="center"/>
          </w:tcPr>
          <w:p w14:paraId="54B49523">
            <w:pPr>
              <w:widowControl w:val="0"/>
              <w:spacing w:line="360" w:lineRule="auto"/>
              <w:jc w:val="center"/>
              <w:rPr>
                <w:rFonts w:hint="eastAsia" w:ascii="宋体" w:hAnsi="宋体" w:eastAsia="宋体" w:cs="宋体"/>
              </w:rPr>
            </w:pPr>
            <w:r>
              <w:rPr>
                <w:rFonts w:hint="eastAsia" w:ascii="宋体" w:hAnsi="宋体" w:eastAsia="宋体" w:cs="宋体"/>
              </w:rPr>
              <w:t>1</w:t>
            </w:r>
          </w:p>
        </w:tc>
        <w:tc>
          <w:tcPr>
            <w:tcW w:w="7797" w:type="dxa"/>
          </w:tcPr>
          <w:p w14:paraId="2ECA5248">
            <w:pPr>
              <w:widowControl w:val="0"/>
              <w:numPr>
                <w:ilvl w:val="255"/>
                <w:numId w:val="0"/>
              </w:numPr>
              <w:spacing w:line="360" w:lineRule="auto"/>
              <w:jc w:val="both"/>
              <w:rPr>
                <w:rFonts w:hint="eastAsia" w:ascii="宋体" w:hAnsi="宋体" w:eastAsia="宋体" w:cs="宋体"/>
              </w:rPr>
            </w:pPr>
            <w:r>
              <w:rPr>
                <w:rFonts w:hint="eastAsia" w:ascii="宋体" w:hAnsi="宋体" w:eastAsia="宋体" w:cs="宋体"/>
              </w:rPr>
              <w:t>本项目预算金额：人民币 16,310,000.00元，投标报价超过预算金额的投标将被拒绝。</w:t>
            </w:r>
          </w:p>
        </w:tc>
      </w:tr>
      <w:tr w14:paraId="04AB0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7" w:type="dxa"/>
            <w:vAlign w:val="center"/>
          </w:tcPr>
          <w:p w14:paraId="3CD01349">
            <w:pPr>
              <w:widowControl w:val="0"/>
              <w:spacing w:line="360" w:lineRule="auto"/>
              <w:jc w:val="center"/>
              <w:rPr>
                <w:rFonts w:hint="eastAsia" w:ascii="宋体" w:hAnsi="宋体" w:eastAsia="宋体" w:cs="宋体"/>
              </w:rPr>
            </w:pPr>
            <w:r>
              <w:rPr>
                <w:rFonts w:hint="eastAsia" w:ascii="宋体" w:hAnsi="宋体" w:eastAsia="宋体" w:cs="宋体"/>
              </w:rPr>
              <w:t>2</w:t>
            </w:r>
          </w:p>
        </w:tc>
        <w:tc>
          <w:tcPr>
            <w:tcW w:w="7797" w:type="dxa"/>
          </w:tcPr>
          <w:p w14:paraId="1580AE4A">
            <w:pPr>
              <w:widowControl w:val="0"/>
              <w:spacing w:line="360" w:lineRule="auto"/>
              <w:jc w:val="both"/>
              <w:rPr>
                <w:rFonts w:hint="eastAsia" w:ascii="宋体" w:hAnsi="宋体" w:eastAsia="宋体" w:cs="宋体"/>
              </w:rPr>
            </w:pPr>
            <w:r>
              <w:rPr>
                <w:rFonts w:hint="eastAsia" w:ascii="宋体" w:hAnsi="宋体" w:eastAsia="宋体" w:cs="宋体"/>
              </w:rPr>
              <w:t>本项目不接受联合体投标，不允许分包、转包。</w:t>
            </w:r>
          </w:p>
        </w:tc>
      </w:tr>
      <w:tr w14:paraId="5F7EA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312DC498">
            <w:pPr>
              <w:widowControl w:val="0"/>
              <w:spacing w:line="360" w:lineRule="auto"/>
              <w:jc w:val="center"/>
              <w:rPr>
                <w:rFonts w:hint="eastAsia" w:ascii="宋体" w:hAnsi="宋体" w:eastAsia="宋体" w:cs="宋体"/>
              </w:rPr>
            </w:pPr>
            <w:r>
              <w:rPr>
                <w:rFonts w:hint="eastAsia" w:ascii="宋体" w:hAnsi="宋体" w:eastAsia="宋体" w:cs="宋体"/>
              </w:rPr>
              <w:t>3</w:t>
            </w:r>
          </w:p>
        </w:tc>
        <w:tc>
          <w:tcPr>
            <w:tcW w:w="7797" w:type="dxa"/>
          </w:tcPr>
          <w:p w14:paraId="43DBBA15">
            <w:pPr>
              <w:widowControl w:val="0"/>
              <w:spacing w:line="360" w:lineRule="auto"/>
              <w:jc w:val="both"/>
              <w:rPr>
                <w:rFonts w:hint="eastAsia" w:ascii="宋体" w:hAnsi="宋体" w:eastAsia="宋体" w:cs="宋体"/>
              </w:rPr>
            </w:pPr>
            <w:r>
              <w:rPr>
                <w:rFonts w:hint="eastAsia" w:ascii="宋体" w:hAnsi="宋体" w:cs="宋体"/>
              </w:rPr>
              <w:t>服务期：自合同签订之日起1年。本项目服务期满后，招标人可根据中标人履约情况确定合同期限是否延长，但总合同期限最长不超过三十六个月。</w:t>
            </w:r>
          </w:p>
        </w:tc>
      </w:tr>
      <w:tr w14:paraId="38B7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17E70004">
            <w:pPr>
              <w:widowControl w:val="0"/>
              <w:spacing w:line="360" w:lineRule="auto"/>
              <w:jc w:val="center"/>
              <w:rPr>
                <w:rFonts w:hint="eastAsia" w:ascii="宋体" w:hAnsi="宋体" w:eastAsia="宋体" w:cs="宋体"/>
              </w:rPr>
            </w:pPr>
            <w:r>
              <w:rPr>
                <w:rFonts w:hint="eastAsia" w:ascii="宋体" w:hAnsi="宋体" w:eastAsia="宋体" w:cs="宋体"/>
              </w:rPr>
              <w:t>4</w:t>
            </w:r>
          </w:p>
        </w:tc>
        <w:tc>
          <w:tcPr>
            <w:tcW w:w="7797" w:type="dxa"/>
          </w:tcPr>
          <w:p w14:paraId="13F853E6">
            <w:pPr>
              <w:widowControl w:val="0"/>
              <w:spacing w:line="360" w:lineRule="auto"/>
              <w:jc w:val="both"/>
              <w:rPr>
                <w:rFonts w:hint="eastAsia" w:ascii="宋体" w:hAnsi="宋体" w:eastAsia="宋体" w:cs="宋体"/>
              </w:rPr>
            </w:pPr>
            <w:r>
              <w:rPr>
                <w:rFonts w:hint="eastAsia" w:ascii="宋体" w:hAnsi="宋体" w:eastAsia="宋体" w:cs="宋体"/>
              </w:rPr>
              <w:t>付款方式：招标人每月10日前向中标人支付本月服务费，每月绩效金按照《南方科技大学校区服务绩效考核管理办法》执行，招标人收到中标人提供合法发票后支付管理费。</w:t>
            </w:r>
            <w:r>
              <w:rPr>
                <w:rFonts w:hint="eastAsia" w:ascii="宋体" w:hAnsi="宋体" w:eastAsia="宋体" w:cs="宋体"/>
                <w:color w:val="000000"/>
              </w:rPr>
              <w:t>（因招标人使用财政性资金，支付进度以深圳市财政局国库集中支付中心办理进度为准，中标人对此表示理解并同意招标人不因此构成付款延迟。）</w:t>
            </w:r>
          </w:p>
        </w:tc>
      </w:tr>
      <w:tr w14:paraId="37A7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6FBB2192">
            <w:pPr>
              <w:widowControl w:val="0"/>
              <w:spacing w:line="360" w:lineRule="auto"/>
              <w:jc w:val="center"/>
              <w:rPr>
                <w:rFonts w:hint="eastAsia" w:ascii="宋体" w:hAnsi="宋体" w:eastAsia="宋体" w:cs="宋体"/>
              </w:rPr>
            </w:pPr>
            <w:r>
              <w:rPr>
                <w:rFonts w:hint="eastAsia" w:ascii="宋体" w:hAnsi="宋体" w:eastAsia="宋体" w:cs="宋体"/>
              </w:rPr>
              <w:t>5</w:t>
            </w:r>
          </w:p>
        </w:tc>
        <w:tc>
          <w:tcPr>
            <w:tcW w:w="7797" w:type="dxa"/>
          </w:tcPr>
          <w:p w14:paraId="7903CF1A">
            <w:pPr>
              <w:widowControl w:val="0"/>
              <w:spacing w:line="360" w:lineRule="auto"/>
              <w:jc w:val="both"/>
              <w:rPr>
                <w:rFonts w:hint="eastAsia" w:asciiTheme="minorEastAsia" w:hAnsiTheme="minorEastAsia" w:eastAsiaTheme="minorEastAsia"/>
              </w:rPr>
            </w:pPr>
            <w:r>
              <w:rPr>
                <w:rFonts w:hint="eastAsia" w:asciiTheme="minorEastAsia" w:hAnsiTheme="minorEastAsia" w:eastAsiaTheme="minorEastAsia"/>
              </w:rPr>
              <w:t>质量考核验收标准及违约金：</w:t>
            </w:r>
          </w:p>
          <w:p w14:paraId="222D1C65">
            <w:pPr>
              <w:widowControl w:val="0"/>
              <w:spacing w:line="360" w:lineRule="auto"/>
              <w:ind w:firstLine="480" w:firstLineChars="200"/>
              <w:jc w:val="both"/>
              <w:rPr>
                <w:rFonts w:hint="eastAsia" w:ascii="宋体" w:hAnsi="宋体" w:eastAsia="宋体" w:cs="宋体"/>
              </w:rPr>
            </w:pPr>
            <w:r>
              <w:rPr>
                <w:rFonts w:hint="eastAsia" w:ascii="宋体" w:hAnsi="宋体" w:eastAsia="宋体" w:cs="宋体"/>
              </w:rPr>
              <w:t>招标人按照南方科技大学校区服务绩效考核管理办法对中标单位开展季度考核。季度考核及年度考核：季度考核结果作为绩效金支付依据，预留每月服务费用的10%作为绩效金，</w:t>
            </w:r>
            <w:r>
              <w:rPr>
                <w:rFonts w:hint="eastAsia" w:asciiTheme="minorEastAsia" w:hAnsiTheme="minorEastAsia" w:eastAsiaTheme="minorEastAsia"/>
              </w:rPr>
              <w:t>季度末</w:t>
            </w:r>
            <w:r>
              <w:rPr>
                <w:rFonts w:hint="eastAsia" w:ascii="宋体" w:hAnsi="宋体" w:eastAsia="宋体" w:cs="宋体"/>
              </w:rPr>
              <w:t>考核完成后随同下月服务费用一起支付。</w:t>
            </w:r>
          </w:p>
        </w:tc>
      </w:tr>
      <w:tr w14:paraId="72869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220D039E">
            <w:pPr>
              <w:pStyle w:val="2"/>
              <w:widowControl w:val="0"/>
              <w:jc w:val="center"/>
              <w:rPr>
                <w:rFonts w:hint="eastAsia" w:ascii="宋体" w:hAnsi="宋体" w:eastAsia="宋体" w:cs="宋体"/>
                <w:b w:val="0"/>
                <w:bCs w:val="0"/>
                <w:kern w:val="2"/>
              </w:rPr>
            </w:pPr>
            <w:r>
              <w:rPr>
                <w:rFonts w:hint="eastAsia" w:ascii="宋体" w:hAnsi="宋体" w:eastAsia="宋体" w:cs="宋体"/>
                <w:b w:val="0"/>
                <w:bCs w:val="0"/>
                <w:kern w:val="2"/>
              </w:rPr>
              <w:t>6</w:t>
            </w:r>
          </w:p>
        </w:tc>
        <w:tc>
          <w:tcPr>
            <w:tcW w:w="7797" w:type="dxa"/>
          </w:tcPr>
          <w:p w14:paraId="68507ADF">
            <w:pPr>
              <w:widowControl w:val="0"/>
              <w:spacing w:line="360" w:lineRule="auto"/>
              <w:jc w:val="left"/>
              <w:rPr>
                <w:rFonts w:hint="eastAsia" w:ascii="宋体" w:hAnsi="宋体" w:eastAsia="宋体" w:cs="宋体"/>
              </w:rPr>
            </w:pPr>
            <w:r>
              <w:rPr>
                <w:rFonts w:hint="eastAsia" w:ascii="宋体" w:hAnsi="宋体" w:eastAsia="宋体" w:cs="宋体"/>
              </w:rPr>
              <w:t>保密要求：技术保障人员负有保密义务，应严格遵守各项保密规定，所有工作人员需签署遵守安全操作规程及信息保密协议，未经授权，不得接触与本学校业务相关的信息数据，不能擅自拷贝任何文件和数据并携带出工作区域，不得以任何理由损害招标方的名义和利益。</w:t>
            </w:r>
          </w:p>
        </w:tc>
      </w:tr>
      <w:tr w14:paraId="20644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30A39760">
            <w:pPr>
              <w:pStyle w:val="2"/>
              <w:widowControl w:val="0"/>
              <w:jc w:val="center"/>
              <w:rPr>
                <w:rFonts w:hint="eastAsia" w:ascii="宋体" w:hAnsi="宋体" w:eastAsia="宋体" w:cs="宋体"/>
                <w:b w:val="0"/>
                <w:bCs w:val="0"/>
                <w:kern w:val="2"/>
              </w:rPr>
            </w:pPr>
            <w:r>
              <w:rPr>
                <w:rFonts w:hint="eastAsia" w:ascii="宋体" w:hAnsi="宋体" w:eastAsia="宋体" w:cs="宋体"/>
                <w:b w:val="0"/>
                <w:bCs w:val="0"/>
                <w:kern w:val="2"/>
              </w:rPr>
              <w:t>7</w:t>
            </w:r>
          </w:p>
        </w:tc>
        <w:tc>
          <w:tcPr>
            <w:tcW w:w="7797" w:type="dxa"/>
          </w:tcPr>
          <w:p w14:paraId="0EF31B2A">
            <w:pPr>
              <w:pStyle w:val="43"/>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履约保证金：本项目须提供中标合同总金额5%的履约保证金，供应商自主选择以支票、汇票、本票、保函等非现金方式提交履约担保；</w:t>
            </w:r>
          </w:p>
          <w:p w14:paraId="1F65D335">
            <w:pPr>
              <w:widowControl w:val="0"/>
              <w:spacing w:line="360" w:lineRule="auto"/>
              <w:jc w:val="left"/>
              <w:rPr>
                <w:rFonts w:hint="eastAsia" w:ascii="宋体" w:hAnsi="宋体" w:eastAsia="宋体" w:cs="宋体"/>
              </w:rPr>
            </w:pPr>
            <w:r>
              <w:rPr>
                <w:rFonts w:hint="eastAsia" w:ascii="宋体" w:hAnsi="宋体" w:eastAsia="宋体" w:cs="宋体"/>
              </w:rPr>
              <w:t>注：履约保证金在中标人履行完成合同约定权利义务事项在合同期满之日起 30 日内按原方式退还，不计利息。采购人逾期退还履约保证金的，向中标人每日偿付履约保证金的0.5‰的利息。因中标人原因而未能达到本项目验收标准或验收不通过的，履约保证金不予退还。</w:t>
            </w:r>
          </w:p>
        </w:tc>
      </w:tr>
    </w:tbl>
    <w:p w14:paraId="42FF1380">
      <w:pPr>
        <w:rPr>
          <w:rFonts w:hint="eastAsia" w:ascii="宋体" w:hAnsi="宋体" w:eastAsia="宋体" w:cs="宋体"/>
        </w:rPr>
      </w:pPr>
    </w:p>
    <w:p w14:paraId="4E9BFF13">
      <w:pPr>
        <w:spacing w:line="360" w:lineRule="auto"/>
        <w:rPr>
          <w:rFonts w:hint="eastAsia" w:ascii="宋体" w:hAnsi="宋体" w:eastAsia="宋体" w:cs="宋体"/>
        </w:rPr>
      </w:pPr>
      <w:r>
        <w:rPr>
          <w:rFonts w:hint="eastAsia" w:ascii="宋体" w:hAnsi="宋体" w:eastAsia="宋体" w:cs="宋体"/>
          <w:b/>
          <w:sz w:val="21"/>
          <w:szCs w:val="21"/>
        </w:rPr>
        <w:t>注：</w:t>
      </w:r>
      <w:r>
        <w:rPr>
          <w:rFonts w:hint="eastAsia" w:ascii="宋体" w:hAnsi="宋体" w:eastAsia="宋体" w:cs="宋体"/>
          <w:b/>
          <w:bCs/>
          <w:sz w:val="21"/>
          <w:szCs w:val="21"/>
        </w:rPr>
        <w:t>上表所列内容均为实质性条款，如出现负偏离，将被视为未实质性满足招标文件要求作投标无效处理。</w:t>
      </w:r>
      <w:r>
        <w:rPr>
          <w:rFonts w:hint="eastAsia" w:ascii="宋体" w:hAnsi="宋体" w:eastAsia="宋体" w:cs="宋体"/>
        </w:rPr>
        <w:br w:type="page"/>
      </w:r>
    </w:p>
    <w:p w14:paraId="5195531E">
      <w:pPr>
        <w:tabs>
          <w:tab w:val="left" w:pos="5670"/>
        </w:tabs>
        <w:spacing w:before="260" w:after="260" w:line="360" w:lineRule="auto"/>
        <w:jc w:val="center"/>
        <w:outlineLvl w:val="2"/>
        <w:rPr>
          <w:rFonts w:hint="eastAsia" w:ascii="宋体" w:hAnsi="宋体" w:eastAsia="宋体" w:cs="宋体"/>
          <w:sz w:val="28"/>
          <w:szCs w:val="28"/>
        </w:rPr>
      </w:pPr>
      <w:r>
        <w:rPr>
          <w:rFonts w:hint="eastAsia" w:ascii="宋体" w:hAnsi="宋体" w:eastAsia="宋体" w:cs="宋体"/>
          <w:sz w:val="28"/>
          <w:szCs w:val="28"/>
        </w:rPr>
        <w:t>七、投标报价</w:t>
      </w:r>
    </w:p>
    <w:p w14:paraId="68A29038">
      <w:pPr>
        <w:pStyle w:val="8"/>
        <w:spacing w:before="60" w:beforeLines="25" w:after="60" w:afterLines="25"/>
        <w:ind w:firstLine="448" w:firstLineChars="187"/>
        <w:rPr>
          <w:rFonts w:hint="eastAsia" w:ascii="宋体" w:hAnsi="宋体" w:eastAsia="宋体" w:cs="宋体"/>
          <w:szCs w:val="21"/>
        </w:rPr>
      </w:pPr>
      <w:r>
        <w:rPr>
          <w:rFonts w:hint="eastAsia" w:ascii="宋体" w:hAnsi="宋体" w:eastAsia="宋体" w:cs="宋体"/>
          <w:szCs w:val="21"/>
        </w:rPr>
        <w:t>1.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p>
    <w:p w14:paraId="3F83AAE1">
      <w:pPr>
        <w:pStyle w:val="8"/>
        <w:spacing w:before="60" w:beforeLines="25" w:after="60" w:afterLines="25"/>
        <w:ind w:firstLine="448" w:firstLineChars="187"/>
        <w:rPr>
          <w:rFonts w:hint="eastAsia" w:ascii="宋体" w:hAnsi="宋体" w:eastAsia="宋体" w:cs="宋体"/>
          <w:szCs w:val="21"/>
        </w:rPr>
      </w:pPr>
      <w:r>
        <w:rPr>
          <w:rFonts w:hint="eastAsia" w:ascii="宋体" w:hAnsi="宋体" w:eastAsia="宋体" w:cs="宋体"/>
          <w:szCs w:val="21"/>
        </w:rPr>
        <w:t>2.投标人应根据本企业的成本自行决定报价，但不得以低于其企业成本的报价投标；评标时，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93F6137">
      <w:pPr>
        <w:pStyle w:val="8"/>
        <w:spacing w:before="60" w:beforeLines="25" w:after="60" w:afterLines="25"/>
        <w:ind w:firstLine="448" w:firstLineChars="187"/>
        <w:rPr>
          <w:rFonts w:hint="eastAsia" w:ascii="宋体" w:hAnsi="宋体" w:eastAsia="宋体" w:cs="宋体"/>
          <w:szCs w:val="21"/>
        </w:rPr>
      </w:pPr>
      <w:r>
        <w:rPr>
          <w:rFonts w:hint="eastAsia" w:ascii="宋体" w:hAnsi="宋体" w:eastAsia="宋体" w:cs="宋体"/>
          <w:szCs w:val="21"/>
        </w:rPr>
        <w:t>3.投标人的投标报价，应是本项目招标范围和招标文件及合同条款上所列的各项内容中所述的全部，不得以任何理由予以重复，并以投标人在投标文件中提出的综合单价或总价为依据。</w:t>
      </w:r>
    </w:p>
    <w:p w14:paraId="4F814EE6">
      <w:pPr>
        <w:pStyle w:val="8"/>
        <w:spacing w:before="60" w:beforeLines="25" w:after="60" w:afterLines="25"/>
        <w:ind w:firstLine="448" w:firstLineChars="187"/>
        <w:rPr>
          <w:rFonts w:hint="eastAsia" w:ascii="宋体" w:hAnsi="宋体" w:eastAsia="宋体" w:cs="宋体"/>
          <w:szCs w:val="21"/>
        </w:rPr>
      </w:pPr>
      <w:r>
        <w:rPr>
          <w:rFonts w:hint="eastAsia" w:ascii="宋体" w:hAnsi="宋体" w:eastAsia="宋体" w:cs="宋体"/>
          <w:szCs w:val="21"/>
        </w:rPr>
        <w:t>4.除非招标代理机构通过修改招标文件予以更正，否则，投标人应毫无例外地按招标文件所列的清单中项目和数量填报综合单价或总价。投标人未填综合单价或总价的项目，在实施后，将不得以支付，并视作该项费用已包括在其它有价款的综合单价或总价内。</w:t>
      </w:r>
    </w:p>
    <w:p w14:paraId="2EBCB82E">
      <w:pPr>
        <w:pStyle w:val="8"/>
        <w:spacing w:before="60" w:beforeLines="25" w:after="60" w:afterLines="25"/>
        <w:ind w:firstLine="448" w:firstLineChars="187"/>
        <w:rPr>
          <w:rFonts w:hint="eastAsia" w:ascii="宋体" w:hAnsi="宋体" w:eastAsia="宋体" w:cs="宋体"/>
          <w:szCs w:val="21"/>
        </w:rPr>
      </w:pPr>
      <w:r>
        <w:rPr>
          <w:rFonts w:hint="eastAsia" w:ascii="宋体" w:hAnsi="宋体" w:eastAsia="宋体" w:cs="宋体"/>
          <w:szCs w:val="21"/>
        </w:rPr>
        <w:t>5.投标人应充分了解项目的位置、情况、道路及任何其它足以影响投标报价的情况，任何因忽视或误解项目情况而导致的索赔或服务期限延长申请将不获批准。</w:t>
      </w:r>
    </w:p>
    <w:p w14:paraId="18F28266">
      <w:pPr>
        <w:pStyle w:val="8"/>
        <w:spacing w:before="60" w:beforeLines="25" w:after="60" w:afterLines="25"/>
        <w:ind w:firstLine="448" w:firstLineChars="187"/>
        <w:rPr>
          <w:rFonts w:hint="eastAsia" w:ascii="宋体" w:hAnsi="宋体" w:eastAsia="宋体" w:cs="宋体"/>
          <w:szCs w:val="21"/>
        </w:rPr>
      </w:pPr>
      <w:r>
        <w:rPr>
          <w:rFonts w:hint="eastAsia" w:ascii="宋体" w:hAnsi="宋体" w:eastAsia="宋体" w:cs="宋体"/>
          <w:szCs w:val="21"/>
        </w:rPr>
        <w:t>6.投标人不得期望通过索赔等方式获取补偿，否则，除可能遭到拒绝外，还可能将被作为不良行为记录在案，并可能影响其以后参加政府采购的项目投标。各投标人在投标报价时，应充分考虑投标报价的风险。</w:t>
      </w:r>
    </w:p>
    <w:p w14:paraId="2A8133AF">
      <w:pPr>
        <w:rPr>
          <w:rFonts w:hint="eastAsia" w:ascii="宋体" w:hAnsi="宋体" w:eastAsia="宋体" w:cs="宋体"/>
        </w:rPr>
      </w:pPr>
      <w:r>
        <w:rPr>
          <w:rFonts w:hint="eastAsia" w:ascii="宋体" w:hAnsi="宋体" w:eastAsia="宋体" w:cs="宋体"/>
        </w:rPr>
        <w:br w:type="page"/>
      </w:r>
    </w:p>
    <w:p w14:paraId="39A895FE">
      <w:pPr>
        <w:pStyle w:val="5"/>
        <w:rPr>
          <w:rFonts w:hint="eastAsia" w:cs="宋体"/>
          <w:kern w:val="2"/>
        </w:rPr>
      </w:pPr>
      <w:r>
        <w:rPr>
          <w:rFonts w:hint="eastAsia" w:cs="宋体"/>
          <w:kern w:val="2"/>
          <w:szCs w:val="28"/>
        </w:rPr>
        <w:t>第三章  投标文件格式、附件</w:t>
      </w:r>
    </w:p>
    <w:p w14:paraId="138F0DD0">
      <w:pPr>
        <w:rPr>
          <w:rStyle w:val="58"/>
          <w:rFonts w:hint="eastAsia" w:ascii="宋体" w:hAnsi="宋体" w:eastAsia="宋体" w:cs="宋体"/>
          <w:b/>
          <w:bCs w:val="0"/>
          <w:sz w:val="24"/>
        </w:rPr>
      </w:pPr>
      <w:r>
        <w:rPr>
          <w:rStyle w:val="58"/>
          <w:rFonts w:hint="eastAsia" w:ascii="宋体" w:hAnsi="宋体" w:eastAsia="宋体" w:cs="宋体"/>
          <w:b/>
          <w:bCs w:val="0"/>
          <w:sz w:val="24"/>
        </w:rPr>
        <w:t>特别提醒：</w:t>
      </w:r>
    </w:p>
    <w:p w14:paraId="7211A48C">
      <w:pPr>
        <w:ind w:firstLine="480" w:firstLineChars="200"/>
        <w:rPr>
          <w:rFonts w:hint="eastAsia" w:ascii="宋体" w:hAnsi="宋体" w:eastAsia="宋体" w:cs="宋体"/>
        </w:rPr>
      </w:pPr>
      <w:r>
        <w:rPr>
          <w:rFonts w:hint="eastAsia" w:ascii="宋体" w:hAnsi="宋体" w:eastAsia="宋体" w:cs="宋体"/>
        </w:rPr>
        <w:t>投标文件正文将对外公开，投标文件附件不公开。投标人在编辑投标文件时，在投标文件目录中属于本节点内容的必须在本节点中填写，填写到其他节点或附件的将可能导致投标无效，一切后果由供应商自行承担。</w:t>
      </w:r>
    </w:p>
    <w:p w14:paraId="29E293B5">
      <w:pPr>
        <w:rPr>
          <w:rFonts w:hint="eastAsia" w:ascii="宋体" w:hAnsi="宋体" w:eastAsia="宋体" w:cs="宋体"/>
        </w:rPr>
      </w:pPr>
      <w:r>
        <w:rPr>
          <w:rFonts w:hint="eastAsia" w:ascii="宋体" w:hAnsi="宋体" w:eastAsia="宋体" w:cs="宋体"/>
        </w:rPr>
        <w:t xml:space="preserve">    投标文件正文（信息公开部分）必须编制于“投标书目录”，投标文件附件（非信息公开部分）必须编制于“投标书附件”，如下图所示。</w:t>
      </w:r>
    </w:p>
    <w:p w14:paraId="7449628A">
      <w:pPr>
        <w:rPr>
          <w:rFonts w:hint="eastAsia" w:ascii="宋体" w:hAnsi="宋体" w:eastAsia="宋体" w:cs="宋体"/>
        </w:rPr>
      </w:pPr>
      <w:r>
        <w:rPr>
          <w:rFonts w:hint="eastAsia" w:ascii="宋体" w:hAnsi="宋体" w:eastAsia="宋体" w:cs="宋体"/>
        </w:rPr>
        <w:drawing>
          <wp:inline distT="0" distB="0" distL="0" distR="0">
            <wp:extent cx="5278755" cy="4126230"/>
            <wp:effectExtent l="0" t="0" r="1714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5278755" cy="4126230"/>
                    </a:xfrm>
                    <a:prstGeom prst="rect">
                      <a:avLst/>
                    </a:prstGeom>
                    <a:noFill/>
                    <a:ln>
                      <a:noFill/>
                    </a:ln>
                  </pic:spPr>
                </pic:pic>
              </a:graphicData>
            </a:graphic>
          </wp:inline>
        </w:drawing>
      </w:r>
    </w:p>
    <w:p w14:paraId="3E563587">
      <w:pPr>
        <w:rPr>
          <w:rFonts w:hint="eastAsia" w:ascii="宋体" w:hAnsi="宋体" w:eastAsia="宋体" w:cs="宋体"/>
        </w:rPr>
      </w:pPr>
    </w:p>
    <w:p w14:paraId="0C505D61">
      <w:pPr>
        <w:jc w:val="center"/>
        <w:rPr>
          <w:rFonts w:hint="eastAsia" w:ascii="宋体" w:hAnsi="宋体" w:eastAsia="宋体" w:cs="宋体"/>
        </w:rPr>
      </w:pPr>
    </w:p>
    <w:p w14:paraId="021B03D8">
      <w:pPr>
        <w:ind w:firstLine="480" w:firstLineChars="200"/>
        <w:rPr>
          <w:rFonts w:hint="eastAsia" w:ascii="宋体" w:hAnsi="宋体" w:eastAsia="宋体" w:cs="宋体"/>
        </w:rPr>
      </w:pPr>
      <w:r>
        <w:rPr>
          <w:rFonts w:hint="eastAsia" w:ascii="宋体" w:hAnsi="宋体" w:eastAsia="宋体" w:cs="宋体"/>
        </w:rPr>
        <w:t>我司公布投标文件正文（信息公开部分）时为计算机截取信息自动公布，如投标人误将涉及个人隐私的信息放入投标文件正文，相关后果由投标人自负；如投标人将必须放于投标文件正文（信息公开部分）的内容放入投标文件附件（非信息公开部分），将作投标无效处理。</w:t>
      </w:r>
    </w:p>
    <w:p w14:paraId="616F3262">
      <w:pPr>
        <w:ind w:firstLine="482" w:firstLineChars="200"/>
        <w:rPr>
          <w:rFonts w:hint="eastAsia" w:ascii="宋体" w:hAnsi="宋体" w:eastAsia="宋体" w:cs="宋体"/>
          <w:b/>
        </w:rPr>
      </w:pPr>
    </w:p>
    <w:p w14:paraId="01ECCD4C">
      <w:pPr>
        <w:ind w:firstLine="480" w:firstLineChars="200"/>
        <w:rPr>
          <w:rFonts w:hint="eastAsia" w:ascii="宋体" w:hAnsi="宋体" w:eastAsia="宋体" w:cs="宋体"/>
          <w:szCs w:val="21"/>
        </w:rPr>
      </w:pPr>
      <w:r>
        <w:rPr>
          <w:rFonts w:hint="eastAsia" w:ascii="宋体" w:hAnsi="宋体" w:eastAsia="宋体" w:cs="宋体"/>
          <w:szCs w:val="21"/>
        </w:rPr>
        <w:t>各投标供应商：</w:t>
      </w:r>
    </w:p>
    <w:p w14:paraId="748C921B">
      <w:pPr>
        <w:ind w:firstLine="480" w:firstLineChars="200"/>
        <w:rPr>
          <w:rFonts w:hint="eastAsia" w:ascii="宋体" w:hAnsi="宋体" w:eastAsia="宋体" w:cs="宋体"/>
          <w:szCs w:val="21"/>
        </w:rPr>
      </w:pPr>
      <w:r>
        <w:rPr>
          <w:rFonts w:hint="eastAsia" w:ascii="宋体" w:hAnsi="宋体" w:eastAsia="宋体" w:cs="宋体"/>
          <w:szCs w:val="21"/>
        </w:rPr>
        <w:t>根据《中华人民共和国政府采购法》及《深圳经济特区政府采购条例》有关规定，为增强各供应商诚信守法、公平竞争意识，规范各供应商投标行为，有效遏制投标供应商在政府采购活动中的串通投标、造假等不诚信行为，促进我市政府采购市场诚信体系建设，确保我市政府采购工作公开、公平和公正，履约评价工作实施机构将依法依规对如下投标信息予以公示，望各投标供应商给予配合，履行好自身的权益和义务。</w:t>
      </w:r>
    </w:p>
    <w:p w14:paraId="4FCE0A2D">
      <w:pPr>
        <w:ind w:firstLine="480" w:firstLineChars="200"/>
        <w:rPr>
          <w:rFonts w:hint="eastAsia" w:ascii="宋体" w:hAnsi="宋体" w:eastAsia="宋体" w:cs="宋体"/>
          <w:szCs w:val="21"/>
        </w:rPr>
      </w:pPr>
      <w:r>
        <w:rPr>
          <w:rFonts w:hint="eastAsia" w:ascii="宋体" w:hAnsi="宋体" w:eastAsia="宋体" w:cs="宋体"/>
          <w:szCs w:val="21"/>
        </w:rPr>
        <w:t>1．公示的内容。公示的内容为投标文件信息公开部分的内容，如营业执照、资质证书、项目业绩、履约验收报告及评价、社保证明、设备发票、职称、货物的规格型号及配置参数等。</w:t>
      </w:r>
    </w:p>
    <w:p w14:paraId="2E692E33">
      <w:pPr>
        <w:ind w:firstLine="480" w:firstLineChars="200"/>
        <w:rPr>
          <w:rFonts w:hint="eastAsia" w:ascii="宋体" w:hAnsi="宋体" w:eastAsia="宋体" w:cs="宋体"/>
          <w:szCs w:val="21"/>
        </w:rPr>
      </w:pPr>
      <w:r>
        <w:rPr>
          <w:rFonts w:hint="eastAsia" w:ascii="宋体" w:hAnsi="宋体" w:eastAsia="宋体" w:cs="宋体"/>
          <w:szCs w:val="21"/>
        </w:rPr>
        <w:t>2．公示时间。从2014年9月10日起，所有新公告的政府采购项目的投标供应商的投标文件都进行公示。公示时间有两次，具体是：</w:t>
      </w:r>
    </w:p>
    <w:p w14:paraId="141E29CE">
      <w:pPr>
        <w:ind w:firstLine="480" w:firstLineChars="200"/>
        <w:rPr>
          <w:rFonts w:hint="eastAsia" w:ascii="宋体" w:hAnsi="宋体" w:eastAsia="宋体" w:cs="宋体"/>
          <w:szCs w:val="21"/>
        </w:rPr>
      </w:pPr>
      <w:r>
        <w:rPr>
          <w:rFonts w:hint="eastAsia" w:ascii="宋体" w:hAnsi="宋体" w:eastAsia="宋体" w:cs="宋体"/>
          <w:szCs w:val="21"/>
        </w:rPr>
        <w:t>第一次公示时间：评标环节。当项目开标评审开始后，所有投标供应商的投标文件有关信息将随开标一览表向所有参与的投标供应商进行公开；</w:t>
      </w:r>
    </w:p>
    <w:p w14:paraId="64367E0E">
      <w:pPr>
        <w:ind w:firstLine="480" w:firstLineChars="200"/>
        <w:rPr>
          <w:rFonts w:hint="eastAsia" w:ascii="宋体" w:hAnsi="宋体" w:eastAsia="宋体" w:cs="宋体"/>
          <w:szCs w:val="21"/>
        </w:rPr>
      </w:pPr>
      <w:r>
        <w:rPr>
          <w:rFonts w:hint="eastAsia" w:ascii="宋体" w:hAnsi="宋体" w:eastAsia="宋体" w:cs="宋体"/>
          <w:szCs w:val="21"/>
        </w:rPr>
        <w:t>第二次公示时间：中标结果公布环节。当发布中标结果时，同时向社会公布参加该政府采购项目的投标供应商（包括中标和未中标供应商）的投标文件。</w:t>
      </w:r>
    </w:p>
    <w:p w14:paraId="198EBE19">
      <w:pPr>
        <w:ind w:firstLine="480" w:firstLineChars="200"/>
        <w:rPr>
          <w:rFonts w:hint="eastAsia" w:ascii="宋体" w:hAnsi="宋体" w:eastAsia="宋体" w:cs="宋体"/>
          <w:szCs w:val="21"/>
        </w:rPr>
      </w:pPr>
      <w:r>
        <w:rPr>
          <w:rFonts w:hint="eastAsia" w:ascii="宋体" w:hAnsi="宋体" w:eastAsia="宋体" w:cs="宋体"/>
          <w:szCs w:val="21"/>
        </w:rPr>
        <w:t>3．履行职责并及时指出有造假的行为。各投标人有权对公示内容进行监督，在第一次信息公开后的90分钟内，向深圳交易集团有限公司政府采购业务分公司反馈质疑和举报有造假行为的供应商，具体操作：</w:t>
      </w:r>
    </w:p>
    <w:p w14:paraId="141F84D9">
      <w:pPr>
        <w:ind w:firstLine="480" w:firstLineChars="200"/>
        <w:rPr>
          <w:rFonts w:hint="eastAsia" w:ascii="宋体" w:hAnsi="宋体" w:eastAsia="宋体" w:cs="宋体"/>
          <w:szCs w:val="21"/>
        </w:rPr>
      </w:pPr>
      <w:r>
        <w:rPr>
          <w:rFonts w:hint="eastAsia" w:ascii="宋体" w:hAnsi="宋体" w:eastAsia="宋体" w:cs="宋体"/>
          <w:szCs w:val="21"/>
        </w:rPr>
        <w:t>点击“投标文件公示”中的“我要举报”按键，系统即显示所有投标人相关内容，选择有造假的供应商，在公示内容上点击。该内容下框会有“√”显示，当选择完后，确认提交至深圳交易集团有限公司政府采购业务分公司辅助评标系统。评标委员会将于开标后的90分钟后打开该系统，如显示有被举报的供应商，评标委员会即启动取证环节的相关工作，当取证完成，经确认该投标人有造假，则该供应商投标无效，同时将依规定予以处罚。反之，如该项目无任何举报信息，评标继续进行。</w:t>
      </w:r>
    </w:p>
    <w:p w14:paraId="1838426A">
      <w:pPr>
        <w:ind w:firstLine="480" w:firstLineChars="200"/>
        <w:rPr>
          <w:rFonts w:hint="eastAsia" w:ascii="宋体" w:hAnsi="宋体" w:eastAsia="宋体" w:cs="宋体"/>
          <w:szCs w:val="21"/>
        </w:rPr>
      </w:pPr>
    </w:p>
    <w:p w14:paraId="41589E38">
      <w:pPr>
        <w:ind w:firstLine="480" w:firstLineChars="200"/>
        <w:rPr>
          <w:rFonts w:hint="eastAsia" w:ascii="宋体" w:hAnsi="宋体" w:eastAsia="宋体" w:cs="宋体"/>
          <w:szCs w:val="21"/>
        </w:rPr>
      </w:pPr>
      <w:r>
        <w:rPr>
          <w:rFonts w:hint="eastAsia" w:ascii="宋体" w:hAnsi="宋体" w:eastAsia="宋体" w:cs="宋体"/>
          <w:szCs w:val="21"/>
        </w:rPr>
        <w:t>本项目各投标供应商，应在开标后始终保持本项目联系人手机畅通。当开标时间超过90分钟后，深圳交易集团有限公司政府采购业务分公司将视举报信息反馈情况会与您通话（所有通话内容将会录音），如有要求提交公示内容正本（原件）的，务必在通话后的120分钟内送达至深圳交易集团有限公司政府采购业务分公司，以便评委现场查验。如不按时送达或拒送原件的，您的投标将视为投标响应不足，评标委员会将终止对该企业的标书评审，投标文件将视为弃标，评标中止；如查验确为造假，则投标无效，并视情况再作进一步处理。</w:t>
      </w:r>
    </w:p>
    <w:p w14:paraId="7FBAAFA5">
      <w:pPr>
        <w:ind w:firstLine="480" w:firstLineChars="200"/>
        <w:rPr>
          <w:rFonts w:hint="eastAsia" w:ascii="宋体" w:hAnsi="宋体" w:eastAsia="宋体" w:cs="宋体"/>
          <w:szCs w:val="21"/>
        </w:rPr>
      </w:pPr>
      <w:r>
        <w:rPr>
          <w:rFonts w:hint="eastAsia" w:ascii="宋体" w:hAnsi="宋体" w:eastAsia="宋体" w:cs="宋体"/>
          <w:szCs w:val="21"/>
        </w:rPr>
        <w:t>第二次中标供应商信息公示的质疑，按现规定和做法执行。</w:t>
      </w:r>
    </w:p>
    <w:p w14:paraId="37F13CF6">
      <w:pPr>
        <w:ind w:firstLine="480" w:firstLineChars="200"/>
        <w:rPr>
          <w:rFonts w:hint="eastAsia" w:ascii="宋体" w:hAnsi="宋体" w:eastAsia="宋体" w:cs="宋体"/>
        </w:rPr>
      </w:pPr>
      <w:r>
        <w:rPr>
          <w:rFonts w:hint="eastAsia" w:ascii="宋体" w:hAnsi="宋体" w:eastAsia="宋体" w:cs="宋体"/>
          <w:szCs w:val="21"/>
        </w:rPr>
        <w:t>望各供应商要珍惜本次投标机会，诚实、守信、依法、依规投标。</w:t>
      </w:r>
    </w:p>
    <w:p w14:paraId="3CBC7220">
      <w:pPr>
        <w:rPr>
          <w:rFonts w:hint="eastAsia" w:ascii="宋体" w:hAnsi="宋体" w:eastAsia="宋体" w:cs="宋体"/>
        </w:rPr>
      </w:pPr>
    </w:p>
    <w:p w14:paraId="2472F76A">
      <w:pPr>
        <w:rPr>
          <w:rFonts w:hint="eastAsia" w:ascii="宋体" w:hAnsi="宋体" w:eastAsia="宋体" w:cs="宋体"/>
          <w:b/>
          <w:bCs/>
        </w:rPr>
      </w:pPr>
      <w:bookmarkStart w:id="37" w:name="_Hlk60328503"/>
      <w:r>
        <w:rPr>
          <w:rFonts w:hint="eastAsia" w:ascii="宋体" w:hAnsi="宋体" w:eastAsia="宋体" w:cs="宋体"/>
          <w:b/>
          <w:bCs/>
        </w:rPr>
        <w:br w:type="page"/>
      </w:r>
    </w:p>
    <w:p w14:paraId="698A636A">
      <w:pPr>
        <w:rPr>
          <w:rFonts w:hint="eastAsia" w:ascii="宋体" w:hAnsi="宋体" w:eastAsia="宋体" w:cs="宋体"/>
          <w:b/>
          <w:bCs/>
        </w:rPr>
      </w:pPr>
      <w:r>
        <w:rPr>
          <w:rFonts w:hint="eastAsia" w:ascii="宋体" w:hAnsi="宋体" w:eastAsia="宋体" w:cs="宋体"/>
          <w:b/>
          <w:bCs/>
        </w:rPr>
        <w:t>投标文件组成：</w:t>
      </w:r>
    </w:p>
    <w:p w14:paraId="7D14C567">
      <w:pPr>
        <w:ind w:firstLine="484" w:firstLineChars="202"/>
        <w:rPr>
          <w:rFonts w:hint="eastAsia" w:ascii="宋体" w:hAnsi="宋体" w:eastAsia="宋体" w:cs="宋体"/>
        </w:rPr>
      </w:pPr>
      <w:r>
        <w:rPr>
          <w:rFonts w:hint="eastAsia" w:ascii="宋体" w:hAnsi="宋体" w:eastAsia="宋体" w:cs="宋体"/>
        </w:rPr>
        <w:t>1.投标文件正文</w:t>
      </w:r>
      <w:r>
        <w:rPr>
          <w:rFonts w:hint="eastAsia" w:ascii="宋体" w:hAnsi="宋体" w:eastAsia="宋体" w:cs="宋体"/>
          <w:b/>
          <w:szCs w:val="21"/>
        </w:rPr>
        <w:t>（信息公开部分）</w:t>
      </w:r>
      <w:r>
        <w:rPr>
          <w:rFonts w:hint="eastAsia" w:ascii="宋体" w:hAnsi="宋体" w:eastAsia="宋体" w:cs="宋体"/>
        </w:rPr>
        <w:t>，主要</w:t>
      </w:r>
      <w:r>
        <w:rPr>
          <w:rFonts w:hint="eastAsia" w:ascii="宋体" w:hAnsi="宋体" w:eastAsia="宋体" w:cs="宋体"/>
          <w:szCs w:val="21"/>
        </w:rPr>
        <w:t>包括以下内容：</w:t>
      </w:r>
      <w:r>
        <w:rPr>
          <w:rFonts w:hint="eastAsia" w:ascii="宋体" w:hAnsi="宋体" w:eastAsia="宋体" w:cs="宋体"/>
        </w:rPr>
        <w:t>：</w:t>
      </w:r>
    </w:p>
    <w:bookmarkEnd w:id="37"/>
    <w:p w14:paraId="20E5EFD7">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（1）投标函</w:t>
      </w:r>
    </w:p>
    <w:p w14:paraId="302EC27B">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（2）政府采购投标及履约承诺函</w:t>
      </w:r>
    </w:p>
    <w:p w14:paraId="0CE7A514">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（3）政府采购违法行为风险知悉确认书</w:t>
      </w:r>
    </w:p>
    <w:p w14:paraId="2DB4B32E">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（4）投标人情况介绍及资格要求</w:t>
      </w:r>
    </w:p>
    <w:p w14:paraId="084AA70F">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（5）招标代理服务费承诺函</w:t>
      </w:r>
    </w:p>
    <w:p w14:paraId="32F79888">
      <w:pPr>
        <w:pStyle w:val="8"/>
        <w:numPr>
          <w:ilvl w:val="255"/>
          <w:numId w:val="0"/>
        </w:numPr>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（6）投标人通过相关认证情况（格式自定）</w:t>
      </w:r>
    </w:p>
    <w:p w14:paraId="5FA36814">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（7）投标人同类项目业绩情况（格式自定）</w:t>
      </w:r>
    </w:p>
    <w:p w14:paraId="1ADCBCD5">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（8）企业荣誉（格式自定）</w:t>
      </w:r>
    </w:p>
    <w:p w14:paraId="2144EAA2">
      <w:pPr>
        <w:pStyle w:val="8"/>
        <w:spacing w:before="60" w:beforeLines="25" w:after="60" w:afterLines="25"/>
        <w:ind w:firstLine="1132" w:firstLineChars="472"/>
        <w:rPr>
          <w:rFonts w:hint="eastAsia" w:ascii="宋体" w:hAnsi="宋体" w:eastAsia="宋体" w:cs="宋体"/>
          <w:szCs w:val="21"/>
        </w:rPr>
      </w:pPr>
      <w:r>
        <w:rPr>
          <w:rFonts w:hint="eastAsia" w:ascii="宋体" w:hAnsi="宋体" w:eastAsia="宋体" w:cs="宋体"/>
          <w:szCs w:val="21"/>
        </w:rPr>
        <w:t>（9）招标文件要求的其他内容及投标人认为需要加以说明的其他内容（格式自定）</w:t>
      </w:r>
    </w:p>
    <w:p w14:paraId="6BEA059E">
      <w:pPr>
        <w:pStyle w:val="8"/>
        <w:ind w:left="240" w:leftChars="100" w:firstLine="1132" w:firstLineChars="472"/>
        <w:rPr>
          <w:rFonts w:hint="eastAsia" w:ascii="宋体" w:hAnsi="宋体" w:eastAsia="宋体" w:cs="宋体"/>
          <w:szCs w:val="21"/>
        </w:rPr>
      </w:pPr>
      <w:r>
        <w:rPr>
          <w:rFonts w:hint="eastAsia" w:ascii="宋体" w:hAnsi="宋体" w:eastAsia="宋体" w:cs="宋体"/>
          <w:szCs w:val="21"/>
        </w:rPr>
        <w:t>注：具体按评分信息设置标书节点</w:t>
      </w:r>
    </w:p>
    <w:p w14:paraId="0BE66428">
      <w:pPr>
        <w:pStyle w:val="2"/>
      </w:pPr>
    </w:p>
    <w:p w14:paraId="209CF96C">
      <w:pPr>
        <w:pStyle w:val="8"/>
        <w:ind w:firstLine="484" w:firstLineChars="202"/>
        <w:rPr>
          <w:rFonts w:hint="eastAsia" w:ascii="宋体" w:hAnsi="宋体" w:eastAsia="宋体" w:cs="宋体"/>
          <w:szCs w:val="21"/>
        </w:rPr>
      </w:pPr>
      <w:r>
        <w:rPr>
          <w:rFonts w:hint="eastAsia" w:ascii="宋体" w:hAnsi="宋体" w:eastAsia="宋体" w:cs="宋体"/>
          <w:szCs w:val="21"/>
        </w:rPr>
        <w:t>2.投标文件附件</w:t>
      </w:r>
      <w:r>
        <w:rPr>
          <w:rFonts w:hint="eastAsia" w:ascii="宋体" w:hAnsi="宋体" w:eastAsia="宋体" w:cs="宋体"/>
          <w:b/>
          <w:szCs w:val="21"/>
        </w:rPr>
        <w:t>（非信息公开部分）</w:t>
      </w:r>
      <w:r>
        <w:rPr>
          <w:rFonts w:hint="eastAsia" w:ascii="宋体" w:hAnsi="宋体" w:eastAsia="宋体" w:cs="宋体"/>
          <w:szCs w:val="21"/>
        </w:rPr>
        <w:t>，主要包括以下内容：</w:t>
      </w:r>
    </w:p>
    <w:p w14:paraId="41196220">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（1）法定代表人证明书</w:t>
      </w:r>
    </w:p>
    <w:p w14:paraId="05D640D1">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（2）投标文件签署授权委托书</w:t>
      </w:r>
    </w:p>
    <w:p w14:paraId="07814794">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（3）实质性条款响应情况表</w:t>
      </w:r>
    </w:p>
    <w:p w14:paraId="05A3AE58">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（4）详细分项报价</w:t>
      </w:r>
    </w:p>
    <w:p w14:paraId="73641492">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（5）实施方案（格式自定）</w:t>
      </w:r>
    </w:p>
    <w:p w14:paraId="6176247E">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（6）售后服务方案（格式自定）</w:t>
      </w:r>
    </w:p>
    <w:p w14:paraId="0C62CE91">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（7）项目重点难点分析、应对措施及相关的合理化建议（格式自定）</w:t>
      </w:r>
    </w:p>
    <w:p w14:paraId="459B4D84">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（8）质量（完成时间、安全、环保）保障措施及方案（格式自定）</w:t>
      </w:r>
    </w:p>
    <w:p w14:paraId="71F9ADAC">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（9）项目完成（服务期满）后的服务承诺（格式自定）</w:t>
      </w:r>
    </w:p>
    <w:p w14:paraId="12888ED5">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（10）违约承诺（格式自定）</w:t>
      </w:r>
    </w:p>
    <w:p w14:paraId="1BDC31DC">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（11）服务团队（格式自定）</w:t>
      </w:r>
    </w:p>
    <w:p w14:paraId="69718C67">
      <w:pPr>
        <w:pStyle w:val="8"/>
        <w:ind w:left="240" w:leftChars="100" w:firstLine="892" w:firstLineChars="372"/>
        <w:rPr>
          <w:rFonts w:hint="eastAsia" w:ascii="宋体" w:hAnsi="宋体" w:eastAsia="宋体" w:cs="宋体"/>
          <w:szCs w:val="21"/>
        </w:rPr>
      </w:pPr>
      <w:r>
        <w:rPr>
          <w:rFonts w:hint="eastAsia" w:ascii="宋体" w:hAnsi="宋体" w:eastAsia="宋体" w:cs="宋体"/>
          <w:szCs w:val="21"/>
        </w:rPr>
        <w:t>（12）招标文件要求的其他内容及投标人认为需要加以说明的其他内容（格式自定）</w:t>
      </w:r>
    </w:p>
    <w:p w14:paraId="44243032">
      <w:pPr>
        <w:pStyle w:val="2"/>
        <w:rPr>
          <w:rFonts w:hint="eastAsia" w:ascii="宋体" w:hAnsi="宋体" w:eastAsia="宋体" w:cs="宋体"/>
        </w:rPr>
      </w:pPr>
      <w:r>
        <w:rPr>
          <w:rFonts w:hint="eastAsia" w:ascii="宋体" w:hAnsi="宋体" w:eastAsia="宋体" w:cs="宋体"/>
          <w:szCs w:val="21"/>
        </w:rPr>
        <w:t xml:space="preserve">        </w:t>
      </w:r>
      <w:r>
        <w:rPr>
          <w:rFonts w:hint="eastAsia" w:ascii="宋体" w:hAnsi="宋体" w:eastAsia="宋体" w:cs="宋体"/>
          <w:b w:val="0"/>
          <w:bCs w:val="0"/>
          <w:szCs w:val="21"/>
        </w:rPr>
        <w:t xml:space="preserve"> （13）供应商基本情况表</w:t>
      </w:r>
    </w:p>
    <w:p w14:paraId="3B59D3C4">
      <w:pPr>
        <w:ind w:firstLine="426" w:firstLineChars="202"/>
        <w:rPr>
          <w:rFonts w:hint="eastAsia" w:ascii="宋体" w:hAnsi="宋体" w:eastAsia="宋体" w:cs="宋体"/>
          <w:b/>
          <w:bCs/>
          <w:sz w:val="21"/>
          <w:szCs w:val="21"/>
        </w:rPr>
      </w:pPr>
      <w:r>
        <w:rPr>
          <w:rFonts w:hint="eastAsia" w:ascii="宋体" w:hAnsi="宋体" w:eastAsia="宋体" w:cs="宋体"/>
          <w:b/>
          <w:bCs/>
          <w:sz w:val="21"/>
          <w:szCs w:val="21"/>
        </w:rPr>
        <w:t>备注：</w:t>
      </w:r>
    </w:p>
    <w:p w14:paraId="001DEBBC">
      <w:pPr>
        <w:ind w:firstLine="426" w:firstLineChars="202"/>
        <w:rPr>
          <w:rFonts w:hint="eastAsia" w:ascii="宋体" w:hAnsi="宋体" w:eastAsia="宋体" w:cs="宋体"/>
          <w:b/>
          <w:bCs/>
          <w:sz w:val="21"/>
          <w:szCs w:val="21"/>
        </w:rPr>
      </w:pPr>
      <w:r>
        <w:rPr>
          <w:rFonts w:hint="eastAsia" w:ascii="宋体" w:hAnsi="宋体" w:eastAsia="宋体" w:cs="宋体"/>
          <w:b/>
          <w:bCs/>
          <w:sz w:val="21"/>
          <w:szCs w:val="21"/>
        </w:rPr>
        <w:t>1.本项目为网上电子投标项目，投标文件不需法人或授权委托人另行签字，无需加盖单位公章，招标文件专用条款另有规定的除外。</w:t>
      </w:r>
    </w:p>
    <w:p w14:paraId="16E9437F">
      <w:pPr>
        <w:ind w:firstLine="426" w:firstLineChars="202"/>
        <w:rPr>
          <w:rFonts w:hint="eastAsia" w:ascii="宋体" w:hAnsi="宋体" w:eastAsia="宋体" w:cs="宋体"/>
          <w:b/>
          <w:bCs/>
          <w:sz w:val="21"/>
          <w:szCs w:val="21"/>
        </w:rPr>
      </w:pPr>
      <w:r>
        <w:rPr>
          <w:rFonts w:hint="eastAsia" w:ascii="宋体" w:hAnsi="宋体" w:eastAsia="宋体" w:cs="宋体"/>
          <w:b/>
          <w:bCs/>
          <w:sz w:val="21"/>
          <w:szCs w:val="21"/>
        </w:rPr>
        <w:t>2.关于“开标一览表”的评标说明：“开标一览表”中除“投标总价”外，其他信息不作评审依据。</w:t>
      </w:r>
    </w:p>
    <w:p w14:paraId="0DCF1B75">
      <w:pPr>
        <w:ind w:firstLine="426" w:firstLineChars="202"/>
        <w:rPr>
          <w:rFonts w:hint="eastAsia" w:ascii="宋体" w:hAnsi="宋体" w:eastAsia="宋体" w:cs="宋体"/>
          <w:b/>
          <w:bCs/>
          <w:sz w:val="21"/>
          <w:szCs w:val="21"/>
        </w:rPr>
      </w:pPr>
      <w:r>
        <w:rPr>
          <w:rFonts w:hint="eastAsia" w:ascii="宋体" w:hAnsi="宋体" w:eastAsia="宋体" w:cs="宋体"/>
          <w:b/>
          <w:bCs/>
          <w:sz w:val="21"/>
          <w:szCs w:val="21"/>
        </w:rPr>
        <w:t>3.关于投标书编制软件中“开标一览表”的填写说明：“开标一览表”中“完工期”一栏的填写内容不作任何要求，由投标人自行填写。</w:t>
      </w:r>
    </w:p>
    <w:p w14:paraId="5D5D21D0">
      <w:pPr>
        <w:ind w:firstLine="487" w:firstLineChars="202"/>
        <w:rPr>
          <w:rFonts w:hint="eastAsia" w:ascii="宋体" w:hAnsi="宋体" w:eastAsia="宋体" w:cs="宋体"/>
          <w:b/>
          <w:szCs w:val="21"/>
        </w:rPr>
      </w:pPr>
    </w:p>
    <w:p w14:paraId="58E71171">
      <w:pPr>
        <w:rPr>
          <w:rFonts w:hint="eastAsia" w:ascii="宋体" w:hAnsi="宋体" w:eastAsia="宋体" w:cs="宋体"/>
          <w:b/>
        </w:rPr>
      </w:pPr>
      <w:r>
        <w:rPr>
          <w:rFonts w:hint="eastAsia" w:ascii="宋体" w:hAnsi="宋体" w:eastAsia="宋体" w:cs="宋体"/>
          <w:b/>
          <w:color w:val="FF0000"/>
          <w:sz w:val="36"/>
          <w:szCs w:val="36"/>
        </w:rPr>
        <w:br w:type="page"/>
      </w:r>
    </w:p>
    <w:p w14:paraId="33950926">
      <w:pPr>
        <w:pStyle w:val="5"/>
        <w:rPr>
          <w:rFonts w:hint="eastAsia" w:cs="宋体"/>
        </w:rPr>
      </w:pPr>
      <w:r>
        <w:rPr>
          <w:rFonts w:hint="eastAsia" w:cs="宋体"/>
          <w:szCs w:val="28"/>
        </w:rPr>
        <w:t>投标文件附件（信息公开部分）：</w:t>
      </w:r>
    </w:p>
    <w:p w14:paraId="778CBC43">
      <w:pPr>
        <w:pStyle w:val="6"/>
        <w:jc w:val="center"/>
        <w:rPr>
          <w:rFonts w:hint="eastAsia" w:cs="宋体"/>
        </w:rPr>
      </w:pPr>
      <w:r>
        <w:rPr>
          <w:rFonts w:hint="eastAsia" w:cs="宋体"/>
        </w:rPr>
        <w:t>一、投标函</w:t>
      </w:r>
    </w:p>
    <w:p w14:paraId="6D1F3ECA">
      <w:pPr>
        <w:spacing w:line="360" w:lineRule="auto"/>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 xml:space="preserve">  深圳市南科大资产经营管理有限公司  </w:t>
      </w:r>
    </w:p>
    <w:p w14:paraId="62B8AD50">
      <w:pPr>
        <w:spacing w:after="120" w:afterLines="50" w:line="360" w:lineRule="auto"/>
        <w:ind w:firstLine="480" w:firstLineChars="200"/>
        <w:rPr>
          <w:rFonts w:hint="eastAsia" w:ascii="宋体" w:hAnsi="宋体" w:eastAsia="宋体" w:cs="宋体"/>
          <w:szCs w:val="21"/>
        </w:rPr>
      </w:pPr>
      <w:r>
        <w:rPr>
          <w:rFonts w:hint="eastAsia" w:ascii="宋体" w:hAnsi="宋体" w:eastAsia="宋体" w:cs="宋体"/>
          <w:szCs w:val="21"/>
        </w:rPr>
        <w:t>1.根据已收到贵方的项目编号为</w:t>
      </w:r>
      <w:r>
        <w:rPr>
          <w:rFonts w:hint="eastAsia" w:ascii="宋体" w:hAnsi="宋体" w:eastAsia="宋体" w:cs="宋体"/>
          <w:szCs w:val="21"/>
          <w:u w:val="single"/>
        </w:rPr>
        <w:t xml:space="preserve">        </w:t>
      </w:r>
      <w:r>
        <w:rPr>
          <w:rFonts w:hint="eastAsia" w:ascii="宋体" w:hAnsi="宋体" w:eastAsia="宋体" w:cs="宋体"/>
          <w:szCs w:val="21"/>
        </w:rPr>
        <w:t>的</w:t>
      </w:r>
      <w:r>
        <w:rPr>
          <w:rFonts w:hint="eastAsia" w:ascii="宋体" w:hAnsi="宋体" w:eastAsia="宋体" w:cs="宋体"/>
          <w:szCs w:val="21"/>
          <w:u w:val="single"/>
        </w:rPr>
        <w:t xml:space="preserve">               </w:t>
      </w:r>
      <w:r>
        <w:rPr>
          <w:rFonts w:hint="eastAsia" w:ascii="宋体" w:hAnsi="宋体" w:eastAsia="宋体" w:cs="宋体"/>
          <w:szCs w:val="21"/>
        </w:rPr>
        <w:t>项目的招标文件，遵照《深圳经济特区政府采购条例》和《深圳网上政府采购管理暂行办法》等有关规定，我单位经研究上述招标文件的专用条款及通用条款后，我方愿以投标书编制软件中《开标一览表》中填写的投标报价并按招标文件要求承包上述项目并修补其任何缺陷。</w:t>
      </w:r>
    </w:p>
    <w:p w14:paraId="61DDBF7C">
      <w:pPr>
        <w:spacing w:after="120" w:afterLines="50" w:line="360" w:lineRule="auto"/>
        <w:ind w:firstLine="480" w:firstLineChars="200"/>
        <w:rPr>
          <w:rFonts w:hint="eastAsia" w:ascii="宋体" w:hAnsi="宋体" w:eastAsia="宋体" w:cs="宋体"/>
          <w:szCs w:val="21"/>
        </w:rPr>
      </w:pPr>
      <w:r>
        <w:rPr>
          <w:rFonts w:hint="eastAsia" w:ascii="宋体" w:hAnsi="宋体" w:eastAsia="宋体" w:cs="宋体"/>
          <w:szCs w:val="21"/>
        </w:rPr>
        <w:t>2.我方已认真核实了投标文件的全部资料，所有资料均为真实资料。我方对投标文件中全部投标资料的真实性负责，如被证实我方的投标文件中存在虚假资料的，则视为我方隐瞒真实情况、提供虚假资料，我方愿意接受主管部门作出的行政处罚。</w:t>
      </w:r>
    </w:p>
    <w:p w14:paraId="1307E7B1">
      <w:pPr>
        <w:spacing w:after="120" w:afterLines="50" w:line="360" w:lineRule="auto"/>
        <w:ind w:firstLine="480" w:firstLineChars="200"/>
        <w:rPr>
          <w:rFonts w:hint="eastAsia" w:ascii="宋体" w:hAnsi="宋体" w:eastAsia="宋体" w:cs="宋体"/>
          <w:szCs w:val="21"/>
        </w:rPr>
      </w:pPr>
      <w:r>
        <w:rPr>
          <w:rFonts w:hint="eastAsia" w:ascii="宋体" w:hAnsi="宋体" w:eastAsia="宋体" w:cs="宋体"/>
          <w:szCs w:val="21"/>
        </w:rPr>
        <w:t>3.如果我方中标，我方将按照规定提交上述总价</w:t>
      </w:r>
      <w:r>
        <w:rPr>
          <w:rFonts w:hint="eastAsia" w:ascii="宋体" w:hAnsi="宋体" w:eastAsia="宋体" w:cs="宋体"/>
          <w:szCs w:val="21"/>
          <w:u w:val="single"/>
        </w:rPr>
        <w:t xml:space="preserve">      </w:t>
      </w:r>
      <w:r>
        <w:rPr>
          <w:rFonts w:hint="eastAsia" w:ascii="宋体" w:hAnsi="宋体" w:eastAsia="宋体" w:cs="宋体"/>
          <w:szCs w:val="21"/>
        </w:rPr>
        <w:t>％（或</w:t>
      </w:r>
      <w:r>
        <w:rPr>
          <w:rFonts w:hint="eastAsia" w:ascii="宋体" w:hAnsi="宋体" w:eastAsia="宋体" w:cs="宋体"/>
          <w:szCs w:val="21"/>
          <w:u w:val="single"/>
        </w:rPr>
        <w:t xml:space="preserve">   </w:t>
      </w:r>
      <w:r>
        <w:rPr>
          <w:rFonts w:hint="eastAsia" w:ascii="宋体" w:hAnsi="宋体" w:eastAsia="宋体" w:cs="宋体"/>
          <w:szCs w:val="21"/>
        </w:rPr>
        <w:t>万元）作为履约担保。</w:t>
      </w:r>
    </w:p>
    <w:p w14:paraId="31503D81">
      <w:pPr>
        <w:spacing w:after="120" w:afterLines="50" w:line="360" w:lineRule="auto"/>
        <w:ind w:firstLine="470" w:firstLineChars="196"/>
        <w:rPr>
          <w:rFonts w:hint="eastAsia" w:ascii="宋体" w:hAnsi="宋体" w:eastAsia="宋体" w:cs="宋体"/>
          <w:szCs w:val="21"/>
        </w:rPr>
      </w:pPr>
      <w:r>
        <w:rPr>
          <w:rFonts w:hint="eastAsia" w:ascii="宋体" w:hAnsi="宋体" w:eastAsia="宋体" w:cs="宋体"/>
          <w:szCs w:val="21"/>
        </w:rPr>
        <w:t>4.我方同意所递交的投标文件在“对通用条款的补充内容”中的投标有效期内有效，在此期间内我方的投标有可能中标，我方将受此约束。</w:t>
      </w:r>
    </w:p>
    <w:p w14:paraId="6E544D49">
      <w:pPr>
        <w:spacing w:after="120" w:afterLines="50" w:line="360" w:lineRule="auto"/>
        <w:ind w:firstLine="470" w:firstLineChars="196"/>
        <w:rPr>
          <w:rFonts w:hint="eastAsia" w:ascii="宋体" w:hAnsi="宋体" w:eastAsia="宋体" w:cs="宋体"/>
          <w:szCs w:val="21"/>
        </w:rPr>
      </w:pPr>
      <w:r>
        <w:rPr>
          <w:rFonts w:hint="eastAsia" w:ascii="宋体" w:hAnsi="宋体" w:eastAsia="宋体" w:cs="宋体"/>
          <w:szCs w:val="21"/>
        </w:rPr>
        <w:t>5.除非另外达成协议并生效，贵方的中标通知书和本投标文件将构成约束我们双方的合同。</w:t>
      </w:r>
    </w:p>
    <w:p w14:paraId="3325D80A">
      <w:pPr>
        <w:spacing w:after="120" w:afterLines="50" w:line="360" w:lineRule="auto"/>
        <w:ind w:firstLine="470" w:firstLineChars="196"/>
        <w:rPr>
          <w:rFonts w:hint="eastAsia" w:ascii="宋体" w:hAnsi="宋体" w:eastAsia="宋体" w:cs="宋体"/>
          <w:szCs w:val="21"/>
        </w:rPr>
      </w:pPr>
      <w:r>
        <w:rPr>
          <w:rFonts w:hint="eastAsia" w:ascii="宋体" w:hAnsi="宋体" w:eastAsia="宋体" w:cs="宋体"/>
          <w:szCs w:val="21"/>
        </w:rPr>
        <w:t>6.我方理解贵方将不受必须接受你们所收到的最低标价或其它任何投标文件的约束。</w:t>
      </w:r>
    </w:p>
    <w:p w14:paraId="4DDDCE79">
      <w:pPr>
        <w:spacing w:line="360" w:lineRule="auto"/>
        <w:ind w:left="617" w:leftChars="257"/>
        <w:rPr>
          <w:rFonts w:hint="eastAsia" w:ascii="宋体" w:hAnsi="宋体" w:eastAsia="宋体" w:cs="宋体"/>
          <w:szCs w:val="21"/>
          <w:u w:val="single"/>
        </w:rPr>
      </w:pPr>
      <w:r>
        <w:rPr>
          <w:rFonts w:hint="eastAsia" w:ascii="宋体" w:hAnsi="宋体" w:eastAsia="宋体" w:cs="宋体"/>
          <w:szCs w:val="21"/>
        </w:rPr>
        <w:t>投标人：</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p>
    <w:p w14:paraId="5146E5CD">
      <w:pPr>
        <w:spacing w:line="360" w:lineRule="auto"/>
        <w:ind w:left="617" w:leftChars="257"/>
        <w:rPr>
          <w:rFonts w:hint="eastAsia" w:ascii="宋体" w:hAnsi="宋体" w:eastAsia="宋体" w:cs="宋体"/>
          <w:szCs w:val="21"/>
          <w:u w:val="single"/>
        </w:rPr>
      </w:pPr>
      <w:r>
        <w:rPr>
          <w:rFonts w:hint="eastAsia" w:ascii="宋体" w:hAnsi="宋体" w:eastAsia="宋体" w:cs="宋体"/>
          <w:szCs w:val="21"/>
        </w:rPr>
        <w:t>法定代表人或其委托代理人：</w:t>
      </w:r>
      <w:r>
        <w:rPr>
          <w:rFonts w:hint="eastAsia" w:ascii="宋体" w:hAnsi="宋体" w:eastAsia="宋体" w:cs="宋体"/>
          <w:szCs w:val="21"/>
          <w:u w:val="single"/>
        </w:rPr>
        <w:t xml:space="preserve">                   </w:t>
      </w:r>
    </w:p>
    <w:p w14:paraId="27EACE41">
      <w:pPr>
        <w:spacing w:line="360" w:lineRule="auto"/>
        <w:ind w:left="617" w:leftChars="257"/>
        <w:rPr>
          <w:rFonts w:hint="eastAsia" w:ascii="宋体" w:hAnsi="宋体" w:eastAsia="宋体" w:cs="宋体"/>
          <w:szCs w:val="21"/>
          <w:u w:val="single"/>
        </w:rPr>
      </w:pPr>
      <w:r>
        <w:rPr>
          <w:rFonts w:hint="eastAsia" w:ascii="宋体" w:hAnsi="宋体" w:eastAsia="宋体" w:cs="宋体"/>
          <w:szCs w:val="21"/>
        </w:rPr>
        <w:t>邮政编码：</w:t>
      </w:r>
      <w:r>
        <w:rPr>
          <w:rFonts w:hint="eastAsia" w:ascii="宋体" w:hAnsi="宋体" w:eastAsia="宋体" w:cs="宋体"/>
          <w:szCs w:val="21"/>
          <w:u w:val="single"/>
        </w:rPr>
        <w:t xml:space="preserve">          </w:t>
      </w:r>
      <w:r>
        <w:rPr>
          <w:rFonts w:hint="eastAsia" w:ascii="宋体" w:hAnsi="宋体" w:eastAsia="宋体" w:cs="宋体"/>
          <w:szCs w:val="21"/>
        </w:rPr>
        <w:t xml:space="preserve">  电话：</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p>
    <w:p w14:paraId="75F752DA">
      <w:pPr>
        <w:spacing w:line="360" w:lineRule="auto"/>
        <w:ind w:left="617" w:leftChars="257"/>
        <w:rPr>
          <w:rFonts w:hint="eastAsia" w:ascii="宋体" w:hAnsi="宋体" w:eastAsia="宋体" w:cs="宋体"/>
          <w:szCs w:val="21"/>
        </w:rPr>
      </w:pPr>
      <w:r>
        <w:rPr>
          <w:rFonts w:hint="eastAsia" w:ascii="宋体" w:hAnsi="宋体" w:eastAsia="宋体" w:cs="宋体"/>
          <w:szCs w:val="21"/>
        </w:rPr>
        <w:t>开户银行名称：</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ab/>
      </w:r>
      <w:r>
        <w:rPr>
          <w:rFonts w:hint="eastAsia" w:ascii="宋体" w:hAnsi="宋体" w:eastAsia="宋体" w:cs="宋体"/>
          <w:szCs w:val="21"/>
        </w:rPr>
        <w:t>开户银行帐号：</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p>
    <w:p w14:paraId="2C325ABA">
      <w:pPr>
        <w:spacing w:line="360" w:lineRule="auto"/>
        <w:ind w:left="617" w:leftChars="257"/>
        <w:rPr>
          <w:rFonts w:hint="eastAsia" w:ascii="宋体" w:hAnsi="宋体" w:eastAsia="宋体" w:cs="宋体"/>
          <w:szCs w:val="21"/>
        </w:rPr>
      </w:pPr>
      <w:r>
        <w:rPr>
          <w:rFonts w:hint="eastAsia" w:ascii="宋体" w:hAnsi="宋体" w:eastAsia="宋体" w:cs="宋体"/>
          <w:szCs w:val="21"/>
        </w:rPr>
        <w:t>开户银行地址：</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rPr>
        <w:tab/>
      </w:r>
      <w:r>
        <w:rPr>
          <w:rFonts w:hint="eastAsia" w:ascii="宋体" w:hAnsi="宋体" w:eastAsia="宋体" w:cs="宋体"/>
          <w:szCs w:val="21"/>
        </w:rPr>
        <w:t>开户银行电话：</w:t>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r>
        <w:rPr>
          <w:rFonts w:hint="eastAsia" w:ascii="宋体" w:hAnsi="宋体" w:eastAsia="宋体" w:cs="宋体"/>
          <w:szCs w:val="21"/>
          <w:u w:val="single"/>
        </w:rPr>
        <w:tab/>
      </w:r>
    </w:p>
    <w:p w14:paraId="22CF49D8">
      <w:pPr>
        <w:spacing w:line="360" w:lineRule="auto"/>
        <w:ind w:firstLine="616" w:firstLineChars="257"/>
        <w:rPr>
          <w:rFonts w:hint="eastAsia" w:ascii="宋体" w:hAnsi="宋体" w:eastAsia="宋体" w:cs="宋体"/>
        </w:rPr>
      </w:pPr>
      <w:r>
        <w:rPr>
          <w:rFonts w:hint="eastAsia" w:ascii="宋体" w:hAnsi="宋体" w:eastAsia="宋体" w:cs="宋体"/>
          <w:szCs w:val="21"/>
        </w:rPr>
        <w:t>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r>
        <w:rPr>
          <w:rFonts w:hint="eastAsia" w:ascii="宋体" w:hAnsi="宋体" w:eastAsia="宋体" w:cs="宋体"/>
        </w:rPr>
        <w:t xml:space="preserve">                                </w:t>
      </w:r>
    </w:p>
    <w:p w14:paraId="0550A6C2">
      <w:pPr>
        <w:spacing w:after="120" w:afterLines="50"/>
        <w:ind w:firstLine="470" w:firstLineChars="196"/>
        <w:rPr>
          <w:rFonts w:hint="eastAsia" w:ascii="宋体" w:hAnsi="宋体" w:eastAsia="宋体" w:cs="宋体"/>
          <w:szCs w:val="21"/>
        </w:rPr>
      </w:pPr>
    </w:p>
    <w:p w14:paraId="021A184D">
      <w:pPr>
        <w:rPr>
          <w:rFonts w:hint="eastAsia" w:ascii="宋体" w:hAnsi="宋体" w:eastAsia="宋体" w:cs="宋体"/>
          <w:sz w:val="21"/>
          <w:szCs w:val="21"/>
        </w:rPr>
      </w:pPr>
      <w:r>
        <w:rPr>
          <w:rFonts w:hint="eastAsia" w:ascii="宋体" w:hAnsi="宋体" w:eastAsia="宋体" w:cs="宋体"/>
          <w:sz w:val="21"/>
          <w:szCs w:val="21"/>
        </w:rPr>
        <w:t>注：</w:t>
      </w:r>
    </w:p>
    <w:p w14:paraId="3E2301D0">
      <w:pPr>
        <w:rPr>
          <w:rFonts w:hint="eastAsia" w:ascii="宋体" w:hAnsi="宋体" w:eastAsia="宋体" w:cs="宋体"/>
          <w:sz w:val="21"/>
          <w:szCs w:val="21"/>
        </w:rPr>
      </w:pPr>
      <w:r>
        <w:rPr>
          <w:rFonts w:hint="eastAsia" w:ascii="宋体" w:hAnsi="宋体" w:eastAsia="宋体" w:cs="宋体"/>
          <w:sz w:val="21"/>
          <w:szCs w:val="21"/>
        </w:rPr>
        <w:t>1.本格式不得擅自更改。</w:t>
      </w:r>
    </w:p>
    <w:p w14:paraId="6009591C">
      <w:pPr>
        <w:rPr>
          <w:rFonts w:hint="eastAsia" w:ascii="宋体" w:hAnsi="宋体" w:eastAsia="宋体" w:cs="宋体"/>
          <w:sz w:val="21"/>
          <w:szCs w:val="21"/>
        </w:rPr>
      </w:pPr>
      <w:r>
        <w:rPr>
          <w:rFonts w:hint="eastAsia" w:ascii="宋体" w:hAnsi="宋体" w:eastAsia="宋体" w:cs="宋体"/>
          <w:sz w:val="21"/>
          <w:szCs w:val="21"/>
        </w:rPr>
        <w:t>2.为缓解中小企业融资难题，我市推出政府采购订单融资改革举措。订单融资具体流程及试</w:t>
      </w:r>
    </w:p>
    <w:p w14:paraId="61AC8221">
      <w:pPr>
        <w:rPr>
          <w:rFonts w:hint="eastAsia" w:ascii="宋体" w:hAnsi="宋体" w:eastAsia="宋体" w:cs="宋体"/>
          <w:sz w:val="21"/>
          <w:szCs w:val="21"/>
        </w:rPr>
      </w:pPr>
      <w:r>
        <w:rPr>
          <w:rFonts w:hint="eastAsia" w:ascii="宋体" w:hAnsi="宋体" w:eastAsia="宋体" w:cs="宋体"/>
          <w:sz w:val="21"/>
          <w:szCs w:val="21"/>
        </w:rPr>
        <w:t>点金融机构订单融资服务承诺可参阅深圳市政府采购监管网信息公开栏目或深圳政府采购网政府采购订单融资栏目。</w:t>
      </w:r>
    </w:p>
    <w:p w14:paraId="3209089A">
      <w:pPr>
        <w:jc w:val="center"/>
        <w:rPr>
          <w:rFonts w:hint="eastAsia" w:ascii="宋体" w:hAnsi="宋体" w:eastAsia="宋体" w:cs="宋体"/>
        </w:rPr>
      </w:pPr>
      <w:r>
        <w:rPr>
          <w:rFonts w:hint="eastAsia" w:ascii="宋体" w:hAnsi="宋体" w:eastAsia="宋体" w:cs="宋体"/>
        </w:rPr>
        <w:br w:type="page"/>
      </w:r>
    </w:p>
    <w:p w14:paraId="1F9BC2E8">
      <w:pPr>
        <w:pStyle w:val="6"/>
        <w:jc w:val="center"/>
        <w:rPr>
          <w:rFonts w:hint="eastAsia" w:cs="宋体"/>
        </w:rPr>
      </w:pPr>
      <w:r>
        <w:rPr>
          <w:rFonts w:hint="eastAsia" w:cs="宋体"/>
        </w:rPr>
        <w:t>二、政府采购投标及履约承诺函</w:t>
      </w:r>
    </w:p>
    <w:p w14:paraId="3590F248">
      <w:pPr>
        <w:rPr>
          <w:rFonts w:hint="eastAsia" w:ascii="宋体" w:hAnsi="宋体" w:eastAsia="宋体" w:cs="宋体"/>
        </w:rPr>
      </w:pPr>
    </w:p>
    <w:p w14:paraId="14AB903F">
      <w:pPr>
        <w:rPr>
          <w:rFonts w:hint="eastAsia" w:ascii="宋体" w:hAnsi="宋体" w:eastAsia="宋体" w:cs="宋体"/>
          <w:szCs w:val="21"/>
        </w:rPr>
      </w:pPr>
      <w:r>
        <w:rPr>
          <w:rFonts w:hint="eastAsia" w:ascii="宋体" w:hAnsi="宋体" w:eastAsia="宋体" w:cs="宋体"/>
          <w:szCs w:val="21"/>
        </w:rPr>
        <w:t>致：深圳市南科大资产经营管理有限公司</w:t>
      </w:r>
    </w:p>
    <w:p w14:paraId="14C97D6F">
      <w:pPr>
        <w:ind w:firstLine="480" w:firstLineChars="200"/>
        <w:rPr>
          <w:rFonts w:hint="eastAsia" w:ascii="宋体" w:hAnsi="宋体" w:eastAsia="宋体" w:cs="宋体"/>
          <w:szCs w:val="21"/>
        </w:rPr>
      </w:pPr>
      <w:r>
        <w:rPr>
          <w:rFonts w:hint="eastAsia" w:ascii="宋体" w:hAnsi="宋体" w:eastAsia="宋体" w:cs="宋体"/>
          <w:szCs w:val="21"/>
        </w:rPr>
        <w:t>我公司承诺：</w:t>
      </w:r>
    </w:p>
    <w:p w14:paraId="10DDB5D0">
      <w:pPr>
        <w:ind w:firstLine="480" w:firstLineChars="200"/>
        <w:rPr>
          <w:rFonts w:hint="eastAsia" w:ascii="宋体" w:hAnsi="宋体" w:eastAsia="宋体" w:cs="宋体"/>
          <w:szCs w:val="21"/>
        </w:rPr>
      </w:pPr>
      <w:r>
        <w:rPr>
          <w:rFonts w:hint="eastAsia" w:ascii="宋体" w:hAnsi="宋体" w:eastAsia="宋体" w:cs="宋体"/>
          <w:szCs w:val="21"/>
        </w:rPr>
        <w:t>1.我单位参与本项目所投标（响应）的货物、工程或服务，不存在侵犯知识产权的情况；已知悉并同意中标（成交）结果信息公示（公开）的内容。</w:t>
      </w:r>
    </w:p>
    <w:p w14:paraId="24949FAA">
      <w:pPr>
        <w:ind w:firstLine="480" w:firstLineChars="200"/>
        <w:rPr>
          <w:rFonts w:hint="eastAsia" w:ascii="宋体" w:hAnsi="宋体" w:eastAsia="宋体" w:cs="宋体"/>
          <w:szCs w:val="21"/>
        </w:rPr>
      </w:pPr>
      <w:r>
        <w:rPr>
          <w:rFonts w:hint="eastAsia" w:ascii="宋体" w:hAnsi="宋体" w:eastAsia="宋体" w:cs="宋体"/>
          <w:szCs w:val="21"/>
        </w:rPr>
        <w:t>2.我单位参与本项目投标前三年内，在经营活动中没有重大违法记录</w:t>
      </w:r>
    </w:p>
    <w:p w14:paraId="74BE11F3">
      <w:pPr>
        <w:ind w:firstLine="480" w:firstLineChars="200"/>
        <w:rPr>
          <w:rFonts w:hint="eastAsia" w:ascii="宋体" w:hAnsi="宋体" w:eastAsia="宋体" w:cs="宋体"/>
          <w:szCs w:val="21"/>
        </w:rPr>
      </w:pPr>
      <w:r>
        <w:rPr>
          <w:rFonts w:hint="eastAsia" w:ascii="宋体" w:hAnsi="宋体" w:eastAsia="宋体" w:cs="宋体"/>
          <w:szCs w:val="21"/>
        </w:rPr>
        <w:t>3.我单位参与本项目政府采购活动时不存在被有关部门禁止参与政府采购活动且在有效期内的情况。</w:t>
      </w:r>
    </w:p>
    <w:p w14:paraId="3AC38546">
      <w:pPr>
        <w:ind w:firstLine="480" w:firstLineChars="200"/>
        <w:rPr>
          <w:rFonts w:hint="eastAsia" w:ascii="宋体" w:hAnsi="宋体" w:eastAsia="宋体" w:cs="宋体"/>
          <w:szCs w:val="21"/>
        </w:rPr>
      </w:pPr>
      <w:r>
        <w:rPr>
          <w:rFonts w:hint="eastAsia" w:ascii="宋体" w:hAnsi="宋体" w:eastAsia="宋体" w:cs="宋体"/>
          <w:szCs w:val="21"/>
        </w:rPr>
        <w:t>4.我单位具备《中华人民共和国政府采购法》第二十二条第一款的条件。</w:t>
      </w:r>
    </w:p>
    <w:p w14:paraId="79DC9AC7">
      <w:pPr>
        <w:ind w:firstLine="480" w:firstLineChars="200"/>
        <w:rPr>
          <w:rFonts w:hint="eastAsia" w:ascii="宋体" w:hAnsi="宋体" w:eastAsia="宋体" w:cs="宋体"/>
          <w:szCs w:val="21"/>
        </w:rPr>
      </w:pPr>
      <w:r>
        <w:rPr>
          <w:rFonts w:hint="eastAsia" w:ascii="宋体" w:hAnsi="宋体" w:eastAsia="宋体" w:cs="宋体"/>
          <w:szCs w:val="21"/>
        </w:rPr>
        <w:t>5.我单位未被列入失信被执行人、重大税收违法案件当事人名单、政府采购严重违法失信行为记录名单。</w:t>
      </w:r>
    </w:p>
    <w:p w14:paraId="1F2AC805">
      <w:pPr>
        <w:ind w:firstLine="480" w:firstLineChars="200"/>
        <w:rPr>
          <w:rFonts w:hint="eastAsia" w:ascii="宋体" w:hAnsi="宋体" w:eastAsia="宋体" w:cs="宋体"/>
          <w:szCs w:val="21"/>
        </w:rPr>
      </w:pPr>
      <w:r>
        <w:rPr>
          <w:rFonts w:hint="eastAsia" w:ascii="宋体" w:hAnsi="宋体" w:eastAsia="宋体" w:cs="宋体"/>
          <w:szCs w:val="21"/>
        </w:rPr>
        <w:t>6.我单位不存在《深圳市财政局政府采购供应商信用信息管理办法》（深财规〔2023〕3号）列明的严重违法失信行为。</w:t>
      </w:r>
    </w:p>
    <w:p w14:paraId="474827E1">
      <w:pPr>
        <w:ind w:firstLine="480" w:firstLineChars="200"/>
        <w:rPr>
          <w:rFonts w:hint="eastAsia" w:ascii="宋体" w:hAnsi="宋体" w:eastAsia="宋体" w:cs="宋体"/>
          <w:szCs w:val="21"/>
        </w:rPr>
      </w:pPr>
      <w:r>
        <w:rPr>
          <w:rFonts w:hint="eastAsia" w:ascii="宋体" w:hAnsi="宋体" w:cs="宋体"/>
          <w:szCs w:val="21"/>
        </w:rPr>
        <w:t>7</w:t>
      </w:r>
      <w:r>
        <w:rPr>
          <w:rFonts w:hint="eastAsia" w:ascii="宋体" w:hAnsi="宋体" w:eastAsia="宋体" w:cs="宋体"/>
          <w:szCs w:val="21"/>
        </w:rPr>
        <w:t>.我单位如为采购项目提供整体设计、规范编制或者项目管理、监理、检测等服务的供应商，不得再参加该采购项目的其他采购活动。</w:t>
      </w:r>
    </w:p>
    <w:p w14:paraId="362EC831">
      <w:pPr>
        <w:ind w:firstLine="480" w:firstLineChars="200"/>
        <w:rPr>
          <w:rFonts w:hint="eastAsia" w:ascii="宋体" w:hAnsi="宋体" w:eastAsia="宋体" w:cs="宋体"/>
          <w:szCs w:val="21"/>
        </w:rPr>
      </w:pPr>
      <w:r>
        <w:rPr>
          <w:rFonts w:hint="eastAsia" w:ascii="宋体" w:hAnsi="宋体" w:cs="宋体"/>
          <w:szCs w:val="21"/>
        </w:rPr>
        <w:t>8</w:t>
      </w:r>
      <w:r>
        <w:rPr>
          <w:rFonts w:hint="eastAsia" w:ascii="宋体" w:hAnsi="宋体" w:eastAsia="宋体" w:cs="宋体"/>
          <w:szCs w:val="21"/>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p>
    <w:p w14:paraId="3BC2D764">
      <w:pPr>
        <w:ind w:firstLine="480" w:firstLineChars="200"/>
        <w:rPr>
          <w:rFonts w:hint="eastAsia" w:ascii="宋体" w:hAnsi="宋体" w:eastAsia="宋体" w:cs="宋体"/>
          <w:szCs w:val="21"/>
        </w:rPr>
      </w:pPr>
      <w:r>
        <w:rPr>
          <w:rFonts w:hint="eastAsia" w:ascii="宋体" w:hAnsi="宋体" w:cs="宋体"/>
          <w:szCs w:val="21"/>
        </w:rPr>
        <w:t>9</w:t>
      </w:r>
      <w:r>
        <w:rPr>
          <w:rFonts w:hint="eastAsia" w:ascii="宋体" w:hAnsi="宋体" w:eastAsia="宋体" w:cs="宋体"/>
          <w:szCs w:val="21"/>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p>
    <w:p w14:paraId="3CCDFE21">
      <w:pPr>
        <w:rPr>
          <w:rFonts w:hint="eastAsia" w:ascii="宋体" w:hAnsi="宋体" w:eastAsia="宋体" w:cs="宋体"/>
          <w:szCs w:val="21"/>
        </w:rPr>
      </w:pPr>
      <w:r>
        <w:rPr>
          <w:rFonts w:hint="eastAsia" w:ascii="宋体" w:hAnsi="宋体" w:eastAsia="宋体" w:cs="宋体"/>
          <w:szCs w:val="21"/>
        </w:rPr>
        <w:t>我单位清楚，若以“报价太低而无法履约”为理由放弃本项目中标资格时，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14:paraId="459B19EB">
      <w:pPr>
        <w:ind w:firstLine="480" w:firstLineChars="200"/>
        <w:rPr>
          <w:rFonts w:hint="eastAsia" w:ascii="宋体" w:hAnsi="宋体" w:eastAsia="宋体" w:cs="宋体"/>
          <w:szCs w:val="21"/>
        </w:rPr>
      </w:pPr>
      <w:r>
        <w:rPr>
          <w:rFonts w:hint="eastAsia" w:ascii="宋体" w:hAnsi="宋体" w:cs="宋体"/>
          <w:szCs w:val="21"/>
        </w:rPr>
        <w:t>10</w:t>
      </w:r>
      <w:r>
        <w:rPr>
          <w:rFonts w:hint="eastAsia" w:ascii="宋体" w:hAnsi="宋体" w:eastAsia="宋体" w:cs="宋体"/>
          <w:szCs w:val="21"/>
        </w:rPr>
        <w:t>.我单位已认真核实了投标文件的全部内容，所有资料均为真实资料。我单位对投标文件中全部投标资料的真实性负责，如被证实我单位的投标文件中存在虚假资料的，则视为我单位隐瞒真实情况、提供虚假资料，我单位愿意接受主管部门作出的行政处罚。</w:t>
      </w:r>
    </w:p>
    <w:p w14:paraId="6A3E35B8">
      <w:pPr>
        <w:ind w:firstLine="480" w:firstLineChars="200"/>
        <w:rPr>
          <w:rFonts w:hint="eastAsia" w:ascii="宋体" w:hAnsi="宋体" w:eastAsia="宋体" w:cs="宋体"/>
          <w:szCs w:val="21"/>
        </w:rPr>
      </w:pPr>
      <w:r>
        <w:rPr>
          <w:rFonts w:hint="eastAsia" w:ascii="宋体" w:hAnsi="宋体" w:cs="宋体"/>
          <w:szCs w:val="21"/>
        </w:rPr>
        <w:t>11</w:t>
      </w:r>
      <w:r>
        <w:rPr>
          <w:rFonts w:hint="eastAsia" w:ascii="宋体" w:hAnsi="宋体" w:eastAsia="宋体" w:cs="宋体"/>
          <w:szCs w:val="21"/>
        </w:rPr>
        <w:t>.我单位承诺中标后项目不转包，未经采购人同意不进行分包。</w:t>
      </w:r>
    </w:p>
    <w:p w14:paraId="6F9FBC84">
      <w:pPr>
        <w:ind w:firstLine="480" w:firstLineChars="200"/>
        <w:rPr>
          <w:rFonts w:hint="eastAsia" w:ascii="宋体" w:hAnsi="宋体" w:eastAsia="宋体" w:cs="宋体"/>
          <w:szCs w:val="21"/>
        </w:rPr>
      </w:pPr>
      <w:r>
        <w:rPr>
          <w:rFonts w:hint="eastAsia" w:ascii="宋体" w:hAnsi="宋体" w:eastAsia="宋体" w:cs="宋体"/>
          <w:szCs w:val="21"/>
        </w:rPr>
        <w:t xml:space="preserve">以上承诺，如有违反，愿依照国家相关法律法规处理，并承担由此给采购人带来的损失。                                                 </w:t>
      </w:r>
    </w:p>
    <w:p w14:paraId="5E100AA3">
      <w:pPr>
        <w:spacing w:line="360" w:lineRule="auto"/>
        <w:rPr>
          <w:rFonts w:hint="eastAsia" w:ascii="宋体" w:hAnsi="宋体" w:eastAsia="宋体" w:cs="宋体"/>
          <w:szCs w:val="21"/>
        </w:rPr>
      </w:pPr>
      <w:r>
        <w:rPr>
          <w:rFonts w:hint="eastAsia" w:ascii="宋体" w:hAnsi="宋体" w:eastAsia="宋体" w:cs="宋体"/>
          <w:szCs w:val="21"/>
        </w:rPr>
        <w:t xml:space="preserve">                                                </w:t>
      </w:r>
    </w:p>
    <w:p w14:paraId="287504A1">
      <w:pPr>
        <w:spacing w:line="360" w:lineRule="auto"/>
        <w:rPr>
          <w:rFonts w:hint="eastAsia" w:ascii="宋体" w:hAnsi="宋体" w:eastAsia="宋体" w:cs="宋体"/>
        </w:rPr>
      </w:pPr>
      <w:r>
        <w:rPr>
          <w:rFonts w:hint="eastAsia" w:ascii="宋体" w:hAnsi="宋体" w:eastAsia="宋体" w:cs="宋体"/>
          <w:szCs w:val="21"/>
        </w:rPr>
        <w:t xml:space="preserve">                                                                                             投标人：</w:t>
      </w:r>
      <w:r>
        <w:rPr>
          <w:rFonts w:hint="eastAsia" w:ascii="宋体" w:hAnsi="宋体" w:eastAsia="宋体" w:cs="宋体"/>
          <w:szCs w:val="21"/>
          <w:u w:val="single"/>
        </w:rPr>
        <w:t xml:space="preserve">                          </w:t>
      </w:r>
    </w:p>
    <w:p w14:paraId="2C3F602B">
      <w:pPr>
        <w:spacing w:line="360" w:lineRule="auto"/>
        <w:rPr>
          <w:rFonts w:hint="eastAsia" w:ascii="宋体" w:hAnsi="宋体" w:eastAsia="宋体" w:cs="宋体"/>
          <w:szCs w:val="21"/>
        </w:rPr>
      </w:pPr>
      <w:r>
        <w:rPr>
          <w:rFonts w:hint="eastAsia" w:ascii="宋体" w:hAnsi="宋体" w:eastAsia="宋体" w:cs="宋体"/>
          <w:szCs w:val="21"/>
        </w:rPr>
        <w:t xml:space="preserve">                                               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65916A2">
      <w:pPr>
        <w:pStyle w:val="6"/>
        <w:jc w:val="center"/>
        <w:rPr>
          <w:rFonts w:hint="eastAsia" w:cs="宋体"/>
        </w:rPr>
        <w:sectPr>
          <w:pgSz w:w="11906" w:h="16838"/>
          <w:pgMar w:top="1440" w:right="1946" w:bottom="1440" w:left="1800" w:header="720" w:footer="720" w:gutter="0"/>
          <w:pgNumType w:fmt="numberInDash"/>
          <w:cols w:space="720" w:num="1"/>
        </w:sectPr>
      </w:pPr>
      <w:bookmarkStart w:id="38" w:name="_Toc27089"/>
    </w:p>
    <w:p w14:paraId="72C6037D">
      <w:pPr>
        <w:jc w:val="center"/>
        <w:outlineLvl w:val="2"/>
        <w:rPr>
          <w:rFonts w:hint="eastAsia" w:ascii="宋体" w:hAnsi="宋体" w:eastAsia="宋体" w:cs="宋体"/>
          <w:color w:val="FF0000"/>
          <w:lang w:bidi="ar"/>
        </w:rPr>
      </w:pPr>
      <w:r>
        <w:rPr>
          <w:rFonts w:hint="eastAsia" w:ascii="宋体" w:hAnsi="宋体" w:eastAsia="宋体" w:cs="宋体"/>
          <w:color w:val="FF0000"/>
          <w:lang w:bidi="ar"/>
        </w:rPr>
        <w:t>三、政府采购违法行为风险知悉确认书</w:t>
      </w:r>
    </w:p>
    <w:p w14:paraId="3180CCEB">
      <w:pPr>
        <w:pStyle w:val="43"/>
        <w:numPr>
          <w:ilvl w:val="255"/>
          <w:numId w:val="0"/>
        </w:numPr>
      </w:pPr>
    </w:p>
    <w:p w14:paraId="35422C9D">
      <w:pPr>
        <w:spacing w:after="120" w:afterLines="50"/>
        <w:ind w:firstLine="482" w:firstLineChars="200"/>
        <w:rPr>
          <w:rFonts w:hint="eastAsia" w:ascii="宋体" w:hAnsi="宋体" w:eastAsia="宋体" w:cs="宋体"/>
          <w:b/>
          <w:bCs/>
          <w:color w:val="FF0000"/>
        </w:rPr>
      </w:pPr>
      <w:r>
        <w:rPr>
          <w:rFonts w:hint="eastAsia" w:ascii="宋体" w:hAnsi="宋体" w:eastAsia="宋体" w:cs="宋体"/>
          <w:b/>
          <w:bCs/>
          <w:color w:val="FF0000"/>
        </w:rPr>
        <w:t>我单位在投标前已充分知悉以下情形为参与政府采购活动时的重大风险事项，并承诺已对下述风险提示事项重点排查，若存在下述情况，我单位愿意依法承担被记入供应商诚信档案、罚款、取消参与政府采购资格、吊销营业执照等处罚；构成犯罪的，依法承担刑事责任。</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7593"/>
      </w:tblGrid>
      <w:tr w14:paraId="44E9C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trPr>
        <w:tc>
          <w:tcPr>
            <w:tcW w:w="711" w:type="dxa"/>
          </w:tcPr>
          <w:p w14:paraId="46B64353">
            <w:pPr>
              <w:widowControl w:val="0"/>
              <w:jc w:val="center"/>
              <w:rPr>
                <w:rFonts w:hint="eastAsia" w:ascii="宋体" w:hAnsi="宋体" w:eastAsia="宋体" w:cs="宋体"/>
                <w:color w:val="FF0000"/>
              </w:rPr>
            </w:pPr>
            <w:r>
              <w:rPr>
                <w:rFonts w:hint="eastAsia" w:ascii="宋体" w:hAnsi="宋体" w:eastAsia="宋体" w:cs="宋体"/>
                <w:color w:val="FF0000"/>
              </w:rPr>
              <w:t>序号</w:t>
            </w:r>
          </w:p>
        </w:tc>
        <w:tc>
          <w:tcPr>
            <w:tcW w:w="7811" w:type="dxa"/>
          </w:tcPr>
          <w:p w14:paraId="59419B25">
            <w:pPr>
              <w:widowControl w:val="0"/>
              <w:jc w:val="center"/>
              <w:rPr>
                <w:rFonts w:hint="eastAsia" w:ascii="宋体" w:hAnsi="宋体" w:eastAsia="宋体" w:cs="宋体"/>
                <w:color w:val="FF0000"/>
              </w:rPr>
            </w:pPr>
            <w:r>
              <w:rPr>
                <w:rFonts w:hint="eastAsia" w:ascii="宋体" w:hAnsi="宋体" w:eastAsia="宋体" w:cs="宋体"/>
                <w:b/>
                <w:bCs/>
                <w:color w:val="FF0000"/>
              </w:rPr>
              <w:t>供应商参与投标禁止情形</w:t>
            </w:r>
          </w:p>
        </w:tc>
      </w:tr>
      <w:tr w14:paraId="506D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584536D5">
            <w:pPr>
              <w:widowControl w:val="0"/>
              <w:jc w:val="center"/>
              <w:rPr>
                <w:rFonts w:hint="eastAsia" w:ascii="宋体" w:hAnsi="宋体" w:eastAsia="宋体" w:cs="宋体"/>
                <w:color w:val="FF0000"/>
              </w:rPr>
            </w:pPr>
            <w:r>
              <w:rPr>
                <w:rFonts w:hint="eastAsia" w:ascii="宋体" w:hAnsi="宋体" w:eastAsia="宋体" w:cs="宋体"/>
                <w:color w:val="FF0000"/>
              </w:rPr>
              <w:t>1</w:t>
            </w:r>
          </w:p>
        </w:tc>
        <w:tc>
          <w:tcPr>
            <w:tcW w:w="7811" w:type="dxa"/>
            <w:vAlign w:val="center"/>
          </w:tcPr>
          <w:p w14:paraId="725560BE">
            <w:pPr>
              <w:widowControl w:val="0"/>
              <w:jc w:val="left"/>
              <w:rPr>
                <w:rFonts w:hint="eastAsia" w:ascii="宋体" w:hAnsi="宋体" w:eastAsia="宋体" w:cs="宋体"/>
                <w:color w:val="FF0000"/>
              </w:rPr>
            </w:pPr>
            <w:r>
              <w:rPr>
                <w:rFonts w:hint="eastAsia" w:ascii="宋体" w:hAnsi="宋体" w:eastAsia="宋体" w:cs="宋体"/>
                <w:color w:val="FF0000"/>
              </w:rPr>
              <w:t>与其他投标供应商的法定代表人、主要经营负责人、投标授权代表人、项目负责人、主要技术人员为</w:t>
            </w:r>
            <w:r>
              <w:rPr>
                <w:rFonts w:hint="eastAsia" w:ascii="宋体" w:hAnsi="宋体" w:eastAsia="宋体" w:cs="宋体"/>
                <w:b/>
                <w:bCs/>
                <w:color w:val="FF0000"/>
              </w:rPr>
              <w:t>同一人、属同一单位或者在同一单位缴纳社会保险</w:t>
            </w:r>
            <w:r>
              <w:rPr>
                <w:rFonts w:hint="eastAsia" w:ascii="宋体" w:hAnsi="宋体" w:eastAsia="宋体" w:cs="宋体"/>
                <w:color w:val="FF0000"/>
              </w:rPr>
              <w:t>。</w:t>
            </w:r>
          </w:p>
        </w:tc>
      </w:tr>
      <w:tr w14:paraId="2980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0CD42587">
            <w:pPr>
              <w:widowControl w:val="0"/>
              <w:jc w:val="center"/>
              <w:rPr>
                <w:rFonts w:hint="eastAsia" w:ascii="宋体" w:hAnsi="宋体" w:eastAsia="宋体" w:cs="宋体"/>
                <w:color w:val="FF0000"/>
              </w:rPr>
            </w:pPr>
            <w:r>
              <w:rPr>
                <w:rFonts w:hint="eastAsia" w:ascii="宋体" w:hAnsi="宋体" w:eastAsia="宋体" w:cs="宋体"/>
                <w:color w:val="FF0000"/>
              </w:rPr>
              <w:t>2</w:t>
            </w:r>
          </w:p>
        </w:tc>
        <w:tc>
          <w:tcPr>
            <w:tcW w:w="7811" w:type="dxa"/>
            <w:vAlign w:val="center"/>
          </w:tcPr>
          <w:p w14:paraId="41B074E0">
            <w:pPr>
              <w:widowControl w:val="0"/>
              <w:jc w:val="left"/>
              <w:rPr>
                <w:rFonts w:hint="eastAsia" w:ascii="宋体" w:hAnsi="宋体" w:eastAsia="宋体" w:cs="宋体"/>
                <w:color w:val="FF0000"/>
              </w:rPr>
            </w:pPr>
            <w:r>
              <w:rPr>
                <w:rFonts w:hint="eastAsia" w:ascii="宋体" w:hAnsi="宋体" w:eastAsia="宋体" w:cs="宋体"/>
                <w:color w:val="FF0000"/>
              </w:rPr>
              <w:t>参与本项目政府采购活动时，与其他投标供应商存在单位负责人为</w:t>
            </w:r>
            <w:r>
              <w:rPr>
                <w:rFonts w:hint="eastAsia" w:ascii="宋体" w:hAnsi="宋体" w:eastAsia="宋体" w:cs="宋体"/>
                <w:b/>
                <w:bCs/>
                <w:color w:val="FF0000"/>
              </w:rPr>
              <w:t>同一人或直接控股、管理关系</w:t>
            </w:r>
            <w:r>
              <w:rPr>
                <w:rFonts w:hint="eastAsia" w:ascii="宋体" w:hAnsi="宋体" w:eastAsia="宋体" w:cs="宋体"/>
                <w:color w:val="FF0000"/>
              </w:rPr>
              <w:t>。</w:t>
            </w:r>
          </w:p>
        </w:tc>
      </w:tr>
      <w:tr w14:paraId="43F09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4173A024">
            <w:pPr>
              <w:widowControl w:val="0"/>
              <w:jc w:val="center"/>
              <w:rPr>
                <w:rFonts w:hint="eastAsia" w:ascii="宋体" w:hAnsi="宋体" w:eastAsia="宋体" w:cs="宋体"/>
                <w:color w:val="FF0000"/>
              </w:rPr>
            </w:pPr>
            <w:r>
              <w:rPr>
                <w:rFonts w:hint="eastAsia" w:ascii="宋体" w:hAnsi="宋体" w:eastAsia="宋体" w:cs="宋体"/>
                <w:color w:val="FF0000"/>
              </w:rPr>
              <w:t>3</w:t>
            </w:r>
          </w:p>
        </w:tc>
        <w:tc>
          <w:tcPr>
            <w:tcW w:w="7811" w:type="dxa"/>
            <w:vAlign w:val="center"/>
          </w:tcPr>
          <w:p w14:paraId="0BD34AFD">
            <w:pPr>
              <w:widowControl w:val="0"/>
              <w:jc w:val="left"/>
              <w:rPr>
                <w:rFonts w:hint="eastAsia" w:ascii="宋体" w:hAnsi="宋体" w:eastAsia="宋体" w:cs="宋体"/>
                <w:color w:val="FF0000"/>
              </w:rPr>
            </w:pPr>
            <w:r>
              <w:rPr>
                <w:rFonts w:hint="eastAsia" w:ascii="宋体" w:hAnsi="宋体" w:eastAsia="宋体" w:cs="宋体"/>
                <w:color w:val="FF0000"/>
              </w:rPr>
              <w:t>与其他投标供应商的投标文件或部分投标文件</w:t>
            </w:r>
            <w:r>
              <w:rPr>
                <w:rFonts w:hint="eastAsia" w:ascii="宋体" w:hAnsi="宋体" w:eastAsia="宋体" w:cs="宋体"/>
                <w:b/>
                <w:bCs/>
                <w:color w:val="FF0000"/>
              </w:rPr>
              <w:t>相互混装或存在非正常一致</w:t>
            </w:r>
            <w:r>
              <w:rPr>
                <w:rFonts w:hint="eastAsia" w:ascii="宋体" w:hAnsi="宋体" w:eastAsia="宋体" w:cs="宋体"/>
                <w:color w:val="FF0000"/>
              </w:rPr>
              <w:t>。</w:t>
            </w:r>
          </w:p>
        </w:tc>
      </w:tr>
      <w:tr w14:paraId="4AD5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7F088B77">
            <w:pPr>
              <w:widowControl w:val="0"/>
              <w:jc w:val="center"/>
              <w:rPr>
                <w:rFonts w:hint="eastAsia" w:ascii="宋体" w:hAnsi="宋体" w:eastAsia="宋体" w:cs="宋体"/>
                <w:color w:val="FF0000"/>
              </w:rPr>
            </w:pPr>
            <w:r>
              <w:rPr>
                <w:rFonts w:hint="eastAsia" w:ascii="宋体" w:hAnsi="宋体" w:eastAsia="宋体" w:cs="宋体"/>
                <w:color w:val="FF0000"/>
              </w:rPr>
              <w:t>4</w:t>
            </w:r>
          </w:p>
        </w:tc>
        <w:tc>
          <w:tcPr>
            <w:tcW w:w="7811" w:type="dxa"/>
            <w:vAlign w:val="center"/>
          </w:tcPr>
          <w:p w14:paraId="05DB5842">
            <w:pPr>
              <w:widowControl w:val="0"/>
              <w:jc w:val="left"/>
              <w:rPr>
                <w:rFonts w:hint="eastAsia" w:ascii="宋体" w:hAnsi="宋体" w:eastAsia="宋体" w:cs="宋体"/>
                <w:color w:val="FF0000"/>
                <w:kern w:val="2"/>
              </w:rPr>
            </w:pPr>
            <w:r>
              <w:rPr>
                <w:rFonts w:hint="eastAsia" w:ascii="宋体" w:hAnsi="宋体" w:eastAsia="宋体" w:cs="宋体"/>
                <w:color w:val="FF0000"/>
              </w:rPr>
              <w:t>与其他投标供应商的投标文件由</w:t>
            </w:r>
            <w:r>
              <w:rPr>
                <w:rFonts w:hint="eastAsia" w:ascii="宋体" w:hAnsi="宋体" w:eastAsia="宋体" w:cs="宋体"/>
                <w:b/>
                <w:bCs/>
                <w:color w:val="FF0000"/>
              </w:rPr>
              <w:t>同一单位或者同一人编制</w:t>
            </w:r>
            <w:r>
              <w:rPr>
                <w:rFonts w:hint="eastAsia" w:ascii="宋体" w:hAnsi="宋体" w:eastAsia="宋体" w:cs="宋体"/>
                <w:color w:val="FF0000"/>
              </w:rPr>
              <w:t>，或者使用</w:t>
            </w:r>
            <w:r>
              <w:rPr>
                <w:rFonts w:hint="eastAsia" w:ascii="宋体" w:hAnsi="宋体" w:eastAsia="宋体" w:cs="宋体"/>
                <w:b/>
                <w:bCs/>
                <w:color w:val="FF0000"/>
              </w:rPr>
              <w:t>同一设备编制</w:t>
            </w:r>
            <w:r>
              <w:rPr>
                <w:rFonts w:hint="eastAsia" w:ascii="宋体" w:hAnsi="宋体" w:eastAsia="宋体" w:cs="宋体"/>
                <w:color w:val="FF0000"/>
              </w:rPr>
              <w:t>（“文件制作机器码”“文件创建标识码”一致）。</w:t>
            </w:r>
          </w:p>
        </w:tc>
      </w:tr>
      <w:tr w14:paraId="2D60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1" w:type="dxa"/>
          </w:tcPr>
          <w:p w14:paraId="7E3DA330">
            <w:pPr>
              <w:widowControl w:val="0"/>
              <w:jc w:val="center"/>
              <w:rPr>
                <w:rFonts w:hint="eastAsia" w:ascii="宋体" w:hAnsi="宋体" w:eastAsia="宋体" w:cs="宋体"/>
                <w:color w:val="FF0000"/>
              </w:rPr>
            </w:pPr>
            <w:r>
              <w:rPr>
                <w:rFonts w:hint="eastAsia" w:ascii="宋体" w:hAnsi="宋体" w:eastAsia="宋体" w:cs="宋体"/>
                <w:color w:val="FF0000"/>
              </w:rPr>
              <w:t>5</w:t>
            </w:r>
          </w:p>
        </w:tc>
        <w:tc>
          <w:tcPr>
            <w:tcW w:w="7811" w:type="dxa"/>
            <w:vAlign w:val="center"/>
          </w:tcPr>
          <w:p w14:paraId="1DAA67E5">
            <w:pPr>
              <w:widowControl w:val="0"/>
              <w:jc w:val="left"/>
              <w:rPr>
                <w:rFonts w:hint="eastAsia" w:ascii="宋体" w:hAnsi="宋体" w:eastAsia="宋体" w:cs="宋体"/>
                <w:color w:val="FF0000"/>
              </w:rPr>
            </w:pPr>
            <w:r>
              <w:rPr>
                <w:rFonts w:hint="eastAsia" w:ascii="宋体" w:hAnsi="宋体" w:eastAsia="宋体" w:cs="宋体"/>
                <w:color w:val="FF0000"/>
              </w:rPr>
              <w:t>提供</w:t>
            </w:r>
            <w:r>
              <w:rPr>
                <w:rFonts w:hint="eastAsia" w:ascii="宋体" w:hAnsi="宋体" w:eastAsia="宋体" w:cs="宋体"/>
                <w:b/>
                <w:bCs/>
                <w:color w:val="FF0000"/>
              </w:rPr>
              <w:t>未经出具机构核实</w:t>
            </w:r>
            <w:r>
              <w:rPr>
                <w:rFonts w:hint="eastAsia" w:ascii="宋体" w:hAnsi="宋体" w:eastAsia="宋体" w:cs="宋体"/>
                <w:color w:val="FF0000"/>
              </w:rPr>
              <w:t>的虚假的检验检测报告、业绩材料、社保缴纳证明、学历学位证书、职称认证证书等材料。</w:t>
            </w:r>
          </w:p>
        </w:tc>
      </w:tr>
      <w:tr w14:paraId="70119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1" w:type="dxa"/>
          </w:tcPr>
          <w:p w14:paraId="6780869A">
            <w:pPr>
              <w:widowControl w:val="0"/>
              <w:jc w:val="center"/>
              <w:rPr>
                <w:rFonts w:hint="eastAsia" w:ascii="宋体" w:hAnsi="宋体" w:eastAsia="宋体" w:cs="宋体"/>
                <w:color w:val="FF0000"/>
              </w:rPr>
            </w:pPr>
            <w:r>
              <w:rPr>
                <w:rFonts w:hint="eastAsia" w:ascii="宋体" w:hAnsi="宋体" w:eastAsia="宋体" w:cs="宋体"/>
                <w:color w:val="FF0000"/>
              </w:rPr>
              <w:t>6</w:t>
            </w:r>
          </w:p>
        </w:tc>
        <w:tc>
          <w:tcPr>
            <w:tcW w:w="7811" w:type="dxa"/>
            <w:vAlign w:val="center"/>
          </w:tcPr>
          <w:p w14:paraId="48B8AEAB">
            <w:pPr>
              <w:widowControl w:val="0"/>
              <w:jc w:val="left"/>
              <w:rPr>
                <w:rFonts w:hint="eastAsia" w:ascii="宋体" w:hAnsi="宋体" w:eastAsia="宋体" w:cs="宋体"/>
                <w:color w:val="FF0000"/>
                <w:kern w:val="2"/>
              </w:rPr>
            </w:pPr>
            <w:r>
              <w:rPr>
                <w:rFonts w:hint="eastAsia" w:ascii="宋体" w:hAnsi="宋体" w:eastAsia="宋体" w:cs="宋体"/>
                <w:color w:val="FF0000"/>
              </w:rPr>
              <w:t>擅自将投标密钥或电子营业执照出借他人使用或未妥善保管。</w:t>
            </w:r>
          </w:p>
        </w:tc>
      </w:tr>
    </w:tbl>
    <w:p w14:paraId="6F117F23">
      <w:pPr>
        <w:spacing w:before="120" w:beforeLines="50"/>
        <w:ind w:firstLine="482" w:firstLineChars="200"/>
        <w:rPr>
          <w:rFonts w:hint="eastAsia" w:ascii="宋体" w:hAnsi="宋体" w:eastAsia="宋体" w:cs="宋体"/>
          <w:b/>
          <w:color w:val="FF0000"/>
        </w:rPr>
      </w:pPr>
      <w:r>
        <w:rPr>
          <w:rFonts w:hint="eastAsia" w:ascii="宋体" w:hAnsi="宋体" w:eastAsia="宋体" w:cs="宋体"/>
          <w:b/>
          <w:color w:val="FF0000"/>
        </w:rPr>
        <w:t>一、我单位已充分知悉“隐瞒真实情况，提供虚假资料”的法定情形，包括但不限于：</w:t>
      </w:r>
    </w:p>
    <w:p w14:paraId="0D4741B4">
      <w:pPr>
        <w:ind w:firstLine="480" w:firstLineChars="200"/>
        <w:rPr>
          <w:rFonts w:hint="eastAsia" w:ascii="宋体" w:hAnsi="宋体" w:eastAsia="宋体" w:cs="宋体"/>
          <w:color w:val="FF0000"/>
        </w:rPr>
      </w:pPr>
      <w:r>
        <w:rPr>
          <w:rFonts w:hint="eastAsia" w:ascii="宋体" w:hAnsi="宋体" w:eastAsia="宋体" w:cs="宋体"/>
          <w:color w:val="FF0000"/>
        </w:rPr>
        <w:t>（一）通过转让或者租借等方式从其他单位获取资格或者资质证书投标的。</w:t>
      </w:r>
    </w:p>
    <w:p w14:paraId="01B03DBB">
      <w:pPr>
        <w:ind w:firstLine="480" w:firstLineChars="200"/>
        <w:rPr>
          <w:rFonts w:hint="eastAsia" w:ascii="宋体" w:hAnsi="宋体" w:eastAsia="宋体" w:cs="宋体"/>
          <w:color w:val="FF0000"/>
        </w:rPr>
      </w:pPr>
      <w:r>
        <w:rPr>
          <w:rFonts w:hint="eastAsia" w:ascii="宋体" w:hAnsi="宋体" w:eastAsia="宋体" w:cs="宋体"/>
          <w:color w:val="FF0000"/>
        </w:rPr>
        <w:t>（二）由其他单位或者其他单位负责人在投标供应商编制的投标文件上加盖印章或者签字的。</w:t>
      </w:r>
    </w:p>
    <w:p w14:paraId="613CF045">
      <w:pPr>
        <w:ind w:firstLine="480" w:firstLineChars="200"/>
        <w:rPr>
          <w:rFonts w:hint="eastAsia" w:ascii="宋体" w:hAnsi="宋体" w:eastAsia="宋体" w:cs="宋体"/>
          <w:color w:val="FF0000"/>
        </w:rPr>
      </w:pPr>
      <w:r>
        <w:rPr>
          <w:rFonts w:hint="eastAsia" w:ascii="宋体" w:hAnsi="宋体" w:eastAsia="宋体" w:cs="宋体"/>
          <w:color w:val="FF0000"/>
        </w:rPr>
        <w:t>（三）项目负责人或者主要技术人员不是本单位人员的。</w:t>
      </w:r>
    </w:p>
    <w:p w14:paraId="79DA6FE4">
      <w:pPr>
        <w:ind w:firstLine="480" w:firstLineChars="200"/>
        <w:rPr>
          <w:rFonts w:hint="eastAsia" w:ascii="宋体" w:hAnsi="宋体" w:eastAsia="宋体" w:cs="宋体"/>
          <w:color w:val="FF0000"/>
        </w:rPr>
      </w:pPr>
      <w:r>
        <w:rPr>
          <w:rFonts w:hint="eastAsia" w:ascii="宋体" w:hAnsi="宋体" w:eastAsia="宋体" w:cs="宋体"/>
          <w:color w:val="FF0000"/>
        </w:rPr>
        <w:t>（四）投标保证金不是从投标供应商基本账户转出的。</w:t>
      </w:r>
    </w:p>
    <w:p w14:paraId="4C037317">
      <w:pPr>
        <w:ind w:firstLine="480" w:firstLineChars="200"/>
        <w:rPr>
          <w:rFonts w:hint="eastAsia" w:ascii="宋体" w:hAnsi="宋体" w:eastAsia="宋体" w:cs="宋体"/>
          <w:color w:val="FF0000"/>
        </w:rPr>
      </w:pPr>
      <w:r>
        <w:rPr>
          <w:rFonts w:hint="eastAsia" w:ascii="宋体" w:hAnsi="宋体" w:eastAsia="宋体" w:cs="宋体"/>
          <w:color w:val="FF0000"/>
        </w:rPr>
        <w:t>（五）其他隐瞒真实情况、提供虚假资料的行为。</w:t>
      </w:r>
    </w:p>
    <w:p w14:paraId="3B631D89">
      <w:pPr>
        <w:ind w:firstLine="482" w:firstLineChars="200"/>
        <w:rPr>
          <w:rFonts w:hint="eastAsia" w:ascii="宋体" w:hAnsi="宋体" w:eastAsia="宋体" w:cs="宋体"/>
          <w:b/>
          <w:color w:val="FF0000"/>
        </w:rPr>
      </w:pPr>
      <w:r>
        <w:rPr>
          <w:rFonts w:hint="eastAsia" w:ascii="宋体" w:hAnsi="宋体" w:eastAsia="宋体" w:cs="宋体"/>
          <w:b/>
          <w:color w:val="FF0000"/>
        </w:rPr>
        <w:t>二、我单位已充分知悉“与其他采购参加人串通投标”的法定情形，包括但不限于：</w:t>
      </w:r>
    </w:p>
    <w:p w14:paraId="6470E4FD">
      <w:pPr>
        <w:ind w:firstLine="480" w:firstLineChars="200"/>
        <w:rPr>
          <w:rFonts w:hint="eastAsia" w:ascii="宋体" w:hAnsi="宋体" w:eastAsia="宋体" w:cs="宋体"/>
          <w:color w:val="FF0000"/>
        </w:rPr>
      </w:pPr>
      <w:r>
        <w:rPr>
          <w:rFonts w:hint="eastAsia" w:ascii="宋体" w:hAnsi="宋体" w:eastAsia="宋体" w:cs="宋体"/>
          <w:color w:val="FF0000"/>
        </w:rPr>
        <w:t>（一）投标供应商之间相互约定给予未中标的供应商利益补偿。</w:t>
      </w:r>
    </w:p>
    <w:p w14:paraId="5A0D9E0B">
      <w:pPr>
        <w:ind w:firstLine="480" w:firstLineChars="200"/>
        <w:rPr>
          <w:rFonts w:hint="eastAsia" w:ascii="宋体" w:hAnsi="宋体" w:eastAsia="宋体" w:cs="宋体"/>
          <w:color w:val="FF0000"/>
        </w:rPr>
      </w:pPr>
      <w:r>
        <w:rPr>
          <w:rFonts w:hint="eastAsia" w:ascii="宋体" w:hAnsi="宋体" w:eastAsia="宋体" w:cs="宋体"/>
          <w:color w:val="FF0000"/>
        </w:rPr>
        <w:t>（二）不同投标供应商的法定代表人、主要经营负责人、项目投标授权代表人、项目负责人、主要技术人员为同一人、属同一单位或者在同一单位缴纳社会保险。</w:t>
      </w:r>
    </w:p>
    <w:p w14:paraId="5774E78F">
      <w:pPr>
        <w:ind w:firstLine="480" w:firstLineChars="200"/>
        <w:rPr>
          <w:rFonts w:hint="eastAsia" w:ascii="宋体" w:hAnsi="宋体" w:eastAsia="宋体" w:cs="宋体"/>
          <w:color w:val="FF0000"/>
        </w:rPr>
      </w:pPr>
      <w:r>
        <w:rPr>
          <w:rFonts w:hint="eastAsia" w:ascii="宋体" w:hAnsi="宋体" w:eastAsia="宋体" w:cs="宋体"/>
          <w:color w:val="FF0000"/>
        </w:rPr>
        <w:t>（三）不同投标供应商的投标文件由同一单位或者同一人编制，或者由同一人分阶段参与编制的。</w:t>
      </w:r>
    </w:p>
    <w:p w14:paraId="3AE43171">
      <w:pPr>
        <w:ind w:firstLine="480" w:firstLineChars="200"/>
        <w:rPr>
          <w:rFonts w:hint="eastAsia" w:ascii="宋体" w:hAnsi="宋体" w:eastAsia="宋体" w:cs="宋体"/>
          <w:color w:val="FF0000"/>
        </w:rPr>
      </w:pPr>
      <w:r>
        <w:rPr>
          <w:rFonts w:hint="eastAsia" w:ascii="宋体" w:hAnsi="宋体" w:eastAsia="宋体" w:cs="宋体"/>
          <w:color w:val="FF0000"/>
        </w:rPr>
        <w:t>（四）不同投标供应商的投标文件或部分投标文件相互混装。</w:t>
      </w:r>
    </w:p>
    <w:p w14:paraId="5F498362">
      <w:pPr>
        <w:ind w:firstLine="480" w:firstLineChars="200"/>
        <w:rPr>
          <w:rFonts w:hint="eastAsia" w:ascii="宋体" w:hAnsi="宋体" w:eastAsia="宋体" w:cs="宋体"/>
          <w:color w:val="FF0000"/>
        </w:rPr>
      </w:pPr>
      <w:r>
        <w:rPr>
          <w:rFonts w:hint="eastAsia" w:ascii="宋体" w:hAnsi="宋体" w:eastAsia="宋体" w:cs="宋体"/>
          <w:color w:val="FF0000"/>
        </w:rPr>
        <w:t>（五）不同投标供应商的投标文件内容存在非正常一致。</w:t>
      </w:r>
    </w:p>
    <w:p w14:paraId="22421D72">
      <w:pPr>
        <w:ind w:firstLine="480" w:firstLineChars="200"/>
        <w:rPr>
          <w:rFonts w:hint="eastAsia" w:ascii="宋体" w:hAnsi="宋体" w:eastAsia="宋体" w:cs="宋体"/>
          <w:color w:val="FF0000"/>
        </w:rPr>
      </w:pPr>
      <w:r>
        <w:rPr>
          <w:rFonts w:hint="eastAsia" w:ascii="宋体" w:hAnsi="宋体" w:eastAsia="宋体" w:cs="宋体"/>
          <w:color w:val="FF0000"/>
        </w:rPr>
        <w:t>（六）由同一单位工作人员为两家以上（含两家）供应商进行同一项投标活动的。</w:t>
      </w:r>
    </w:p>
    <w:p w14:paraId="5D7065E5">
      <w:pPr>
        <w:ind w:firstLine="480" w:firstLineChars="200"/>
        <w:rPr>
          <w:rFonts w:hint="eastAsia" w:ascii="宋体" w:hAnsi="宋体" w:eastAsia="宋体" w:cs="宋体"/>
          <w:color w:val="FF0000"/>
        </w:rPr>
      </w:pPr>
      <w:r>
        <w:rPr>
          <w:rFonts w:hint="eastAsia" w:ascii="宋体" w:hAnsi="宋体" w:eastAsia="宋体" w:cs="宋体"/>
          <w:color w:val="FF0000"/>
        </w:rPr>
        <w:t>（七）不同投标人的投标报价呈规律性差异。</w:t>
      </w:r>
    </w:p>
    <w:p w14:paraId="3C01E6F8">
      <w:pPr>
        <w:ind w:firstLine="480" w:firstLineChars="200"/>
        <w:rPr>
          <w:rFonts w:hint="eastAsia" w:ascii="宋体" w:hAnsi="宋体" w:eastAsia="宋体" w:cs="宋体"/>
          <w:color w:val="FF0000"/>
        </w:rPr>
      </w:pPr>
      <w:r>
        <w:rPr>
          <w:rFonts w:hint="eastAsia" w:ascii="宋体" w:hAnsi="宋体" w:eastAsia="宋体" w:cs="宋体"/>
          <w:color w:val="FF0000"/>
        </w:rPr>
        <w:t>（八）不同投标人的投标保证金从同一单位或者个人的账户转出。</w:t>
      </w:r>
    </w:p>
    <w:p w14:paraId="30069DB3">
      <w:pPr>
        <w:ind w:firstLine="480" w:firstLineChars="200"/>
        <w:rPr>
          <w:rFonts w:hint="eastAsia" w:ascii="宋体" w:hAnsi="宋体" w:eastAsia="宋体" w:cs="宋体"/>
          <w:color w:val="FF0000"/>
        </w:rPr>
      </w:pPr>
      <w:r>
        <w:rPr>
          <w:rFonts w:hint="eastAsia" w:ascii="宋体" w:hAnsi="宋体" w:eastAsia="宋体" w:cs="宋体"/>
          <w:color w:val="FF0000"/>
        </w:rPr>
        <w:t>（九）主管部门依照法律、法规认定的其他情形。</w:t>
      </w:r>
    </w:p>
    <w:p w14:paraId="08DC9B32">
      <w:pPr>
        <w:ind w:firstLine="482" w:firstLineChars="200"/>
        <w:rPr>
          <w:rFonts w:hint="eastAsia" w:ascii="宋体" w:hAnsi="宋体" w:eastAsia="宋体" w:cs="宋体"/>
          <w:b/>
          <w:color w:val="FF0000"/>
        </w:rPr>
      </w:pPr>
      <w:r>
        <w:rPr>
          <w:rFonts w:hint="eastAsia" w:ascii="宋体" w:hAnsi="宋体" w:eastAsia="宋体" w:cs="宋体"/>
          <w:b/>
          <w:color w:val="FF0000"/>
        </w:rPr>
        <w:t>三、我单位已充分知悉下列情形存在法律风险，在投标前已对相关风险事项进行排查。</w:t>
      </w:r>
    </w:p>
    <w:p w14:paraId="123A855D">
      <w:pPr>
        <w:ind w:firstLine="480" w:firstLineChars="200"/>
        <w:rPr>
          <w:rFonts w:hint="eastAsia" w:ascii="宋体" w:hAnsi="宋体" w:eastAsia="宋体" w:cs="宋体"/>
          <w:b/>
          <w:color w:val="FF0000"/>
        </w:rPr>
      </w:pPr>
      <w:r>
        <w:rPr>
          <w:rFonts w:hint="eastAsia" w:ascii="宋体" w:hAnsi="宋体" w:eastAsia="宋体" w:cs="宋体"/>
          <w:color w:val="FF0000"/>
        </w:rPr>
        <w:t>（一）对于从其他主体获取的投标资料，我单位应审慎核查，确保其真实性。</w:t>
      </w:r>
      <w:r>
        <w:rPr>
          <w:rFonts w:hint="eastAsia" w:ascii="宋体" w:hAnsi="宋体" w:eastAsia="宋体" w:cs="宋体"/>
          <w:b/>
          <w:color w:val="FF0000"/>
        </w:rPr>
        <w:t>如主管部门查实投标文件中存在虚假资料的，无论相关资料是否由第三方或本公司员工提供，均不影响主管部门对供应商存在“隐瞒真实情况，提供虚假资料”违法行为的认定。</w:t>
      </w:r>
    </w:p>
    <w:p w14:paraId="6A1AFD1A">
      <w:pPr>
        <w:ind w:firstLine="480" w:firstLineChars="200"/>
        <w:rPr>
          <w:rFonts w:hint="eastAsia" w:ascii="宋体" w:hAnsi="宋体" w:eastAsia="宋体" w:cs="宋体"/>
          <w:color w:val="FF0000"/>
        </w:rPr>
      </w:pPr>
      <w:r>
        <w:rPr>
          <w:rFonts w:hint="eastAsia" w:ascii="宋体" w:hAnsi="宋体" w:eastAsia="宋体" w:cs="宋体"/>
          <w:color w:val="FF0000"/>
        </w:rPr>
        <w:t>（二）对于涉及国家机关出具的公文、证件、证明材料等文件，一旦涉嫌虚假，经查实，主管部门将依法从严处理，并移送有关部门追究法律责任；涉嫌犯罪的，移送司法机关处理。</w:t>
      </w:r>
    </w:p>
    <w:p w14:paraId="286CB0C1">
      <w:pPr>
        <w:ind w:firstLine="480" w:firstLineChars="200"/>
        <w:rPr>
          <w:rFonts w:hint="eastAsia" w:ascii="宋体" w:hAnsi="宋体" w:eastAsia="宋体" w:cs="宋体"/>
          <w:color w:val="FF0000"/>
        </w:rPr>
      </w:pPr>
      <w:r>
        <w:rPr>
          <w:rFonts w:hint="eastAsia" w:ascii="宋体" w:hAnsi="宋体" w:eastAsia="宋体" w:cs="宋体"/>
          <w:color w:val="FF0000"/>
        </w:rPr>
        <w:t>（三）我单位对投标电子密钥或电子营业执照负有妥善保管、及时变更和续期等主体责任；使用电子密钥或电子营业执照在深圳政府采购网站进行的活动，均具有法律效力，须承担相应的法律后果。若</w:t>
      </w:r>
      <w:r>
        <w:rPr>
          <w:rFonts w:hint="eastAsia" w:ascii="宋体" w:hAnsi="宋体" w:eastAsia="宋体" w:cs="宋体"/>
          <w:b/>
          <w:bCs/>
          <w:color w:val="FF0000"/>
        </w:rPr>
        <w:t>擅自将投标密钥或电子营业执照出借他人使用所造成的法律后果，由我单位自行承担</w:t>
      </w:r>
      <w:r>
        <w:rPr>
          <w:rFonts w:hint="eastAsia" w:ascii="宋体" w:hAnsi="宋体" w:eastAsia="宋体" w:cs="宋体"/>
          <w:color w:val="FF0000"/>
        </w:rPr>
        <w:t>。</w:t>
      </w:r>
    </w:p>
    <w:p w14:paraId="6CC59B93">
      <w:pPr>
        <w:ind w:firstLine="482" w:firstLineChars="200"/>
        <w:rPr>
          <w:rFonts w:hint="eastAsia" w:ascii="宋体" w:hAnsi="宋体" w:eastAsia="宋体" w:cs="宋体"/>
          <w:b/>
          <w:color w:val="FF0000"/>
        </w:rPr>
      </w:pPr>
      <w:r>
        <w:rPr>
          <w:rFonts w:hint="eastAsia" w:ascii="宋体" w:hAnsi="宋体" w:eastAsia="宋体" w:cs="宋体"/>
          <w:b/>
          <w:color w:val="FF0000"/>
        </w:rPr>
        <w:t>四、我单位已充分知悉政府采购违法、违规行为的法律后果。</w:t>
      </w:r>
    </w:p>
    <w:p w14:paraId="73EE50D5">
      <w:pPr>
        <w:ind w:firstLine="480" w:firstLineChars="200"/>
        <w:rPr>
          <w:rFonts w:hint="eastAsia" w:ascii="宋体" w:hAnsi="宋体" w:eastAsia="宋体" w:cs="宋体"/>
          <w:color w:val="FF0000"/>
        </w:rPr>
      </w:pPr>
      <w:r>
        <w:rPr>
          <w:rFonts w:hint="eastAsia" w:ascii="宋体" w:hAnsi="宋体" w:eastAsia="宋体" w:cs="宋体"/>
          <w:color w:val="FF0000"/>
        </w:rPr>
        <w:t>经查实，若我单位存在政府采购违法、违规行为，主管部门将依据《深圳经济特区政府采购条例》第五十七条的规定，处以一至三年内禁止参与本市政府采购，并记入供应商诚信档案，处采购金额千分之十以上千分之二十以下罚款；情节严重的，取消参与本市政府采购资格，处采购金额千分之二十以上千分之三十以下罚款，由市场监管部门依法吊销营业执照。</w:t>
      </w:r>
    </w:p>
    <w:p w14:paraId="189FF417">
      <w:pPr>
        <w:ind w:firstLine="480" w:firstLineChars="200"/>
        <w:rPr>
          <w:rFonts w:hint="eastAsia" w:ascii="宋体" w:hAnsi="宋体" w:eastAsia="宋体" w:cs="宋体"/>
          <w:color w:val="FF0000"/>
        </w:rPr>
      </w:pPr>
      <w:r>
        <w:rPr>
          <w:rFonts w:hint="eastAsia" w:ascii="宋体" w:hAnsi="宋体" w:eastAsia="宋体" w:cs="宋体"/>
          <w:color w:val="FF0000"/>
        </w:rPr>
        <w:t>以下文字请投标供应商抄写并确认：“我单位已仔细阅读《政府采购违法行为风险知悉确认书》，充分知悉违法行为的法律后果，并承诺将严谨、诚信、依法依规参与政府采购活动”。</w:t>
      </w:r>
    </w:p>
    <w:tbl>
      <w:tblPr>
        <w:tblStyle w:val="75"/>
        <w:tblW w:w="8529" w:type="dxa"/>
        <w:tblInd w:w="0" w:type="dxa"/>
        <w:tblBorders>
          <w:top w:val="none" w:color="auto" w:sz="0" w:space="0"/>
          <w:left w:val="none" w:color="auto" w:sz="0" w:space="0"/>
          <w:bottom w:val="single" w:color="auto" w:sz="4"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9"/>
      </w:tblGrid>
      <w:tr w14:paraId="51DA98AA">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8529" w:type="dxa"/>
            <w:tcBorders>
              <w:top w:val="nil"/>
              <w:left w:val="nil"/>
              <w:bottom w:val="single" w:color="000000" w:sz="8" w:space="0"/>
              <w:right w:val="nil"/>
            </w:tcBorders>
          </w:tcPr>
          <w:p w14:paraId="4B63E1CF">
            <w:pPr>
              <w:widowControl w:val="0"/>
              <w:autoSpaceDE w:val="0"/>
              <w:autoSpaceDN w:val="0"/>
              <w:ind w:firstLine="1866"/>
              <w:jc w:val="both"/>
              <w:rPr>
                <w:rFonts w:hint="eastAsia" w:ascii="宋体" w:hAnsi="宋体" w:eastAsia="宋体" w:cs="宋体"/>
                <w:color w:val="FF0000"/>
                <w:spacing w:val="-4"/>
                <w:szCs w:val="21"/>
              </w:rPr>
            </w:pPr>
          </w:p>
        </w:tc>
      </w:tr>
      <w:tr w14:paraId="3AC1D5A5">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4A1FA320">
            <w:pPr>
              <w:widowControl w:val="0"/>
              <w:autoSpaceDE w:val="0"/>
              <w:autoSpaceDN w:val="0"/>
              <w:spacing w:line="340" w:lineRule="exact"/>
              <w:ind w:firstLine="1866"/>
              <w:jc w:val="both"/>
              <w:rPr>
                <w:rFonts w:hint="eastAsia" w:ascii="宋体" w:hAnsi="宋体" w:eastAsia="宋体" w:cs="宋体"/>
                <w:color w:val="FF0000"/>
                <w:spacing w:val="-4"/>
                <w:szCs w:val="21"/>
              </w:rPr>
            </w:pPr>
          </w:p>
        </w:tc>
      </w:tr>
      <w:tr w14:paraId="348FDD42">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000000" w:sz="8" w:space="0"/>
              <w:right w:val="nil"/>
            </w:tcBorders>
          </w:tcPr>
          <w:p w14:paraId="392DFEAC">
            <w:pPr>
              <w:widowControl w:val="0"/>
              <w:autoSpaceDE w:val="0"/>
              <w:autoSpaceDN w:val="0"/>
              <w:spacing w:line="340" w:lineRule="exact"/>
              <w:ind w:firstLine="1866"/>
              <w:jc w:val="both"/>
              <w:rPr>
                <w:rFonts w:hint="eastAsia" w:ascii="宋体" w:hAnsi="宋体" w:eastAsia="宋体" w:cs="宋体"/>
                <w:color w:val="FF0000"/>
                <w:spacing w:val="-4"/>
                <w:szCs w:val="21"/>
              </w:rPr>
            </w:pPr>
          </w:p>
        </w:tc>
      </w:tr>
      <w:tr w14:paraId="2F809E46">
        <w:tblPrEx>
          <w:tblBorders>
            <w:top w:val="none" w:color="auto" w:sz="0"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c>
          <w:tcPr>
            <w:tcW w:w="8529" w:type="dxa"/>
            <w:tcBorders>
              <w:top w:val="single" w:color="000000" w:sz="8" w:space="0"/>
              <w:left w:val="nil"/>
              <w:bottom w:val="single" w:color="auto" w:sz="8" w:space="0"/>
              <w:right w:val="nil"/>
            </w:tcBorders>
          </w:tcPr>
          <w:p w14:paraId="0E27FF7A">
            <w:pPr>
              <w:widowControl w:val="0"/>
              <w:autoSpaceDE w:val="0"/>
              <w:autoSpaceDN w:val="0"/>
              <w:spacing w:line="340" w:lineRule="exact"/>
              <w:ind w:firstLine="1866"/>
              <w:jc w:val="both"/>
              <w:rPr>
                <w:rFonts w:hint="eastAsia" w:ascii="宋体" w:hAnsi="宋体" w:eastAsia="宋体" w:cs="宋体"/>
                <w:color w:val="FF0000"/>
                <w:spacing w:val="-4"/>
                <w:szCs w:val="21"/>
              </w:rPr>
            </w:pPr>
          </w:p>
        </w:tc>
      </w:tr>
    </w:tbl>
    <w:p w14:paraId="7444AAAF">
      <w:pPr>
        <w:wordWrap w:val="0"/>
        <w:autoSpaceDE w:val="0"/>
        <w:autoSpaceDN w:val="0"/>
        <w:spacing w:line="340" w:lineRule="exact"/>
        <w:ind w:right="808" w:firstLine="464" w:firstLineChars="200"/>
        <w:jc w:val="right"/>
        <w:rPr>
          <w:rFonts w:hint="eastAsia" w:ascii="宋体" w:hAnsi="宋体" w:eastAsia="宋体" w:cs="宋体"/>
          <w:color w:val="FF0000"/>
          <w:spacing w:val="-4"/>
          <w:szCs w:val="21"/>
        </w:rPr>
      </w:pPr>
    </w:p>
    <w:p w14:paraId="0954F1D1">
      <w:pPr>
        <w:wordWrap w:val="0"/>
        <w:autoSpaceDE w:val="0"/>
        <w:autoSpaceDN w:val="0"/>
        <w:spacing w:line="340" w:lineRule="exact"/>
        <w:ind w:right="808" w:firstLine="464" w:firstLineChars="200"/>
        <w:jc w:val="right"/>
        <w:rPr>
          <w:rFonts w:hint="eastAsia" w:ascii="宋体" w:hAnsi="宋体" w:eastAsia="宋体" w:cs="宋体"/>
          <w:color w:val="FF0000"/>
          <w:spacing w:val="-4"/>
          <w:szCs w:val="21"/>
          <w:u w:val="single"/>
        </w:rPr>
      </w:pPr>
      <w:r>
        <w:rPr>
          <w:rFonts w:hint="eastAsia" w:ascii="宋体" w:hAnsi="宋体" w:eastAsia="宋体" w:cs="宋体"/>
          <w:color w:val="FF0000"/>
          <w:spacing w:val="-4"/>
          <w:szCs w:val="21"/>
        </w:rPr>
        <w:t>单位负责人签名：</w:t>
      </w:r>
      <w:r>
        <w:rPr>
          <w:rFonts w:hint="eastAsia" w:ascii="宋体" w:hAnsi="宋体" w:eastAsia="宋体" w:cs="宋体"/>
          <w:color w:val="FF0000"/>
          <w:spacing w:val="-4"/>
          <w:szCs w:val="21"/>
          <w:u w:val="single"/>
        </w:rPr>
        <w:t xml:space="preserve">              </w:t>
      </w:r>
    </w:p>
    <w:p w14:paraId="1ACD8451">
      <w:pPr>
        <w:wordWrap w:val="0"/>
        <w:autoSpaceDE w:val="0"/>
        <w:autoSpaceDN w:val="0"/>
        <w:spacing w:line="340" w:lineRule="exact"/>
        <w:ind w:right="808" w:firstLine="464" w:firstLineChars="200"/>
        <w:jc w:val="center"/>
        <w:rPr>
          <w:rFonts w:hint="eastAsia" w:ascii="宋体" w:hAnsi="宋体" w:eastAsia="宋体" w:cs="宋体"/>
          <w:color w:val="FF0000"/>
          <w:spacing w:val="-4"/>
          <w:szCs w:val="21"/>
          <w:u w:val="single"/>
        </w:rPr>
      </w:pPr>
      <w:r>
        <w:rPr>
          <w:rFonts w:hint="eastAsia" w:ascii="宋体" w:hAnsi="宋体" w:eastAsia="宋体" w:cs="宋体"/>
          <w:color w:val="FF0000"/>
          <w:spacing w:val="-4"/>
          <w:szCs w:val="21"/>
        </w:rPr>
        <w:t xml:space="preserve">                                 （加盖公章）</w:t>
      </w:r>
    </w:p>
    <w:p w14:paraId="5959E367">
      <w:pPr>
        <w:wordWrap w:val="0"/>
        <w:autoSpaceDE w:val="0"/>
        <w:autoSpaceDN w:val="0"/>
        <w:spacing w:line="340" w:lineRule="exact"/>
        <w:ind w:right="808" w:firstLine="464" w:firstLineChars="200"/>
        <w:jc w:val="right"/>
        <w:rPr>
          <w:rFonts w:hint="eastAsia" w:ascii="宋体" w:hAnsi="宋体" w:eastAsia="宋体" w:cs="宋体"/>
          <w:color w:val="FF0000"/>
          <w:spacing w:val="-4"/>
          <w:szCs w:val="21"/>
          <w:u w:val="single"/>
        </w:rPr>
      </w:pPr>
      <w:r>
        <w:rPr>
          <w:rFonts w:hint="eastAsia" w:ascii="宋体" w:hAnsi="宋体" w:eastAsia="宋体" w:cs="宋体"/>
          <w:color w:val="FF0000"/>
          <w:spacing w:val="-4"/>
          <w:szCs w:val="21"/>
        </w:rPr>
        <w:t xml:space="preserve">     日期：</w:t>
      </w:r>
      <w:r>
        <w:rPr>
          <w:rFonts w:hint="eastAsia" w:ascii="宋体" w:hAnsi="宋体" w:eastAsia="宋体" w:cs="宋体"/>
          <w:color w:val="FF0000"/>
          <w:spacing w:val="-4"/>
          <w:szCs w:val="21"/>
          <w:u w:val="single"/>
        </w:rPr>
        <w:t xml:space="preserve">              </w:t>
      </w:r>
    </w:p>
    <w:p w14:paraId="6875C74C">
      <w:pPr>
        <w:autoSpaceDE w:val="0"/>
        <w:autoSpaceDN w:val="0"/>
        <w:spacing w:line="340" w:lineRule="exact"/>
        <w:ind w:firstLine="466" w:firstLineChars="200"/>
        <w:rPr>
          <w:rFonts w:hint="eastAsia" w:ascii="宋体" w:hAnsi="宋体" w:eastAsia="宋体" w:cs="宋体"/>
          <w:b/>
          <w:bCs/>
          <w:color w:val="FF0000"/>
          <w:spacing w:val="-4"/>
          <w:szCs w:val="21"/>
        </w:rPr>
      </w:pPr>
    </w:p>
    <w:p w14:paraId="096BA97F">
      <w:pPr>
        <w:autoSpaceDE w:val="0"/>
        <w:autoSpaceDN w:val="0"/>
        <w:jc w:val="both"/>
        <w:rPr>
          <w:rFonts w:hint="eastAsia" w:ascii="宋体" w:hAnsi="宋体" w:eastAsia="宋体" w:cs="宋体"/>
          <w:b/>
          <w:bCs/>
          <w:color w:val="FF0000"/>
          <w:spacing w:val="-4"/>
          <w:sz w:val="21"/>
          <w:szCs w:val="21"/>
        </w:rPr>
      </w:pPr>
      <w:r>
        <w:rPr>
          <w:rFonts w:hint="eastAsia" w:ascii="宋体" w:hAnsi="宋体" w:eastAsia="宋体" w:cs="宋体"/>
          <w:b/>
          <w:bCs/>
          <w:color w:val="FF0000"/>
          <w:spacing w:val="-4"/>
          <w:sz w:val="21"/>
          <w:szCs w:val="21"/>
        </w:rPr>
        <w:t>注：</w:t>
      </w:r>
    </w:p>
    <w:p w14:paraId="02521C6C">
      <w:pPr>
        <w:autoSpaceDE w:val="0"/>
        <w:autoSpaceDN w:val="0"/>
        <w:ind w:firstLine="406" w:firstLineChars="200"/>
        <w:jc w:val="both"/>
        <w:rPr>
          <w:rFonts w:hint="eastAsia" w:ascii="宋体" w:hAnsi="宋体" w:eastAsia="宋体" w:cs="宋体"/>
          <w:b/>
          <w:bCs/>
          <w:color w:val="FF0000"/>
          <w:spacing w:val="-4"/>
          <w:sz w:val="21"/>
          <w:szCs w:val="21"/>
        </w:rPr>
      </w:pPr>
      <w:r>
        <w:rPr>
          <w:rFonts w:hint="eastAsia" w:ascii="宋体" w:hAnsi="宋体" w:eastAsia="宋体" w:cs="宋体"/>
          <w:b/>
          <w:bCs/>
          <w:color w:val="FF0000"/>
          <w:spacing w:val="-4"/>
          <w:sz w:val="21"/>
          <w:szCs w:val="21"/>
        </w:rPr>
        <w:t>1.《政府采购违法行为风险知悉确认书》需由投标（谈判）供应商负责人签字并加盖单位公章后，扫描上传至投标（响应）文件一并提交。</w:t>
      </w:r>
    </w:p>
    <w:p w14:paraId="2318FFF4">
      <w:pPr>
        <w:autoSpaceDE w:val="0"/>
        <w:autoSpaceDN w:val="0"/>
        <w:ind w:firstLine="406" w:firstLineChars="200"/>
        <w:jc w:val="both"/>
        <w:rPr>
          <w:rFonts w:hint="eastAsia" w:ascii="宋体" w:hAnsi="宋体" w:eastAsia="宋体" w:cs="宋体"/>
          <w:b/>
          <w:bCs/>
          <w:color w:val="FF0000"/>
          <w:spacing w:val="-4"/>
          <w:sz w:val="21"/>
          <w:szCs w:val="21"/>
        </w:rPr>
      </w:pPr>
      <w:r>
        <w:rPr>
          <w:rFonts w:hint="eastAsia" w:ascii="宋体" w:hAnsi="宋体" w:eastAsia="宋体" w:cs="宋体"/>
          <w:b/>
          <w:bCs/>
          <w:color w:val="FF0000"/>
          <w:spacing w:val="-4"/>
          <w:sz w:val="21"/>
          <w:szCs w:val="21"/>
        </w:rPr>
        <w:t>2.根据《深圳市财政局关于在采购文件及深圳政府采购智慧平台增设供应商投标特别警示条款等事宜的通知》（深财购〔2025〕7号）的要求，《政府采购违法行为风险知悉确认书》用于对供应商违法行为的提醒，不作为供应商资格性审查及符合性审查条件。</w:t>
      </w:r>
    </w:p>
    <w:bookmarkEnd w:id="38"/>
    <w:p w14:paraId="111FE746">
      <w:pPr>
        <w:rPr>
          <w:rFonts w:hint="eastAsia" w:ascii="宋体" w:hAnsi="宋体" w:eastAsia="宋体" w:cs="宋体"/>
        </w:rPr>
      </w:pPr>
    </w:p>
    <w:p w14:paraId="0FF81251">
      <w:pPr>
        <w:rPr>
          <w:rFonts w:hint="eastAsia" w:ascii="宋体" w:hAnsi="宋体" w:eastAsia="宋体" w:cs="宋体"/>
        </w:rPr>
      </w:pPr>
      <w:r>
        <w:rPr>
          <w:rFonts w:hint="eastAsia" w:ascii="宋体" w:hAnsi="宋体" w:eastAsia="宋体" w:cs="宋体"/>
        </w:rPr>
        <w:br w:type="page"/>
      </w:r>
    </w:p>
    <w:p w14:paraId="3AE37582">
      <w:pPr>
        <w:pStyle w:val="6"/>
        <w:spacing w:before="120" w:after="120"/>
        <w:jc w:val="center"/>
        <w:rPr>
          <w:rFonts w:hint="eastAsia" w:cs="宋体"/>
        </w:rPr>
      </w:pPr>
      <w:r>
        <w:rPr>
          <w:rFonts w:hint="eastAsia" w:cs="宋体"/>
        </w:rPr>
        <w:t>四、投标人情况介绍及资格要求</w:t>
      </w:r>
    </w:p>
    <w:p w14:paraId="431FCC06">
      <w:pPr>
        <w:ind w:left="723" w:hanging="723" w:hangingChars="300"/>
        <w:rPr>
          <w:rFonts w:hint="eastAsia" w:ascii="宋体" w:hAnsi="宋体" w:eastAsia="宋体" w:cs="宋体"/>
          <w:b/>
          <w:bCs/>
        </w:rPr>
      </w:pPr>
      <w:r>
        <w:rPr>
          <w:rFonts w:hint="eastAsia" w:ascii="宋体" w:hAnsi="宋体" w:eastAsia="宋体" w:cs="宋体"/>
          <w:b/>
          <w:bCs/>
        </w:rPr>
        <w:t>1. 投标人情况介绍：</w:t>
      </w:r>
    </w:p>
    <w:p w14:paraId="35E2ED2E">
      <w:pPr>
        <w:ind w:left="723" w:hanging="723" w:hangingChars="300"/>
        <w:rPr>
          <w:rFonts w:hint="eastAsia" w:ascii="宋体" w:hAnsi="宋体" w:eastAsia="宋体" w:cs="宋体"/>
          <w:b/>
          <w:bCs/>
        </w:rPr>
      </w:pPr>
    </w:p>
    <w:p w14:paraId="5DB1BFDF">
      <w:pPr>
        <w:ind w:left="723" w:hanging="723" w:hangingChars="300"/>
        <w:rPr>
          <w:rFonts w:hint="eastAsia" w:ascii="宋体" w:hAnsi="宋体" w:eastAsia="宋体" w:cs="宋体"/>
          <w:b/>
          <w:bCs/>
        </w:rPr>
      </w:pPr>
      <w:r>
        <w:rPr>
          <w:rFonts w:hint="eastAsia" w:ascii="宋体" w:hAnsi="宋体" w:eastAsia="宋体" w:cs="宋体"/>
          <w:b/>
          <w:bCs/>
        </w:rPr>
        <w:t>2.资格证明材料：</w:t>
      </w:r>
    </w:p>
    <w:p w14:paraId="071AB6C4">
      <w:pPr>
        <w:ind w:left="723" w:hanging="723" w:hangingChars="300"/>
        <w:rPr>
          <w:rFonts w:hint="eastAsia" w:ascii="宋体" w:hAnsi="宋体" w:eastAsia="宋体" w:cs="宋体"/>
          <w:b/>
          <w:bCs/>
        </w:rPr>
      </w:pPr>
      <w:r>
        <w:rPr>
          <w:rFonts w:hint="eastAsia" w:ascii="宋体" w:hAnsi="宋体" w:eastAsia="宋体" w:cs="宋体"/>
          <w:b/>
          <w:bCs/>
        </w:rPr>
        <w:t>注意：资格证明材料必须至少包含招标公告中“投标人资格要求”中的相关证明材料（均要求提供证明材料扫描件，原件备查）。</w:t>
      </w:r>
    </w:p>
    <w:p w14:paraId="26E22E22">
      <w:pPr>
        <w:ind w:left="723" w:hanging="723" w:hangingChars="300"/>
        <w:rPr>
          <w:rFonts w:hint="eastAsia" w:ascii="宋体" w:hAnsi="宋体" w:eastAsia="宋体" w:cs="宋体"/>
          <w:b/>
          <w:bCs/>
        </w:rPr>
      </w:pPr>
    </w:p>
    <w:p w14:paraId="4E109948">
      <w:pPr>
        <w:ind w:left="723" w:hanging="723" w:hangingChars="300"/>
        <w:rPr>
          <w:rFonts w:hint="eastAsia" w:ascii="宋体" w:hAnsi="宋体" w:eastAsia="宋体" w:cs="宋体"/>
          <w:b/>
          <w:bCs/>
        </w:rPr>
      </w:pPr>
      <w:r>
        <w:rPr>
          <w:rFonts w:hint="eastAsia" w:ascii="宋体" w:hAnsi="宋体" w:eastAsia="宋体" w:cs="宋体"/>
          <w:b/>
          <w:bCs/>
        </w:rPr>
        <w:t>3.如联合体投标，投标人还必须提供《联合体投标协议》</w:t>
      </w:r>
      <w:r>
        <w:rPr>
          <w:rFonts w:hint="eastAsia" w:ascii="宋体" w:hAnsi="宋体" w:eastAsia="宋体" w:cs="宋体"/>
          <w:bCs/>
          <w:szCs w:val="32"/>
        </w:rPr>
        <w:t>(可选项)</w:t>
      </w:r>
      <w:r>
        <w:rPr>
          <w:rFonts w:hint="eastAsia" w:ascii="宋体" w:hAnsi="宋体" w:eastAsia="宋体" w:cs="宋体"/>
          <w:b/>
          <w:bCs/>
        </w:rPr>
        <w:t>。</w:t>
      </w:r>
    </w:p>
    <w:p w14:paraId="6DD52B35">
      <w:pPr>
        <w:rPr>
          <w:rFonts w:hint="eastAsia" w:ascii="宋体" w:hAnsi="宋体" w:eastAsia="宋体" w:cs="宋体"/>
          <w:b/>
          <w:bCs/>
        </w:rPr>
      </w:pPr>
    </w:p>
    <w:p w14:paraId="25E7781B">
      <w:pPr>
        <w:rPr>
          <w:rFonts w:hint="eastAsia" w:ascii="宋体" w:hAnsi="宋体" w:eastAsia="宋体" w:cs="宋体"/>
          <w:b/>
          <w:bCs/>
        </w:rPr>
      </w:pPr>
      <w:r>
        <w:rPr>
          <w:rFonts w:hint="eastAsia" w:ascii="宋体" w:hAnsi="宋体" w:eastAsia="宋体" w:cs="宋体"/>
          <w:b/>
          <w:bCs/>
        </w:rPr>
        <w:t>4.中小企业声明函、残疾人福利性单位声明函及监狱企业声明函</w:t>
      </w:r>
    </w:p>
    <w:p w14:paraId="3BF7745B">
      <w:pPr>
        <w:spacing w:line="360" w:lineRule="auto"/>
        <w:ind w:firstLine="480" w:firstLineChars="200"/>
        <w:rPr>
          <w:rFonts w:hint="eastAsia" w:ascii="宋体" w:hAnsi="宋体" w:eastAsia="宋体" w:cs="宋体"/>
        </w:rPr>
      </w:pPr>
      <w:r>
        <w:rPr>
          <w:rFonts w:hint="eastAsia" w:ascii="宋体" w:hAnsi="宋体" w:eastAsia="宋体" w:cs="宋体"/>
        </w:rPr>
        <w:t>（1）如投标人为中小微企业或残疾人福利性单位投标，投标人可提供中小企业声明函或残疾人福利性单位声明函（或省级以上监狱管理局、戒毒管理局（含新疆生产建设兵团）出具的属于监狱企业的证明文件）该部分内容由供应商根据自身情况填写相关声明，不符合要求的供应商可以不填写或删除相应的声明函。投标人对声明函的真实性负责。如提供虚假声明，将报送主管部门给予行政处罚。声明函的有效性最终由评审委员会判定；如评审委员会判定声明函无效，相关供应商不享受价格扣除（但不作投标无效处理）。</w:t>
      </w:r>
    </w:p>
    <w:p w14:paraId="1F37AB04">
      <w:pPr>
        <w:spacing w:line="360" w:lineRule="auto"/>
        <w:ind w:firstLine="480" w:firstLineChars="200"/>
        <w:rPr>
          <w:rFonts w:hint="eastAsia" w:ascii="宋体" w:hAnsi="宋体" w:eastAsia="宋体" w:cs="宋体"/>
          <w:bCs/>
          <w:szCs w:val="21"/>
        </w:rPr>
      </w:pPr>
      <w:r>
        <w:rPr>
          <w:rFonts w:hint="eastAsia" w:ascii="宋体" w:hAnsi="宋体" w:eastAsia="宋体" w:cs="宋体"/>
        </w:rPr>
        <w:t>（2）如本项目属于专门面向中小微企业采购，要求投标人提供中小企业声明函或残疾人福利性单位声明函（或省级以上监狱管理局、戒毒管理局（含新疆生产建设兵团）出具的属于监狱企业的证明文件）作为依据，未提供声明函或声明内容不满足要求的，做资格审查不通过处理。</w:t>
      </w:r>
    </w:p>
    <w:p w14:paraId="35A877C5">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填写指引：</w:t>
      </w:r>
    </w:p>
    <w:p w14:paraId="1B0786B4">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1、该部分内容由投标人根据自身实际情况填写，不符合要求的投标人可以不填写或直接删除相应的声明函。</w:t>
      </w:r>
      <w:r>
        <w:rPr>
          <w:rFonts w:hint="eastAsia" w:ascii="宋体" w:hAnsi="宋体" w:eastAsia="宋体" w:cs="宋体"/>
          <w:color w:val="000000" w:themeColor="text1"/>
          <w14:textFill>
            <w14:solidFill>
              <w14:schemeClr w14:val="tx1"/>
            </w14:solidFill>
          </w14:textFill>
        </w:rPr>
        <w:t>投标人提供的声明函不属实的，属于提供虚假资料谋取中标，依照《中华人民共和国政府采购法》等国家有关规定追究相应责任。</w:t>
      </w:r>
    </w:p>
    <w:p w14:paraId="0AC75B78">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该部分内容填写需要参考的相关文件：(1)财政部《政府采购促进中小企业发展管理办法》（财库〔2020〕46号）；(2)《工业和信息化部、国家统计局、国家发展和改革委员会、财政部关于印发中小企业划型标准规定的通知》（工信部联企业〔2011〕300 号，以下简称300号文）。</w:t>
      </w:r>
    </w:p>
    <w:p w14:paraId="1D0CC74A">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3、请依照提供的格式和内容填写声明函，不要随意变更格式；声明函不需要盖章或签字；</w:t>
      </w:r>
      <w:r>
        <w:rPr>
          <w:rFonts w:hint="eastAsia" w:ascii="宋体" w:hAnsi="宋体" w:eastAsia="宋体" w:cs="宋体"/>
          <w:color w:val="000000" w:themeColor="text1"/>
          <w14:textFill>
            <w14:solidFill>
              <w14:schemeClr w14:val="tx1"/>
            </w14:solidFill>
          </w14:textFill>
        </w:rPr>
        <w:t>满足多项优惠政策的投标人，不重复享受多项价格扣除政策。</w:t>
      </w:r>
    </w:p>
    <w:p w14:paraId="0E461A4F">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4、声明函具体填写要求：</w:t>
      </w:r>
    </w:p>
    <w:p w14:paraId="326BF38F">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（1）声明是中小企业须填写《中小企业声明函》的以下内容：</w:t>
      </w:r>
    </w:p>
    <w:p w14:paraId="726B8AE4">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第一处，在“单位名称”下划线处如实填写采购人名称（深圳公共资源交易中心不是本项目的采购人，而是组织实施机构）；</w:t>
      </w:r>
    </w:p>
    <w:p w14:paraId="22BC33C8">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第二处，在“项目名称”下划线处如实填写采购项目名称；</w:t>
      </w:r>
    </w:p>
    <w:p w14:paraId="291B4950">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第三处，在“标的名称”下划线处填写所采购服务（标的）的具体名称（以</w:t>
      </w:r>
      <w:bookmarkStart w:id="39" w:name="_Hlk72259001"/>
      <w:r>
        <w:rPr>
          <w:rFonts w:hint="eastAsia" w:ascii="宋体" w:hAnsi="宋体" w:eastAsia="宋体" w:cs="宋体"/>
          <w:bCs/>
          <w:color w:val="000000" w:themeColor="text1"/>
          <w14:textFill>
            <w14:solidFill>
              <w14:schemeClr w14:val="tx1"/>
            </w14:solidFill>
          </w14:textFill>
        </w:rPr>
        <w:t>招标文件</w:t>
      </w:r>
      <w:bookmarkEnd w:id="39"/>
      <w:r>
        <w:rPr>
          <w:rFonts w:hint="eastAsia" w:ascii="宋体" w:hAnsi="宋体" w:eastAsia="宋体" w:cs="宋体"/>
          <w:bCs/>
          <w:color w:val="000000" w:themeColor="text1"/>
          <w14:textFill>
            <w14:solidFill>
              <w14:schemeClr w14:val="tx1"/>
            </w14:solidFill>
          </w14:textFill>
        </w:rPr>
        <w:t>“第二章 招标项目需求”-“四、服务项目清单”的“服务名称”一栏为准）；如果涉及多个服务需求（标的）由同一企业承接，“标的名称”下划线处可以如实填写多个服务需求（标的）；</w:t>
      </w:r>
    </w:p>
    <w:p w14:paraId="16D84ABF">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第四处，在“招标文件中明确的所属行业”下划线处填写采购标的对应的中小企业划分标准所属行业（所属行业可在招标文件“第二章 招标项目需求”-“四、服务项目清单”处查看）；</w:t>
      </w:r>
    </w:p>
    <w:p w14:paraId="02B83C36">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第五处，在“企业名称”下划线处如实填写承接企业名称；在“从业人员”、“营业收入”、“资产总额”下划线处如实填写从业人员、营业收入、资产总额；在“中型企业、小型企业、微型企业”下划线处如实依照300号文填写相应的企业类型；从业人员、营业收入、资产总额填报上一年度数据，无上一年度数据的新成立企业可以不填报。</w:t>
      </w:r>
    </w:p>
    <w:p w14:paraId="70EA8748">
      <w:pPr>
        <w:spacing w:line="360" w:lineRule="auto"/>
        <w:ind w:firstLine="480" w:firstLineChars="200"/>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（2）声明是残疾人福利性单位须填写《残疾人福利性单位声明函》的相关内容（填写位置的字体已加粗），具体参照以上《中小企业声明函》填写要求执行。</w:t>
      </w:r>
    </w:p>
    <w:p w14:paraId="7054C0AE">
      <w:pPr>
        <w:spacing w:line="360" w:lineRule="auto"/>
        <w:ind w:firstLine="480" w:firstLineChars="200"/>
        <w:rPr>
          <w:rFonts w:hint="eastAsia" w:ascii="宋体" w:hAnsi="宋体" w:eastAsia="宋体" w:cs="宋体"/>
          <w:bCs/>
          <w:color w:val="000000" w:themeColor="text1"/>
          <w:sz w:val="21"/>
          <w:szCs w:val="2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（3）声明是监狱企业须填写《监狱企业声明函》的相关内容（填写位置的字体已加粗），具体参照以上《中小企业声明函》填写要求执行。</w:t>
      </w:r>
    </w:p>
    <w:p w14:paraId="7E70B6CA">
      <w:pPr>
        <w:jc w:val="center"/>
        <w:rPr>
          <w:rFonts w:hint="eastAsia" w:ascii="宋体" w:hAnsi="宋体" w:eastAsia="宋体" w:cs="宋体"/>
          <w:bCs/>
          <w:color w:val="000000" w:themeColor="text1"/>
          <w:szCs w:val="32"/>
          <w14:textFill>
            <w14:solidFill>
              <w14:schemeClr w14:val="tx1"/>
            </w14:solidFill>
          </w14:textFill>
        </w:rPr>
      </w:pPr>
    </w:p>
    <w:p w14:paraId="45214CA8">
      <w:pPr>
        <w:rPr>
          <w:rFonts w:hint="eastAsia" w:ascii="宋体" w:hAnsi="宋体" w:eastAsia="宋体" w:cs="宋体"/>
          <w:b/>
        </w:rPr>
      </w:pPr>
      <w:r>
        <w:rPr>
          <w:rFonts w:hint="eastAsia" w:ascii="宋体" w:hAnsi="宋体" w:eastAsia="宋体" w:cs="宋体"/>
          <w:b/>
        </w:rPr>
        <w:br w:type="page"/>
      </w:r>
    </w:p>
    <w:p w14:paraId="2986AAD0">
      <w:pPr>
        <w:snapToGrid w:val="0"/>
        <w:spacing w:line="360" w:lineRule="auto"/>
        <w:jc w:val="center"/>
        <w:rPr>
          <w:rFonts w:hint="eastAsia" w:ascii="宋体" w:hAnsi="宋体" w:eastAsia="宋体" w:cs="宋体"/>
          <w:b/>
        </w:rPr>
      </w:pPr>
      <w:r>
        <w:rPr>
          <w:rFonts w:hint="eastAsia" w:ascii="宋体" w:hAnsi="宋体" w:eastAsia="宋体" w:cs="宋体"/>
          <w:b/>
        </w:rPr>
        <w:t xml:space="preserve">1、中小企业声明函（服务） </w:t>
      </w:r>
    </w:p>
    <w:p w14:paraId="2E53C8FA">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本公司（联合体）郑重声明，根据《政府采购促进中小企业发展管理办法》（财库﹝2020﹞46 号）的规定，本公司（联合体）参加</w:t>
      </w:r>
      <w:r>
        <w:rPr>
          <w:rFonts w:hint="eastAsia" w:ascii="宋体" w:hAnsi="宋体" w:eastAsia="宋体" w:cs="宋体"/>
          <w:b/>
          <w:bCs/>
          <w:color w:val="000000"/>
          <w:szCs w:val="21"/>
          <w:u w:val="single"/>
        </w:rPr>
        <w:t>（单位名称）</w:t>
      </w:r>
      <w:r>
        <w:rPr>
          <w:rFonts w:hint="eastAsia" w:ascii="宋体" w:hAnsi="宋体" w:eastAsia="宋体" w:cs="宋体"/>
          <w:color w:val="000000"/>
          <w:szCs w:val="21"/>
        </w:rPr>
        <w:t>的</w:t>
      </w:r>
      <w:r>
        <w:rPr>
          <w:rFonts w:hint="eastAsia" w:ascii="宋体" w:hAnsi="宋体" w:eastAsia="宋体" w:cs="宋体"/>
          <w:b/>
          <w:bCs/>
          <w:color w:val="000000"/>
          <w:szCs w:val="21"/>
          <w:u w:val="single"/>
        </w:rPr>
        <w:t>（项目名称）</w:t>
      </w:r>
      <w:r>
        <w:rPr>
          <w:rFonts w:hint="eastAsia" w:ascii="宋体" w:hAnsi="宋体" w:eastAsia="宋体" w:cs="宋体"/>
          <w:color w:val="00000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5F51E95F">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 xml:space="preserve">1. </w:t>
      </w:r>
      <w:r>
        <w:rPr>
          <w:rFonts w:hint="eastAsia" w:ascii="宋体" w:hAnsi="宋体" w:eastAsia="宋体" w:cs="宋体"/>
          <w:b/>
          <w:bCs/>
          <w:color w:val="000000"/>
          <w:szCs w:val="21"/>
          <w:u w:val="single"/>
        </w:rPr>
        <w:t>（</w:t>
      </w:r>
      <w:r>
        <w:rPr>
          <w:rFonts w:hint="eastAsia" w:ascii="宋体" w:hAnsi="宋体" w:eastAsia="宋体" w:cs="宋体"/>
          <w:b/>
          <w:bCs/>
          <w:color w:val="000000"/>
          <w:szCs w:val="21"/>
          <w:highlight w:val="yellow"/>
          <w:u w:val="single"/>
        </w:rPr>
        <w:t>标的名称）</w:t>
      </w:r>
      <w:r>
        <w:rPr>
          <w:rFonts w:hint="eastAsia" w:ascii="宋体" w:hAnsi="宋体" w:eastAsia="宋体" w:cs="宋体"/>
          <w:color w:val="000000"/>
          <w:szCs w:val="21"/>
          <w:highlight w:val="yellow"/>
        </w:rPr>
        <w:t xml:space="preserve"> ，属于</w:t>
      </w:r>
      <w:r>
        <w:rPr>
          <w:rFonts w:hint="eastAsia" w:ascii="宋体" w:hAnsi="宋体" w:eastAsia="宋体" w:cs="宋体"/>
          <w:b/>
          <w:bCs/>
          <w:color w:val="000000"/>
          <w:szCs w:val="21"/>
          <w:highlight w:val="yellow"/>
          <w:u w:val="single"/>
        </w:rPr>
        <w:t>（采购文件中明确的所属行业）</w:t>
      </w:r>
      <w:r>
        <w:rPr>
          <w:rFonts w:hint="eastAsia" w:ascii="宋体" w:hAnsi="宋体" w:eastAsia="宋体" w:cs="宋体"/>
          <w:color w:val="000000"/>
          <w:szCs w:val="21"/>
        </w:rPr>
        <w:t>；承建（承接）企业为</w:t>
      </w:r>
      <w:r>
        <w:rPr>
          <w:rFonts w:hint="eastAsia" w:ascii="宋体" w:hAnsi="宋体" w:eastAsia="宋体" w:cs="宋体"/>
          <w:b/>
          <w:bCs/>
          <w:color w:val="000000"/>
          <w:szCs w:val="21"/>
          <w:u w:val="single"/>
        </w:rPr>
        <w:t>（企业名称）</w:t>
      </w:r>
      <w:r>
        <w:rPr>
          <w:rFonts w:hint="eastAsia" w:ascii="宋体" w:hAnsi="宋体" w:eastAsia="宋体" w:cs="宋体"/>
          <w:color w:val="000000"/>
          <w:szCs w:val="21"/>
        </w:rPr>
        <w:t>，从业人员</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人，营业收入为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万元，资产总额为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万元¹，属于</w:t>
      </w:r>
      <w:r>
        <w:rPr>
          <w:rFonts w:hint="eastAsia" w:ascii="宋体" w:hAnsi="宋体" w:eastAsia="宋体" w:cs="宋体"/>
          <w:b/>
          <w:bCs/>
          <w:color w:val="000000"/>
          <w:szCs w:val="21"/>
          <w:u w:val="single"/>
        </w:rPr>
        <w:t>（中型企业、小型企业、微型企业）</w:t>
      </w:r>
      <w:r>
        <w:rPr>
          <w:rFonts w:hint="eastAsia" w:ascii="宋体" w:hAnsi="宋体" w:eastAsia="宋体" w:cs="宋体"/>
          <w:color w:val="000000"/>
          <w:szCs w:val="21"/>
        </w:rPr>
        <w:t>；</w:t>
      </w:r>
    </w:p>
    <w:p w14:paraId="6472D772">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 xml:space="preserve">2. </w:t>
      </w:r>
      <w:r>
        <w:rPr>
          <w:rFonts w:hint="eastAsia" w:ascii="宋体" w:hAnsi="宋体" w:eastAsia="宋体" w:cs="宋体"/>
          <w:b/>
          <w:bCs/>
          <w:color w:val="000000"/>
          <w:szCs w:val="21"/>
          <w:highlight w:val="yellow"/>
          <w:u w:val="single"/>
        </w:rPr>
        <w:t>（标的名称）</w:t>
      </w:r>
      <w:r>
        <w:rPr>
          <w:rFonts w:hint="eastAsia" w:ascii="宋体" w:hAnsi="宋体" w:eastAsia="宋体" w:cs="宋体"/>
          <w:color w:val="000000"/>
          <w:szCs w:val="21"/>
          <w:highlight w:val="yellow"/>
        </w:rPr>
        <w:t xml:space="preserve"> ，属于</w:t>
      </w:r>
      <w:r>
        <w:rPr>
          <w:rFonts w:hint="eastAsia" w:ascii="宋体" w:hAnsi="宋体" w:eastAsia="宋体" w:cs="宋体"/>
          <w:b/>
          <w:bCs/>
          <w:color w:val="000000"/>
          <w:szCs w:val="21"/>
          <w:highlight w:val="yellow"/>
          <w:u w:val="single"/>
        </w:rPr>
        <w:t>（采购文件中明确的所属行业）</w:t>
      </w:r>
      <w:r>
        <w:rPr>
          <w:rFonts w:hint="eastAsia" w:ascii="宋体" w:hAnsi="宋体" w:eastAsia="宋体" w:cs="宋体"/>
          <w:color w:val="000000"/>
          <w:szCs w:val="21"/>
        </w:rPr>
        <w:t>；承建（承接）企业为</w:t>
      </w:r>
      <w:r>
        <w:rPr>
          <w:rFonts w:hint="eastAsia" w:ascii="宋体" w:hAnsi="宋体" w:eastAsia="宋体" w:cs="宋体"/>
          <w:b/>
          <w:bCs/>
          <w:color w:val="000000"/>
          <w:szCs w:val="21"/>
          <w:u w:val="single"/>
        </w:rPr>
        <w:t>（企业名称）</w:t>
      </w:r>
      <w:r>
        <w:rPr>
          <w:rFonts w:hint="eastAsia" w:ascii="宋体" w:hAnsi="宋体" w:eastAsia="宋体" w:cs="宋体"/>
          <w:color w:val="000000"/>
          <w:szCs w:val="21"/>
        </w:rPr>
        <w:t>，从业人员</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人，营业收入为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万元，资产总额为</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万元，属于</w:t>
      </w:r>
      <w:r>
        <w:rPr>
          <w:rFonts w:hint="eastAsia" w:ascii="宋体" w:hAnsi="宋体" w:eastAsia="宋体" w:cs="宋体"/>
          <w:b/>
          <w:bCs/>
          <w:color w:val="000000"/>
          <w:szCs w:val="21"/>
          <w:u w:val="single"/>
        </w:rPr>
        <w:t>（中型企业、小型企业、微型企业）</w:t>
      </w:r>
      <w:r>
        <w:rPr>
          <w:rFonts w:hint="eastAsia" w:ascii="宋体" w:hAnsi="宋体" w:eastAsia="宋体" w:cs="宋体"/>
          <w:color w:val="000000"/>
          <w:szCs w:val="21"/>
        </w:rPr>
        <w:t>；</w:t>
      </w:r>
    </w:p>
    <w:p w14:paraId="24C02CDF">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w:t>
      </w:r>
    </w:p>
    <w:p w14:paraId="7B863589">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以上企业，不属于大企业的分支机构，不存在控股股东为大企业的情形，也不存在与大企业的负责人为同一人的情形。</w:t>
      </w:r>
    </w:p>
    <w:p w14:paraId="66C0B065">
      <w:pPr>
        <w:spacing w:line="360" w:lineRule="auto"/>
        <w:ind w:firstLine="480" w:firstLineChars="200"/>
        <w:rPr>
          <w:rFonts w:hint="eastAsia" w:ascii="宋体" w:hAnsi="宋体" w:eastAsia="宋体" w:cs="宋体"/>
          <w:color w:val="000000"/>
          <w:szCs w:val="21"/>
        </w:rPr>
      </w:pPr>
      <w:r>
        <w:rPr>
          <w:rFonts w:hint="eastAsia" w:ascii="宋体" w:hAnsi="宋体" w:eastAsia="宋体" w:cs="宋体"/>
          <w:color w:val="000000"/>
          <w:szCs w:val="21"/>
        </w:rPr>
        <w:t>本企业对上述声明内容的真实性负责。如有虚假，将依法承担相应责任。</w:t>
      </w:r>
    </w:p>
    <w:p w14:paraId="093BF4A0">
      <w:pPr>
        <w:spacing w:line="360" w:lineRule="auto"/>
        <w:ind w:firstLine="4560" w:firstLineChars="1900"/>
        <w:rPr>
          <w:rFonts w:hint="eastAsia" w:ascii="宋体" w:hAnsi="宋体" w:eastAsia="宋体" w:cs="宋体"/>
          <w:color w:val="000000"/>
          <w:szCs w:val="21"/>
        </w:rPr>
      </w:pPr>
      <w:r>
        <w:rPr>
          <w:rFonts w:hint="eastAsia" w:ascii="宋体" w:hAnsi="宋体" w:eastAsia="宋体" w:cs="宋体"/>
          <w:color w:val="000000"/>
          <w:szCs w:val="21"/>
        </w:rPr>
        <w:t>企业名称：</w:t>
      </w:r>
    </w:p>
    <w:p w14:paraId="5C24611C">
      <w:pPr>
        <w:spacing w:line="360" w:lineRule="auto"/>
        <w:ind w:firstLine="4800" w:firstLineChars="2000"/>
        <w:rPr>
          <w:rFonts w:hint="eastAsia" w:ascii="宋体" w:hAnsi="宋体" w:eastAsia="宋体" w:cs="宋体"/>
          <w:color w:val="000000"/>
          <w:szCs w:val="21"/>
        </w:rPr>
      </w:pPr>
      <w:r>
        <w:rPr>
          <w:rFonts w:hint="eastAsia" w:ascii="宋体" w:hAnsi="宋体" w:eastAsia="宋体" w:cs="宋体"/>
          <w:color w:val="000000"/>
          <w:szCs w:val="21"/>
        </w:rPr>
        <w:t>日 期：</w:t>
      </w:r>
    </w:p>
    <w:p w14:paraId="7AAE57D8">
      <w:pPr>
        <w:ind w:firstLine="480" w:firstLineChars="200"/>
        <w:rPr>
          <w:rFonts w:hint="eastAsia" w:ascii="宋体" w:hAnsi="宋体" w:eastAsia="宋体" w:cs="宋体"/>
          <w:color w:val="000000"/>
          <w:szCs w:val="21"/>
        </w:rPr>
      </w:pPr>
      <w:r>
        <w:rPr>
          <w:rFonts w:hint="eastAsia" w:ascii="宋体" w:hAnsi="宋体" w:eastAsia="宋体" w:cs="宋体"/>
          <w:color w:val="000000"/>
          <w:szCs w:val="21"/>
        </w:rPr>
        <w:t>¹从业人员、营业收入、资产总额填报上一年度数据，无上一年度数据的新成立企业可不填报。</w:t>
      </w:r>
    </w:p>
    <w:p w14:paraId="0D6CF029">
      <w:pPr>
        <w:ind w:firstLine="480" w:firstLineChars="200"/>
        <w:rPr>
          <w:rFonts w:hint="eastAsia" w:ascii="宋体" w:hAnsi="宋体" w:eastAsia="宋体" w:cs="宋体"/>
          <w:bCs/>
          <w:color w:val="000000" w:themeColor="text1"/>
          <w:szCs w:val="21"/>
          <w14:textFill>
            <w14:solidFill>
              <w14:schemeClr w14:val="tx1"/>
            </w14:solidFill>
          </w14:textFill>
        </w:rPr>
      </w:pPr>
      <w:bookmarkStart w:id="40" w:name="_Hlk73562275"/>
      <w:r>
        <w:rPr>
          <w:rFonts w:hint="eastAsia" w:ascii="宋体" w:hAnsi="宋体" w:eastAsia="宋体" w:cs="宋体"/>
          <w:color w:val="000000" w:themeColor="text1"/>
          <w14:textFill>
            <w14:solidFill>
              <w14:schemeClr w14:val="tx1"/>
            </w14:solidFill>
          </w14:textFill>
        </w:rPr>
        <w:t>。</w:t>
      </w:r>
      <w:bookmarkEnd w:id="40"/>
    </w:p>
    <w:p w14:paraId="2745FD95">
      <w:pPr>
        <w:rPr>
          <w:rFonts w:hint="eastAsia" w:ascii="宋体" w:hAnsi="宋体" w:eastAsia="宋体" w:cs="宋体"/>
          <w:color w:val="000000" w:themeColor="text1"/>
          <w14:textFill>
            <w14:solidFill>
              <w14:schemeClr w14:val="tx1"/>
            </w14:solidFill>
          </w14:textFill>
        </w:rPr>
      </w:pPr>
    </w:p>
    <w:p w14:paraId="431E08CE">
      <w:pPr>
        <w:ind w:firstLine="480" w:firstLineChars="200"/>
        <w:rPr>
          <w:rFonts w:hint="eastAsia" w:ascii="宋体" w:hAnsi="宋体" w:eastAsia="宋体" w:cs="宋体"/>
          <w:color w:val="000000" w:themeColor="text1"/>
          <w14:textFill>
            <w14:solidFill>
              <w14:schemeClr w14:val="tx1"/>
            </w14:solidFill>
          </w14:textFill>
        </w:rPr>
      </w:pPr>
    </w:p>
    <w:p w14:paraId="7244B235">
      <w:pPr>
        <w:snapToGrid w:val="0"/>
        <w:spacing w:line="360" w:lineRule="auto"/>
        <w:jc w:val="center"/>
        <w:rPr>
          <w:rFonts w:hint="eastAsia" w:ascii="宋体" w:hAnsi="宋体" w:eastAsia="宋体" w:cs="宋体"/>
          <w:b/>
        </w:rPr>
      </w:pPr>
      <w:r>
        <w:rPr>
          <w:rFonts w:hint="eastAsia" w:ascii="宋体" w:hAnsi="宋体" w:eastAsia="宋体" w:cs="宋体"/>
          <w:b/>
        </w:rPr>
        <w:t>2、残疾人福利性单位声明函（服务类）</w:t>
      </w:r>
    </w:p>
    <w:p w14:paraId="50758042">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   （采购单位名称）_单位的（采购项目名称）项目采购活动，并由本单位提供服务。</w:t>
      </w:r>
    </w:p>
    <w:p w14:paraId="46C6381F">
      <w:pPr>
        <w:spacing w:line="360" w:lineRule="auto"/>
        <w:ind w:firstLine="480" w:firstLineChars="20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本单位对上述声明的真实性负责。如有虚假，将依法承担相应责任。</w:t>
      </w:r>
    </w:p>
    <w:p w14:paraId="3D63D66D">
      <w:pPr>
        <w:spacing w:line="360" w:lineRule="auto"/>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本单位知悉《关于促进残疾人就业政府采购政策的通知》（财库〔2017〕141 号）的规定，承诺提供的声明函内容是真实的，如提供声明函内容不实，则依法被追究相关法律责任。</w:t>
      </w:r>
    </w:p>
    <w:p w14:paraId="3A25F348">
      <w:pPr>
        <w:ind w:firstLine="480" w:firstLineChars="200"/>
        <w:rPr>
          <w:rFonts w:hint="eastAsia" w:ascii="宋体" w:hAnsi="宋体" w:eastAsia="宋体" w:cs="宋体"/>
          <w:color w:val="000000" w:themeColor="text1"/>
          <w:szCs w:val="21"/>
          <w14:textFill>
            <w14:solidFill>
              <w14:schemeClr w14:val="tx1"/>
            </w14:solidFill>
          </w14:textFill>
        </w:rPr>
      </w:pPr>
    </w:p>
    <w:p w14:paraId="5CF2E945">
      <w:pPr>
        <w:ind w:firstLine="480" w:firstLineChars="200"/>
        <w:jc w:val="center"/>
        <w:rPr>
          <w:rFonts w:hint="eastAsia" w:ascii="宋体" w:hAnsi="宋体" w:eastAsia="宋体" w:cs="宋体"/>
        </w:rPr>
      </w:pPr>
      <w:r>
        <w:rPr>
          <w:rFonts w:hint="eastAsia" w:ascii="宋体" w:hAnsi="宋体" w:eastAsia="宋体" w:cs="宋体"/>
        </w:rPr>
        <w:t xml:space="preserve">           单位名称：</w:t>
      </w:r>
      <w:r>
        <w:rPr>
          <w:rFonts w:hint="eastAsia" w:ascii="宋体" w:hAnsi="宋体" w:eastAsia="宋体" w:cs="宋体"/>
          <w:u w:val="single"/>
        </w:rPr>
        <w:t xml:space="preserve">               </w:t>
      </w:r>
    </w:p>
    <w:p w14:paraId="6DEBED48">
      <w:pPr>
        <w:ind w:firstLine="480" w:firstLineChars="200"/>
        <w:jc w:val="center"/>
        <w:rPr>
          <w:rFonts w:hint="eastAsia" w:ascii="宋体" w:hAnsi="宋体" w:eastAsia="宋体" w:cs="宋体"/>
        </w:rPr>
      </w:pPr>
      <w:r>
        <w:rPr>
          <w:rFonts w:hint="eastAsia" w:ascii="宋体" w:hAnsi="宋体" w:eastAsia="宋体" w:cs="宋体"/>
        </w:rPr>
        <w:t xml:space="preserve">                      日期：</w:t>
      </w:r>
      <w:r>
        <w:rPr>
          <w:rFonts w:hint="eastAsia" w:ascii="宋体" w:hAnsi="宋体" w:eastAsia="宋体" w:cs="宋体"/>
          <w:u w:val="single"/>
        </w:rPr>
        <w:t xml:space="preserve">               </w:t>
      </w:r>
    </w:p>
    <w:p w14:paraId="0EFACE9B">
      <w:pPr>
        <w:ind w:firstLine="480" w:firstLineChars="200"/>
        <w:rPr>
          <w:rFonts w:hint="eastAsia" w:ascii="宋体" w:hAnsi="宋体" w:eastAsia="宋体" w:cs="宋体"/>
          <w:color w:val="000000" w:themeColor="text1"/>
          <w:szCs w:val="21"/>
          <w14:textFill>
            <w14:solidFill>
              <w14:schemeClr w14:val="tx1"/>
            </w14:solidFill>
          </w14:textFill>
        </w:rPr>
      </w:pPr>
    </w:p>
    <w:p w14:paraId="46D4D611">
      <w:pPr>
        <w:snapToGrid w:val="0"/>
        <w:spacing w:line="360" w:lineRule="auto"/>
        <w:jc w:val="center"/>
        <w:rPr>
          <w:rFonts w:hint="eastAsia" w:ascii="宋体" w:hAnsi="宋体" w:eastAsia="宋体" w:cs="宋体"/>
          <w:b/>
        </w:rPr>
      </w:pPr>
      <w:r>
        <w:rPr>
          <w:rFonts w:hint="eastAsia" w:ascii="宋体" w:hAnsi="宋体" w:eastAsia="宋体" w:cs="宋体"/>
          <w:b/>
        </w:rPr>
        <w:t>3、监狱企业声明函【服务类，监狱企业如需享受优惠政策，还须另行提供省级以上监狱管理局、戒毒管理局（含新疆生产建设兵团）出具的监狱企业证明文件】</w:t>
      </w:r>
    </w:p>
    <w:p w14:paraId="6E252822">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   （采购单位名称）_单位的（采购项目名称）项目采购活动，并由本单位提供服务。</w:t>
      </w:r>
    </w:p>
    <w:p w14:paraId="22819804">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本单位对上述声明的真实性负责。如有虚假，将依法承担相应责任。</w:t>
      </w:r>
    </w:p>
    <w:p w14:paraId="60B18813">
      <w:pPr>
        <w:ind w:firstLine="48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本单位知悉《关于促进残疾人就业政府采购政策的通知》(财库(2017141号)的规定,承诺提供的声明函内容是真实的,如提供声明函内容不实,则依法追究相关法律责任。</w:t>
      </w:r>
    </w:p>
    <w:p w14:paraId="15BE2AB4">
      <w:pPr>
        <w:jc w:val="center"/>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附：省级以上监狱管理局、戒毒管理局（含新疆生产建设兵团）出具的监狱企</w:t>
      </w:r>
    </w:p>
    <w:p w14:paraId="3B790126">
      <w:pPr>
        <w:jc w:val="both"/>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业证明文件。</w:t>
      </w:r>
    </w:p>
    <w:p w14:paraId="2C2DECC4">
      <w:pPr>
        <w:ind w:firstLine="480" w:firstLineChars="200"/>
        <w:rPr>
          <w:rFonts w:hint="eastAsia" w:ascii="宋体" w:hAnsi="宋体" w:eastAsia="宋体" w:cs="宋体"/>
          <w:color w:val="000000" w:themeColor="text1"/>
          <w:szCs w:val="21"/>
          <w14:textFill>
            <w14:solidFill>
              <w14:schemeClr w14:val="tx1"/>
            </w14:solidFill>
          </w14:textFill>
        </w:rPr>
      </w:pPr>
    </w:p>
    <w:p w14:paraId="78E0EC7F">
      <w:pPr>
        <w:ind w:firstLine="480" w:firstLineChars="200"/>
        <w:jc w:val="center"/>
        <w:rPr>
          <w:rFonts w:hint="eastAsia" w:ascii="宋体" w:hAnsi="宋体" w:eastAsia="宋体" w:cs="宋体"/>
        </w:rPr>
      </w:pPr>
      <w:r>
        <w:rPr>
          <w:rFonts w:hint="eastAsia" w:ascii="宋体" w:hAnsi="宋体" w:eastAsia="宋体" w:cs="宋体"/>
        </w:rPr>
        <w:t xml:space="preserve">           单位名称：</w:t>
      </w:r>
      <w:r>
        <w:rPr>
          <w:rFonts w:hint="eastAsia" w:ascii="宋体" w:hAnsi="宋体" w:eastAsia="宋体" w:cs="宋体"/>
          <w:u w:val="single"/>
        </w:rPr>
        <w:t xml:space="preserve">               </w:t>
      </w:r>
    </w:p>
    <w:p w14:paraId="67DDC769">
      <w:pPr>
        <w:ind w:firstLine="480" w:firstLineChars="200"/>
        <w:jc w:val="center"/>
        <w:rPr>
          <w:rFonts w:hint="eastAsia" w:ascii="宋体" w:hAnsi="宋体" w:eastAsia="宋体" w:cs="宋体"/>
        </w:rPr>
      </w:pPr>
      <w:r>
        <w:rPr>
          <w:rFonts w:hint="eastAsia" w:ascii="宋体" w:hAnsi="宋体" w:eastAsia="宋体" w:cs="宋体"/>
        </w:rPr>
        <w:t xml:space="preserve">                      日期：</w:t>
      </w:r>
      <w:r>
        <w:rPr>
          <w:rFonts w:hint="eastAsia" w:ascii="宋体" w:hAnsi="宋体" w:eastAsia="宋体" w:cs="宋体"/>
          <w:u w:val="single"/>
        </w:rPr>
        <w:t xml:space="preserve">               </w:t>
      </w:r>
    </w:p>
    <w:p w14:paraId="4237E9FA">
      <w:pPr>
        <w:rPr>
          <w:rFonts w:hint="eastAsia" w:ascii="宋体" w:hAnsi="宋体" w:eastAsia="宋体" w:cs="宋体"/>
          <w:b/>
          <w:sz w:val="32"/>
          <w:szCs w:val="32"/>
        </w:rPr>
      </w:pPr>
      <w:r>
        <w:rPr>
          <w:rFonts w:hint="eastAsia" w:ascii="宋体" w:hAnsi="宋体" w:eastAsia="宋体" w:cs="宋体"/>
          <w:b/>
          <w:sz w:val="32"/>
          <w:szCs w:val="32"/>
        </w:rPr>
        <w:br w:type="page"/>
      </w:r>
    </w:p>
    <w:p w14:paraId="7617E5B2">
      <w:pPr>
        <w:pStyle w:val="53"/>
        <w:numPr>
          <w:ilvl w:val="255"/>
          <w:numId w:val="0"/>
        </w:numPr>
        <w:ind w:left="480"/>
        <w:jc w:val="center"/>
        <w:outlineLvl w:val="2"/>
        <w:rPr>
          <w:rFonts w:hint="eastAsia" w:ascii="宋体" w:hAnsi="宋体" w:eastAsia="宋体" w:cs="宋体"/>
          <w:bCs/>
          <w:szCs w:val="32"/>
        </w:rPr>
      </w:pPr>
      <w:r>
        <w:rPr>
          <w:rFonts w:hint="eastAsia" w:ascii="宋体" w:hAnsi="宋体" w:eastAsia="宋体" w:cs="宋体"/>
          <w:bCs/>
          <w:szCs w:val="32"/>
        </w:rPr>
        <w:t>五、招标代理服务费承诺函</w:t>
      </w:r>
    </w:p>
    <w:p w14:paraId="0DD3E19E">
      <w:pPr>
        <w:spacing w:line="360" w:lineRule="auto"/>
        <w:rPr>
          <w:rFonts w:hint="eastAsia" w:ascii="宋体" w:hAnsi="宋体" w:eastAsia="宋体" w:cs="宋体"/>
          <w:color w:val="000000"/>
          <w:szCs w:val="21"/>
        </w:rPr>
      </w:pPr>
    </w:p>
    <w:p w14:paraId="148318EF">
      <w:pPr>
        <w:spacing w:line="360" w:lineRule="auto"/>
        <w:rPr>
          <w:rFonts w:hint="eastAsia" w:ascii="宋体" w:hAnsi="宋体" w:eastAsia="宋体" w:cs="宋体"/>
          <w:bCs/>
          <w:szCs w:val="21"/>
        </w:rPr>
      </w:pPr>
      <w:r>
        <w:rPr>
          <w:rFonts w:hint="eastAsia" w:ascii="宋体" w:hAnsi="宋体" w:eastAsia="宋体" w:cs="宋体"/>
          <w:bCs/>
          <w:szCs w:val="21"/>
        </w:rPr>
        <w:t>致：深圳市南科大资产经营管理有限公司</w:t>
      </w:r>
    </w:p>
    <w:p w14:paraId="04603496">
      <w:pPr>
        <w:spacing w:line="360" w:lineRule="auto"/>
        <w:ind w:firstLine="480" w:firstLineChars="200"/>
        <w:rPr>
          <w:rFonts w:hint="eastAsia" w:ascii="宋体" w:hAnsi="宋体" w:eastAsia="宋体" w:cs="宋体"/>
          <w:bCs/>
          <w:szCs w:val="21"/>
        </w:rPr>
      </w:pPr>
      <w:r>
        <w:rPr>
          <w:rFonts w:hint="eastAsia" w:ascii="宋体" w:hAnsi="宋体" w:eastAsia="宋体" w:cs="宋体"/>
          <w:bCs/>
          <w:szCs w:val="21"/>
        </w:rPr>
        <w:t>我司参加贵司</w:t>
      </w:r>
      <w:r>
        <w:rPr>
          <w:rFonts w:hint="eastAsia" w:ascii="宋体" w:hAnsi="宋体" w:eastAsia="宋体" w:cs="宋体"/>
          <w:bCs/>
          <w:szCs w:val="21"/>
          <w:u w:val="single"/>
        </w:rPr>
        <w:t xml:space="preserve">            </w:t>
      </w:r>
      <w:r>
        <w:rPr>
          <w:rFonts w:hint="eastAsia" w:ascii="宋体" w:hAnsi="宋体" w:eastAsia="宋体" w:cs="宋体"/>
          <w:bCs/>
          <w:szCs w:val="21"/>
        </w:rPr>
        <w:t>（项目名称、编号）招标项目投标，在此郑重承诺：</w:t>
      </w:r>
    </w:p>
    <w:p w14:paraId="79CE14F6">
      <w:pPr>
        <w:spacing w:line="360" w:lineRule="auto"/>
        <w:ind w:firstLine="480" w:firstLineChars="200"/>
        <w:rPr>
          <w:rFonts w:hint="eastAsia" w:ascii="宋体" w:hAnsi="宋体" w:eastAsia="宋体" w:cs="宋体"/>
          <w:bCs/>
          <w:szCs w:val="21"/>
        </w:rPr>
      </w:pPr>
      <w:r>
        <w:rPr>
          <w:rFonts w:hint="eastAsia" w:ascii="宋体" w:hAnsi="宋体" w:eastAsia="宋体" w:cs="宋体"/>
          <w:bCs/>
          <w:szCs w:val="21"/>
        </w:rPr>
        <w:t>如我司中标，中标代理服务费由中标人于领取中标通知书前支付，向贵司支付中标代理服务费（费率按招标文件规定执行）。</w:t>
      </w:r>
    </w:p>
    <w:p w14:paraId="72072397">
      <w:pPr>
        <w:spacing w:line="360" w:lineRule="auto"/>
        <w:ind w:firstLine="480" w:firstLineChars="200"/>
        <w:rPr>
          <w:rFonts w:hint="eastAsia" w:ascii="宋体" w:hAnsi="宋体" w:eastAsia="宋体" w:cs="宋体"/>
          <w:bCs/>
          <w:szCs w:val="21"/>
        </w:rPr>
      </w:pPr>
      <w:r>
        <w:rPr>
          <w:rFonts w:hint="eastAsia" w:ascii="宋体" w:hAnsi="宋体" w:eastAsia="宋体" w:cs="宋体"/>
          <w:bCs/>
          <w:szCs w:val="21"/>
        </w:rPr>
        <w:t>特此承诺。</w:t>
      </w:r>
    </w:p>
    <w:p w14:paraId="16ED4C5F">
      <w:pPr>
        <w:autoSpaceDE w:val="0"/>
        <w:autoSpaceDN w:val="0"/>
        <w:spacing w:line="360" w:lineRule="exact"/>
        <w:ind w:right="893"/>
        <w:textAlignment w:val="bottom"/>
        <w:rPr>
          <w:rFonts w:hint="eastAsia" w:ascii="宋体" w:hAnsi="宋体" w:eastAsia="宋体" w:cs="宋体"/>
          <w:color w:val="000000"/>
          <w:szCs w:val="21"/>
        </w:rPr>
      </w:pPr>
    </w:p>
    <w:p w14:paraId="28979D5F">
      <w:pPr>
        <w:spacing w:line="360" w:lineRule="exact"/>
        <w:rPr>
          <w:rFonts w:hint="eastAsia" w:ascii="宋体" w:hAnsi="宋体" w:eastAsia="宋体" w:cs="宋体"/>
          <w:color w:val="000000"/>
          <w:szCs w:val="21"/>
        </w:rPr>
      </w:pPr>
    </w:p>
    <w:p w14:paraId="5B7D1C94">
      <w:pPr>
        <w:wordWrap w:val="0"/>
        <w:spacing w:line="360" w:lineRule="exact"/>
        <w:ind w:right="440"/>
        <w:jc w:val="right"/>
        <w:rPr>
          <w:rFonts w:hint="eastAsia" w:ascii="宋体" w:hAnsi="宋体" w:eastAsia="宋体" w:cs="宋体"/>
          <w:b/>
          <w:color w:val="000000"/>
          <w:szCs w:val="21"/>
        </w:rPr>
      </w:pPr>
      <w:r>
        <w:rPr>
          <w:rFonts w:hint="eastAsia" w:ascii="宋体" w:hAnsi="宋体" w:eastAsia="宋体" w:cs="宋体"/>
          <w:b/>
          <w:color w:val="000000"/>
          <w:szCs w:val="21"/>
        </w:rPr>
        <w:t xml:space="preserve">   </w:t>
      </w:r>
    </w:p>
    <w:p w14:paraId="69BE3626">
      <w:pPr>
        <w:spacing w:line="360" w:lineRule="auto"/>
        <w:rPr>
          <w:rFonts w:hint="eastAsia" w:ascii="宋体" w:hAnsi="宋体" w:eastAsia="宋体" w:cs="宋体"/>
          <w:szCs w:val="21"/>
          <w:u w:val="single"/>
        </w:rPr>
      </w:pPr>
      <w:r>
        <w:rPr>
          <w:rFonts w:hint="eastAsia" w:ascii="宋体" w:hAnsi="宋体" w:eastAsia="宋体" w:cs="宋体"/>
          <w:b/>
          <w:color w:val="000000"/>
          <w:szCs w:val="21"/>
        </w:rPr>
        <w:t xml:space="preserve">                                          </w:t>
      </w:r>
      <w:r>
        <w:rPr>
          <w:rFonts w:hint="eastAsia" w:ascii="宋体" w:hAnsi="宋体" w:eastAsia="宋体" w:cs="宋体"/>
          <w:bCs/>
          <w:szCs w:val="21"/>
        </w:rPr>
        <w:t xml:space="preserve">        </w:t>
      </w:r>
      <w:r>
        <w:rPr>
          <w:rFonts w:hint="eastAsia" w:ascii="宋体" w:hAnsi="宋体" w:eastAsia="宋体" w:cs="宋体"/>
          <w:szCs w:val="21"/>
        </w:rPr>
        <w:t>投标人：</w:t>
      </w:r>
      <w:r>
        <w:rPr>
          <w:rFonts w:hint="eastAsia" w:ascii="宋体" w:hAnsi="宋体" w:eastAsia="宋体" w:cs="宋体"/>
          <w:szCs w:val="21"/>
          <w:u w:val="single"/>
        </w:rPr>
        <w:t xml:space="preserve">                     </w:t>
      </w:r>
    </w:p>
    <w:p w14:paraId="41304E95">
      <w:pPr>
        <w:spacing w:line="360" w:lineRule="auto"/>
        <w:jc w:val="right"/>
        <w:rPr>
          <w:rFonts w:hint="eastAsia" w:ascii="宋体" w:hAnsi="宋体" w:eastAsia="宋体" w:cs="宋体"/>
          <w:b/>
          <w:szCs w:val="21"/>
          <w:u w:val="single"/>
        </w:rPr>
      </w:pPr>
      <w:r>
        <w:rPr>
          <w:rFonts w:hint="eastAsia" w:ascii="宋体" w:hAnsi="宋体" w:eastAsia="宋体" w:cs="宋体"/>
          <w:szCs w:val="21"/>
        </w:rPr>
        <w:t>日  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54390DA">
      <w:pPr>
        <w:rPr>
          <w:rFonts w:hint="eastAsia" w:ascii="宋体" w:hAnsi="宋体" w:eastAsia="宋体" w:cs="宋体"/>
          <w:b/>
          <w:sz w:val="21"/>
          <w:szCs w:val="21"/>
        </w:rPr>
      </w:pPr>
      <w:r>
        <w:rPr>
          <w:rFonts w:hint="eastAsia" w:ascii="宋体" w:hAnsi="宋体" w:eastAsia="宋体" w:cs="宋体"/>
          <w:b/>
          <w:sz w:val="21"/>
          <w:szCs w:val="21"/>
        </w:rPr>
        <w:t xml:space="preserve"> (注：按要求填写，不得更改承诺内容)</w:t>
      </w:r>
    </w:p>
    <w:p w14:paraId="3C18FC86">
      <w:pPr>
        <w:rPr>
          <w:rFonts w:hint="eastAsia" w:ascii="宋体" w:hAnsi="宋体" w:eastAsia="宋体" w:cs="宋体"/>
          <w:bCs/>
          <w:szCs w:val="32"/>
        </w:rPr>
      </w:pPr>
      <w:r>
        <w:rPr>
          <w:rFonts w:hint="eastAsia" w:ascii="宋体" w:hAnsi="宋体" w:eastAsia="宋体" w:cs="宋体"/>
          <w:bCs/>
          <w:szCs w:val="32"/>
        </w:rPr>
        <w:br w:type="page"/>
      </w:r>
    </w:p>
    <w:p w14:paraId="259C67F0">
      <w:pPr>
        <w:spacing w:before="60" w:beforeLines="25" w:after="60" w:afterLines="25" w:line="360" w:lineRule="auto"/>
        <w:ind w:firstLine="1132" w:firstLineChars="472"/>
        <w:outlineLvl w:val="2"/>
        <w:rPr>
          <w:rFonts w:hint="eastAsia" w:ascii="宋体" w:hAnsi="宋体" w:eastAsia="宋体" w:cs="宋体"/>
          <w:bCs/>
          <w:szCs w:val="32"/>
        </w:rPr>
      </w:pPr>
      <w:r>
        <w:rPr>
          <w:rFonts w:hint="eastAsia" w:ascii="宋体" w:hAnsi="宋体" w:eastAsia="宋体" w:cs="宋体"/>
          <w:bCs/>
          <w:szCs w:val="32"/>
        </w:rPr>
        <w:t>六、投标人通过相关认证情况（格式自定）</w:t>
      </w:r>
    </w:p>
    <w:p w14:paraId="7C4C320F">
      <w:pPr>
        <w:spacing w:before="60" w:beforeLines="25" w:after="60" w:afterLines="25" w:line="360" w:lineRule="auto"/>
        <w:ind w:firstLine="1132" w:firstLineChars="472"/>
        <w:outlineLvl w:val="2"/>
        <w:rPr>
          <w:rFonts w:hint="eastAsia" w:ascii="宋体" w:hAnsi="宋体" w:eastAsia="宋体" w:cs="宋体"/>
          <w:bCs/>
          <w:szCs w:val="32"/>
        </w:rPr>
      </w:pPr>
      <w:r>
        <w:rPr>
          <w:rFonts w:hint="eastAsia" w:ascii="宋体" w:hAnsi="宋体" w:eastAsia="宋体" w:cs="宋体"/>
          <w:bCs/>
          <w:szCs w:val="32"/>
        </w:rPr>
        <w:t>七、自主知识产权产品（创新、设计）情况</w:t>
      </w:r>
    </w:p>
    <w:p w14:paraId="12295B6B">
      <w:pPr>
        <w:spacing w:before="60" w:beforeLines="25" w:after="60" w:afterLines="25" w:line="360" w:lineRule="auto"/>
        <w:ind w:firstLine="1132" w:firstLineChars="472"/>
        <w:outlineLvl w:val="2"/>
        <w:rPr>
          <w:rFonts w:hint="eastAsia" w:ascii="宋体" w:hAnsi="宋体" w:eastAsia="宋体" w:cs="宋体"/>
          <w:bCs/>
          <w:szCs w:val="32"/>
        </w:rPr>
      </w:pPr>
      <w:r>
        <w:rPr>
          <w:rFonts w:hint="eastAsia" w:ascii="宋体" w:hAnsi="宋体" w:eastAsia="宋体" w:cs="宋体"/>
          <w:bCs/>
          <w:szCs w:val="32"/>
        </w:rPr>
        <w:t>八、投标人同类项目业绩情况（格式自定）</w:t>
      </w:r>
    </w:p>
    <w:p w14:paraId="57A4D5FC">
      <w:pPr>
        <w:spacing w:before="60" w:beforeLines="25" w:after="60" w:afterLines="25" w:line="360" w:lineRule="auto"/>
        <w:ind w:firstLine="1132" w:firstLineChars="472"/>
        <w:outlineLvl w:val="2"/>
        <w:rPr>
          <w:rFonts w:hint="eastAsia" w:ascii="宋体" w:hAnsi="宋体" w:eastAsia="宋体" w:cs="宋体"/>
          <w:bCs/>
          <w:szCs w:val="32"/>
        </w:rPr>
      </w:pPr>
      <w:r>
        <w:rPr>
          <w:rFonts w:hint="eastAsia" w:ascii="宋体" w:hAnsi="宋体" w:eastAsia="宋体" w:cs="宋体"/>
          <w:bCs/>
          <w:szCs w:val="32"/>
        </w:rPr>
        <w:t>九、企业荣誉（格式自定）</w:t>
      </w:r>
    </w:p>
    <w:p w14:paraId="69B214A3">
      <w:pPr>
        <w:spacing w:before="60" w:beforeLines="25" w:after="60" w:afterLines="25" w:line="360" w:lineRule="auto"/>
        <w:ind w:firstLine="1132" w:firstLineChars="472"/>
        <w:outlineLvl w:val="2"/>
        <w:rPr>
          <w:rFonts w:hint="eastAsia" w:ascii="宋体" w:hAnsi="宋体" w:eastAsia="宋体" w:cs="宋体"/>
          <w:bCs/>
          <w:szCs w:val="32"/>
        </w:rPr>
      </w:pPr>
      <w:r>
        <w:rPr>
          <w:rFonts w:hint="eastAsia" w:ascii="宋体" w:hAnsi="宋体" w:eastAsia="宋体" w:cs="宋体"/>
          <w:bCs/>
          <w:szCs w:val="32"/>
        </w:rPr>
        <w:t>十、招标文件要求的其他内容及投标人认为需要加以说明的其他内容（格式自定）</w:t>
      </w:r>
    </w:p>
    <w:p w14:paraId="6FCEA739">
      <w:pPr>
        <w:rPr>
          <w:rFonts w:hint="eastAsia" w:ascii="宋体" w:hAnsi="宋体" w:eastAsia="宋体" w:cs="宋体"/>
          <w:bCs/>
          <w:szCs w:val="32"/>
        </w:rPr>
      </w:pPr>
      <w:r>
        <w:rPr>
          <w:rFonts w:hint="eastAsia" w:ascii="宋体" w:hAnsi="宋体" w:eastAsia="宋体" w:cs="宋体"/>
          <w:bCs/>
          <w:szCs w:val="32"/>
        </w:rPr>
        <w:br w:type="page"/>
      </w:r>
    </w:p>
    <w:p w14:paraId="65F23921">
      <w:pPr>
        <w:pStyle w:val="5"/>
        <w:rPr>
          <w:rFonts w:hint="eastAsia" w:cs="宋体"/>
        </w:rPr>
      </w:pPr>
      <w:r>
        <w:rPr>
          <w:rFonts w:hint="eastAsia" w:cs="宋体"/>
        </w:rPr>
        <w:t>投标文件附件（非信息公开部分）：</w:t>
      </w:r>
    </w:p>
    <w:p w14:paraId="188697E8">
      <w:pPr>
        <w:rPr>
          <w:rFonts w:hint="eastAsia" w:ascii="宋体" w:hAnsi="宋体" w:eastAsia="宋体" w:cs="宋体"/>
          <w:b/>
          <w:sz w:val="30"/>
          <w:szCs w:val="30"/>
        </w:rPr>
      </w:pPr>
    </w:p>
    <w:p w14:paraId="7E7E6EDA">
      <w:pPr>
        <w:pStyle w:val="6"/>
        <w:jc w:val="center"/>
        <w:rPr>
          <w:rFonts w:hint="eastAsia" w:cs="宋体"/>
        </w:rPr>
      </w:pPr>
      <w:r>
        <w:rPr>
          <w:rFonts w:hint="eastAsia" w:cs="宋体"/>
        </w:rPr>
        <w:t>一、法定代表人（负责人）资格证明书</w:t>
      </w:r>
    </w:p>
    <w:p w14:paraId="536F9DA6">
      <w:pPr>
        <w:rPr>
          <w:rFonts w:hint="eastAsia" w:ascii="宋体" w:hAnsi="宋体" w:eastAsia="宋体" w:cs="宋体"/>
        </w:rPr>
      </w:pPr>
    </w:p>
    <w:p w14:paraId="7BFFDE44">
      <w:pPr>
        <w:spacing w:line="360" w:lineRule="auto"/>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u w:val="single"/>
        </w:rPr>
        <w:t xml:space="preserve">         </w:t>
      </w:r>
      <w:r>
        <w:rPr>
          <w:rFonts w:hint="eastAsia" w:ascii="宋体" w:hAnsi="宋体" w:eastAsia="宋体" w:cs="宋体"/>
          <w:szCs w:val="21"/>
        </w:rPr>
        <w:t>同志，现任我单位</w:t>
      </w:r>
      <w:r>
        <w:rPr>
          <w:rFonts w:hint="eastAsia" w:ascii="宋体" w:hAnsi="宋体" w:eastAsia="宋体" w:cs="宋体"/>
          <w:szCs w:val="21"/>
          <w:u w:val="single"/>
        </w:rPr>
        <w:t xml:space="preserve">         </w:t>
      </w:r>
      <w:r>
        <w:rPr>
          <w:rFonts w:hint="eastAsia" w:ascii="宋体" w:hAnsi="宋体" w:eastAsia="宋体" w:cs="宋体"/>
          <w:szCs w:val="21"/>
        </w:rPr>
        <w:t>职务，为法定代表人</w:t>
      </w:r>
      <w:r>
        <w:rPr>
          <w:rFonts w:hint="eastAsia" w:ascii="宋体" w:hAnsi="宋体" w:eastAsia="宋体" w:cs="宋体"/>
          <w:b/>
        </w:rPr>
        <w:t>（负责人）</w:t>
      </w:r>
      <w:r>
        <w:rPr>
          <w:rFonts w:hint="eastAsia" w:ascii="宋体" w:hAnsi="宋体" w:eastAsia="宋体" w:cs="宋体"/>
          <w:szCs w:val="21"/>
        </w:rPr>
        <w:t>，特此证明。</w:t>
      </w:r>
    </w:p>
    <w:p w14:paraId="21FEC54D">
      <w:pPr>
        <w:spacing w:line="360" w:lineRule="auto"/>
        <w:rPr>
          <w:rFonts w:hint="eastAsia" w:ascii="宋体" w:hAnsi="宋体" w:eastAsia="宋体" w:cs="宋体"/>
          <w:szCs w:val="21"/>
        </w:rPr>
      </w:pPr>
      <w:r>
        <w:rPr>
          <w:rFonts w:hint="eastAsia" w:ascii="宋体" w:hAnsi="宋体" w:eastAsia="宋体" w:cs="宋体"/>
          <w:szCs w:val="21"/>
        </w:rPr>
        <w:t>说明：1、法定代表人为企业事业单位、国家机关、社会团体的主要负责人。</w:t>
      </w:r>
    </w:p>
    <w:p w14:paraId="45E3D258">
      <w:pPr>
        <w:rPr>
          <w:rFonts w:hint="eastAsia" w:ascii="宋体" w:hAnsi="宋体" w:eastAsia="宋体" w:cs="宋体"/>
          <w:szCs w:val="21"/>
        </w:rPr>
      </w:pPr>
      <w:r>
        <w:rPr>
          <w:rFonts w:hint="eastAsia" w:ascii="宋体" w:hAnsi="宋体" w:eastAsia="宋体" w:cs="宋体"/>
          <w:szCs w:val="21"/>
        </w:rPr>
        <w:t xml:space="preserve">      2、内容必须填写真实、清楚，涂改无效，不得转让、买卖。</w:t>
      </w:r>
    </w:p>
    <w:p w14:paraId="50095CB9">
      <w:pPr>
        <w:spacing w:line="360" w:lineRule="auto"/>
        <w:rPr>
          <w:rFonts w:hint="eastAsia" w:ascii="宋体" w:hAnsi="宋体" w:eastAsia="宋体" w:cs="宋体"/>
          <w:b/>
          <w:szCs w:val="21"/>
        </w:rPr>
      </w:pPr>
    </w:p>
    <w:p w14:paraId="12370E7C">
      <w:pPr>
        <w:spacing w:line="360" w:lineRule="auto"/>
        <w:rPr>
          <w:rFonts w:hint="eastAsia" w:ascii="宋体" w:hAnsi="宋体" w:eastAsia="宋体" w:cs="宋体"/>
          <w:b/>
          <w:color w:val="FF0000"/>
        </w:rPr>
      </w:pPr>
      <w:r>
        <w:rPr>
          <w:rFonts w:hint="eastAsia" w:ascii="宋体" w:hAnsi="宋体" w:eastAsia="宋体" w:cs="宋体"/>
          <w:b/>
        </w:rPr>
        <w:t>附：</w:t>
      </w:r>
      <w:r>
        <w:rPr>
          <w:rFonts w:hint="eastAsia" w:ascii="宋体" w:hAnsi="宋体" w:eastAsia="宋体" w:cs="宋体"/>
          <w:b/>
          <w:color w:val="FF0000"/>
        </w:rPr>
        <w:t>要求必须提供法定代表人（负责人）身份证（境外人员无法提供身份证的，可提供护照）扫描件（正反两面）。</w:t>
      </w:r>
    </w:p>
    <w:p w14:paraId="65336663">
      <w:pPr>
        <w:spacing w:line="360" w:lineRule="auto"/>
        <w:rPr>
          <w:rFonts w:hint="eastAsia" w:ascii="宋体" w:hAnsi="宋体" w:eastAsia="宋体" w:cs="宋体"/>
          <w:b/>
          <w:sz w:val="32"/>
          <w:szCs w:val="32"/>
        </w:rPr>
      </w:pPr>
    </w:p>
    <w:p w14:paraId="7FEBDEC5">
      <w:pPr>
        <w:pStyle w:val="6"/>
        <w:jc w:val="center"/>
        <w:rPr>
          <w:rFonts w:hint="eastAsia" w:cs="宋体"/>
        </w:rPr>
      </w:pPr>
      <w:r>
        <w:rPr>
          <w:rFonts w:hint="eastAsia" w:cs="宋体"/>
        </w:rPr>
        <w:t>二、投标文件签署授权委托书</w:t>
      </w:r>
    </w:p>
    <w:p w14:paraId="16CE209B">
      <w:pPr>
        <w:spacing w:line="360" w:lineRule="auto"/>
        <w:ind w:firstLine="480" w:firstLineChars="200"/>
        <w:rPr>
          <w:rFonts w:hint="eastAsia" w:ascii="宋体" w:hAnsi="宋体" w:eastAsia="宋体" w:cs="宋体"/>
          <w:szCs w:val="21"/>
        </w:rPr>
      </w:pPr>
      <w:r>
        <w:rPr>
          <w:rFonts w:hint="eastAsia" w:ascii="宋体" w:hAnsi="宋体" w:eastAsia="宋体" w:cs="宋体"/>
          <w:szCs w:val="21"/>
        </w:rPr>
        <w:t>本授权委托书声明：我</w:t>
      </w:r>
      <w:r>
        <w:rPr>
          <w:rFonts w:hint="eastAsia" w:ascii="宋体" w:hAnsi="宋体" w:eastAsia="宋体" w:cs="宋体"/>
          <w:szCs w:val="21"/>
          <w:u w:val="single"/>
        </w:rPr>
        <w:t xml:space="preserve">           </w:t>
      </w:r>
      <w:r>
        <w:rPr>
          <w:rFonts w:hint="eastAsia" w:ascii="宋体" w:hAnsi="宋体" w:eastAsia="宋体" w:cs="宋体"/>
          <w:szCs w:val="21"/>
        </w:rPr>
        <w:t>（姓名）系</w:t>
      </w:r>
      <w:r>
        <w:rPr>
          <w:rFonts w:hint="eastAsia" w:ascii="宋体" w:hAnsi="宋体" w:eastAsia="宋体" w:cs="宋体"/>
          <w:szCs w:val="21"/>
          <w:u w:val="single"/>
        </w:rPr>
        <w:t xml:space="preserve">             </w:t>
      </w:r>
      <w:r>
        <w:rPr>
          <w:rFonts w:hint="eastAsia" w:ascii="宋体" w:hAnsi="宋体" w:eastAsia="宋体" w:cs="宋体"/>
          <w:szCs w:val="21"/>
        </w:rPr>
        <w:t>（投标供应商名称）的法定代表人</w:t>
      </w:r>
      <w:r>
        <w:rPr>
          <w:rFonts w:hint="eastAsia" w:ascii="宋体" w:hAnsi="宋体" w:eastAsia="宋体" w:cs="宋体"/>
          <w:b/>
        </w:rPr>
        <w:t>（负责人）</w:t>
      </w:r>
      <w:r>
        <w:rPr>
          <w:rFonts w:hint="eastAsia" w:ascii="宋体" w:hAnsi="宋体" w:eastAsia="宋体" w:cs="宋体"/>
          <w:szCs w:val="21"/>
        </w:rPr>
        <w:t>，现授权委托</w:t>
      </w:r>
      <w:r>
        <w:rPr>
          <w:rFonts w:hint="eastAsia" w:ascii="宋体" w:hAnsi="宋体" w:eastAsia="宋体" w:cs="宋体"/>
          <w:szCs w:val="21"/>
          <w:u w:val="single"/>
        </w:rPr>
        <w:t xml:space="preserve">            </w:t>
      </w:r>
      <w:r>
        <w:rPr>
          <w:rFonts w:hint="eastAsia" w:ascii="宋体" w:hAnsi="宋体" w:eastAsia="宋体" w:cs="宋体"/>
          <w:szCs w:val="21"/>
        </w:rPr>
        <w:t>（姓名）为我公司签署本项目已递交的投标文件的法定代表人</w:t>
      </w:r>
      <w:r>
        <w:rPr>
          <w:rFonts w:hint="eastAsia" w:ascii="宋体" w:hAnsi="宋体" w:eastAsia="宋体" w:cs="宋体"/>
          <w:b/>
        </w:rPr>
        <w:t>（负责人）</w:t>
      </w:r>
      <w:r>
        <w:rPr>
          <w:rFonts w:hint="eastAsia" w:ascii="宋体" w:hAnsi="宋体" w:eastAsia="宋体" w:cs="宋体"/>
          <w:szCs w:val="21"/>
        </w:rPr>
        <w:t>的授权委托代理人，代理人全权代表我所签署的本项目已递交的投标文件内容我均承认。</w:t>
      </w:r>
    </w:p>
    <w:p w14:paraId="7CC5A9A7">
      <w:pPr>
        <w:pStyle w:val="8"/>
        <w:spacing w:line="360" w:lineRule="auto"/>
        <w:rPr>
          <w:rFonts w:hint="eastAsia" w:ascii="宋体" w:hAnsi="宋体" w:eastAsia="宋体" w:cs="宋体"/>
          <w:szCs w:val="21"/>
        </w:rPr>
      </w:pPr>
      <w:r>
        <w:rPr>
          <w:rFonts w:hint="eastAsia" w:ascii="宋体" w:hAnsi="宋体" w:eastAsia="宋体" w:cs="宋体"/>
          <w:szCs w:val="21"/>
        </w:rPr>
        <w:t>代理人无转委托权，特此委托。</w:t>
      </w:r>
    </w:p>
    <w:p w14:paraId="460A7995">
      <w:pPr>
        <w:pStyle w:val="8"/>
        <w:spacing w:line="360" w:lineRule="auto"/>
        <w:rPr>
          <w:rFonts w:hint="eastAsia" w:ascii="宋体" w:hAnsi="宋体" w:eastAsia="宋体" w:cs="宋体"/>
          <w:szCs w:val="21"/>
        </w:rPr>
      </w:pPr>
    </w:p>
    <w:p w14:paraId="1AE7242B">
      <w:pPr>
        <w:spacing w:line="360" w:lineRule="auto"/>
        <w:ind w:left="617" w:leftChars="257"/>
        <w:rPr>
          <w:rFonts w:hint="eastAsia" w:ascii="宋体" w:hAnsi="宋体" w:eastAsia="宋体" w:cs="宋体"/>
          <w:szCs w:val="21"/>
          <w:u w:val="single"/>
        </w:rPr>
      </w:pPr>
      <w:r>
        <w:rPr>
          <w:rFonts w:hint="eastAsia" w:ascii="宋体" w:hAnsi="宋体" w:eastAsia="宋体" w:cs="宋体"/>
          <w:szCs w:val="21"/>
        </w:rPr>
        <w:t>代理人：</w:t>
      </w:r>
      <w:r>
        <w:rPr>
          <w:rFonts w:hint="eastAsia" w:ascii="宋体" w:hAnsi="宋体" w:eastAsia="宋体" w:cs="宋体"/>
          <w:szCs w:val="21"/>
          <w:u w:val="single"/>
        </w:rPr>
        <w:t xml:space="preserve">             </w:t>
      </w:r>
    </w:p>
    <w:p w14:paraId="306353B3">
      <w:pPr>
        <w:spacing w:line="360" w:lineRule="auto"/>
        <w:ind w:left="617" w:leftChars="257"/>
        <w:rPr>
          <w:rFonts w:hint="eastAsia" w:ascii="宋体" w:hAnsi="宋体" w:eastAsia="宋体" w:cs="宋体"/>
          <w:szCs w:val="21"/>
        </w:rPr>
      </w:pPr>
      <w:r>
        <w:rPr>
          <w:rFonts w:hint="eastAsia" w:ascii="宋体" w:hAnsi="宋体" w:eastAsia="宋体" w:cs="宋体"/>
          <w:szCs w:val="21"/>
        </w:rPr>
        <w:t>联系电话：</w:t>
      </w:r>
      <w:r>
        <w:rPr>
          <w:rFonts w:hint="eastAsia" w:ascii="宋体" w:hAnsi="宋体" w:eastAsia="宋体" w:cs="宋体"/>
          <w:szCs w:val="21"/>
          <w:u w:val="single"/>
        </w:rPr>
        <w:t xml:space="preserve">            </w:t>
      </w:r>
      <w:r>
        <w:rPr>
          <w:rFonts w:hint="eastAsia" w:ascii="宋体" w:hAnsi="宋体" w:eastAsia="宋体" w:cs="宋体"/>
          <w:szCs w:val="21"/>
        </w:rPr>
        <w:t xml:space="preserve">  手机：</w:t>
      </w:r>
      <w:r>
        <w:rPr>
          <w:rFonts w:hint="eastAsia" w:ascii="宋体" w:hAnsi="宋体" w:eastAsia="宋体" w:cs="宋体"/>
          <w:szCs w:val="21"/>
          <w:u w:val="single"/>
        </w:rPr>
        <w:t xml:space="preserve">                   </w:t>
      </w:r>
    </w:p>
    <w:p w14:paraId="6D8EB7D7">
      <w:pPr>
        <w:spacing w:line="360" w:lineRule="auto"/>
        <w:ind w:left="617" w:leftChars="257"/>
        <w:rPr>
          <w:rFonts w:hint="eastAsia" w:ascii="宋体" w:hAnsi="宋体" w:eastAsia="宋体" w:cs="宋体"/>
          <w:szCs w:val="21"/>
          <w:u w:val="single"/>
        </w:rPr>
      </w:pPr>
      <w:r>
        <w:rPr>
          <w:rFonts w:hint="eastAsia" w:ascii="宋体" w:hAnsi="宋体" w:eastAsia="宋体" w:cs="宋体"/>
          <w:szCs w:val="21"/>
        </w:rPr>
        <w:t>身份证号码：</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single"/>
        </w:rPr>
        <w:t xml:space="preserve">       </w:t>
      </w:r>
    </w:p>
    <w:p w14:paraId="172FADB1">
      <w:pPr>
        <w:spacing w:line="360" w:lineRule="auto"/>
        <w:ind w:left="617" w:leftChars="257"/>
        <w:rPr>
          <w:rFonts w:hint="eastAsia" w:ascii="宋体" w:hAnsi="宋体" w:eastAsia="宋体" w:cs="宋体"/>
          <w:szCs w:val="21"/>
        </w:rPr>
      </w:pPr>
      <w:r>
        <w:rPr>
          <w:rFonts w:hint="eastAsia" w:ascii="宋体" w:hAnsi="宋体" w:eastAsia="宋体" w:cs="宋体"/>
          <w:szCs w:val="21"/>
        </w:rPr>
        <w:t>授权委托日期：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 xml:space="preserve">月 </w:t>
      </w:r>
      <w:r>
        <w:rPr>
          <w:rFonts w:hint="eastAsia" w:ascii="宋体" w:hAnsi="宋体" w:eastAsia="宋体" w:cs="宋体"/>
          <w:szCs w:val="21"/>
          <w:u w:val="single"/>
        </w:rPr>
        <w:t xml:space="preserve">      </w:t>
      </w:r>
      <w:r>
        <w:rPr>
          <w:rFonts w:hint="eastAsia" w:ascii="宋体" w:hAnsi="宋体" w:eastAsia="宋体" w:cs="宋体"/>
          <w:szCs w:val="21"/>
        </w:rPr>
        <w:t>日</w:t>
      </w:r>
    </w:p>
    <w:p w14:paraId="1B271913">
      <w:pPr>
        <w:spacing w:line="360" w:lineRule="auto"/>
        <w:rPr>
          <w:rFonts w:hint="eastAsia" w:ascii="宋体" w:hAnsi="宋体" w:eastAsia="宋体" w:cs="宋体"/>
          <w:b/>
          <w:sz w:val="32"/>
          <w:szCs w:val="32"/>
        </w:rPr>
      </w:pPr>
    </w:p>
    <w:p w14:paraId="45F9A31A">
      <w:pPr>
        <w:spacing w:line="360" w:lineRule="auto"/>
        <w:rPr>
          <w:rFonts w:hint="eastAsia" w:ascii="宋体" w:hAnsi="宋体" w:eastAsia="宋体" w:cs="宋体"/>
          <w:b/>
        </w:rPr>
      </w:pPr>
      <w:r>
        <w:rPr>
          <w:rFonts w:hint="eastAsia" w:ascii="宋体" w:hAnsi="宋体" w:eastAsia="宋体" w:cs="宋体"/>
          <w:b/>
        </w:rPr>
        <w:t>附：</w:t>
      </w:r>
      <w:r>
        <w:rPr>
          <w:rFonts w:hint="eastAsia" w:ascii="宋体" w:hAnsi="宋体" w:eastAsia="宋体" w:cs="宋体"/>
          <w:b/>
          <w:color w:val="FF0000"/>
        </w:rPr>
        <w:t>要求必须提供代理人身份证（境外人员无法提供身份证的，可提供护照）扫描件（正反两面）。</w:t>
      </w:r>
    </w:p>
    <w:p w14:paraId="14F2F4F0">
      <w:pPr>
        <w:pStyle w:val="6"/>
        <w:jc w:val="center"/>
        <w:rPr>
          <w:rFonts w:hint="eastAsia" w:cs="宋体"/>
        </w:rPr>
      </w:pPr>
      <w:r>
        <w:rPr>
          <w:rFonts w:hint="eastAsia" w:cs="宋体"/>
          <w:szCs w:val="21"/>
          <w:u w:val="single"/>
        </w:rPr>
        <w:br w:type="page"/>
      </w:r>
      <w:r>
        <w:rPr>
          <w:rFonts w:hint="eastAsia" w:cs="宋体"/>
        </w:rPr>
        <w:t>三、实质性条款响应情况表</w:t>
      </w:r>
    </w:p>
    <w:p w14:paraId="47AB6285">
      <w:pPr>
        <w:spacing w:line="360" w:lineRule="auto"/>
        <w:rPr>
          <w:rFonts w:hint="eastAsia" w:ascii="宋体" w:hAnsi="宋体" w:eastAsia="宋体" w:cs="宋体"/>
          <w:b/>
        </w:rPr>
      </w:pPr>
    </w:p>
    <w:tbl>
      <w:tblPr>
        <w:tblStyle w:val="26"/>
        <w:tblW w:w="8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6048"/>
        <w:gridCol w:w="1325"/>
      </w:tblGrid>
      <w:tr w14:paraId="0694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tcPr>
          <w:p w14:paraId="14EF5F29">
            <w:pPr>
              <w:widowControl w:val="0"/>
              <w:spacing w:line="360" w:lineRule="auto"/>
              <w:jc w:val="both"/>
              <w:rPr>
                <w:rFonts w:hint="eastAsia" w:ascii="宋体" w:hAnsi="宋体" w:eastAsia="宋体" w:cs="宋体"/>
                <w:b/>
                <w:bCs/>
              </w:rPr>
            </w:pPr>
            <w:r>
              <w:rPr>
                <w:rFonts w:hint="eastAsia" w:ascii="宋体" w:hAnsi="宋体" w:eastAsia="宋体" w:cs="宋体"/>
                <w:b/>
                <w:bCs/>
              </w:rPr>
              <w:t>序号</w:t>
            </w:r>
          </w:p>
        </w:tc>
        <w:tc>
          <w:tcPr>
            <w:tcW w:w="6048" w:type="dxa"/>
          </w:tcPr>
          <w:p w14:paraId="3E226F60">
            <w:pPr>
              <w:widowControl w:val="0"/>
              <w:spacing w:line="360" w:lineRule="auto"/>
              <w:jc w:val="center"/>
              <w:rPr>
                <w:rFonts w:hint="eastAsia" w:ascii="宋体" w:hAnsi="宋体" w:eastAsia="宋体" w:cs="宋体"/>
                <w:b/>
                <w:bCs/>
              </w:rPr>
            </w:pPr>
            <w:r>
              <w:rPr>
                <w:rFonts w:hint="eastAsia" w:ascii="宋体" w:hAnsi="宋体" w:eastAsia="宋体" w:cs="宋体"/>
                <w:b/>
                <w:bCs/>
              </w:rPr>
              <w:t>商务要求内容</w:t>
            </w:r>
          </w:p>
        </w:tc>
        <w:tc>
          <w:tcPr>
            <w:tcW w:w="1325" w:type="dxa"/>
          </w:tcPr>
          <w:p w14:paraId="4A179AA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投标人响应情况</w:t>
            </w:r>
          </w:p>
        </w:tc>
      </w:tr>
      <w:tr w14:paraId="326A8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181FE299">
            <w:pPr>
              <w:widowControl w:val="0"/>
              <w:spacing w:line="360" w:lineRule="auto"/>
              <w:jc w:val="center"/>
              <w:rPr>
                <w:rFonts w:hint="eastAsia" w:ascii="宋体" w:hAnsi="宋体" w:eastAsia="宋体" w:cs="宋体"/>
              </w:rPr>
            </w:pPr>
            <w:r>
              <w:rPr>
                <w:rFonts w:hint="eastAsia" w:ascii="宋体" w:hAnsi="宋体" w:eastAsia="宋体" w:cs="宋体"/>
              </w:rPr>
              <w:t>1</w:t>
            </w:r>
          </w:p>
        </w:tc>
        <w:tc>
          <w:tcPr>
            <w:tcW w:w="6048" w:type="dxa"/>
          </w:tcPr>
          <w:p w14:paraId="1A44BFC8">
            <w:pPr>
              <w:widowControl w:val="0"/>
              <w:numPr>
                <w:ilvl w:val="255"/>
                <w:numId w:val="0"/>
              </w:numPr>
              <w:spacing w:line="360" w:lineRule="auto"/>
              <w:jc w:val="both"/>
              <w:rPr>
                <w:rFonts w:hint="eastAsia" w:ascii="宋体" w:hAnsi="宋体" w:eastAsia="宋体" w:cs="宋体"/>
              </w:rPr>
            </w:pPr>
            <w:r>
              <w:rPr>
                <w:rFonts w:hint="eastAsia" w:ascii="宋体" w:hAnsi="宋体" w:eastAsia="宋体" w:cs="宋体"/>
              </w:rPr>
              <w:t>本项目预算金额：人民币 16,310,000.00元，投标报价超过预算金额的投标将被拒绝。</w:t>
            </w:r>
          </w:p>
        </w:tc>
        <w:tc>
          <w:tcPr>
            <w:tcW w:w="1325" w:type="dxa"/>
          </w:tcPr>
          <w:p w14:paraId="5A7E17F9">
            <w:pPr>
              <w:adjustRightInd w:val="0"/>
              <w:snapToGrid w:val="0"/>
              <w:spacing w:line="360" w:lineRule="auto"/>
              <w:jc w:val="center"/>
              <w:rPr>
                <w:rFonts w:hint="eastAsia" w:ascii="宋体" w:hAnsi="宋体" w:eastAsia="宋体" w:cs="宋体"/>
                <w:b/>
                <w:bCs/>
                <w:szCs w:val="21"/>
              </w:rPr>
            </w:pPr>
          </w:p>
        </w:tc>
      </w:tr>
      <w:tr w14:paraId="016BC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3CCD57AB">
            <w:pPr>
              <w:widowControl w:val="0"/>
              <w:spacing w:line="360" w:lineRule="auto"/>
              <w:jc w:val="center"/>
              <w:rPr>
                <w:rFonts w:hint="eastAsia" w:ascii="宋体" w:hAnsi="宋体" w:eastAsia="宋体" w:cs="宋体"/>
              </w:rPr>
            </w:pPr>
            <w:r>
              <w:rPr>
                <w:rFonts w:hint="eastAsia" w:ascii="宋体" w:hAnsi="宋体" w:eastAsia="宋体" w:cs="宋体"/>
              </w:rPr>
              <w:t>2</w:t>
            </w:r>
          </w:p>
        </w:tc>
        <w:tc>
          <w:tcPr>
            <w:tcW w:w="6048" w:type="dxa"/>
          </w:tcPr>
          <w:p w14:paraId="2CA90F31">
            <w:pPr>
              <w:widowControl w:val="0"/>
              <w:spacing w:line="360" w:lineRule="auto"/>
              <w:jc w:val="both"/>
              <w:rPr>
                <w:rFonts w:hint="eastAsia" w:ascii="宋体" w:hAnsi="宋体" w:eastAsia="宋体" w:cs="宋体"/>
              </w:rPr>
            </w:pPr>
            <w:r>
              <w:rPr>
                <w:rFonts w:hint="eastAsia" w:ascii="宋体" w:hAnsi="宋体" w:eastAsia="宋体" w:cs="宋体"/>
              </w:rPr>
              <w:t>本项目不接受联合体投标，不允许分包、转包。</w:t>
            </w:r>
          </w:p>
        </w:tc>
        <w:tc>
          <w:tcPr>
            <w:tcW w:w="1325" w:type="dxa"/>
          </w:tcPr>
          <w:p w14:paraId="6CB89CFF">
            <w:pPr>
              <w:adjustRightInd w:val="0"/>
              <w:snapToGrid w:val="0"/>
              <w:spacing w:line="360" w:lineRule="auto"/>
              <w:jc w:val="center"/>
              <w:rPr>
                <w:rFonts w:hint="eastAsia" w:ascii="宋体" w:hAnsi="宋体" w:eastAsia="宋体" w:cs="宋体"/>
                <w:b/>
                <w:bCs/>
                <w:szCs w:val="21"/>
              </w:rPr>
            </w:pPr>
          </w:p>
        </w:tc>
      </w:tr>
      <w:tr w14:paraId="51A7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1EA8B4CB">
            <w:pPr>
              <w:widowControl w:val="0"/>
              <w:spacing w:line="360" w:lineRule="auto"/>
              <w:jc w:val="center"/>
              <w:rPr>
                <w:rFonts w:hint="eastAsia" w:ascii="宋体" w:hAnsi="宋体" w:eastAsia="宋体" w:cs="宋体"/>
              </w:rPr>
            </w:pPr>
            <w:r>
              <w:rPr>
                <w:rFonts w:hint="eastAsia" w:ascii="宋体" w:hAnsi="宋体" w:eastAsia="宋体" w:cs="宋体"/>
              </w:rPr>
              <w:t>3</w:t>
            </w:r>
          </w:p>
        </w:tc>
        <w:tc>
          <w:tcPr>
            <w:tcW w:w="6048" w:type="dxa"/>
          </w:tcPr>
          <w:p w14:paraId="492C9E1F">
            <w:pPr>
              <w:widowControl w:val="0"/>
              <w:spacing w:line="360" w:lineRule="auto"/>
              <w:jc w:val="both"/>
              <w:rPr>
                <w:rFonts w:hint="eastAsia" w:ascii="宋体" w:hAnsi="宋体" w:eastAsia="宋体" w:cs="宋体"/>
              </w:rPr>
            </w:pPr>
            <w:r>
              <w:rPr>
                <w:rFonts w:hint="eastAsia" w:ascii="宋体" w:hAnsi="宋体" w:cs="宋体"/>
              </w:rPr>
              <w:t>服务期：自合同签订之日起1年。本项目服务期满后，招标人可根据中标人履约情况确定合同期限是否延长，但总合同期限最长不超过三十六个月。</w:t>
            </w:r>
          </w:p>
        </w:tc>
        <w:tc>
          <w:tcPr>
            <w:tcW w:w="1325" w:type="dxa"/>
          </w:tcPr>
          <w:p w14:paraId="4FBAF074">
            <w:pPr>
              <w:adjustRightInd w:val="0"/>
              <w:snapToGrid w:val="0"/>
              <w:spacing w:line="360" w:lineRule="auto"/>
              <w:jc w:val="center"/>
              <w:rPr>
                <w:rFonts w:hint="eastAsia" w:ascii="宋体" w:hAnsi="宋体" w:eastAsia="宋体" w:cs="宋体"/>
                <w:b/>
                <w:bCs/>
                <w:szCs w:val="21"/>
              </w:rPr>
            </w:pPr>
          </w:p>
        </w:tc>
      </w:tr>
      <w:tr w14:paraId="1B222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1DC9BAA9">
            <w:pPr>
              <w:widowControl w:val="0"/>
              <w:spacing w:line="360" w:lineRule="auto"/>
              <w:jc w:val="center"/>
              <w:rPr>
                <w:rFonts w:hint="eastAsia" w:ascii="宋体" w:hAnsi="宋体" w:eastAsia="宋体" w:cs="宋体"/>
              </w:rPr>
            </w:pPr>
            <w:r>
              <w:rPr>
                <w:rFonts w:hint="eastAsia" w:ascii="宋体" w:hAnsi="宋体" w:eastAsia="宋体" w:cs="宋体"/>
              </w:rPr>
              <w:t>4</w:t>
            </w:r>
          </w:p>
        </w:tc>
        <w:tc>
          <w:tcPr>
            <w:tcW w:w="6048" w:type="dxa"/>
          </w:tcPr>
          <w:p w14:paraId="5F0AB0C5">
            <w:pPr>
              <w:widowControl w:val="0"/>
              <w:spacing w:line="360" w:lineRule="auto"/>
              <w:jc w:val="both"/>
              <w:rPr>
                <w:rFonts w:hint="eastAsia" w:ascii="宋体" w:hAnsi="宋体" w:eastAsia="宋体" w:cs="宋体"/>
              </w:rPr>
            </w:pPr>
            <w:r>
              <w:rPr>
                <w:rFonts w:hint="eastAsia" w:ascii="宋体" w:hAnsi="宋体" w:eastAsia="宋体" w:cs="宋体"/>
              </w:rPr>
              <w:t>付款方式：招标人每月10日前向中标人支付本月服务费，每月绩效金按照《南方科技大学校区服务绩效考核管理办法》执行，招标人收到中标人提供合法发票后10个工作日内支付管理费。（因招标人使用财政性资金，支付进度以深圳市财政局国库集中支付中心办理进度为准，中标人对此表示理解并同意招标人不因此构成付款延迟。）</w:t>
            </w:r>
          </w:p>
        </w:tc>
        <w:tc>
          <w:tcPr>
            <w:tcW w:w="1325" w:type="dxa"/>
          </w:tcPr>
          <w:p w14:paraId="382C6B6E">
            <w:pPr>
              <w:adjustRightInd w:val="0"/>
              <w:snapToGrid w:val="0"/>
              <w:spacing w:line="360" w:lineRule="auto"/>
              <w:jc w:val="center"/>
              <w:rPr>
                <w:rFonts w:hint="eastAsia" w:ascii="宋体" w:hAnsi="宋体" w:eastAsia="宋体" w:cs="宋体"/>
                <w:b/>
                <w:bCs/>
                <w:szCs w:val="21"/>
              </w:rPr>
            </w:pPr>
          </w:p>
        </w:tc>
      </w:tr>
      <w:tr w14:paraId="1A040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08B560A4">
            <w:pPr>
              <w:widowControl w:val="0"/>
              <w:spacing w:line="360" w:lineRule="auto"/>
              <w:jc w:val="center"/>
              <w:rPr>
                <w:rFonts w:hint="eastAsia" w:ascii="宋体" w:hAnsi="宋体" w:eastAsia="宋体" w:cs="宋体"/>
              </w:rPr>
            </w:pPr>
            <w:r>
              <w:rPr>
                <w:rFonts w:hint="eastAsia" w:ascii="宋体" w:hAnsi="宋体" w:eastAsia="宋体" w:cs="宋体"/>
              </w:rPr>
              <w:t>5</w:t>
            </w:r>
          </w:p>
        </w:tc>
        <w:tc>
          <w:tcPr>
            <w:tcW w:w="6048" w:type="dxa"/>
          </w:tcPr>
          <w:p w14:paraId="31493478">
            <w:pPr>
              <w:widowControl w:val="0"/>
              <w:spacing w:line="360" w:lineRule="auto"/>
              <w:jc w:val="both"/>
              <w:rPr>
                <w:rFonts w:hint="eastAsia" w:asciiTheme="minorEastAsia" w:hAnsiTheme="minorEastAsia" w:eastAsiaTheme="minorEastAsia"/>
              </w:rPr>
            </w:pPr>
            <w:r>
              <w:rPr>
                <w:rFonts w:hint="eastAsia" w:asciiTheme="minorEastAsia" w:hAnsiTheme="minorEastAsia" w:eastAsiaTheme="minorEastAsia"/>
              </w:rPr>
              <w:t>质量考核验收标准及违约金：</w:t>
            </w:r>
          </w:p>
          <w:p w14:paraId="606E9E9B">
            <w:pPr>
              <w:widowControl w:val="0"/>
              <w:spacing w:line="360" w:lineRule="auto"/>
              <w:ind w:firstLine="480" w:firstLineChars="200"/>
              <w:jc w:val="both"/>
              <w:rPr>
                <w:rFonts w:hint="eastAsia" w:ascii="宋体" w:hAnsi="宋体" w:eastAsia="宋体" w:cs="宋体"/>
              </w:rPr>
            </w:pPr>
            <w:r>
              <w:rPr>
                <w:rFonts w:hint="eastAsia" w:ascii="宋体" w:hAnsi="宋体" w:eastAsia="宋体" w:cs="宋体"/>
              </w:rPr>
              <w:t>招标人按照南方科技大学校区服务绩效考核管理办法对中标单位开展季度考核。季度考核及年度考核：季度考核结果作为绩效金支付依据，预留每月服务费用的10%作为绩效金，季度末考核完成后随同下月服务费用一起支付。</w:t>
            </w:r>
          </w:p>
        </w:tc>
        <w:tc>
          <w:tcPr>
            <w:tcW w:w="1325" w:type="dxa"/>
          </w:tcPr>
          <w:p w14:paraId="0EC7974C">
            <w:pPr>
              <w:adjustRightInd w:val="0"/>
              <w:snapToGrid w:val="0"/>
              <w:spacing w:line="360" w:lineRule="auto"/>
              <w:jc w:val="center"/>
              <w:rPr>
                <w:rFonts w:hint="eastAsia" w:ascii="宋体" w:hAnsi="宋体" w:eastAsia="宋体" w:cs="宋体"/>
                <w:b/>
                <w:bCs/>
                <w:szCs w:val="21"/>
              </w:rPr>
            </w:pPr>
          </w:p>
        </w:tc>
      </w:tr>
      <w:tr w14:paraId="38F3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26FA6A2E">
            <w:pPr>
              <w:pStyle w:val="2"/>
              <w:widowControl w:val="0"/>
              <w:jc w:val="center"/>
              <w:rPr>
                <w:rFonts w:hint="eastAsia" w:ascii="宋体" w:hAnsi="宋体" w:eastAsia="宋体" w:cs="宋体"/>
                <w:b w:val="0"/>
                <w:bCs w:val="0"/>
                <w:kern w:val="2"/>
              </w:rPr>
            </w:pPr>
            <w:r>
              <w:rPr>
                <w:rFonts w:hint="eastAsia" w:ascii="宋体" w:hAnsi="宋体" w:eastAsia="宋体" w:cs="宋体"/>
                <w:b w:val="0"/>
                <w:bCs w:val="0"/>
                <w:kern w:val="2"/>
              </w:rPr>
              <w:t>6</w:t>
            </w:r>
          </w:p>
        </w:tc>
        <w:tc>
          <w:tcPr>
            <w:tcW w:w="6048" w:type="dxa"/>
          </w:tcPr>
          <w:p w14:paraId="6FC82D37">
            <w:pPr>
              <w:widowControl w:val="0"/>
              <w:spacing w:line="360" w:lineRule="auto"/>
              <w:rPr>
                <w:rFonts w:hint="eastAsia" w:ascii="宋体" w:hAnsi="宋体" w:eastAsia="宋体" w:cs="宋体"/>
              </w:rPr>
            </w:pPr>
            <w:r>
              <w:rPr>
                <w:rFonts w:hint="eastAsia" w:ascii="宋体" w:hAnsi="宋体" w:eastAsia="宋体" w:cs="宋体"/>
              </w:rPr>
              <w:t>保密要求：技术保障人员负有保密义务，应严格遵守各项保密规定，所有工作人员需签署遵守安全操作规程及信息保密协议，未经授权，不得接触与本学校业务相关的信息数据，不能擅自拷贝任何文件和数据并携带出工作区域，不得以任何理由损害招标方的名义和利益。</w:t>
            </w:r>
          </w:p>
        </w:tc>
        <w:tc>
          <w:tcPr>
            <w:tcW w:w="1325" w:type="dxa"/>
          </w:tcPr>
          <w:p w14:paraId="6D7B9442">
            <w:pPr>
              <w:adjustRightInd w:val="0"/>
              <w:snapToGrid w:val="0"/>
              <w:spacing w:line="360" w:lineRule="auto"/>
              <w:jc w:val="center"/>
              <w:rPr>
                <w:rFonts w:hint="eastAsia" w:ascii="宋体" w:hAnsi="宋体" w:eastAsia="宋体" w:cs="宋体"/>
                <w:b/>
                <w:bCs/>
                <w:szCs w:val="21"/>
              </w:rPr>
            </w:pPr>
          </w:p>
        </w:tc>
      </w:tr>
      <w:tr w14:paraId="6A2A6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7" w:type="dxa"/>
            <w:vAlign w:val="center"/>
          </w:tcPr>
          <w:p w14:paraId="74D2D21D">
            <w:pPr>
              <w:pStyle w:val="2"/>
              <w:widowControl w:val="0"/>
              <w:jc w:val="center"/>
              <w:rPr>
                <w:rFonts w:hint="eastAsia" w:ascii="宋体" w:hAnsi="宋体" w:eastAsia="宋体" w:cs="宋体"/>
                <w:b w:val="0"/>
                <w:bCs w:val="0"/>
                <w:kern w:val="2"/>
              </w:rPr>
            </w:pPr>
            <w:r>
              <w:rPr>
                <w:rFonts w:hint="eastAsia" w:ascii="宋体" w:hAnsi="宋体" w:eastAsia="宋体" w:cs="宋体"/>
                <w:b w:val="0"/>
                <w:bCs w:val="0"/>
                <w:kern w:val="2"/>
              </w:rPr>
              <w:t>7</w:t>
            </w:r>
          </w:p>
        </w:tc>
        <w:tc>
          <w:tcPr>
            <w:tcW w:w="6048" w:type="dxa"/>
          </w:tcPr>
          <w:p w14:paraId="56D38F7B">
            <w:pPr>
              <w:pStyle w:val="43"/>
              <w:widowControl w:val="0"/>
              <w:spacing w:line="360" w:lineRule="auto"/>
              <w:jc w:val="both"/>
              <w:rPr>
                <w:rFonts w:hint="eastAsia" w:ascii="宋体" w:hAnsi="宋体" w:eastAsia="宋体" w:cs="宋体"/>
                <w:sz w:val="24"/>
                <w:szCs w:val="24"/>
              </w:rPr>
            </w:pPr>
            <w:r>
              <w:rPr>
                <w:rFonts w:hint="eastAsia" w:ascii="宋体" w:hAnsi="宋体" w:eastAsia="宋体" w:cs="宋体"/>
                <w:sz w:val="24"/>
                <w:szCs w:val="24"/>
              </w:rPr>
              <w:t>履约保证金：本项目须提供中标合同总金额5%的履约保证金，供应商自主选择以支票、汇票、本票、保函等非现金方式提交履约担保；</w:t>
            </w:r>
          </w:p>
          <w:p w14:paraId="0D343FB9">
            <w:pPr>
              <w:widowControl w:val="0"/>
              <w:spacing w:line="360" w:lineRule="auto"/>
              <w:rPr>
                <w:rFonts w:hint="eastAsia" w:ascii="宋体" w:hAnsi="宋体" w:eastAsia="宋体" w:cs="宋体"/>
              </w:rPr>
            </w:pPr>
            <w:r>
              <w:rPr>
                <w:rFonts w:hint="eastAsia" w:ascii="宋体" w:hAnsi="宋体" w:eastAsia="宋体" w:cs="宋体"/>
              </w:rPr>
              <w:t>注：履约保证金在中标人履行完成合同约定权利义务事项在合同期满之日起 30 日内按原方式退还，不计利息。采购人逾期退还履约保证金的，向中标人每日偿付履约保证金的0.5‰的利息。因中标人原因而未能达到本项目验收标准或验收不通过的，履约保证金不予退还。</w:t>
            </w:r>
          </w:p>
        </w:tc>
        <w:tc>
          <w:tcPr>
            <w:tcW w:w="1325" w:type="dxa"/>
          </w:tcPr>
          <w:p w14:paraId="287D4E1C">
            <w:pPr>
              <w:adjustRightInd w:val="0"/>
              <w:snapToGrid w:val="0"/>
              <w:spacing w:line="360" w:lineRule="auto"/>
              <w:jc w:val="center"/>
              <w:rPr>
                <w:rFonts w:hint="eastAsia" w:ascii="宋体" w:hAnsi="宋体" w:eastAsia="宋体" w:cs="宋体"/>
                <w:b/>
                <w:bCs/>
                <w:szCs w:val="21"/>
              </w:rPr>
            </w:pPr>
          </w:p>
        </w:tc>
      </w:tr>
    </w:tbl>
    <w:p w14:paraId="76D6A092">
      <w:pPr>
        <w:spacing w:line="360" w:lineRule="auto"/>
        <w:rPr>
          <w:rFonts w:hint="eastAsia" w:ascii="宋体" w:hAnsi="宋体" w:eastAsia="宋体" w:cs="宋体"/>
          <w:b/>
          <w:sz w:val="21"/>
          <w:szCs w:val="21"/>
        </w:rPr>
      </w:pPr>
      <w:r>
        <w:rPr>
          <w:rFonts w:hint="eastAsia" w:ascii="宋体" w:hAnsi="宋体" w:eastAsia="宋体" w:cs="宋体"/>
          <w:b/>
          <w:sz w:val="21"/>
          <w:szCs w:val="21"/>
        </w:rPr>
        <w:t>注：1. 上表所列内容为不可负偏离条款。</w:t>
      </w:r>
    </w:p>
    <w:p w14:paraId="22DAEDC3">
      <w:pPr>
        <w:spacing w:line="360" w:lineRule="auto"/>
        <w:ind w:firstLine="422" w:firstLineChars="200"/>
        <w:rPr>
          <w:rFonts w:hint="eastAsia" w:ascii="宋体" w:hAnsi="宋体" w:eastAsia="宋体" w:cs="宋体"/>
          <w:b/>
          <w:color w:val="FF0000"/>
          <w:sz w:val="21"/>
          <w:szCs w:val="21"/>
        </w:rPr>
      </w:pPr>
      <w:r>
        <w:rPr>
          <w:rFonts w:hint="eastAsia" w:ascii="宋体" w:hAnsi="宋体" w:eastAsia="宋体" w:cs="宋体"/>
          <w:b/>
          <w:color w:val="FF0000"/>
          <w:sz w:val="21"/>
          <w:szCs w:val="21"/>
        </w:rPr>
        <w:t>2.“投标人响应情况”一栏应如实填写“响应”或“不响应”。</w:t>
      </w:r>
    </w:p>
    <w:p w14:paraId="43E01AE5">
      <w:pPr>
        <w:spacing w:line="360" w:lineRule="auto"/>
        <w:ind w:firstLine="422" w:firstLineChars="200"/>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sz w:val="21"/>
          <w:szCs w:val="21"/>
        </w:rPr>
        <w:t xml:space="preserve">3. </w:t>
      </w:r>
      <w:r>
        <w:rPr>
          <w:rFonts w:hint="eastAsia" w:ascii="宋体" w:hAnsi="宋体" w:eastAsia="宋体" w:cs="宋体"/>
          <w:b/>
          <w:color w:val="000000" w:themeColor="text1"/>
          <w:sz w:val="21"/>
          <w:szCs w:val="21"/>
          <w14:textFill>
            <w14:solidFill>
              <w14:schemeClr w14:val="tx1"/>
            </w14:solidFill>
          </w14:textFill>
        </w:rPr>
        <w:t>如“实质性响应条款响应情况表”与投标文件实质内容不符的，以投标文件实质内容为准。</w:t>
      </w:r>
    </w:p>
    <w:p w14:paraId="0774A0DB">
      <w:pPr>
        <w:rPr>
          <w:rFonts w:hint="eastAsia"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br w:type="page"/>
      </w:r>
    </w:p>
    <w:p w14:paraId="204BA6FC">
      <w:pPr>
        <w:pStyle w:val="6"/>
        <w:jc w:val="center"/>
        <w:rPr>
          <w:rFonts w:hint="eastAsia" w:cs="宋体"/>
        </w:rPr>
      </w:pPr>
      <w:r>
        <w:rPr>
          <w:rFonts w:hint="eastAsia" w:cs="宋体"/>
        </w:rPr>
        <w:t>四、项目详细报价</w:t>
      </w:r>
    </w:p>
    <w:p w14:paraId="1151D895">
      <w:pPr>
        <w:rPr>
          <w:rFonts w:hint="eastAsia" w:ascii="宋体" w:hAnsi="宋体" w:eastAsia="宋体" w:cs="宋体"/>
          <w:b/>
          <w:bCs/>
          <w:color w:val="FF0000"/>
        </w:rPr>
      </w:pPr>
    </w:p>
    <w:p w14:paraId="0BEE871A">
      <w:pPr>
        <w:jc w:val="center"/>
        <w:rPr>
          <w:rFonts w:hint="eastAsia" w:ascii="宋体" w:hAnsi="宋体" w:eastAsia="宋体" w:cs="宋体"/>
          <w:b/>
          <w:bCs/>
        </w:rPr>
      </w:pPr>
      <w:r>
        <w:rPr>
          <w:rFonts w:hint="eastAsia" w:ascii="宋体" w:hAnsi="宋体" w:eastAsia="宋体" w:cs="宋体"/>
          <w:b/>
          <w:bCs/>
        </w:rPr>
        <w:t>（一）开标一览表</w:t>
      </w:r>
    </w:p>
    <w:p w14:paraId="58C1A20C">
      <w:pPr>
        <w:spacing w:line="300" w:lineRule="auto"/>
        <w:rPr>
          <w:rFonts w:hint="eastAsia" w:ascii="宋体" w:hAnsi="宋体" w:eastAsia="宋体" w:cs="宋体"/>
          <w:szCs w:val="21"/>
        </w:rPr>
      </w:pPr>
      <w:r>
        <w:rPr>
          <w:rFonts w:hint="eastAsia" w:ascii="宋体" w:hAnsi="宋体" w:eastAsia="宋体" w:cs="宋体"/>
          <w:szCs w:val="21"/>
        </w:rPr>
        <w:t>项目名称：</w:t>
      </w:r>
      <w:r>
        <w:rPr>
          <w:rFonts w:hint="eastAsia" w:ascii="宋体" w:hAnsi="宋体" w:eastAsia="宋体" w:cs="宋体"/>
          <w:szCs w:val="21"/>
          <w:u w:val="single"/>
        </w:rPr>
        <w:t xml:space="preserve">          </w:t>
      </w:r>
      <w:r>
        <w:rPr>
          <w:rFonts w:hint="eastAsia" w:ascii="宋体" w:hAnsi="宋体" w:eastAsia="宋体" w:cs="宋体"/>
          <w:szCs w:val="21"/>
        </w:rPr>
        <w:t xml:space="preserve">       项目编号：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177289A4">
      <w:pPr>
        <w:spacing w:line="300" w:lineRule="auto"/>
        <w:jc w:val="right"/>
        <w:rPr>
          <w:rFonts w:hint="eastAsia" w:ascii="宋体" w:hAnsi="宋体" w:eastAsia="宋体" w:cs="宋体"/>
          <w:szCs w:val="21"/>
        </w:rPr>
      </w:pPr>
      <w:r>
        <w:rPr>
          <w:rFonts w:hint="eastAsia" w:ascii="宋体" w:hAnsi="宋体" w:eastAsia="宋体" w:cs="宋体"/>
          <w:szCs w:val="21"/>
        </w:rPr>
        <w:t>货币单位：元</w:t>
      </w:r>
    </w:p>
    <w:p w14:paraId="201725E8">
      <w:pPr>
        <w:rPr>
          <w:rFonts w:hint="eastAsia" w:ascii="宋体" w:hAnsi="宋体" w:eastAsia="宋体" w:cs="宋体"/>
          <w:b/>
          <w:bCs/>
          <w:color w:val="FF0000"/>
        </w:rPr>
      </w:pPr>
    </w:p>
    <w:tbl>
      <w:tblPr>
        <w:tblStyle w:val="26"/>
        <w:tblW w:w="82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19"/>
        <w:gridCol w:w="2480"/>
        <w:gridCol w:w="2972"/>
        <w:gridCol w:w="2050"/>
      </w:tblGrid>
      <w:tr w14:paraId="50E37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814" w:hRule="atLeast"/>
        </w:trPr>
        <w:tc>
          <w:tcPr>
            <w:tcW w:w="719" w:type="dxa"/>
            <w:vAlign w:val="center"/>
          </w:tcPr>
          <w:p w14:paraId="3315FA24">
            <w:pPr>
              <w:snapToGrid w:val="0"/>
              <w:jc w:val="center"/>
              <w:rPr>
                <w:rFonts w:hint="eastAsia" w:ascii="宋体" w:hAnsi="宋体" w:eastAsia="宋体" w:cs="宋体"/>
                <w:b/>
                <w:bCs/>
                <w:szCs w:val="21"/>
              </w:rPr>
            </w:pPr>
            <w:r>
              <w:rPr>
                <w:rFonts w:hint="eastAsia" w:ascii="宋体" w:hAnsi="宋体" w:eastAsia="宋体" w:cs="宋体"/>
                <w:b/>
                <w:bCs/>
                <w:szCs w:val="21"/>
              </w:rPr>
              <w:t>序号</w:t>
            </w:r>
          </w:p>
        </w:tc>
        <w:tc>
          <w:tcPr>
            <w:tcW w:w="2480" w:type="dxa"/>
            <w:vAlign w:val="center"/>
          </w:tcPr>
          <w:p w14:paraId="6D2A0E24">
            <w:pPr>
              <w:snapToGrid w:val="0"/>
              <w:jc w:val="center"/>
              <w:rPr>
                <w:rFonts w:hint="eastAsia" w:ascii="宋体" w:hAnsi="宋体" w:eastAsia="宋体" w:cs="宋体"/>
                <w:b/>
                <w:bCs/>
                <w:szCs w:val="21"/>
              </w:rPr>
            </w:pPr>
            <w:r>
              <w:rPr>
                <w:rFonts w:hint="eastAsia" w:ascii="宋体" w:hAnsi="宋体" w:eastAsia="宋体" w:cs="宋体"/>
                <w:b/>
                <w:bCs/>
                <w:szCs w:val="21"/>
              </w:rPr>
              <w:t>服务名称</w:t>
            </w:r>
          </w:p>
        </w:tc>
        <w:tc>
          <w:tcPr>
            <w:tcW w:w="2972" w:type="dxa"/>
            <w:vAlign w:val="center"/>
          </w:tcPr>
          <w:p w14:paraId="016D7DD5">
            <w:pPr>
              <w:snapToGrid w:val="0"/>
              <w:jc w:val="center"/>
              <w:rPr>
                <w:rFonts w:hint="eastAsia" w:ascii="宋体" w:hAnsi="宋体" w:eastAsia="宋体" w:cs="宋体"/>
                <w:b/>
                <w:bCs/>
                <w:szCs w:val="21"/>
              </w:rPr>
            </w:pPr>
            <w:r>
              <w:rPr>
                <w:rFonts w:hint="eastAsia" w:ascii="宋体" w:hAnsi="宋体" w:eastAsia="宋体" w:cs="宋体"/>
                <w:b/>
                <w:bCs/>
                <w:color w:val="000000"/>
              </w:rPr>
              <w:t>投标报价</w:t>
            </w:r>
            <w:r>
              <w:rPr>
                <w:rFonts w:hint="eastAsia" w:ascii="宋体" w:hAnsi="宋体" w:eastAsia="宋体" w:cs="宋体"/>
                <w:b/>
                <w:bCs/>
                <w:color w:val="000000"/>
                <w:lang w:bidi="ar"/>
              </w:rPr>
              <w:t>（元）</w:t>
            </w:r>
          </w:p>
        </w:tc>
        <w:tc>
          <w:tcPr>
            <w:tcW w:w="2050" w:type="dxa"/>
            <w:vAlign w:val="center"/>
          </w:tcPr>
          <w:p w14:paraId="60810681">
            <w:pPr>
              <w:snapToGrid w:val="0"/>
              <w:jc w:val="center"/>
              <w:rPr>
                <w:rFonts w:hint="eastAsia" w:ascii="宋体" w:hAnsi="宋体" w:eastAsia="宋体" w:cs="宋体"/>
                <w:b/>
                <w:bCs/>
                <w:szCs w:val="21"/>
              </w:rPr>
            </w:pPr>
            <w:r>
              <w:rPr>
                <w:rFonts w:hint="eastAsia" w:ascii="宋体" w:hAnsi="宋体" w:eastAsia="宋体" w:cs="宋体"/>
                <w:b/>
                <w:bCs/>
                <w:szCs w:val="21"/>
              </w:rPr>
              <w:t>备注</w:t>
            </w:r>
          </w:p>
        </w:tc>
      </w:tr>
      <w:tr w14:paraId="5640F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1156" w:hRule="atLeast"/>
        </w:trPr>
        <w:tc>
          <w:tcPr>
            <w:tcW w:w="719" w:type="dxa"/>
            <w:vAlign w:val="center"/>
          </w:tcPr>
          <w:p w14:paraId="40620041">
            <w:pPr>
              <w:numPr>
                <w:ilvl w:val="255"/>
                <w:numId w:val="0"/>
              </w:numPr>
              <w:snapToGrid w:val="0"/>
              <w:ind w:left="170"/>
              <w:jc w:val="center"/>
              <w:rPr>
                <w:rFonts w:hint="eastAsia" w:ascii="宋体" w:hAnsi="宋体" w:eastAsia="宋体" w:cs="宋体"/>
                <w:szCs w:val="21"/>
              </w:rPr>
            </w:pPr>
            <w:r>
              <w:rPr>
                <w:rFonts w:hint="eastAsia" w:ascii="宋体" w:hAnsi="宋体" w:eastAsia="宋体" w:cs="宋体"/>
                <w:szCs w:val="21"/>
              </w:rPr>
              <w:t>1</w:t>
            </w:r>
          </w:p>
        </w:tc>
        <w:tc>
          <w:tcPr>
            <w:tcW w:w="2480" w:type="dxa"/>
            <w:vAlign w:val="center"/>
          </w:tcPr>
          <w:p w14:paraId="0AB0A372">
            <w:pPr>
              <w:snapToGrid w:val="0"/>
              <w:jc w:val="center"/>
              <w:rPr>
                <w:rFonts w:hint="eastAsia" w:ascii="宋体" w:hAnsi="宋体" w:eastAsia="宋体" w:cs="宋体"/>
                <w:szCs w:val="21"/>
                <w:highlight w:val="yellow"/>
              </w:rPr>
            </w:pPr>
            <w:r>
              <w:rPr>
                <w:rFonts w:hint="eastAsia" w:ascii="宋体" w:hAnsi="宋体" w:eastAsia="宋体" w:cs="宋体"/>
                <w:snapToGrid w:val="0"/>
                <w:szCs w:val="21"/>
                <w:u w:val="single"/>
              </w:rPr>
              <w:t>南方科技大学教学及学生生活管理服务</w:t>
            </w:r>
          </w:p>
        </w:tc>
        <w:tc>
          <w:tcPr>
            <w:tcW w:w="2972" w:type="dxa"/>
            <w:vAlign w:val="center"/>
          </w:tcPr>
          <w:p w14:paraId="357AFA1F">
            <w:pPr>
              <w:snapToGrid w:val="0"/>
              <w:jc w:val="center"/>
              <w:rPr>
                <w:rFonts w:hint="eastAsia" w:ascii="宋体" w:hAnsi="宋体" w:eastAsia="宋体" w:cs="宋体"/>
                <w:szCs w:val="21"/>
              </w:rPr>
            </w:pPr>
            <w:r>
              <w:rPr>
                <w:rFonts w:hint="eastAsia" w:ascii="宋体" w:hAnsi="宋体" w:eastAsia="宋体" w:cs="宋体"/>
                <w:szCs w:val="21"/>
              </w:rPr>
              <w:t xml:space="preserve">     </w:t>
            </w:r>
          </w:p>
        </w:tc>
        <w:tc>
          <w:tcPr>
            <w:tcW w:w="2050" w:type="dxa"/>
            <w:vAlign w:val="center"/>
          </w:tcPr>
          <w:p w14:paraId="49DA4975">
            <w:pPr>
              <w:snapToGrid w:val="0"/>
              <w:jc w:val="center"/>
              <w:rPr>
                <w:rFonts w:hint="eastAsia" w:ascii="宋体" w:hAnsi="宋体" w:eastAsia="宋体" w:cs="宋体"/>
                <w:szCs w:val="21"/>
              </w:rPr>
            </w:pPr>
          </w:p>
        </w:tc>
      </w:tr>
    </w:tbl>
    <w:p w14:paraId="14763B71">
      <w:pPr>
        <w:rPr>
          <w:rFonts w:hint="eastAsia" w:ascii="宋体" w:hAnsi="宋体" w:eastAsia="宋体" w:cs="宋体"/>
          <w:b/>
          <w:szCs w:val="21"/>
        </w:rPr>
      </w:pPr>
    </w:p>
    <w:p w14:paraId="16D32C6E">
      <w:pPr>
        <w:rPr>
          <w:rFonts w:hint="eastAsia" w:ascii="宋体" w:hAnsi="宋体" w:eastAsia="宋体" w:cs="宋体"/>
          <w:b/>
          <w:sz w:val="21"/>
          <w:szCs w:val="21"/>
        </w:rPr>
      </w:pPr>
      <w:r>
        <w:rPr>
          <w:rFonts w:hint="eastAsia" w:ascii="宋体" w:hAnsi="宋体" w:eastAsia="宋体" w:cs="宋体"/>
          <w:b/>
          <w:sz w:val="21"/>
          <w:szCs w:val="21"/>
        </w:rPr>
        <w:t>注：</w:t>
      </w:r>
    </w:p>
    <w:p w14:paraId="3E5C2B4A">
      <w:pPr>
        <w:rPr>
          <w:rFonts w:hint="eastAsia" w:ascii="宋体" w:hAnsi="宋体" w:eastAsia="宋体" w:cs="宋体"/>
          <w:b/>
          <w:sz w:val="21"/>
          <w:szCs w:val="21"/>
        </w:rPr>
      </w:pPr>
      <w:r>
        <w:rPr>
          <w:rFonts w:hint="eastAsia" w:ascii="宋体" w:hAnsi="宋体" w:eastAsia="宋体" w:cs="宋体"/>
          <w:b/>
          <w:sz w:val="21"/>
          <w:szCs w:val="21"/>
        </w:rPr>
        <w:t>1.本项目预算金额为16,310,000.00元，投标报价超过预算金额将按照投标无效处理。</w:t>
      </w:r>
    </w:p>
    <w:p w14:paraId="70F5799E">
      <w:pPr>
        <w:pStyle w:val="2"/>
        <w:tabs>
          <w:tab w:val="left" w:pos="312"/>
        </w:tabs>
        <w:rPr>
          <w:rFonts w:hint="eastAsia" w:ascii="宋体" w:hAnsi="宋体" w:eastAsia="宋体" w:cs="宋体"/>
        </w:rPr>
      </w:pPr>
    </w:p>
    <w:p w14:paraId="14478408">
      <w:pPr>
        <w:spacing w:line="276" w:lineRule="auto"/>
        <w:rPr>
          <w:rFonts w:hint="eastAsia" w:ascii="宋体" w:hAnsi="宋体" w:eastAsia="宋体" w:cs="宋体"/>
          <w:sz w:val="21"/>
        </w:rPr>
      </w:pPr>
    </w:p>
    <w:p w14:paraId="16A0F476">
      <w:pPr>
        <w:pStyle w:val="2"/>
        <w:tabs>
          <w:tab w:val="left" w:pos="312"/>
        </w:tabs>
        <w:rPr>
          <w:rFonts w:hint="eastAsia" w:ascii="宋体" w:hAnsi="宋体" w:eastAsia="宋体" w:cs="宋体"/>
        </w:rPr>
      </w:pPr>
    </w:p>
    <w:p w14:paraId="37CF0645">
      <w:pPr>
        <w:rPr>
          <w:rFonts w:hint="eastAsia" w:ascii="宋体" w:hAnsi="宋体" w:eastAsia="宋体" w:cs="宋体"/>
        </w:rPr>
      </w:pPr>
      <w:r>
        <w:rPr>
          <w:rFonts w:hint="eastAsia" w:ascii="宋体" w:hAnsi="宋体" w:eastAsia="宋体" w:cs="宋体"/>
        </w:rPr>
        <w:br w:type="page"/>
      </w:r>
    </w:p>
    <w:p w14:paraId="1C304FC6">
      <w:pPr>
        <w:pStyle w:val="6"/>
        <w:jc w:val="center"/>
        <w:rPr>
          <w:rFonts w:hint="eastAsia" w:cs="宋体"/>
        </w:rPr>
      </w:pPr>
      <w:r>
        <w:rPr>
          <w:rFonts w:hint="eastAsia" w:cs="宋体"/>
        </w:rPr>
        <w:t>五、实施方案（格式自定）</w:t>
      </w:r>
    </w:p>
    <w:p w14:paraId="04711615">
      <w:pPr>
        <w:rPr>
          <w:rFonts w:hint="eastAsia" w:ascii="宋体" w:hAnsi="宋体" w:eastAsia="宋体" w:cs="宋体"/>
        </w:rPr>
      </w:pPr>
      <w:r>
        <w:rPr>
          <w:rFonts w:hint="eastAsia" w:ascii="宋体" w:hAnsi="宋体" w:eastAsia="宋体" w:cs="宋体"/>
        </w:rPr>
        <w:t>主要内容应包括(根据项目实际情况适当调整内容)：</w:t>
      </w:r>
    </w:p>
    <w:p w14:paraId="0168CB1F">
      <w:pPr>
        <w:rPr>
          <w:rFonts w:hint="eastAsia" w:ascii="宋体" w:hAnsi="宋体" w:eastAsia="宋体" w:cs="宋体"/>
        </w:rPr>
      </w:pPr>
    </w:p>
    <w:p w14:paraId="2C450D2D">
      <w:pPr>
        <w:rPr>
          <w:rFonts w:hint="eastAsia" w:ascii="宋体" w:hAnsi="宋体" w:eastAsia="宋体" w:cs="宋体"/>
        </w:rPr>
      </w:pPr>
      <w:r>
        <w:rPr>
          <w:rFonts w:hint="eastAsia" w:ascii="宋体" w:hAnsi="宋体" w:eastAsia="宋体" w:cs="宋体"/>
        </w:rPr>
        <w:t>（备注：投标人须按本招标文件评标信息中“实施方案”这一评审因素要求。）</w:t>
      </w:r>
    </w:p>
    <w:p w14:paraId="70173191">
      <w:pPr>
        <w:spacing w:line="360" w:lineRule="auto"/>
        <w:rPr>
          <w:rFonts w:hint="eastAsia" w:ascii="宋体" w:hAnsi="宋体" w:eastAsia="宋体" w:cs="宋体"/>
        </w:rPr>
      </w:pPr>
      <w:r>
        <w:rPr>
          <w:rFonts w:hint="eastAsia" w:ascii="宋体" w:hAnsi="宋体" w:eastAsia="宋体" w:cs="宋体"/>
        </w:rPr>
        <w:br w:type="page"/>
      </w:r>
    </w:p>
    <w:p w14:paraId="44D57230">
      <w:pPr>
        <w:pStyle w:val="6"/>
        <w:rPr>
          <w:rFonts w:hint="eastAsia" w:cs="宋体"/>
        </w:rPr>
      </w:pPr>
      <w:r>
        <w:rPr>
          <w:rFonts w:hint="eastAsia" w:cs="宋体"/>
        </w:rPr>
        <w:t>六、</w:t>
      </w:r>
      <w:r>
        <w:rPr>
          <w:rFonts w:hint="eastAsia" w:cs="宋体"/>
          <w:bCs w:val="0"/>
        </w:rPr>
        <w:t>项目重点难点分析、应对措施及相关的合理化建议</w:t>
      </w:r>
      <w:r>
        <w:rPr>
          <w:rFonts w:hint="eastAsia" w:cs="宋体"/>
        </w:rPr>
        <w:t>（格式自定）</w:t>
      </w:r>
    </w:p>
    <w:p w14:paraId="4B8A69E3">
      <w:pPr>
        <w:pStyle w:val="6"/>
        <w:rPr>
          <w:rFonts w:hint="eastAsia" w:cs="宋体"/>
        </w:rPr>
      </w:pPr>
      <w:r>
        <w:rPr>
          <w:rFonts w:hint="eastAsia" w:cs="宋体"/>
        </w:rPr>
        <w:t>七、质量（完成时间、安全、环保）保障措施及方案（格式自定）</w:t>
      </w:r>
    </w:p>
    <w:p w14:paraId="180D0A20">
      <w:pPr>
        <w:pStyle w:val="6"/>
        <w:rPr>
          <w:rFonts w:hint="eastAsia" w:cs="宋体"/>
        </w:rPr>
      </w:pPr>
      <w:r>
        <w:rPr>
          <w:rFonts w:hint="eastAsia" w:cs="宋体"/>
        </w:rPr>
        <w:t>八、项目完成（服务期满）后的服务承诺（格式自定）</w:t>
      </w:r>
    </w:p>
    <w:p w14:paraId="474A2D3D">
      <w:pPr>
        <w:pStyle w:val="6"/>
        <w:rPr>
          <w:rFonts w:hint="eastAsia" w:cs="宋体"/>
        </w:rPr>
      </w:pPr>
      <w:r>
        <w:rPr>
          <w:rFonts w:hint="eastAsia" w:cs="宋体"/>
        </w:rPr>
        <w:t>九、违约承诺（格式自定）</w:t>
      </w:r>
    </w:p>
    <w:p w14:paraId="03B65F2C">
      <w:pPr>
        <w:pStyle w:val="6"/>
        <w:rPr>
          <w:rFonts w:hint="eastAsia" w:cs="宋体"/>
        </w:rPr>
      </w:pPr>
      <w:r>
        <w:rPr>
          <w:rFonts w:hint="eastAsia" w:cs="宋体"/>
        </w:rPr>
        <w:t>十、</w:t>
      </w:r>
      <w:r>
        <w:rPr>
          <w:rFonts w:hint="eastAsia" w:cs="宋体"/>
          <w:szCs w:val="21"/>
        </w:rPr>
        <w:t>拟投入的服务资源（车辆、场地、工具、机器等）情况</w:t>
      </w:r>
      <w:r>
        <w:rPr>
          <w:rFonts w:hint="eastAsia" w:cs="宋体"/>
        </w:rPr>
        <w:t>（格式自定）</w:t>
      </w:r>
    </w:p>
    <w:p w14:paraId="066DBE94">
      <w:pPr>
        <w:rPr>
          <w:rFonts w:hint="eastAsia" w:ascii="宋体" w:hAnsi="宋体" w:eastAsia="宋体" w:cs="宋体"/>
          <w:b/>
          <w:bCs/>
          <w:sz w:val="28"/>
          <w:szCs w:val="32"/>
        </w:rPr>
      </w:pPr>
      <w:r>
        <w:rPr>
          <w:rFonts w:hint="eastAsia" w:ascii="宋体" w:hAnsi="宋体" w:eastAsia="宋体" w:cs="宋体"/>
          <w:b/>
          <w:bCs/>
          <w:sz w:val="28"/>
          <w:szCs w:val="32"/>
        </w:rPr>
        <w:t>十一、服务团队</w:t>
      </w:r>
    </w:p>
    <w:p w14:paraId="3B34F1F5">
      <w:pPr>
        <w:pStyle w:val="6"/>
        <w:rPr>
          <w:rFonts w:hint="eastAsia" w:cs="宋体"/>
        </w:rPr>
      </w:pPr>
      <w:r>
        <w:rPr>
          <w:rFonts w:hint="eastAsia" w:cs="宋体"/>
        </w:rPr>
        <w:t>十二、招标文件要求的其他内容及投标人认为需要加以说明的其他内容</w:t>
      </w:r>
    </w:p>
    <w:p w14:paraId="793314B3">
      <w:pPr>
        <w:pStyle w:val="22"/>
        <w:snapToGrid w:val="0"/>
        <w:spacing w:before="0" w:after="0"/>
        <w:outlineLvl w:val="2"/>
        <w:rPr>
          <w:rFonts w:hint="eastAsia" w:ascii="宋体" w:hAnsi="宋体" w:eastAsia="宋体" w:cs="宋体"/>
          <w:sz w:val="28"/>
        </w:rPr>
      </w:pPr>
      <w:r>
        <w:rPr>
          <w:rFonts w:hint="eastAsia" w:ascii="宋体" w:hAnsi="宋体" w:eastAsia="宋体" w:cs="宋体"/>
          <w:sz w:val="28"/>
        </w:rPr>
        <w:t>十三、供应商基本情况表</w:t>
      </w:r>
    </w:p>
    <w:p w14:paraId="37AE08EB">
      <w:pPr>
        <w:rPr>
          <w:rFonts w:hint="eastAsia" w:ascii="宋体" w:hAnsi="宋体" w:eastAsia="宋体" w:cs="宋体"/>
        </w:rPr>
      </w:pPr>
    </w:p>
    <w:p w14:paraId="2A98FCCF">
      <w:pPr>
        <w:jc w:val="center"/>
        <w:rPr>
          <w:rFonts w:hint="eastAsia" w:ascii="宋体" w:hAnsi="宋体" w:eastAsia="宋体" w:cs="宋体"/>
          <w:b/>
        </w:rPr>
      </w:pPr>
      <w:r>
        <w:rPr>
          <w:rFonts w:hint="eastAsia" w:ascii="宋体" w:hAnsi="宋体" w:eastAsia="宋体" w:cs="宋体"/>
          <w:b/>
        </w:rPr>
        <w:t>供应商基本情况表</w:t>
      </w:r>
    </w:p>
    <w:tbl>
      <w:tblPr>
        <w:tblStyle w:val="26"/>
        <w:tblW w:w="84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3"/>
        <w:gridCol w:w="759"/>
        <w:gridCol w:w="1186"/>
        <w:gridCol w:w="1290"/>
        <w:gridCol w:w="77"/>
        <w:gridCol w:w="1991"/>
        <w:gridCol w:w="1500"/>
        <w:gridCol w:w="977"/>
      </w:tblGrid>
      <w:tr w14:paraId="4FDED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vAlign w:val="center"/>
          </w:tcPr>
          <w:p w14:paraId="4A275815">
            <w:pPr>
              <w:jc w:val="center"/>
              <w:rPr>
                <w:rFonts w:hint="eastAsia" w:ascii="宋体" w:hAnsi="宋体" w:eastAsia="宋体" w:cs="宋体"/>
                <w:color w:val="FF0000"/>
              </w:rPr>
            </w:pPr>
            <w:r>
              <w:rPr>
                <w:rFonts w:hint="eastAsia" w:ascii="宋体" w:hAnsi="宋体" w:eastAsia="宋体" w:cs="宋体"/>
                <w:color w:val="FF0000"/>
              </w:rPr>
              <w:t>采购人</w:t>
            </w:r>
          </w:p>
        </w:tc>
        <w:tc>
          <w:tcPr>
            <w:tcW w:w="2553" w:type="dxa"/>
            <w:gridSpan w:val="3"/>
            <w:vAlign w:val="center"/>
          </w:tcPr>
          <w:p w14:paraId="626AF106">
            <w:pPr>
              <w:jc w:val="center"/>
              <w:rPr>
                <w:rFonts w:hint="eastAsia" w:ascii="宋体" w:hAnsi="宋体" w:eastAsia="宋体" w:cs="宋体"/>
                <w:color w:val="FF0000"/>
              </w:rPr>
            </w:pPr>
          </w:p>
        </w:tc>
        <w:tc>
          <w:tcPr>
            <w:tcW w:w="1991" w:type="dxa"/>
            <w:vAlign w:val="center"/>
          </w:tcPr>
          <w:p w14:paraId="3BAD5363">
            <w:pPr>
              <w:jc w:val="center"/>
              <w:rPr>
                <w:rFonts w:hint="eastAsia" w:ascii="宋体" w:hAnsi="宋体" w:eastAsia="宋体" w:cs="宋体"/>
                <w:color w:val="FF0000"/>
              </w:rPr>
            </w:pPr>
            <w:r>
              <w:rPr>
                <w:rFonts w:hint="eastAsia" w:ascii="宋体" w:hAnsi="宋体" w:eastAsia="宋体" w:cs="宋体"/>
                <w:color w:val="FF0000"/>
              </w:rPr>
              <w:t>项目名称</w:t>
            </w:r>
          </w:p>
        </w:tc>
        <w:tc>
          <w:tcPr>
            <w:tcW w:w="2477" w:type="dxa"/>
            <w:gridSpan w:val="2"/>
            <w:vAlign w:val="center"/>
          </w:tcPr>
          <w:p w14:paraId="0364DF80">
            <w:pPr>
              <w:jc w:val="center"/>
              <w:rPr>
                <w:rFonts w:hint="eastAsia" w:ascii="宋体" w:hAnsi="宋体" w:eastAsia="宋体" w:cs="宋体"/>
                <w:color w:val="FF0000"/>
              </w:rPr>
            </w:pPr>
          </w:p>
        </w:tc>
      </w:tr>
      <w:tr w14:paraId="75A0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vAlign w:val="center"/>
          </w:tcPr>
          <w:p w14:paraId="343145EF">
            <w:pPr>
              <w:snapToGrid w:val="0"/>
              <w:jc w:val="center"/>
              <w:rPr>
                <w:rFonts w:hint="eastAsia" w:ascii="宋体" w:hAnsi="宋体" w:eastAsia="宋体" w:cs="宋体"/>
                <w:color w:val="FF0000"/>
              </w:rPr>
            </w:pPr>
            <w:r>
              <w:rPr>
                <w:rFonts w:hint="eastAsia" w:ascii="宋体" w:hAnsi="宋体" w:eastAsia="宋体" w:cs="宋体"/>
                <w:color w:val="FF0000"/>
              </w:rPr>
              <w:t>投标（响应）供应商</w:t>
            </w:r>
          </w:p>
        </w:tc>
        <w:tc>
          <w:tcPr>
            <w:tcW w:w="2553" w:type="dxa"/>
            <w:gridSpan w:val="3"/>
            <w:vAlign w:val="center"/>
          </w:tcPr>
          <w:p w14:paraId="6154B525">
            <w:pPr>
              <w:jc w:val="center"/>
              <w:rPr>
                <w:rFonts w:hint="eastAsia" w:ascii="宋体" w:hAnsi="宋体" w:eastAsia="宋体" w:cs="宋体"/>
                <w:color w:val="FF0000"/>
              </w:rPr>
            </w:pPr>
          </w:p>
        </w:tc>
        <w:tc>
          <w:tcPr>
            <w:tcW w:w="1991" w:type="dxa"/>
            <w:vAlign w:val="center"/>
          </w:tcPr>
          <w:p w14:paraId="09B625AF">
            <w:pPr>
              <w:snapToGrid w:val="0"/>
              <w:jc w:val="center"/>
              <w:rPr>
                <w:rFonts w:hint="eastAsia" w:ascii="宋体" w:hAnsi="宋体" w:eastAsia="宋体" w:cs="宋体"/>
                <w:color w:val="FF0000"/>
              </w:rPr>
            </w:pPr>
            <w:r>
              <w:rPr>
                <w:rFonts w:hint="eastAsia" w:ascii="宋体" w:hAnsi="宋体" w:eastAsia="宋体" w:cs="宋体"/>
                <w:color w:val="FF0000"/>
              </w:rPr>
              <w:t>供应商统一社会信用代码</w:t>
            </w:r>
          </w:p>
        </w:tc>
        <w:tc>
          <w:tcPr>
            <w:tcW w:w="2477" w:type="dxa"/>
            <w:gridSpan w:val="2"/>
            <w:vAlign w:val="center"/>
          </w:tcPr>
          <w:p w14:paraId="2BD06ADD">
            <w:pPr>
              <w:jc w:val="center"/>
              <w:rPr>
                <w:rFonts w:hint="eastAsia" w:ascii="宋体" w:hAnsi="宋体" w:eastAsia="宋体" w:cs="宋体"/>
                <w:color w:val="FF0000"/>
              </w:rPr>
            </w:pPr>
          </w:p>
        </w:tc>
      </w:tr>
      <w:tr w14:paraId="4F69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3" w:type="dxa"/>
            <w:gridSpan w:val="8"/>
            <w:vAlign w:val="center"/>
          </w:tcPr>
          <w:p w14:paraId="2799B963">
            <w:pPr>
              <w:jc w:val="center"/>
              <w:rPr>
                <w:rFonts w:hint="eastAsia" w:ascii="宋体" w:hAnsi="宋体" w:eastAsia="宋体" w:cs="宋体"/>
                <w:color w:val="FF0000"/>
              </w:rPr>
            </w:pPr>
            <w:r>
              <w:rPr>
                <w:rFonts w:hint="eastAsia" w:ascii="宋体" w:hAnsi="宋体" w:eastAsia="宋体" w:cs="宋体"/>
                <w:b/>
                <w:bCs/>
                <w:color w:val="FF0000"/>
              </w:rPr>
              <w:t>投标（响应）供应商相关人员情况</w:t>
            </w:r>
          </w:p>
        </w:tc>
      </w:tr>
      <w:tr w14:paraId="4671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bottom w:val="single" w:color="auto" w:sz="4" w:space="0"/>
            </w:tcBorders>
            <w:vAlign w:val="center"/>
          </w:tcPr>
          <w:p w14:paraId="28D82E69">
            <w:pPr>
              <w:snapToGrid w:val="0"/>
              <w:jc w:val="center"/>
              <w:rPr>
                <w:rFonts w:hint="eastAsia" w:ascii="宋体" w:hAnsi="宋体" w:eastAsia="宋体" w:cs="宋体"/>
                <w:color w:val="FF0000"/>
              </w:rPr>
            </w:pPr>
            <w:r>
              <w:rPr>
                <w:rFonts w:hint="eastAsia" w:ascii="宋体" w:hAnsi="宋体" w:eastAsia="宋体" w:cs="宋体"/>
                <w:color w:val="FF0000"/>
              </w:rPr>
              <w:t>序号</w:t>
            </w:r>
          </w:p>
        </w:tc>
        <w:tc>
          <w:tcPr>
            <w:tcW w:w="1945" w:type="dxa"/>
            <w:gridSpan w:val="2"/>
            <w:tcBorders>
              <w:bottom w:val="single" w:color="auto" w:sz="4" w:space="0"/>
            </w:tcBorders>
            <w:vAlign w:val="center"/>
          </w:tcPr>
          <w:p w14:paraId="0879440B">
            <w:pPr>
              <w:jc w:val="center"/>
              <w:rPr>
                <w:rFonts w:hint="eastAsia" w:ascii="宋体" w:hAnsi="宋体" w:eastAsia="宋体" w:cs="宋体"/>
                <w:color w:val="FF0000"/>
              </w:rPr>
            </w:pPr>
            <w:r>
              <w:rPr>
                <w:rFonts w:hint="eastAsia" w:ascii="宋体" w:hAnsi="宋体" w:eastAsia="宋体" w:cs="宋体"/>
                <w:color w:val="FF0000"/>
              </w:rPr>
              <w:t>职务</w:t>
            </w:r>
          </w:p>
        </w:tc>
        <w:tc>
          <w:tcPr>
            <w:tcW w:w="1367" w:type="dxa"/>
            <w:gridSpan w:val="2"/>
            <w:tcBorders>
              <w:bottom w:val="single" w:color="auto" w:sz="4" w:space="0"/>
            </w:tcBorders>
            <w:vAlign w:val="center"/>
          </w:tcPr>
          <w:p w14:paraId="2F3421EE">
            <w:pPr>
              <w:jc w:val="center"/>
              <w:rPr>
                <w:rFonts w:hint="eastAsia" w:ascii="宋体" w:hAnsi="宋体" w:eastAsia="宋体" w:cs="宋体"/>
                <w:color w:val="FF0000"/>
              </w:rPr>
            </w:pPr>
            <w:r>
              <w:rPr>
                <w:rFonts w:hint="eastAsia" w:ascii="宋体" w:hAnsi="宋体" w:eastAsia="宋体" w:cs="宋体"/>
                <w:color w:val="FF0000"/>
              </w:rPr>
              <w:t>姓名</w:t>
            </w:r>
          </w:p>
        </w:tc>
        <w:tc>
          <w:tcPr>
            <w:tcW w:w="1991" w:type="dxa"/>
            <w:tcBorders>
              <w:bottom w:val="single" w:color="auto" w:sz="4" w:space="0"/>
            </w:tcBorders>
            <w:vAlign w:val="center"/>
          </w:tcPr>
          <w:p w14:paraId="7E066952">
            <w:pPr>
              <w:jc w:val="center"/>
              <w:rPr>
                <w:rFonts w:hint="eastAsia" w:ascii="宋体" w:hAnsi="宋体" w:eastAsia="宋体" w:cs="宋体"/>
                <w:color w:val="FF0000"/>
              </w:rPr>
            </w:pPr>
            <w:r>
              <w:rPr>
                <w:rFonts w:hint="eastAsia" w:ascii="宋体" w:hAnsi="宋体" w:eastAsia="宋体" w:cs="宋体"/>
                <w:color w:val="FF0000"/>
              </w:rPr>
              <w:t>身份证号码</w:t>
            </w:r>
          </w:p>
        </w:tc>
        <w:tc>
          <w:tcPr>
            <w:tcW w:w="1500" w:type="dxa"/>
            <w:tcBorders>
              <w:bottom w:val="single" w:color="auto" w:sz="4" w:space="0"/>
            </w:tcBorders>
            <w:vAlign w:val="center"/>
          </w:tcPr>
          <w:p w14:paraId="57036207">
            <w:pPr>
              <w:snapToGrid w:val="0"/>
              <w:jc w:val="center"/>
              <w:rPr>
                <w:rFonts w:hint="eastAsia" w:ascii="宋体" w:hAnsi="宋体" w:eastAsia="宋体" w:cs="宋体"/>
                <w:color w:val="FF0000"/>
              </w:rPr>
            </w:pPr>
            <w:r>
              <w:rPr>
                <w:rFonts w:hint="eastAsia" w:ascii="宋体" w:hAnsi="宋体" w:eastAsia="宋体" w:cs="宋体"/>
                <w:color w:val="FF0000"/>
              </w:rPr>
              <w:t>劳动合同</w:t>
            </w:r>
          </w:p>
          <w:p w14:paraId="37D48E78">
            <w:pPr>
              <w:snapToGrid w:val="0"/>
              <w:jc w:val="center"/>
              <w:rPr>
                <w:rFonts w:hint="eastAsia" w:ascii="宋体" w:hAnsi="宋体" w:eastAsia="宋体" w:cs="宋体"/>
                <w:color w:val="FF0000"/>
              </w:rPr>
            </w:pPr>
            <w:r>
              <w:rPr>
                <w:rFonts w:hint="eastAsia" w:ascii="宋体" w:hAnsi="宋体" w:eastAsia="宋体" w:cs="宋体"/>
                <w:color w:val="FF0000"/>
              </w:rPr>
              <w:t>关系单位</w:t>
            </w:r>
          </w:p>
        </w:tc>
        <w:tc>
          <w:tcPr>
            <w:tcW w:w="977" w:type="dxa"/>
            <w:tcBorders>
              <w:bottom w:val="single" w:color="auto" w:sz="4" w:space="0"/>
            </w:tcBorders>
            <w:vAlign w:val="center"/>
          </w:tcPr>
          <w:p w14:paraId="706A68F5">
            <w:pPr>
              <w:snapToGrid w:val="0"/>
              <w:jc w:val="center"/>
              <w:rPr>
                <w:rFonts w:hint="eastAsia" w:ascii="宋体" w:hAnsi="宋体" w:eastAsia="宋体" w:cs="宋体"/>
                <w:color w:val="FF0000"/>
              </w:rPr>
            </w:pPr>
            <w:r>
              <w:rPr>
                <w:rFonts w:hint="eastAsia" w:ascii="宋体" w:hAnsi="宋体" w:eastAsia="宋体" w:cs="宋体"/>
                <w:color w:val="FF0000"/>
              </w:rPr>
              <w:t>缴纳社会</w:t>
            </w:r>
          </w:p>
          <w:p w14:paraId="3D497744">
            <w:pPr>
              <w:snapToGrid w:val="0"/>
              <w:jc w:val="center"/>
              <w:rPr>
                <w:rFonts w:hint="eastAsia" w:ascii="宋体" w:hAnsi="宋体" w:eastAsia="宋体" w:cs="宋体"/>
                <w:color w:val="FF0000"/>
              </w:rPr>
            </w:pPr>
            <w:r>
              <w:rPr>
                <w:rFonts w:hint="eastAsia" w:ascii="宋体" w:hAnsi="宋体" w:eastAsia="宋体" w:cs="宋体"/>
                <w:color w:val="FF0000"/>
              </w:rPr>
              <w:t>保险单位</w:t>
            </w:r>
          </w:p>
        </w:tc>
      </w:tr>
      <w:tr w14:paraId="38CBA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top w:val="single" w:color="auto" w:sz="4" w:space="0"/>
              <w:left w:val="single" w:color="auto" w:sz="4" w:space="0"/>
              <w:bottom w:val="single" w:color="auto" w:sz="4" w:space="0"/>
              <w:right w:val="single" w:color="auto" w:sz="4" w:space="0"/>
            </w:tcBorders>
            <w:vAlign w:val="center"/>
          </w:tcPr>
          <w:p w14:paraId="7FD995F2">
            <w:pPr>
              <w:jc w:val="center"/>
              <w:rPr>
                <w:rFonts w:hint="eastAsia" w:ascii="宋体" w:hAnsi="宋体" w:eastAsia="宋体" w:cs="宋体"/>
                <w:color w:val="FF0000"/>
              </w:rPr>
            </w:pPr>
            <w:r>
              <w:rPr>
                <w:rFonts w:hint="eastAsia" w:ascii="宋体" w:hAnsi="宋体" w:eastAsia="宋体" w:cs="宋体"/>
                <w:color w:val="FF0000"/>
              </w:rPr>
              <w:t>1</w:t>
            </w:r>
          </w:p>
        </w:tc>
        <w:tc>
          <w:tcPr>
            <w:tcW w:w="1945" w:type="dxa"/>
            <w:gridSpan w:val="2"/>
            <w:tcBorders>
              <w:top w:val="single" w:color="auto" w:sz="4" w:space="0"/>
              <w:left w:val="single" w:color="auto" w:sz="4" w:space="0"/>
              <w:bottom w:val="single" w:color="auto" w:sz="4" w:space="0"/>
              <w:right w:val="single" w:color="auto" w:sz="4" w:space="0"/>
            </w:tcBorders>
            <w:vAlign w:val="center"/>
          </w:tcPr>
          <w:p w14:paraId="595A5408">
            <w:pPr>
              <w:jc w:val="center"/>
              <w:rPr>
                <w:rFonts w:hint="eastAsia" w:ascii="宋体" w:hAnsi="宋体" w:eastAsia="宋体" w:cs="宋体"/>
                <w:color w:val="FF0000"/>
              </w:rPr>
            </w:pPr>
            <w:r>
              <w:rPr>
                <w:rFonts w:hint="eastAsia" w:ascii="宋体" w:hAnsi="宋体" w:eastAsia="宋体" w:cs="宋体"/>
                <w:color w:val="FF0000"/>
              </w:rPr>
              <w:t>法定代表人/单位负责人/主要经营负责人</w:t>
            </w:r>
          </w:p>
        </w:tc>
        <w:tc>
          <w:tcPr>
            <w:tcW w:w="1367" w:type="dxa"/>
            <w:gridSpan w:val="2"/>
            <w:tcBorders>
              <w:top w:val="single" w:color="auto" w:sz="4" w:space="0"/>
              <w:left w:val="single" w:color="auto" w:sz="4" w:space="0"/>
              <w:bottom w:val="single" w:color="auto" w:sz="4" w:space="0"/>
              <w:right w:val="single" w:color="auto" w:sz="4" w:space="0"/>
            </w:tcBorders>
            <w:vAlign w:val="center"/>
          </w:tcPr>
          <w:p w14:paraId="79569F21">
            <w:pPr>
              <w:jc w:val="center"/>
              <w:rPr>
                <w:rFonts w:hint="eastAsia" w:ascii="宋体" w:hAnsi="宋体" w:eastAsia="宋体" w:cs="宋体"/>
                <w:color w:val="FF0000"/>
              </w:rPr>
            </w:pPr>
          </w:p>
        </w:tc>
        <w:tc>
          <w:tcPr>
            <w:tcW w:w="1991" w:type="dxa"/>
            <w:tcBorders>
              <w:top w:val="single" w:color="auto" w:sz="4" w:space="0"/>
              <w:left w:val="single" w:color="auto" w:sz="4" w:space="0"/>
              <w:bottom w:val="single" w:color="auto" w:sz="4" w:space="0"/>
              <w:right w:val="single" w:color="auto" w:sz="4" w:space="0"/>
            </w:tcBorders>
            <w:vAlign w:val="center"/>
          </w:tcPr>
          <w:p w14:paraId="0B23A83B">
            <w:pPr>
              <w:jc w:val="center"/>
              <w:rPr>
                <w:rFonts w:hint="eastAsia" w:ascii="宋体" w:hAnsi="宋体" w:eastAsia="宋体" w:cs="宋体"/>
                <w:color w:val="FF0000"/>
              </w:rPr>
            </w:pPr>
          </w:p>
        </w:tc>
        <w:tc>
          <w:tcPr>
            <w:tcW w:w="1500" w:type="dxa"/>
            <w:tcBorders>
              <w:top w:val="single" w:color="auto" w:sz="4" w:space="0"/>
              <w:left w:val="single" w:color="auto" w:sz="4" w:space="0"/>
              <w:bottom w:val="single" w:color="auto" w:sz="4" w:space="0"/>
              <w:right w:val="single" w:color="auto" w:sz="4" w:space="0"/>
            </w:tcBorders>
            <w:vAlign w:val="center"/>
          </w:tcPr>
          <w:p w14:paraId="71F9A0FE">
            <w:pPr>
              <w:jc w:val="center"/>
              <w:rPr>
                <w:rFonts w:hint="eastAsia" w:ascii="宋体" w:hAnsi="宋体" w:eastAsia="宋体" w:cs="宋体"/>
                <w:color w:val="FF0000"/>
              </w:rPr>
            </w:pPr>
          </w:p>
        </w:tc>
        <w:tc>
          <w:tcPr>
            <w:tcW w:w="977" w:type="dxa"/>
            <w:tcBorders>
              <w:top w:val="single" w:color="auto" w:sz="4" w:space="0"/>
              <w:left w:val="single" w:color="auto" w:sz="4" w:space="0"/>
              <w:bottom w:val="single" w:color="auto" w:sz="4" w:space="0"/>
              <w:right w:val="single" w:color="auto" w:sz="4" w:space="0"/>
            </w:tcBorders>
            <w:vAlign w:val="center"/>
          </w:tcPr>
          <w:p w14:paraId="10A22E02">
            <w:pPr>
              <w:jc w:val="center"/>
              <w:rPr>
                <w:rFonts w:hint="eastAsia" w:ascii="宋体" w:hAnsi="宋体" w:eastAsia="宋体" w:cs="宋体"/>
                <w:color w:val="FF0000"/>
              </w:rPr>
            </w:pPr>
          </w:p>
        </w:tc>
      </w:tr>
      <w:tr w14:paraId="596F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top w:val="single" w:color="auto" w:sz="4" w:space="0"/>
              <w:left w:val="single" w:color="auto" w:sz="4" w:space="0"/>
              <w:bottom w:val="single" w:color="auto" w:sz="4" w:space="0"/>
              <w:right w:val="single" w:color="auto" w:sz="4" w:space="0"/>
            </w:tcBorders>
            <w:vAlign w:val="center"/>
          </w:tcPr>
          <w:p w14:paraId="78EEC802">
            <w:pPr>
              <w:jc w:val="center"/>
              <w:rPr>
                <w:rFonts w:hint="eastAsia" w:ascii="宋体" w:hAnsi="宋体" w:eastAsia="宋体" w:cs="宋体"/>
                <w:color w:val="FF0000"/>
              </w:rPr>
            </w:pPr>
            <w:r>
              <w:rPr>
                <w:rFonts w:hint="eastAsia" w:ascii="宋体" w:hAnsi="宋体" w:eastAsia="宋体" w:cs="宋体"/>
                <w:color w:val="FF0000"/>
              </w:rPr>
              <w:t>2</w:t>
            </w:r>
          </w:p>
        </w:tc>
        <w:tc>
          <w:tcPr>
            <w:tcW w:w="1945" w:type="dxa"/>
            <w:gridSpan w:val="2"/>
            <w:tcBorders>
              <w:top w:val="single" w:color="auto" w:sz="4" w:space="0"/>
              <w:left w:val="single" w:color="auto" w:sz="4" w:space="0"/>
              <w:bottom w:val="single" w:color="auto" w:sz="4" w:space="0"/>
              <w:right w:val="single" w:color="auto" w:sz="4" w:space="0"/>
            </w:tcBorders>
            <w:vAlign w:val="center"/>
          </w:tcPr>
          <w:p w14:paraId="7B7BFB12">
            <w:pPr>
              <w:jc w:val="center"/>
              <w:rPr>
                <w:rFonts w:hint="eastAsia" w:ascii="宋体" w:hAnsi="宋体" w:eastAsia="宋体" w:cs="宋体"/>
                <w:color w:val="FF0000"/>
              </w:rPr>
            </w:pPr>
            <w:r>
              <w:rPr>
                <w:rFonts w:hint="eastAsia" w:ascii="宋体" w:hAnsi="宋体" w:eastAsia="宋体" w:cs="宋体"/>
                <w:color w:val="FF0000"/>
              </w:rPr>
              <w:t>项目投标授权代表人</w:t>
            </w:r>
          </w:p>
        </w:tc>
        <w:tc>
          <w:tcPr>
            <w:tcW w:w="1367" w:type="dxa"/>
            <w:gridSpan w:val="2"/>
            <w:tcBorders>
              <w:top w:val="single" w:color="auto" w:sz="4" w:space="0"/>
              <w:left w:val="single" w:color="auto" w:sz="4" w:space="0"/>
              <w:bottom w:val="single" w:color="auto" w:sz="4" w:space="0"/>
              <w:right w:val="single" w:color="auto" w:sz="4" w:space="0"/>
            </w:tcBorders>
            <w:vAlign w:val="center"/>
          </w:tcPr>
          <w:p w14:paraId="5E5BD59A">
            <w:pPr>
              <w:jc w:val="center"/>
              <w:rPr>
                <w:rFonts w:hint="eastAsia" w:ascii="宋体" w:hAnsi="宋体" w:eastAsia="宋体" w:cs="宋体"/>
                <w:color w:val="FF0000"/>
              </w:rPr>
            </w:pPr>
          </w:p>
        </w:tc>
        <w:tc>
          <w:tcPr>
            <w:tcW w:w="1991" w:type="dxa"/>
            <w:tcBorders>
              <w:top w:val="single" w:color="auto" w:sz="4" w:space="0"/>
              <w:left w:val="single" w:color="auto" w:sz="4" w:space="0"/>
              <w:bottom w:val="single" w:color="auto" w:sz="4" w:space="0"/>
              <w:right w:val="single" w:color="auto" w:sz="4" w:space="0"/>
            </w:tcBorders>
            <w:vAlign w:val="center"/>
          </w:tcPr>
          <w:p w14:paraId="041E5CBA">
            <w:pPr>
              <w:jc w:val="center"/>
              <w:rPr>
                <w:rFonts w:hint="eastAsia" w:ascii="宋体" w:hAnsi="宋体" w:eastAsia="宋体" w:cs="宋体"/>
                <w:color w:val="FF0000"/>
              </w:rPr>
            </w:pPr>
          </w:p>
        </w:tc>
        <w:tc>
          <w:tcPr>
            <w:tcW w:w="1500" w:type="dxa"/>
            <w:tcBorders>
              <w:top w:val="single" w:color="auto" w:sz="4" w:space="0"/>
              <w:left w:val="single" w:color="auto" w:sz="4" w:space="0"/>
              <w:bottom w:val="single" w:color="auto" w:sz="4" w:space="0"/>
              <w:right w:val="single" w:color="auto" w:sz="4" w:space="0"/>
            </w:tcBorders>
            <w:vAlign w:val="center"/>
          </w:tcPr>
          <w:p w14:paraId="1BD7EEA4">
            <w:pPr>
              <w:jc w:val="center"/>
              <w:rPr>
                <w:rFonts w:hint="eastAsia" w:ascii="宋体" w:hAnsi="宋体" w:eastAsia="宋体" w:cs="宋体"/>
                <w:color w:val="FF0000"/>
              </w:rPr>
            </w:pPr>
          </w:p>
        </w:tc>
        <w:tc>
          <w:tcPr>
            <w:tcW w:w="977" w:type="dxa"/>
            <w:tcBorders>
              <w:top w:val="single" w:color="auto" w:sz="4" w:space="0"/>
              <w:left w:val="single" w:color="auto" w:sz="4" w:space="0"/>
              <w:bottom w:val="single" w:color="auto" w:sz="4" w:space="0"/>
              <w:right w:val="single" w:color="auto" w:sz="4" w:space="0"/>
            </w:tcBorders>
            <w:vAlign w:val="center"/>
          </w:tcPr>
          <w:p w14:paraId="45EABD5B">
            <w:pPr>
              <w:jc w:val="center"/>
              <w:rPr>
                <w:rFonts w:hint="eastAsia" w:ascii="宋体" w:hAnsi="宋体" w:eastAsia="宋体" w:cs="宋体"/>
                <w:color w:val="FF0000"/>
              </w:rPr>
            </w:pPr>
          </w:p>
        </w:tc>
      </w:tr>
      <w:tr w14:paraId="4381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top w:val="single" w:color="auto" w:sz="4" w:space="0"/>
            </w:tcBorders>
            <w:vAlign w:val="center"/>
          </w:tcPr>
          <w:p w14:paraId="1541FA6E">
            <w:pPr>
              <w:jc w:val="center"/>
              <w:rPr>
                <w:rFonts w:hint="eastAsia" w:ascii="宋体" w:hAnsi="宋体" w:eastAsia="宋体" w:cs="宋体"/>
                <w:color w:val="FF0000"/>
              </w:rPr>
            </w:pPr>
            <w:r>
              <w:rPr>
                <w:rFonts w:hint="eastAsia" w:ascii="宋体" w:hAnsi="宋体" w:eastAsia="宋体" w:cs="宋体"/>
                <w:color w:val="FF0000"/>
                <w:lang w:bidi="ar"/>
              </w:rPr>
              <w:t>3</w:t>
            </w:r>
          </w:p>
        </w:tc>
        <w:tc>
          <w:tcPr>
            <w:tcW w:w="1945" w:type="dxa"/>
            <w:gridSpan w:val="2"/>
            <w:tcBorders>
              <w:top w:val="single" w:color="auto" w:sz="4" w:space="0"/>
            </w:tcBorders>
            <w:vAlign w:val="center"/>
          </w:tcPr>
          <w:p w14:paraId="1F311DB0">
            <w:pPr>
              <w:jc w:val="center"/>
              <w:rPr>
                <w:rFonts w:hint="eastAsia" w:ascii="宋体" w:hAnsi="宋体" w:eastAsia="宋体" w:cs="宋体"/>
                <w:color w:val="FF0000"/>
              </w:rPr>
            </w:pPr>
            <w:r>
              <w:rPr>
                <w:rFonts w:hint="eastAsia" w:ascii="宋体" w:hAnsi="宋体" w:eastAsia="宋体" w:cs="宋体"/>
                <w:color w:val="FF0000"/>
              </w:rPr>
              <w:t>项目负责人</w:t>
            </w:r>
          </w:p>
        </w:tc>
        <w:tc>
          <w:tcPr>
            <w:tcW w:w="1367" w:type="dxa"/>
            <w:gridSpan w:val="2"/>
            <w:tcBorders>
              <w:top w:val="single" w:color="auto" w:sz="4" w:space="0"/>
            </w:tcBorders>
            <w:vAlign w:val="center"/>
          </w:tcPr>
          <w:p w14:paraId="3A4CA69B">
            <w:pPr>
              <w:jc w:val="center"/>
              <w:rPr>
                <w:rFonts w:hint="eastAsia" w:ascii="宋体" w:hAnsi="宋体" w:eastAsia="宋体" w:cs="宋体"/>
                <w:color w:val="FF0000"/>
              </w:rPr>
            </w:pPr>
          </w:p>
        </w:tc>
        <w:tc>
          <w:tcPr>
            <w:tcW w:w="1991" w:type="dxa"/>
            <w:tcBorders>
              <w:top w:val="single" w:color="auto" w:sz="4" w:space="0"/>
            </w:tcBorders>
            <w:vAlign w:val="center"/>
          </w:tcPr>
          <w:p w14:paraId="29A04E98">
            <w:pPr>
              <w:jc w:val="center"/>
              <w:rPr>
                <w:rFonts w:hint="eastAsia" w:ascii="宋体" w:hAnsi="宋体" w:eastAsia="宋体" w:cs="宋体"/>
                <w:color w:val="FF0000"/>
              </w:rPr>
            </w:pPr>
          </w:p>
        </w:tc>
        <w:tc>
          <w:tcPr>
            <w:tcW w:w="1500" w:type="dxa"/>
            <w:tcBorders>
              <w:top w:val="single" w:color="auto" w:sz="4" w:space="0"/>
            </w:tcBorders>
            <w:vAlign w:val="center"/>
          </w:tcPr>
          <w:p w14:paraId="05F3DF3C">
            <w:pPr>
              <w:jc w:val="center"/>
              <w:rPr>
                <w:rFonts w:hint="eastAsia" w:ascii="宋体" w:hAnsi="宋体" w:eastAsia="宋体" w:cs="宋体"/>
                <w:color w:val="FF0000"/>
              </w:rPr>
            </w:pPr>
          </w:p>
        </w:tc>
        <w:tc>
          <w:tcPr>
            <w:tcW w:w="977" w:type="dxa"/>
            <w:tcBorders>
              <w:top w:val="single" w:color="auto" w:sz="4" w:space="0"/>
            </w:tcBorders>
            <w:vAlign w:val="center"/>
          </w:tcPr>
          <w:p w14:paraId="77C7B53E">
            <w:pPr>
              <w:jc w:val="center"/>
              <w:rPr>
                <w:rFonts w:hint="eastAsia" w:ascii="宋体" w:hAnsi="宋体" w:eastAsia="宋体" w:cs="宋体"/>
                <w:color w:val="FF0000"/>
              </w:rPr>
            </w:pPr>
          </w:p>
        </w:tc>
      </w:tr>
      <w:tr w14:paraId="20E09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4986267D">
            <w:pPr>
              <w:jc w:val="center"/>
              <w:rPr>
                <w:rFonts w:hint="eastAsia" w:ascii="宋体" w:hAnsi="宋体" w:eastAsia="宋体" w:cs="宋体"/>
                <w:color w:val="FF0000"/>
              </w:rPr>
            </w:pPr>
            <w:r>
              <w:rPr>
                <w:rFonts w:hint="eastAsia" w:ascii="宋体" w:hAnsi="宋体" w:eastAsia="宋体" w:cs="宋体"/>
                <w:color w:val="FF0000"/>
                <w:lang w:bidi="ar"/>
              </w:rPr>
              <w:t>4</w:t>
            </w:r>
          </w:p>
        </w:tc>
        <w:tc>
          <w:tcPr>
            <w:tcW w:w="1945" w:type="dxa"/>
            <w:gridSpan w:val="2"/>
            <w:vAlign w:val="center"/>
          </w:tcPr>
          <w:p w14:paraId="3A7F637A">
            <w:pPr>
              <w:jc w:val="center"/>
              <w:rPr>
                <w:rFonts w:hint="eastAsia" w:ascii="宋体" w:hAnsi="宋体" w:eastAsia="宋体" w:cs="宋体"/>
                <w:color w:val="FF0000"/>
              </w:rPr>
            </w:pPr>
            <w:r>
              <w:rPr>
                <w:rFonts w:hint="eastAsia" w:ascii="宋体" w:hAnsi="宋体" w:eastAsia="宋体" w:cs="宋体"/>
                <w:color w:val="FF0000"/>
              </w:rPr>
              <w:t>主要技术人员</w:t>
            </w:r>
          </w:p>
        </w:tc>
        <w:tc>
          <w:tcPr>
            <w:tcW w:w="1367" w:type="dxa"/>
            <w:gridSpan w:val="2"/>
            <w:vAlign w:val="center"/>
          </w:tcPr>
          <w:p w14:paraId="4417FF89">
            <w:pPr>
              <w:jc w:val="center"/>
              <w:rPr>
                <w:rFonts w:hint="eastAsia" w:ascii="宋体" w:hAnsi="宋体" w:eastAsia="宋体" w:cs="宋体"/>
                <w:color w:val="FF0000"/>
              </w:rPr>
            </w:pPr>
          </w:p>
        </w:tc>
        <w:tc>
          <w:tcPr>
            <w:tcW w:w="1991" w:type="dxa"/>
            <w:vAlign w:val="center"/>
          </w:tcPr>
          <w:p w14:paraId="67B2F7CB">
            <w:pPr>
              <w:jc w:val="center"/>
              <w:rPr>
                <w:rFonts w:hint="eastAsia" w:ascii="宋体" w:hAnsi="宋体" w:eastAsia="宋体" w:cs="宋体"/>
                <w:color w:val="FF0000"/>
              </w:rPr>
            </w:pPr>
          </w:p>
        </w:tc>
        <w:tc>
          <w:tcPr>
            <w:tcW w:w="1500" w:type="dxa"/>
            <w:vAlign w:val="center"/>
          </w:tcPr>
          <w:p w14:paraId="57D91C75">
            <w:pPr>
              <w:jc w:val="center"/>
              <w:rPr>
                <w:rFonts w:hint="eastAsia" w:ascii="宋体" w:hAnsi="宋体" w:eastAsia="宋体" w:cs="宋体"/>
                <w:color w:val="FF0000"/>
              </w:rPr>
            </w:pPr>
          </w:p>
        </w:tc>
        <w:tc>
          <w:tcPr>
            <w:tcW w:w="977" w:type="dxa"/>
            <w:vAlign w:val="center"/>
          </w:tcPr>
          <w:p w14:paraId="3F259C0E">
            <w:pPr>
              <w:jc w:val="center"/>
              <w:rPr>
                <w:rFonts w:hint="eastAsia" w:ascii="宋体" w:hAnsi="宋体" w:eastAsia="宋体" w:cs="宋体"/>
                <w:color w:val="FF0000"/>
              </w:rPr>
            </w:pPr>
          </w:p>
        </w:tc>
      </w:tr>
      <w:tr w14:paraId="63C3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vAlign w:val="center"/>
          </w:tcPr>
          <w:p w14:paraId="6465F9F5">
            <w:pPr>
              <w:jc w:val="center"/>
              <w:rPr>
                <w:rFonts w:hint="eastAsia" w:ascii="宋体" w:hAnsi="宋体" w:eastAsia="宋体" w:cs="宋体"/>
                <w:color w:val="FF0000"/>
              </w:rPr>
            </w:pPr>
            <w:r>
              <w:rPr>
                <w:rFonts w:hint="eastAsia" w:ascii="宋体" w:hAnsi="宋体" w:eastAsia="宋体" w:cs="宋体"/>
                <w:color w:val="FF0000"/>
                <w:lang w:bidi="ar"/>
              </w:rPr>
              <w:t>5</w:t>
            </w:r>
          </w:p>
        </w:tc>
        <w:tc>
          <w:tcPr>
            <w:tcW w:w="1945" w:type="dxa"/>
            <w:gridSpan w:val="2"/>
            <w:vAlign w:val="center"/>
          </w:tcPr>
          <w:p w14:paraId="3733186D">
            <w:pPr>
              <w:pStyle w:val="8"/>
              <w:snapToGrid w:val="0"/>
              <w:ind w:firstLine="0"/>
              <w:jc w:val="center"/>
              <w:rPr>
                <w:rFonts w:hint="eastAsia" w:ascii="宋体" w:hAnsi="宋体" w:eastAsia="宋体" w:cs="宋体"/>
                <w:color w:val="FF0000"/>
                <w:szCs w:val="24"/>
              </w:rPr>
            </w:pPr>
            <w:r>
              <w:rPr>
                <w:rFonts w:hint="eastAsia" w:ascii="宋体" w:hAnsi="宋体" w:eastAsia="宋体" w:cs="宋体"/>
                <w:color w:val="FF0000"/>
                <w:szCs w:val="24"/>
              </w:rPr>
              <w:t>投标文件编制人员</w:t>
            </w:r>
          </w:p>
        </w:tc>
        <w:tc>
          <w:tcPr>
            <w:tcW w:w="1367" w:type="dxa"/>
            <w:gridSpan w:val="2"/>
            <w:vAlign w:val="center"/>
          </w:tcPr>
          <w:p w14:paraId="3E3CE111">
            <w:pPr>
              <w:jc w:val="center"/>
              <w:rPr>
                <w:rFonts w:hint="eastAsia" w:ascii="宋体" w:hAnsi="宋体" w:eastAsia="宋体" w:cs="宋体"/>
                <w:color w:val="FF0000"/>
              </w:rPr>
            </w:pPr>
          </w:p>
        </w:tc>
        <w:tc>
          <w:tcPr>
            <w:tcW w:w="1991" w:type="dxa"/>
            <w:vAlign w:val="center"/>
          </w:tcPr>
          <w:p w14:paraId="4093305A">
            <w:pPr>
              <w:jc w:val="center"/>
              <w:rPr>
                <w:rFonts w:hint="eastAsia" w:ascii="宋体" w:hAnsi="宋体" w:eastAsia="宋体" w:cs="宋体"/>
                <w:color w:val="FF0000"/>
              </w:rPr>
            </w:pPr>
          </w:p>
        </w:tc>
        <w:tc>
          <w:tcPr>
            <w:tcW w:w="1500" w:type="dxa"/>
            <w:vAlign w:val="center"/>
          </w:tcPr>
          <w:p w14:paraId="69B2CB1A">
            <w:pPr>
              <w:jc w:val="center"/>
              <w:rPr>
                <w:rFonts w:hint="eastAsia" w:ascii="宋体" w:hAnsi="宋体" w:eastAsia="宋体" w:cs="宋体"/>
                <w:color w:val="FF0000"/>
              </w:rPr>
            </w:pPr>
          </w:p>
        </w:tc>
        <w:tc>
          <w:tcPr>
            <w:tcW w:w="977" w:type="dxa"/>
            <w:vAlign w:val="center"/>
          </w:tcPr>
          <w:p w14:paraId="0B269F8E">
            <w:pPr>
              <w:jc w:val="center"/>
              <w:rPr>
                <w:rFonts w:hint="eastAsia" w:ascii="宋体" w:hAnsi="宋体" w:eastAsia="宋体" w:cs="宋体"/>
                <w:color w:val="FF0000"/>
              </w:rPr>
            </w:pPr>
          </w:p>
        </w:tc>
      </w:tr>
      <w:tr w14:paraId="5B1C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3" w:type="dxa"/>
            <w:gridSpan w:val="8"/>
            <w:vAlign w:val="center"/>
          </w:tcPr>
          <w:p w14:paraId="69E040A4">
            <w:pPr>
              <w:rPr>
                <w:rFonts w:hint="eastAsia" w:ascii="宋体" w:hAnsi="宋体" w:eastAsia="宋体" w:cs="宋体"/>
                <w:color w:val="FF0000"/>
              </w:rPr>
            </w:pPr>
            <w:r>
              <w:rPr>
                <w:rFonts w:hint="eastAsia" w:ascii="宋体" w:hAnsi="宋体" w:eastAsia="宋体" w:cs="宋体"/>
                <w:b/>
                <w:bCs/>
                <w:color w:val="FF0000"/>
              </w:rPr>
              <w:t>说明：同一职务有多人担任（如主要技术人员），应分行填写。</w:t>
            </w:r>
          </w:p>
        </w:tc>
      </w:tr>
      <w:tr w14:paraId="64B68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433" w:type="dxa"/>
            <w:gridSpan w:val="8"/>
            <w:vAlign w:val="center"/>
          </w:tcPr>
          <w:p w14:paraId="7C264F20">
            <w:pPr>
              <w:jc w:val="center"/>
              <w:rPr>
                <w:rFonts w:hint="eastAsia" w:ascii="宋体" w:hAnsi="宋体" w:eastAsia="宋体" w:cs="宋体"/>
                <w:b/>
                <w:bCs/>
                <w:color w:val="FF0000"/>
              </w:rPr>
            </w:pPr>
            <w:r>
              <w:rPr>
                <w:rFonts w:hint="eastAsia" w:ascii="宋体" w:hAnsi="宋体" w:eastAsia="宋体" w:cs="宋体"/>
                <w:b/>
                <w:bCs/>
                <w:color w:val="FF0000"/>
              </w:rPr>
              <w:t>投标（响应）供应商关联关系情况</w:t>
            </w:r>
          </w:p>
        </w:tc>
      </w:tr>
      <w:tr w14:paraId="2DF46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bottom w:val="single" w:color="auto" w:sz="4" w:space="0"/>
            </w:tcBorders>
            <w:vAlign w:val="center"/>
          </w:tcPr>
          <w:p w14:paraId="491AF21A">
            <w:pPr>
              <w:jc w:val="center"/>
              <w:rPr>
                <w:rFonts w:hint="eastAsia" w:ascii="宋体" w:hAnsi="宋体" w:eastAsia="宋体" w:cs="宋体"/>
                <w:color w:val="FF0000"/>
                <w:lang w:bidi="ar"/>
              </w:rPr>
            </w:pPr>
            <w:r>
              <w:rPr>
                <w:rFonts w:hint="eastAsia" w:ascii="宋体" w:hAnsi="宋体" w:eastAsia="宋体" w:cs="宋体"/>
                <w:color w:val="FF0000"/>
                <w:lang w:bidi="ar"/>
              </w:rPr>
              <w:t>序号</w:t>
            </w:r>
          </w:p>
        </w:tc>
        <w:tc>
          <w:tcPr>
            <w:tcW w:w="1945" w:type="dxa"/>
            <w:gridSpan w:val="2"/>
            <w:tcBorders>
              <w:bottom w:val="single" w:color="auto" w:sz="4" w:space="0"/>
            </w:tcBorders>
            <w:vAlign w:val="center"/>
          </w:tcPr>
          <w:p w14:paraId="29C6B9FF">
            <w:pPr>
              <w:jc w:val="center"/>
              <w:rPr>
                <w:rFonts w:hint="eastAsia" w:ascii="宋体" w:hAnsi="宋体" w:eastAsia="宋体" w:cs="宋体"/>
                <w:color w:val="FF0000"/>
              </w:rPr>
            </w:pPr>
            <w:r>
              <w:rPr>
                <w:rFonts w:hint="eastAsia" w:ascii="宋体" w:hAnsi="宋体" w:eastAsia="宋体" w:cs="宋体"/>
                <w:color w:val="FF0000"/>
              </w:rPr>
              <w:t>关联关系类型</w:t>
            </w:r>
          </w:p>
        </w:tc>
        <w:tc>
          <w:tcPr>
            <w:tcW w:w="1290" w:type="dxa"/>
            <w:tcBorders>
              <w:bottom w:val="single" w:color="auto" w:sz="4" w:space="0"/>
            </w:tcBorders>
            <w:vAlign w:val="center"/>
          </w:tcPr>
          <w:p w14:paraId="47DA2A5A">
            <w:pPr>
              <w:jc w:val="center"/>
              <w:rPr>
                <w:rFonts w:hint="eastAsia" w:ascii="宋体" w:hAnsi="宋体" w:eastAsia="宋体" w:cs="宋体"/>
                <w:color w:val="FF0000"/>
              </w:rPr>
            </w:pPr>
            <w:r>
              <w:rPr>
                <w:rFonts w:hint="eastAsia" w:ascii="宋体" w:hAnsi="宋体" w:eastAsia="宋体" w:cs="宋体"/>
                <w:color w:val="FF0000"/>
              </w:rPr>
              <w:t>关联主体名称</w:t>
            </w:r>
          </w:p>
        </w:tc>
        <w:tc>
          <w:tcPr>
            <w:tcW w:w="4545" w:type="dxa"/>
            <w:gridSpan w:val="4"/>
            <w:tcBorders>
              <w:bottom w:val="single" w:color="auto" w:sz="4" w:space="0"/>
            </w:tcBorders>
            <w:vAlign w:val="center"/>
          </w:tcPr>
          <w:p w14:paraId="179799D0">
            <w:pPr>
              <w:jc w:val="center"/>
              <w:rPr>
                <w:rFonts w:hint="eastAsia" w:ascii="宋体" w:hAnsi="宋体" w:eastAsia="宋体" w:cs="宋体"/>
                <w:color w:val="FF0000"/>
              </w:rPr>
            </w:pPr>
            <w:r>
              <w:rPr>
                <w:rFonts w:hint="eastAsia" w:ascii="宋体" w:hAnsi="宋体" w:eastAsia="宋体" w:cs="宋体"/>
                <w:color w:val="FF0000"/>
              </w:rPr>
              <w:t>备注</w:t>
            </w:r>
          </w:p>
        </w:tc>
      </w:tr>
      <w:tr w14:paraId="3D1E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top w:val="single" w:color="auto" w:sz="4" w:space="0"/>
              <w:left w:val="single" w:color="auto" w:sz="4" w:space="0"/>
              <w:bottom w:val="single" w:color="auto" w:sz="4" w:space="0"/>
              <w:right w:val="single" w:color="auto" w:sz="4" w:space="0"/>
            </w:tcBorders>
            <w:vAlign w:val="center"/>
          </w:tcPr>
          <w:p w14:paraId="155C7D96">
            <w:pPr>
              <w:jc w:val="center"/>
              <w:rPr>
                <w:rFonts w:hint="eastAsia" w:ascii="宋体" w:hAnsi="宋体" w:eastAsia="宋体" w:cs="宋体"/>
                <w:color w:val="FF0000"/>
                <w:lang w:bidi="ar"/>
              </w:rPr>
            </w:pPr>
            <w:r>
              <w:rPr>
                <w:rFonts w:hint="eastAsia" w:ascii="宋体" w:hAnsi="宋体" w:eastAsia="宋体" w:cs="宋体"/>
                <w:color w:val="FF0000"/>
                <w:lang w:bidi="ar"/>
              </w:rPr>
              <w:t>1</w:t>
            </w:r>
          </w:p>
        </w:tc>
        <w:tc>
          <w:tcPr>
            <w:tcW w:w="1945" w:type="dxa"/>
            <w:gridSpan w:val="2"/>
            <w:tcBorders>
              <w:top w:val="single" w:color="auto" w:sz="4" w:space="0"/>
              <w:left w:val="single" w:color="auto" w:sz="4" w:space="0"/>
              <w:bottom w:val="single" w:color="auto" w:sz="4" w:space="0"/>
              <w:right w:val="single" w:color="auto" w:sz="4" w:space="0"/>
            </w:tcBorders>
            <w:vAlign w:val="center"/>
          </w:tcPr>
          <w:p w14:paraId="184A91BA">
            <w:pPr>
              <w:jc w:val="center"/>
              <w:rPr>
                <w:rFonts w:hint="eastAsia" w:ascii="宋体" w:hAnsi="宋体" w:eastAsia="宋体" w:cs="宋体"/>
                <w:color w:val="FF0000"/>
              </w:rPr>
            </w:pPr>
            <w:r>
              <w:rPr>
                <w:rFonts w:hint="eastAsia" w:ascii="宋体" w:hAnsi="宋体" w:eastAsia="宋体" w:cs="宋体"/>
                <w:color w:val="FF0000"/>
              </w:rPr>
              <w:t>控股股东</w:t>
            </w:r>
          </w:p>
        </w:tc>
        <w:tc>
          <w:tcPr>
            <w:tcW w:w="1290" w:type="dxa"/>
            <w:tcBorders>
              <w:top w:val="single" w:color="auto" w:sz="4" w:space="0"/>
              <w:left w:val="single" w:color="auto" w:sz="4" w:space="0"/>
              <w:bottom w:val="single" w:color="auto" w:sz="4" w:space="0"/>
              <w:right w:val="single" w:color="auto" w:sz="4" w:space="0"/>
            </w:tcBorders>
            <w:vAlign w:val="center"/>
          </w:tcPr>
          <w:p w14:paraId="7FC542D1">
            <w:pPr>
              <w:jc w:val="center"/>
              <w:rPr>
                <w:rFonts w:hint="eastAsia" w:ascii="宋体" w:hAnsi="宋体" w:eastAsia="宋体" w:cs="宋体"/>
                <w:color w:val="FF0000"/>
              </w:rPr>
            </w:pPr>
          </w:p>
        </w:tc>
        <w:tc>
          <w:tcPr>
            <w:tcW w:w="4545" w:type="dxa"/>
            <w:gridSpan w:val="4"/>
            <w:tcBorders>
              <w:top w:val="single" w:color="auto" w:sz="4" w:space="0"/>
              <w:left w:val="single" w:color="auto" w:sz="4" w:space="0"/>
              <w:bottom w:val="single" w:color="auto" w:sz="4" w:space="0"/>
              <w:right w:val="single" w:color="auto" w:sz="4" w:space="0"/>
            </w:tcBorders>
            <w:vAlign w:val="center"/>
          </w:tcPr>
          <w:p w14:paraId="4DA1393F">
            <w:pPr>
              <w:snapToGrid w:val="0"/>
              <w:rPr>
                <w:rFonts w:hint="eastAsia" w:ascii="宋体" w:hAnsi="宋体" w:eastAsia="宋体" w:cs="宋体"/>
                <w:color w:val="FF0000"/>
              </w:rPr>
            </w:pPr>
            <w:r>
              <w:rPr>
                <w:rFonts w:hint="eastAsia" w:ascii="宋体" w:hAnsi="宋体" w:eastAsia="宋体" w:cs="宋体"/>
                <w:color w:val="FF0000"/>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14:paraId="478C6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3" w:type="dxa"/>
            <w:tcBorders>
              <w:top w:val="single" w:color="auto" w:sz="4" w:space="0"/>
              <w:left w:val="single" w:color="auto" w:sz="4" w:space="0"/>
              <w:bottom w:val="single" w:color="auto" w:sz="4" w:space="0"/>
              <w:right w:val="single" w:color="auto" w:sz="4" w:space="0"/>
            </w:tcBorders>
            <w:vAlign w:val="center"/>
          </w:tcPr>
          <w:p w14:paraId="42FF5335">
            <w:pPr>
              <w:jc w:val="center"/>
              <w:rPr>
                <w:rFonts w:hint="eastAsia" w:ascii="宋体" w:hAnsi="宋体" w:eastAsia="宋体" w:cs="宋体"/>
                <w:color w:val="FF0000"/>
                <w:lang w:bidi="ar"/>
              </w:rPr>
            </w:pPr>
            <w:r>
              <w:rPr>
                <w:rFonts w:hint="eastAsia" w:ascii="宋体" w:hAnsi="宋体" w:eastAsia="宋体" w:cs="宋体"/>
                <w:color w:val="FF0000"/>
                <w:lang w:bidi="ar"/>
              </w:rPr>
              <w:t>2</w:t>
            </w:r>
          </w:p>
        </w:tc>
        <w:tc>
          <w:tcPr>
            <w:tcW w:w="1945" w:type="dxa"/>
            <w:gridSpan w:val="2"/>
            <w:tcBorders>
              <w:top w:val="single" w:color="auto" w:sz="4" w:space="0"/>
              <w:left w:val="single" w:color="auto" w:sz="4" w:space="0"/>
              <w:bottom w:val="single" w:color="auto" w:sz="4" w:space="0"/>
              <w:right w:val="single" w:color="auto" w:sz="4" w:space="0"/>
            </w:tcBorders>
            <w:vAlign w:val="center"/>
          </w:tcPr>
          <w:p w14:paraId="5827F709">
            <w:pPr>
              <w:jc w:val="center"/>
              <w:rPr>
                <w:rFonts w:hint="eastAsia" w:ascii="宋体" w:hAnsi="宋体" w:eastAsia="宋体" w:cs="宋体"/>
                <w:color w:val="FF0000"/>
              </w:rPr>
            </w:pPr>
            <w:r>
              <w:rPr>
                <w:rFonts w:hint="eastAsia" w:ascii="宋体" w:hAnsi="宋体" w:eastAsia="宋体" w:cs="宋体"/>
                <w:color w:val="FF0000"/>
              </w:rPr>
              <w:t>管理关系</w:t>
            </w:r>
          </w:p>
        </w:tc>
        <w:tc>
          <w:tcPr>
            <w:tcW w:w="1290" w:type="dxa"/>
            <w:tcBorders>
              <w:top w:val="single" w:color="auto" w:sz="4" w:space="0"/>
              <w:left w:val="single" w:color="auto" w:sz="4" w:space="0"/>
              <w:bottom w:val="single" w:color="auto" w:sz="4" w:space="0"/>
              <w:right w:val="single" w:color="auto" w:sz="4" w:space="0"/>
            </w:tcBorders>
            <w:vAlign w:val="center"/>
          </w:tcPr>
          <w:p w14:paraId="103D0BDC">
            <w:pPr>
              <w:jc w:val="center"/>
              <w:rPr>
                <w:rFonts w:hint="eastAsia" w:ascii="宋体" w:hAnsi="宋体" w:eastAsia="宋体" w:cs="宋体"/>
                <w:color w:val="FF0000"/>
              </w:rPr>
            </w:pPr>
          </w:p>
        </w:tc>
        <w:tc>
          <w:tcPr>
            <w:tcW w:w="4545" w:type="dxa"/>
            <w:gridSpan w:val="4"/>
            <w:tcBorders>
              <w:top w:val="single" w:color="auto" w:sz="4" w:space="0"/>
              <w:left w:val="single" w:color="auto" w:sz="4" w:space="0"/>
              <w:bottom w:val="single" w:color="auto" w:sz="4" w:space="0"/>
              <w:right w:val="single" w:color="auto" w:sz="4" w:space="0"/>
            </w:tcBorders>
            <w:vAlign w:val="center"/>
          </w:tcPr>
          <w:p w14:paraId="10FCA681">
            <w:pPr>
              <w:snapToGrid w:val="0"/>
              <w:rPr>
                <w:rFonts w:hint="eastAsia" w:ascii="宋体" w:hAnsi="宋体" w:eastAsia="宋体" w:cs="宋体"/>
                <w:color w:val="FF0000"/>
              </w:rPr>
            </w:pPr>
            <w:r>
              <w:rPr>
                <w:rFonts w:hint="eastAsia" w:ascii="宋体" w:hAnsi="宋体" w:eastAsia="宋体" w:cs="宋体"/>
                <w:color w:val="FF0000"/>
              </w:rPr>
              <w:t>指对投标（响应）供应商不具有出资持股关系，但对其存在管理关系的主体。</w:t>
            </w:r>
          </w:p>
        </w:tc>
      </w:tr>
      <w:tr w14:paraId="1ECD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33" w:type="dxa"/>
            <w:gridSpan w:val="8"/>
            <w:tcBorders>
              <w:top w:val="single" w:color="auto" w:sz="4" w:space="0"/>
              <w:left w:val="single" w:color="auto" w:sz="4" w:space="0"/>
              <w:bottom w:val="single" w:color="auto" w:sz="4" w:space="0"/>
              <w:right w:val="single" w:color="auto" w:sz="4" w:space="0"/>
            </w:tcBorders>
            <w:vAlign w:val="center"/>
          </w:tcPr>
          <w:p w14:paraId="6FD022A5">
            <w:pPr>
              <w:snapToGrid w:val="0"/>
              <w:rPr>
                <w:rFonts w:hint="eastAsia" w:ascii="宋体" w:hAnsi="宋体" w:eastAsia="宋体" w:cs="宋体"/>
                <w:color w:val="FF0000"/>
              </w:rPr>
            </w:pPr>
            <w:r>
              <w:rPr>
                <w:rFonts w:hint="eastAsia" w:ascii="宋体" w:hAnsi="宋体" w:eastAsia="宋体" w:cs="宋体"/>
                <w:b/>
                <w:bCs/>
                <w:color w:val="FF0000"/>
              </w:rPr>
              <w:t>说明：同一关联关系类型有多个主体的，应分行填写。</w:t>
            </w:r>
          </w:p>
        </w:tc>
      </w:tr>
    </w:tbl>
    <w:p w14:paraId="5E3EB6C8">
      <w:pPr>
        <w:snapToGrid w:val="0"/>
        <w:rPr>
          <w:rFonts w:hint="eastAsia" w:ascii="宋体" w:hAnsi="宋体" w:eastAsia="宋体" w:cs="宋体"/>
          <w:b/>
          <w:bCs/>
          <w:sz w:val="21"/>
          <w:szCs w:val="21"/>
        </w:rPr>
      </w:pPr>
      <w:r>
        <w:rPr>
          <w:rFonts w:hint="eastAsia" w:ascii="宋体" w:hAnsi="宋体" w:eastAsia="宋体" w:cs="宋体"/>
          <w:b/>
          <w:bCs/>
          <w:sz w:val="21"/>
          <w:szCs w:val="21"/>
        </w:rPr>
        <w:t>注：</w:t>
      </w:r>
    </w:p>
    <w:p w14:paraId="26F7064D">
      <w:pPr>
        <w:numPr>
          <w:ilvl w:val="255"/>
          <w:numId w:val="0"/>
        </w:numPr>
        <w:snapToGrid w:val="0"/>
        <w:rPr>
          <w:rFonts w:hint="eastAsia" w:ascii="宋体" w:hAnsi="宋体" w:eastAsia="宋体" w:cs="宋体"/>
          <w:b/>
          <w:bCs/>
          <w:sz w:val="21"/>
          <w:szCs w:val="21"/>
        </w:rPr>
      </w:pPr>
      <w:r>
        <w:rPr>
          <w:rFonts w:hint="eastAsia" w:ascii="宋体" w:hAnsi="宋体" w:eastAsia="宋体" w:cs="宋体"/>
          <w:b/>
          <w:bCs/>
          <w:sz w:val="21"/>
          <w:szCs w:val="21"/>
        </w:rPr>
        <w:t>1.投标人须填写所涉及人员相关信息，提供近一个月有效社保证明资料。（法定代表人/单位负责人/主要经营负责人、项目投标授权代表人、项目负责人、主要技术人员、投标文件编制人员）（</w:t>
      </w:r>
      <w:r>
        <w:rPr>
          <w:rFonts w:hint="eastAsia" w:ascii="宋体" w:hAnsi="宋体" w:eastAsia="宋体" w:cs="宋体"/>
          <w:b/>
          <w:bCs/>
          <w:color w:val="FF0000"/>
          <w:sz w:val="21"/>
          <w:szCs w:val="21"/>
        </w:rPr>
        <w:t>近一个月具体指投标截止日所在月的上一个月起倒算三个月中任意一个月</w:t>
      </w:r>
      <w:r>
        <w:rPr>
          <w:rFonts w:hint="eastAsia" w:ascii="宋体" w:hAnsi="宋体" w:eastAsia="宋体" w:cs="宋体"/>
          <w:b/>
          <w:bCs/>
          <w:sz w:val="21"/>
          <w:szCs w:val="21"/>
        </w:rPr>
        <w:t>，所涉及人员缴纳社保的证明材料可为社保收缴部门盖章证明资料或社保窗口打印资料或社保官网截图或税务局开具的代缴社保的完税凭证；如投标人为新成立企业且成立时间不足一个月可提供加盖公章的情况说明或者证明材料亦视为符合。如为退休返聘人员则提供劳动合同（需体现姓名、岗位等信息），法定代表人退休后无须提供返聘证明资料。）</w:t>
      </w:r>
    </w:p>
    <w:p w14:paraId="6DB9842C">
      <w:pPr>
        <w:numPr>
          <w:ilvl w:val="255"/>
          <w:numId w:val="0"/>
        </w:numPr>
        <w:snapToGrid w:val="0"/>
        <w:rPr>
          <w:rFonts w:hint="eastAsia" w:ascii="宋体" w:hAnsi="宋体" w:eastAsia="宋体" w:cs="宋体"/>
          <w:b/>
          <w:bCs/>
          <w:sz w:val="21"/>
          <w:szCs w:val="21"/>
        </w:rPr>
      </w:pPr>
      <w:r>
        <w:rPr>
          <w:rFonts w:hint="eastAsia" w:ascii="宋体" w:hAnsi="宋体" w:eastAsia="宋体" w:cs="宋体"/>
          <w:b/>
          <w:bCs/>
          <w:sz w:val="21"/>
          <w:szCs w:val="21"/>
        </w:rPr>
        <w:t>2.</w:t>
      </w:r>
      <w:r>
        <w:rPr>
          <w:rFonts w:hint="eastAsia" w:ascii="宋体" w:hAnsi="宋体" w:eastAsia="宋体" w:cs="宋体"/>
          <w:b/>
          <w:bCs/>
          <w:color w:val="FF0000"/>
          <w:sz w:val="21"/>
          <w:szCs w:val="21"/>
        </w:rPr>
        <w:t>投标人未按上述要求提供所涉及人员证明资料的，作投标无效处理</w:t>
      </w:r>
      <w:r>
        <w:rPr>
          <w:rFonts w:hint="eastAsia" w:ascii="宋体" w:hAnsi="宋体" w:eastAsia="宋体" w:cs="宋体"/>
          <w:b/>
          <w:bCs/>
          <w:sz w:val="21"/>
          <w:szCs w:val="21"/>
        </w:rPr>
        <w:t>。</w:t>
      </w:r>
    </w:p>
    <w:p w14:paraId="011081C7">
      <w:pPr>
        <w:numPr>
          <w:ilvl w:val="255"/>
          <w:numId w:val="0"/>
        </w:numPr>
        <w:snapToGrid w:val="0"/>
        <w:rPr>
          <w:rFonts w:hint="eastAsia" w:ascii="宋体" w:hAnsi="宋体" w:eastAsia="宋体" w:cs="宋体"/>
          <w:b/>
          <w:bCs/>
          <w:sz w:val="21"/>
          <w:szCs w:val="21"/>
        </w:rPr>
      </w:pPr>
      <w:r>
        <w:rPr>
          <w:rFonts w:hint="eastAsia" w:ascii="宋体" w:hAnsi="宋体" w:eastAsia="宋体" w:cs="宋体"/>
          <w:b/>
          <w:bCs/>
          <w:sz w:val="21"/>
          <w:szCs w:val="21"/>
        </w:rPr>
        <w:t>3.以上资料均要求提供扫描件或复印件并加盖投标人公章，原件备查。</w:t>
      </w:r>
    </w:p>
    <w:p w14:paraId="714F5115">
      <w:pPr>
        <w:keepNext/>
        <w:keepLines/>
        <w:adjustRightInd w:val="0"/>
        <w:jc w:val="center"/>
        <w:textAlignment w:val="baseline"/>
        <w:outlineLvl w:val="1"/>
        <w:rPr>
          <w:rFonts w:hint="eastAsia" w:ascii="宋体" w:hAnsi="宋体" w:eastAsia="宋体" w:cs="宋体"/>
          <w:b/>
          <w:bCs/>
          <w:color w:val="000000"/>
          <w:sz w:val="28"/>
          <w:szCs w:val="28"/>
        </w:rPr>
      </w:pPr>
      <w:r>
        <w:rPr>
          <w:rFonts w:hint="eastAsia" w:ascii="宋体" w:hAnsi="宋体" w:eastAsia="宋体" w:cs="宋体"/>
          <w:sz w:val="32"/>
        </w:rPr>
        <w:br w:type="page"/>
      </w:r>
      <w:r>
        <w:rPr>
          <w:rFonts w:hint="eastAsia" w:ascii="宋体" w:hAnsi="宋体" w:eastAsia="宋体" w:cs="宋体"/>
          <w:b/>
          <w:bCs/>
          <w:color w:val="000000"/>
          <w:sz w:val="28"/>
          <w:szCs w:val="28"/>
        </w:rPr>
        <w:t>第四章  合同及履约情况反馈格式</w:t>
      </w:r>
    </w:p>
    <w:p w14:paraId="0AE68FC4">
      <w:pPr>
        <w:ind w:firstLine="470" w:firstLineChars="196"/>
        <w:rPr>
          <w:rFonts w:hint="eastAsia" w:ascii="宋体" w:hAnsi="宋体" w:eastAsia="宋体" w:cs="宋体"/>
        </w:rPr>
      </w:pPr>
    </w:p>
    <w:p w14:paraId="4A25F7E4">
      <w:pPr>
        <w:pStyle w:val="6"/>
        <w:jc w:val="center"/>
        <w:rPr>
          <w:rFonts w:hint="eastAsia" w:cs="宋体"/>
          <w:szCs w:val="24"/>
        </w:rPr>
      </w:pPr>
      <w:r>
        <w:rPr>
          <w:rFonts w:hint="eastAsia" w:cs="宋体"/>
          <w:szCs w:val="28"/>
        </w:rPr>
        <w:t>一、合同条款及格式（仅供参考）</w:t>
      </w:r>
    </w:p>
    <w:p w14:paraId="2DA3CDAE">
      <w:pPr>
        <w:ind w:firstLine="470" w:firstLineChars="196"/>
        <w:jc w:val="center"/>
        <w:rPr>
          <w:rFonts w:hint="eastAsia" w:ascii="宋体" w:hAnsi="宋体" w:eastAsia="宋体" w:cs="宋体"/>
        </w:rPr>
      </w:pPr>
      <w:bookmarkStart w:id="41" w:name="_Toc73517685"/>
      <w:bookmarkStart w:id="42" w:name="_Toc100052414"/>
      <w:bookmarkStart w:id="43" w:name="_Toc84303603"/>
      <w:bookmarkStart w:id="44" w:name="_Toc101074886"/>
      <w:bookmarkStart w:id="45" w:name="_Toc73518163"/>
      <w:bookmarkStart w:id="46" w:name="_Toc73521592"/>
      <w:bookmarkStart w:id="47" w:name="_Toc73521680"/>
    </w:p>
    <w:p w14:paraId="00165C9D">
      <w:pPr>
        <w:ind w:firstLine="470" w:firstLineChars="196"/>
        <w:jc w:val="center"/>
        <w:rPr>
          <w:rFonts w:hint="eastAsia" w:ascii="宋体" w:hAnsi="宋体" w:eastAsia="宋体" w:cs="宋体"/>
        </w:rPr>
      </w:pPr>
    </w:p>
    <w:p w14:paraId="74EBA2B0">
      <w:pPr>
        <w:jc w:val="center"/>
        <w:rPr>
          <w:rFonts w:hint="eastAsia" w:ascii="宋体" w:hAnsi="宋体" w:eastAsia="宋体" w:cs="宋体"/>
          <w:b/>
        </w:rPr>
      </w:pPr>
      <w:r>
        <w:rPr>
          <w:rFonts w:hint="eastAsia" w:ascii="宋体" w:hAnsi="宋体" w:eastAsia="宋体" w:cs="宋体"/>
          <w:b/>
        </w:rPr>
        <w:t>合同条款</w:t>
      </w:r>
      <w:bookmarkEnd w:id="41"/>
      <w:bookmarkEnd w:id="42"/>
      <w:bookmarkEnd w:id="43"/>
      <w:bookmarkEnd w:id="44"/>
      <w:bookmarkEnd w:id="45"/>
      <w:bookmarkEnd w:id="46"/>
      <w:bookmarkEnd w:id="47"/>
    </w:p>
    <w:p w14:paraId="0ECD27DD">
      <w:pPr>
        <w:jc w:val="center"/>
        <w:rPr>
          <w:rFonts w:hint="eastAsia" w:ascii="宋体" w:hAnsi="宋体" w:eastAsia="宋体" w:cs="宋体"/>
        </w:rPr>
      </w:pPr>
      <w:r>
        <w:rPr>
          <w:rFonts w:hint="eastAsia" w:ascii="宋体" w:hAnsi="宋体" w:eastAsia="宋体" w:cs="宋体"/>
          <w:b/>
        </w:rPr>
        <w:t>（仅供参考，项目具体要求以招标项目需求为准）</w:t>
      </w:r>
    </w:p>
    <w:p w14:paraId="6F7EF604">
      <w:pPr>
        <w:rPr>
          <w:rFonts w:hint="eastAsia" w:ascii="宋体" w:hAnsi="宋体" w:eastAsia="宋体" w:cs="宋体"/>
          <w:b/>
          <w:bCs/>
          <w:szCs w:val="21"/>
        </w:rPr>
      </w:pPr>
      <w:r>
        <w:rPr>
          <w:rFonts w:hint="eastAsia" w:ascii="宋体" w:hAnsi="宋体" w:eastAsia="宋体" w:cs="宋体"/>
          <w:b/>
          <w:bCs/>
          <w:szCs w:val="21"/>
        </w:rPr>
        <w:t xml:space="preserve">甲方：   </w:t>
      </w:r>
    </w:p>
    <w:p w14:paraId="74B0E226">
      <w:pPr>
        <w:rPr>
          <w:rFonts w:hint="eastAsia" w:ascii="宋体" w:hAnsi="宋体" w:eastAsia="宋体" w:cs="宋体"/>
          <w:b/>
          <w:bCs/>
          <w:szCs w:val="21"/>
        </w:rPr>
      </w:pPr>
      <w:r>
        <w:rPr>
          <w:rFonts w:hint="eastAsia" w:ascii="宋体" w:hAnsi="宋体" w:eastAsia="宋体" w:cs="宋体"/>
          <w:b/>
          <w:bCs/>
          <w:szCs w:val="21"/>
        </w:rPr>
        <w:t xml:space="preserve">乙方：                                          </w:t>
      </w:r>
    </w:p>
    <w:p w14:paraId="40E0BED2">
      <w:pPr>
        <w:rPr>
          <w:rFonts w:hint="eastAsia" w:ascii="宋体" w:hAnsi="宋体" w:eastAsia="宋体" w:cs="宋体"/>
          <w:szCs w:val="21"/>
        </w:rPr>
      </w:pPr>
    </w:p>
    <w:p w14:paraId="0905513D">
      <w:pPr>
        <w:rPr>
          <w:rFonts w:hint="eastAsia" w:ascii="宋体" w:hAnsi="宋体" w:eastAsia="宋体" w:cs="宋体"/>
          <w:szCs w:val="21"/>
        </w:rPr>
      </w:pPr>
    </w:p>
    <w:p w14:paraId="2C0A478F">
      <w:pPr>
        <w:ind w:firstLine="480" w:firstLineChars="200"/>
        <w:rPr>
          <w:rFonts w:hint="eastAsia" w:ascii="宋体" w:hAnsi="宋体" w:eastAsia="宋体" w:cs="宋体"/>
          <w:szCs w:val="21"/>
        </w:rPr>
      </w:pPr>
      <w:r>
        <w:rPr>
          <w:rFonts w:hint="eastAsia" w:ascii="宋体" w:hAnsi="宋体" w:eastAsia="宋体" w:cs="宋体"/>
          <w:szCs w:val="21"/>
        </w:rPr>
        <w:t>根据深圳市南科大资产经营管理有限公司</w:t>
      </w:r>
      <w:r>
        <w:rPr>
          <w:rFonts w:hint="eastAsia" w:ascii="宋体" w:hAnsi="宋体" w:eastAsia="宋体" w:cs="宋体"/>
          <w:szCs w:val="21"/>
          <w:u w:val="single"/>
        </w:rPr>
        <w:t xml:space="preserve">          </w:t>
      </w:r>
      <w:r>
        <w:rPr>
          <w:rFonts w:hint="eastAsia" w:ascii="宋体" w:hAnsi="宋体" w:eastAsia="宋体" w:cs="宋体"/>
          <w:szCs w:val="21"/>
        </w:rPr>
        <w:t>号招标项目的投标结果，由</w:t>
      </w:r>
      <w:r>
        <w:rPr>
          <w:rFonts w:hint="eastAsia" w:ascii="宋体" w:hAnsi="宋体" w:eastAsia="宋体" w:cs="宋体"/>
          <w:szCs w:val="21"/>
          <w:u w:val="single"/>
        </w:rPr>
        <w:t xml:space="preserve">             </w:t>
      </w:r>
      <w:r>
        <w:rPr>
          <w:rFonts w:hint="eastAsia" w:ascii="宋体" w:hAnsi="宋体" w:eastAsia="宋体" w:cs="宋体"/>
          <w:szCs w:val="21"/>
        </w:rPr>
        <w:t>单位为中标方。按照《中华人民共和国经济合同法》和《深圳经济特区政府采购条例》，经深圳市</w:t>
      </w:r>
      <w:r>
        <w:rPr>
          <w:rFonts w:hint="eastAsia" w:ascii="宋体" w:hAnsi="宋体" w:eastAsia="宋体" w:cs="宋体"/>
          <w:szCs w:val="21"/>
          <w:u w:val="single"/>
        </w:rPr>
        <w:t xml:space="preserve">         </w:t>
      </w:r>
      <w:r>
        <w:rPr>
          <w:rFonts w:hint="eastAsia" w:ascii="宋体" w:hAnsi="宋体" w:eastAsia="宋体" w:cs="宋体"/>
          <w:szCs w:val="21"/>
        </w:rPr>
        <w:t>（以下简称甲方）和</w:t>
      </w:r>
      <w:r>
        <w:rPr>
          <w:rFonts w:hint="eastAsia" w:ascii="宋体" w:hAnsi="宋体" w:eastAsia="宋体" w:cs="宋体"/>
          <w:szCs w:val="21"/>
          <w:u w:val="single"/>
        </w:rPr>
        <w:t xml:space="preserve">                          </w:t>
      </w:r>
      <w:r>
        <w:rPr>
          <w:rFonts w:hint="eastAsia" w:ascii="宋体" w:hAnsi="宋体" w:eastAsia="宋体" w:cs="宋体"/>
          <w:szCs w:val="21"/>
        </w:rPr>
        <w:t>单位（以下简称乙方）协商，就甲方委托乙方承担</w:t>
      </w:r>
      <w:r>
        <w:rPr>
          <w:rFonts w:hint="eastAsia" w:ascii="宋体" w:hAnsi="宋体" w:eastAsia="宋体" w:cs="宋体"/>
          <w:b/>
          <w:bCs/>
          <w:snapToGrid w:val="0"/>
          <w:szCs w:val="21"/>
          <w:u w:val="single"/>
          <w:lang w:val="zh-CN"/>
        </w:rPr>
        <w:t xml:space="preserve">                      服务项目</w:t>
      </w:r>
      <w:r>
        <w:rPr>
          <w:rFonts w:hint="eastAsia" w:ascii="宋体" w:hAnsi="宋体" w:eastAsia="宋体" w:cs="宋体"/>
          <w:szCs w:val="21"/>
        </w:rPr>
        <w:t>，达成以下合同条款：</w:t>
      </w:r>
    </w:p>
    <w:p w14:paraId="21680DD8">
      <w:pPr>
        <w:ind w:firstLine="482" w:firstLineChars="200"/>
        <w:rPr>
          <w:rFonts w:hint="eastAsia" w:ascii="宋体" w:hAnsi="宋体" w:eastAsia="宋体" w:cs="宋体"/>
          <w:b/>
          <w:bCs/>
          <w:szCs w:val="21"/>
        </w:rPr>
      </w:pPr>
      <w:r>
        <w:rPr>
          <w:rFonts w:hint="eastAsia" w:ascii="宋体" w:hAnsi="宋体" w:eastAsia="宋体" w:cs="宋体"/>
          <w:b/>
          <w:bCs/>
          <w:szCs w:val="21"/>
        </w:rPr>
        <w:t>第一条　项目概况</w:t>
      </w:r>
    </w:p>
    <w:p w14:paraId="2FE7E997">
      <w:pPr>
        <w:ind w:firstLine="480" w:firstLineChars="200"/>
        <w:rPr>
          <w:rFonts w:hint="eastAsia" w:ascii="宋体" w:hAnsi="宋体" w:eastAsia="宋体" w:cs="宋体"/>
          <w:szCs w:val="21"/>
        </w:rPr>
      </w:pPr>
      <w:r>
        <w:rPr>
          <w:rFonts w:hint="eastAsia" w:ascii="宋体" w:hAnsi="宋体" w:eastAsia="宋体" w:cs="宋体"/>
          <w:szCs w:val="21"/>
        </w:rPr>
        <w:t xml:space="preserve">项目名称： </w:t>
      </w:r>
    </w:p>
    <w:p w14:paraId="6EF922B0">
      <w:pPr>
        <w:ind w:firstLine="480" w:firstLineChars="200"/>
        <w:rPr>
          <w:rFonts w:hint="eastAsia" w:ascii="宋体" w:hAnsi="宋体" w:eastAsia="宋体" w:cs="宋体"/>
          <w:szCs w:val="21"/>
        </w:rPr>
      </w:pPr>
      <w:r>
        <w:rPr>
          <w:rFonts w:hint="eastAsia" w:ascii="宋体" w:hAnsi="宋体" w:eastAsia="宋体" w:cs="宋体"/>
          <w:szCs w:val="21"/>
        </w:rPr>
        <w:t xml:space="preserve">项目内容： </w:t>
      </w:r>
    </w:p>
    <w:p w14:paraId="66B4BC29">
      <w:pPr>
        <w:ind w:firstLine="480" w:firstLineChars="200"/>
        <w:rPr>
          <w:rFonts w:hint="eastAsia" w:ascii="宋体" w:hAnsi="宋体" w:eastAsia="宋体" w:cs="宋体"/>
          <w:szCs w:val="21"/>
        </w:rPr>
      </w:pPr>
      <w:r>
        <w:rPr>
          <w:rFonts w:hint="eastAsia" w:ascii="宋体" w:hAnsi="宋体" w:eastAsia="宋体" w:cs="宋体"/>
          <w:szCs w:val="21"/>
        </w:rPr>
        <w:t xml:space="preserve">服务时间： </w:t>
      </w:r>
    </w:p>
    <w:p w14:paraId="3EA36569">
      <w:pPr>
        <w:ind w:firstLine="480" w:firstLineChars="200"/>
        <w:rPr>
          <w:rFonts w:hint="eastAsia" w:ascii="宋体" w:hAnsi="宋体" w:eastAsia="宋体" w:cs="宋体"/>
          <w:szCs w:val="21"/>
        </w:rPr>
      </w:pPr>
      <w:r>
        <w:rPr>
          <w:rFonts w:hint="eastAsia" w:ascii="宋体" w:hAnsi="宋体" w:eastAsia="宋体" w:cs="宋体"/>
          <w:szCs w:val="21"/>
        </w:rPr>
        <w:t>合同价款：合同总价为</w:t>
      </w:r>
      <w:r>
        <w:rPr>
          <w:rFonts w:hint="eastAsia" w:ascii="宋体" w:hAnsi="宋体" w:eastAsia="宋体" w:cs="宋体"/>
          <w:szCs w:val="21"/>
          <w:u w:val="single"/>
        </w:rPr>
        <w:t xml:space="preserve">         </w:t>
      </w:r>
      <w:r>
        <w:rPr>
          <w:rFonts w:hint="eastAsia" w:ascii="宋体" w:hAnsi="宋体" w:eastAsia="宋体" w:cs="宋体"/>
          <w:szCs w:val="21"/>
        </w:rPr>
        <w:t>元，含一切税、费。</w:t>
      </w:r>
      <w:r>
        <w:rPr>
          <w:rFonts w:hint="eastAsia" w:ascii="宋体" w:hAnsi="宋体" w:eastAsia="宋体" w:cs="宋体"/>
        </w:rPr>
        <w:t>本合同总价包括</w:t>
      </w:r>
      <w:r>
        <w:rPr>
          <w:rFonts w:hint="eastAsia" w:ascii="宋体" w:hAnsi="宋体" w:eastAsia="宋体" w:cs="宋体"/>
          <w:szCs w:val="21"/>
        </w:rPr>
        <w:t>乙方为实施本项目荷载试验所需的设备仪器费、车辆租赁费、</w:t>
      </w:r>
      <w:r>
        <w:rPr>
          <w:rFonts w:hint="eastAsia" w:ascii="宋体" w:hAnsi="宋体" w:eastAsia="宋体" w:cs="宋体"/>
        </w:rPr>
        <w:t>服务和技术费用等，为固定不变价格，且不随通货膨胀的影响而波动。合同总价包括</w:t>
      </w:r>
      <w:r>
        <w:rPr>
          <w:rFonts w:hint="eastAsia" w:ascii="宋体" w:hAnsi="宋体" w:eastAsia="宋体" w:cs="宋体"/>
          <w:szCs w:val="21"/>
        </w:rPr>
        <w:t>乙方</w:t>
      </w:r>
      <w:r>
        <w:rPr>
          <w:rFonts w:hint="eastAsia" w:ascii="宋体" w:hAnsi="宋体" w:eastAsia="宋体" w:cs="宋体"/>
        </w:rPr>
        <w:t>履行本合同义务所发生的一切费用和支出和以各种方式寄送技术资料到甲方办公室所发生的费用。如发生本合同规定的不可抗力，合同总价可经双方友好协商予以调整。</w:t>
      </w:r>
    </w:p>
    <w:p w14:paraId="1D7631EE">
      <w:pPr>
        <w:pStyle w:val="8"/>
        <w:rPr>
          <w:rFonts w:hint="eastAsia" w:ascii="宋体" w:hAnsi="宋体" w:eastAsia="宋体" w:cs="宋体"/>
          <w:szCs w:val="21"/>
        </w:rPr>
      </w:pPr>
      <w:r>
        <w:rPr>
          <w:rFonts w:hint="eastAsia" w:ascii="宋体" w:hAnsi="宋体" w:eastAsia="宋体" w:cs="宋体"/>
          <w:szCs w:val="21"/>
        </w:rPr>
        <w:t>支付方式：分期支付。</w:t>
      </w:r>
    </w:p>
    <w:p w14:paraId="5A66478F">
      <w:pPr>
        <w:ind w:firstLine="482" w:firstLineChars="200"/>
        <w:rPr>
          <w:rFonts w:hint="eastAsia" w:ascii="宋体" w:hAnsi="宋体" w:eastAsia="宋体" w:cs="宋体"/>
          <w:b/>
          <w:bCs/>
          <w:szCs w:val="21"/>
        </w:rPr>
      </w:pPr>
      <w:r>
        <w:rPr>
          <w:rFonts w:hint="eastAsia" w:ascii="宋体" w:hAnsi="宋体" w:eastAsia="宋体" w:cs="宋体"/>
          <w:b/>
          <w:bCs/>
          <w:szCs w:val="21"/>
        </w:rPr>
        <w:t>第二条  服务范围</w:t>
      </w:r>
    </w:p>
    <w:p w14:paraId="20D41976">
      <w:pPr>
        <w:ind w:firstLine="480" w:firstLineChars="200"/>
        <w:rPr>
          <w:rFonts w:hint="eastAsia" w:ascii="宋体" w:hAnsi="宋体" w:eastAsia="宋体" w:cs="宋体"/>
          <w:szCs w:val="21"/>
        </w:rPr>
      </w:pPr>
      <w:r>
        <w:rPr>
          <w:rFonts w:hint="eastAsia" w:ascii="宋体" w:hAnsi="宋体" w:eastAsia="宋体" w:cs="宋体"/>
          <w:szCs w:val="21"/>
        </w:rPr>
        <w:t xml:space="preserve">1、  </w:t>
      </w:r>
    </w:p>
    <w:p w14:paraId="03E1758C">
      <w:pPr>
        <w:ind w:firstLine="480" w:firstLineChars="200"/>
        <w:rPr>
          <w:rFonts w:hint="eastAsia" w:ascii="宋体" w:hAnsi="宋体" w:eastAsia="宋体" w:cs="宋体"/>
          <w:szCs w:val="21"/>
        </w:rPr>
      </w:pPr>
      <w:r>
        <w:rPr>
          <w:rFonts w:hint="eastAsia" w:ascii="宋体" w:hAnsi="宋体" w:eastAsia="宋体" w:cs="宋体"/>
          <w:szCs w:val="21"/>
        </w:rPr>
        <w:t xml:space="preserve">2、  </w:t>
      </w:r>
    </w:p>
    <w:p w14:paraId="7B673FBE">
      <w:pPr>
        <w:ind w:firstLine="480" w:firstLineChars="200"/>
        <w:rPr>
          <w:rFonts w:hint="eastAsia" w:ascii="宋体" w:hAnsi="宋体" w:eastAsia="宋体" w:cs="宋体"/>
          <w:szCs w:val="21"/>
        </w:rPr>
      </w:pPr>
      <w:r>
        <w:rPr>
          <w:rFonts w:hint="eastAsia" w:ascii="宋体" w:hAnsi="宋体" w:eastAsia="宋体" w:cs="宋体"/>
          <w:szCs w:val="21"/>
        </w:rPr>
        <w:t xml:space="preserve">3、  </w:t>
      </w:r>
    </w:p>
    <w:p w14:paraId="43054B98">
      <w:pPr>
        <w:ind w:firstLine="480" w:firstLineChars="200"/>
        <w:rPr>
          <w:rFonts w:hint="eastAsia" w:ascii="宋体" w:hAnsi="宋体" w:eastAsia="宋体" w:cs="宋体"/>
          <w:szCs w:val="21"/>
        </w:rPr>
      </w:pPr>
      <w:r>
        <w:rPr>
          <w:rFonts w:hint="eastAsia" w:ascii="宋体" w:hAnsi="宋体" w:eastAsia="宋体" w:cs="宋体"/>
          <w:szCs w:val="21"/>
        </w:rPr>
        <w:t>4、 其他合同未明示的相关工作。</w:t>
      </w:r>
    </w:p>
    <w:p w14:paraId="3D31CB87">
      <w:pPr>
        <w:ind w:firstLine="482" w:firstLineChars="200"/>
        <w:rPr>
          <w:rFonts w:hint="eastAsia" w:ascii="宋体" w:hAnsi="宋体" w:eastAsia="宋体" w:cs="宋体"/>
          <w:b/>
          <w:bCs/>
          <w:szCs w:val="21"/>
        </w:rPr>
      </w:pPr>
      <w:r>
        <w:rPr>
          <w:rFonts w:hint="eastAsia" w:ascii="宋体" w:hAnsi="宋体" w:eastAsia="宋体" w:cs="宋体"/>
          <w:b/>
          <w:bCs/>
          <w:szCs w:val="21"/>
        </w:rPr>
        <w:t>第三条  时间要求及阶段成果</w:t>
      </w:r>
    </w:p>
    <w:p w14:paraId="3A59D48F">
      <w:pPr>
        <w:ind w:firstLine="480" w:firstLineChars="200"/>
        <w:rPr>
          <w:rFonts w:hint="eastAsia" w:ascii="宋体" w:hAnsi="宋体" w:eastAsia="宋体" w:cs="宋体"/>
          <w:szCs w:val="21"/>
        </w:rPr>
      </w:pPr>
      <w:r>
        <w:rPr>
          <w:rFonts w:hint="eastAsia" w:ascii="宋体" w:hAnsi="宋体" w:eastAsia="宋体" w:cs="宋体"/>
          <w:szCs w:val="21"/>
        </w:rPr>
        <w:t>1、合同签订</w:t>
      </w:r>
      <w:r>
        <w:rPr>
          <w:rFonts w:hint="eastAsia" w:ascii="宋体" w:hAnsi="宋体" w:eastAsia="宋体" w:cs="宋体"/>
          <w:szCs w:val="21"/>
          <w:u w:val="single"/>
        </w:rPr>
        <w:t xml:space="preserve">   </w:t>
      </w:r>
      <w:r>
        <w:rPr>
          <w:rFonts w:hint="eastAsia" w:ascii="宋体" w:hAnsi="宋体" w:eastAsia="宋体" w:cs="宋体"/>
          <w:szCs w:val="21"/>
        </w:rPr>
        <w:t>天内完成项目实施的准备工作，包括工作大纲和试验细则的编制；</w:t>
      </w:r>
    </w:p>
    <w:p w14:paraId="233C359D">
      <w:pPr>
        <w:ind w:firstLine="480" w:firstLineChars="200"/>
        <w:rPr>
          <w:rFonts w:hint="eastAsia" w:ascii="宋体" w:hAnsi="宋体" w:eastAsia="宋体" w:cs="宋体"/>
          <w:szCs w:val="21"/>
        </w:rPr>
      </w:pPr>
      <w:r>
        <w:rPr>
          <w:rFonts w:hint="eastAsia" w:ascii="宋体" w:hAnsi="宋体" w:eastAsia="宋体" w:cs="宋体"/>
          <w:szCs w:val="21"/>
        </w:rPr>
        <w:t xml:space="preserve">2、 </w:t>
      </w:r>
    </w:p>
    <w:p w14:paraId="57E17C55">
      <w:pPr>
        <w:ind w:firstLine="480" w:firstLineChars="200"/>
        <w:rPr>
          <w:rFonts w:hint="eastAsia" w:ascii="宋体" w:hAnsi="宋体" w:eastAsia="宋体" w:cs="宋体"/>
          <w:szCs w:val="21"/>
        </w:rPr>
      </w:pPr>
      <w:r>
        <w:rPr>
          <w:rFonts w:hint="eastAsia" w:ascii="宋体" w:hAnsi="宋体" w:eastAsia="宋体" w:cs="宋体"/>
          <w:szCs w:val="21"/>
        </w:rPr>
        <w:t>3、</w:t>
      </w:r>
    </w:p>
    <w:p w14:paraId="006BC0D8">
      <w:pPr>
        <w:ind w:firstLine="480" w:firstLineChars="200"/>
        <w:rPr>
          <w:rFonts w:hint="eastAsia" w:ascii="宋体" w:hAnsi="宋体" w:eastAsia="宋体" w:cs="宋体"/>
          <w:szCs w:val="21"/>
        </w:rPr>
      </w:pPr>
      <w:r>
        <w:rPr>
          <w:rFonts w:hint="eastAsia" w:ascii="宋体" w:hAnsi="宋体" w:eastAsia="宋体" w:cs="宋体"/>
          <w:szCs w:val="21"/>
        </w:rPr>
        <w:t>4、</w:t>
      </w:r>
    </w:p>
    <w:p w14:paraId="40D1CA87">
      <w:pPr>
        <w:ind w:firstLine="482" w:firstLineChars="200"/>
        <w:rPr>
          <w:rFonts w:hint="eastAsia" w:ascii="宋体" w:hAnsi="宋体" w:eastAsia="宋体" w:cs="宋体"/>
          <w:b/>
          <w:bCs/>
          <w:szCs w:val="21"/>
        </w:rPr>
      </w:pPr>
      <w:r>
        <w:rPr>
          <w:rFonts w:hint="eastAsia" w:ascii="宋体" w:hAnsi="宋体" w:eastAsia="宋体" w:cs="宋体"/>
          <w:b/>
          <w:bCs/>
          <w:szCs w:val="21"/>
        </w:rPr>
        <w:t>第四条  咨询服务资料归属</w:t>
      </w:r>
    </w:p>
    <w:p w14:paraId="4B536F64">
      <w:pPr>
        <w:ind w:firstLine="480" w:firstLineChars="200"/>
        <w:rPr>
          <w:rFonts w:hint="eastAsia" w:ascii="宋体" w:hAnsi="宋体" w:eastAsia="宋体" w:cs="宋体"/>
        </w:rPr>
      </w:pPr>
      <w:r>
        <w:rPr>
          <w:rFonts w:hint="eastAsia" w:ascii="宋体" w:hAnsi="宋体" w:eastAsia="宋体" w:cs="宋体"/>
        </w:rPr>
        <w:t>1、所有提交给甲方的咨询服务文件及相关的资料的最后文本，包括为履行技术咨询服务范围所编制的图纸、计划和证明资料等，都属于甲方的财产，</w:t>
      </w:r>
      <w:r>
        <w:rPr>
          <w:rFonts w:hint="eastAsia" w:ascii="宋体" w:hAnsi="宋体" w:eastAsia="宋体" w:cs="宋体"/>
          <w:szCs w:val="21"/>
        </w:rPr>
        <w:t>乙</w:t>
      </w:r>
      <w:r>
        <w:rPr>
          <w:rFonts w:hint="eastAsia" w:ascii="宋体" w:hAnsi="宋体" w:eastAsia="宋体" w:cs="宋体"/>
        </w:rPr>
        <w:t>方在提交给甲方之前应将上述资料进行整理归类和编制索引。</w:t>
      </w:r>
    </w:p>
    <w:p w14:paraId="5AE5262B">
      <w:pPr>
        <w:ind w:firstLine="480" w:firstLineChars="200"/>
        <w:rPr>
          <w:rFonts w:hint="eastAsia" w:ascii="宋体" w:hAnsi="宋体" w:eastAsia="宋体" w:cs="宋体"/>
        </w:rPr>
      </w:pPr>
      <w:r>
        <w:rPr>
          <w:rFonts w:hint="eastAsia" w:ascii="宋体" w:hAnsi="宋体" w:eastAsia="宋体" w:cs="宋体"/>
        </w:rPr>
        <w:t>2、</w:t>
      </w:r>
      <w:r>
        <w:rPr>
          <w:rFonts w:hint="eastAsia" w:ascii="宋体" w:hAnsi="宋体" w:eastAsia="宋体" w:cs="宋体"/>
          <w:szCs w:val="21"/>
        </w:rPr>
        <w:t>乙</w:t>
      </w:r>
      <w:r>
        <w:rPr>
          <w:rFonts w:hint="eastAsia" w:ascii="宋体" w:hAnsi="宋体" w:eastAsia="宋体" w:cs="宋体"/>
        </w:rPr>
        <w:t>方未经甲方的书面同意，不得将上述资料用于与本咨询服务项目之外的任何项目。</w:t>
      </w:r>
    </w:p>
    <w:p w14:paraId="23F62D78">
      <w:pPr>
        <w:ind w:firstLine="480" w:firstLineChars="200"/>
        <w:rPr>
          <w:rFonts w:hint="eastAsia" w:ascii="宋体" w:hAnsi="宋体" w:eastAsia="宋体" w:cs="宋体"/>
        </w:rPr>
      </w:pPr>
      <w:r>
        <w:rPr>
          <w:rFonts w:hint="eastAsia" w:ascii="宋体" w:hAnsi="宋体" w:eastAsia="宋体" w:cs="宋体"/>
        </w:rPr>
        <w:t>3、合同履行完毕，未经甲方的书面同意，</w:t>
      </w:r>
      <w:r>
        <w:rPr>
          <w:rFonts w:hint="eastAsia" w:ascii="宋体" w:hAnsi="宋体" w:eastAsia="宋体" w:cs="宋体"/>
          <w:szCs w:val="21"/>
        </w:rPr>
        <w:t>乙</w:t>
      </w:r>
      <w:r>
        <w:rPr>
          <w:rFonts w:hint="eastAsia" w:ascii="宋体" w:hAnsi="宋体" w:eastAsia="宋体" w:cs="宋体"/>
        </w:rPr>
        <w:t>方不得保存在履行合同过程中所获得或接触到的任何</w:t>
      </w:r>
      <w:r>
        <w:rPr>
          <w:rFonts w:hint="eastAsia" w:ascii="宋体" w:hAnsi="宋体" w:eastAsia="宋体" w:cs="宋体"/>
          <w:szCs w:val="21"/>
        </w:rPr>
        <w:t>内部数据资料。</w:t>
      </w:r>
    </w:p>
    <w:p w14:paraId="363B1303">
      <w:pPr>
        <w:ind w:firstLine="482" w:firstLineChars="200"/>
        <w:rPr>
          <w:rFonts w:hint="eastAsia" w:ascii="宋体" w:hAnsi="宋体" w:eastAsia="宋体" w:cs="宋体"/>
          <w:b/>
          <w:bCs/>
          <w:szCs w:val="21"/>
        </w:rPr>
      </w:pPr>
      <w:r>
        <w:rPr>
          <w:rFonts w:hint="eastAsia" w:ascii="宋体" w:hAnsi="宋体" w:eastAsia="宋体" w:cs="宋体"/>
          <w:b/>
          <w:bCs/>
          <w:szCs w:val="21"/>
        </w:rPr>
        <w:t>第五条  甲方的义务</w:t>
      </w:r>
    </w:p>
    <w:p w14:paraId="13551955">
      <w:pPr>
        <w:ind w:firstLine="480" w:firstLineChars="200"/>
        <w:rPr>
          <w:rFonts w:hint="eastAsia" w:ascii="宋体" w:hAnsi="宋体" w:eastAsia="宋体" w:cs="宋体"/>
          <w:szCs w:val="21"/>
        </w:rPr>
      </w:pPr>
      <w:r>
        <w:rPr>
          <w:rFonts w:hint="eastAsia" w:ascii="宋体" w:hAnsi="宋体" w:eastAsia="宋体" w:cs="宋体"/>
          <w:szCs w:val="21"/>
        </w:rPr>
        <w:t>1、负责与本咨询服务项目有关的第三方的协调，提供开展咨询服务工作的外部条件。</w:t>
      </w:r>
    </w:p>
    <w:p w14:paraId="42B9910B">
      <w:pPr>
        <w:ind w:firstLine="480" w:firstLineChars="200"/>
        <w:rPr>
          <w:rFonts w:hint="eastAsia" w:ascii="宋体" w:hAnsi="宋体" w:eastAsia="宋体" w:cs="宋体"/>
          <w:szCs w:val="21"/>
        </w:rPr>
      </w:pPr>
      <w:r>
        <w:rPr>
          <w:rFonts w:hint="eastAsia" w:ascii="宋体" w:hAnsi="宋体" w:eastAsia="宋体" w:cs="宋体"/>
          <w:szCs w:val="21"/>
        </w:rPr>
        <w:t>2、向乙方提供与本项目咨询服务工作有关的资料。</w:t>
      </w:r>
    </w:p>
    <w:p w14:paraId="63FE318E">
      <w:pPr>
        <w:ind w:firstLine="480" w:firstLineChars="200"/>
        <w:rPr>
          <w:rFonts w:hint="eastAsia" w:ascii="宋体" w:hAnsi="宋体" w:eastAsia="宋体" w:cs="宋体"/>
          <w:szCs w:val="21"/>
        </w:rPr>
      </w:pPr>
      <w:r>
        <w:rPr>
          <w:rFonts w:hint="eastAsia" w:ascii="宋体" w:hAnsi="宋体" w:eastAsia="宋体" w:cs="宋体"/>
          <w:szCs w:val="21"/>
        </w:rPr>
        <w:t>3、负责组织有关专家对项目试验成果评估报告的评审。</w:t>
      </w:r>
    </w:p>
    <w:p w14:paraId="29BFF745">
      <w:pPr>
        <w:ind w:firstLine="482" w:firstLineChars="200"/>
        <w:rPr>
          <w:rFonts w:hint="eastAsia" w:ascii="宋体" w:hAnsi="宋体" w:eastAsia="宋体" w:cs="宋体"/>
          <w:b/>
          <w:bCs/>
          <w:szCs w:val="21"/>
        </w:rPr>
      </w:pPr>
      <w:r>
        <w:rPr>
          <w:rFonts w:hint="eastAsia" w:ascii="宋体" w:hAnsi="宋体" w:eastAsia="宋体" w:cs="宋体"/>
          <w:b/>
          <w:bCs/>
          <w:szCs w:val="21"/>
        </w:rPr>
        <w:t>第七条　乙方的义务</w:t>
      </w:r>
    </w:p>
    <w:p w14:paraId="447DCE02">
      <w:pPr>
        <w:ind w:firstLine="480" w:firstLineChars="200"/>
        <w:rPr>
          <w:rFonts w:hint="eastAsia" w:ascii="宋体" w:hAnsi="宋体" w:eastAsia="宋体" w:cs="宋体"/>
          <w:szCs w:val="21"/>
        </w:rPr>
      </w:pPr>
      <w:r>
        <w:rPr>
          <w:rFonts w:hint="eastAsia" w:ascii="宋体" w:hAnsi="宋体" w:eastAsia="宋体" w:cs="宋体"/>
          <w:szCs w:val="21"/>
        </w:rPr>
        <w:t>１、应按照</w:t>
      </w:r>
      <w:r>
        <w:rPr>
          <w:rFonts w:hint="eastAsia" w:ascii="宋体" w:hAnsi="宋体" w:eastAsia="宋体" w:cs="宋体"/>
          <w:szCs w:val="21"/>
          <w:u w:val="single"/>
        </w:rPr>
        <w:t xml:space="preserve">          </w:t>
      </w:r>
      <w:r>
        <w:rPr>
          <w:rFonts w:hint="eastAsia" w:ascii="宋体" w:hAnsi="宋体" w:eastAsia="宋体" w:cs="宋体"/>
          <w:szCs w:val="21"/>
        </w:rPr>
        <w:t>号招标文件、乙方投标文件要求按期完成本项目咨询服务工作。</w:t>
      </w:r>
    </w:p>
    <w:p w14:paraId="2955088E">
      <w:pPr>
        <w:ind w:firstLine="480" w:firstLineChars="200"/>
        <w:rPr>
          <w:rFonts w:hint="eastAsia" w:ascii="宋体" w:hAnsi="宋体" w:eastAsia="宋体" w:cs="宋体"/>
          <w:szCs w:val="21"/>
        </w:rPr>
      </w:pPr>
      <w:r>
        <w:rPr>
          <w:rFonts w:hint="eastAsia" w:ascii="宋体" w:hAnsi="宋体" w:eastAsia="宋体" w:cs="宋体"/>
          <w:szCs w:val="21"/>
        </w:rPr>
        <w:t>2、负责组织项目的实施，保证工程进度和成桥荷载试验工作质量，并满足交通部交工验收相关标准。</w:t>
      </w:r>
    </w:p>
    <w:p w14:paraId="3E3603A8">
      <w:pPr>
        <w:ind w:firstLine="48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rPr>
        <w:t>向甲方提交检测资料等各</w:t>
      </w:r>
      <w:r>
        <w:rPr>
          <w:rFonts w:hint="eastAsia" w:ascii="宋体" w:hAnsi="宋体" w:eastAsia="宋体" w:cs="宋体"/>
          <w:u w:val="single"/>
        </w:rPr>
        <w:t xml:space="preserve">      </w:t>
      </w:r>
      <w:r>
        <w:rPr>
          <w:rFonts w:hint="eastAsia" w:ascii="宋体" w:hAnsi="宋体" w:eastAsia="宋体" w:cs="宋体"/>
        </w:rPr>
        <w:t>套，一套电子版文件。</w:t>
      </w:r>
    </w:p>
    <w:p w14:paraId="3937163A">
      <w:pPr>
        <w:ind w:firstLine="480" w:firstLineChars="200"/>
        <w:rPr>
          <w:rFonts w:hint="eastAsia" w:ascii="宋体" w:hAnsi="宋体" w:eastAsia="宋体" w:cs="宋体"/>
          <w:szCs w:val="21"/>
        </w:rPr>
      </w:pPr>
      <w:r>
        <w:rPr>
          <w:rFonts w:hint="eastAsia" w:ascii="宋体" w:hAnsi="宋体" w:eastAsia="宋体" w:cs="宋体"/>
          <w:szCs w:val="21"/>
        </w:rPr>
        <w:t>4、在履行合同期间或合同规定期限内，不得泄露与本合同规定业务活动有关的保密资料。</w:t>
      </w:r>
    </w:p>
    <w:p w14:paraId="115C92E1">
      <w:pPr>
        <w:ind w:firstLine="482" w:firstLineChars="200"/>
        <w:rPr>
          <w:rFonts w:hint="eastAsia" w:ascii="宋体" w:hAnsi="宋体" w:eastAsia="宋体" w:cs="宋体"/>
          <w:b/>
          <w:bCs/>
          <w:szCs w:val="21"/>
        </w:rPr>
      </w:pPr>
      <w:r>
        <w:rPr>
          <w:rFonts w:hint="eastAsia" w:ascii="宋体" w:hAnsi="宋体" w:eastAsia="宋体" w:cs="宋体"/>
          <w:b/>
          <w:bCs/>
          <w:szCs w:val="21"/>
        </w:rPr>
        <w:t>第八条  甲方的权利</w:t>
      </w:r>
    </w:p>
    <w:p w14:paraId="277B731E">
      <w:pPr>
        <w:ind w:firstLine="480" w:firstLineChars="200"/>
        <w:rPr>
          <w:rFonts w:hint="eastAsia" w:ascii="宋体" w:hAnsi="宋体" w:eastAsia="宋体" w:cs="宋体"/>
          <w:szCs w:val="21"/>
        </w:rPr>
      </w:pPr>
      <w:r>
        <w:rPr>
          <w:rFonts w:hint="eastAsia" w:ascii="宋体" w:hAnsi="宋体" w:eastAsia="宋体" w:cs="宋体"/>
          <w:szCs w:val="21"/>
        </w:rPr>
        <w:t>1、有权向乙方询问工作进展情况及相关的内容。</w:t>
      </w:r>
    </w:p>
    <w:p w14:paraId="45FC1446">
      <w:pPr>
        <w:ind w:firstLine="480" w:firstLineChars="200"/>
        <w:rPr>
          <w:rFonts w:hint="eastAsia" w:ascii="宋体" w:hAnsi="宋体" w:eastAsia="宋体" w:cs="宋体"/>
          <w:szCs w:val="21"/>
        </w:rPr>
      </w:pPr>
      <w:r>
        <w:rPr>
          <w:rFonts w:hint="eastAsia" w:ascii="宋体" w:hAnsi="宋体" w:eastAsia="宋体" w:cs="宋体"/>
          <w:szCs w:val="21"/>
        </w:rPr>
        <w:t>2、有权阐述对具体问题的意见和建议。</w:t>
      </w:r>
    </w:p>
    <w:p w14:paraId="72A29B1E">
      <w:pPr>
        <w:ind w:firstLine="480" w:firstLineChars="200"/>
        <w:rPr>
          <w:rFonts w:hint="eastAsia" w:ascii="宋体" w:hAnsi="宋体" w:eastAsia="宋体" w:cs="宋体"/>
          <w:szCs w:val="21"/>
        </w:rPr>
      </w:pPr>
      <w:r>
        <w:rPr>
          <w:rFonts w:hint="eastAsia" w:ascii="宋体" w:hAnsi="宋体" w:eastAsia="宋体" w:cs="宋体"/>
          <w:szCs w:val="21"/>
        </w:rPr>
        <w:t>3、当甲方认定乙方人员不按合同履行其职责，或与第三人串通给甲方造成经济损失的，甲方有权要求更换人员，直至终止合同并要求乙方承担相应的赔偿责任。</w:t>
      </w:r>
    </w:p>
    <w:p w14:paraId="6325B7FF">
      <w:pPr>
        <w:ind w:firstLine="482" w:firstLineChars="200"/>
        <w:rPr>
          <w:rFonts w:hint="eastAsia" w:ascii="宋体" w:hAnsi="宋体" w:eastAsia="宋体" w:cs="宋体"/>
          <w:b/>
          <w:bCs/>
          <w:szCs w:val="21"/>
        </w:rPr>
      </w:pPr>
      <w:r>
        <w:rPr>
          <w:rFonts w:hint="eastAsia" w:ascii="宋体" w:hAnsi="宋体" w:eastAsia="宋体" w:cs="宋体"/>
          <w:b/>
          <w:bCs/>
          <w:szCs w:val="21"/>
        </w:rPr>
        <w:t>第九条  乙方的权利</w:t>
      </w:r>
    </w:p>
    <w:p w14:paraId="39109345">
      <w:pPr>
        <w:ind w:firstLine="480" w:firstLineChars="200"/>
        <w:rPr>
          <w:rFonts w:hint="eastAsia" w:ascii="宋体" w:hAnsi="宋体" w:eastAsia="宋体" w:cs="宋体"/>
          <w:szCs w:val="21"/>
        </w:rPr>
      </w:pPr>
      <w:r>
        <w:rPr>
          <w:rFonts w:hint="eastAsia" w:ascii="宋体" w:hAnsi="宋体" w:eastAsia="宋体" w:cs="宋体"/>
          <w:szCs w:val="21"/>
        </w:rPr>
        <w:t>1、乙方在本项目服务过程中，如甲方提供的资料不明确时可向甲方提出书面报告。</w:t>
      </w:r>
    </w:p>
    <w:p w14:paraId="4BEE8B8B">
      <w:pPr>
        <w:ind w:firstLine="480" w:firstLineChars="200"/>
        <w:rPr>
          <w:rFonts w:hint="eastAsia" w:ascii="宋体" w:hAnsi="宋体" w:eastAsia="宋体" w:cs="宋体"/>
          <w:szCs w:val="21"/>
        </w:rPr>
      </w:pPr>
      <w:r>
        <w:rPr>
          <w:rFonts w:hint="eastAsia" w:ascii="宋体" w:hAnsi="宋体" w:eastAsia="宋体" w:cs="宋体"/>
          <w:szCs w:val="21"/>
        </w:rPr>
        <w:t>2、乙方在本项目服务过程中，有权对第三方提出与本咨询服务业务有关的问题进行核对或查问。</w:t>
      </w:r>
    </w:p>
    <w:p w14:paraId="196C264B">
      <w:pPr>
        <w:ind w:firstLine="480" w:firstLineChars="200"/>
        <w:rPr>
          <w:rFonts w:hint="eastAsia" w:ascii="宋体" w:hAnsi="宋体" w:eastAsia="宋体" w:cs="宋体"/>
          <w:szCs w:val="21"/>
        </w:rPr>
      </w:pPr>
      <w:r>
        <w:rPr>
          <w:rFonts w:hint="eastAsia" w:ascii="宋体" w:hAnsi="宋体" w:eastAsia="宋体" w:cs="宋体"/>
          <w:szCs w:val="21"/>
        </w:rPr>
        <w:t>3、乙方在本项目服务过程中，有到工程现场勘察的权利。</w:t>
      </w:r>
    </w:p>
    <w:p w14:paraId="6505DA12">
      <w:pPr>
        <w:ind w:firstLine="482" w:firstLineChars="200"/>
        <w:rPr>
          <w:rFonts w:hint="eastAsia" w:ascii="宋体" w:hAnsi="宋体" w:eastAsia="宋体" w:cs="宋体"/>
          <w:b/>
          <w:bCs/>
          <w:szCs w:val="21"/>
        </w:rPr>
      </w:pPr>
      <w:r>
        <w:rPr>
          <w:rFonts w:hint="eastAsia" w:ascii="宋体" w:hAnsi="宋体" w:eastAsia="宋体" w:cs="宋体"/>
          <w:b/>
          <w:bCs/>
          <w:szCs w:val="21"/>
        </w:rPr>
        <w:t>第十条  甲方的责任</w:t>
      </w:r>
    </w:p>
    <w:p w14:paraId="2C8BC1AD">
      <w:pPr>
        <w:ind w:firstLine="480" w:firstLineChars="200"/>
        <w:rPr>
          <w:rFonts w:hint="eastAsia" w:ascii="宋体" w:hAnsi="宋体" w:eastAsia="宋体" w:cs="宋体"/>
          <w:szCs w:val="21"/>
        </w:rPr>
      </w:pPr>
      <w:r>
        <w:rPr>
          <w:rFonts w:hint="eastAsia" w:ascii="宋体" w:hAnsi="宋体" w:eastAsia="宋体" w:cs="宋体"/>
          <w:szCs w:val="21"/>
        </w:rPr>
        <w:t>1、应当履行本合同约定的义务，如有违反则应当承担违约责任，赔偿给乙方造成的损失。</w:t>
      </w:r>
    </w:p>
    <w:p w14:paraId="0891DB39">
      <w:pPr>
        <w:ind w:firstLine="480" w:firstLineChars="200"/>
        <w:rPr>
          <w:rFonts w:hint="eastAsia" w:ascii="宋体" w:hAnsi="宋体" w:eastAsia="宋体" w:cs="宋体"/>
          <w:szCs w:val="21"/>
        </w:rPr>
      </w:pPr>
      <w:r>
        <w:rPr>
          <w:rFonts w:hint="eastAsia" w:ascii="宋体" w:hAnsi="宋体" w:eastAsia="宋体" w:cs="宋体"/>
          <w:szCs w:val="21"/>
        </w:rPr>
        <w:t>2、甲方向乙方提出赔偿要求不能成立时，则应补偿由于该赔偿或其他要求所导致乙方的各种费用的支出。</w:t>
      </w:r>
    </w:p>
    <w:p w14:paraId="5E93D739">
      <w:pPr>
        <w:ind w:firstLine="482" w:firstLineChars="200"/>
        <w:rPr>
          <w:rFonts w:hint="eastAsia" w:ascii="宋体" w:hAnsi="宋体" w:eastAsia="宋体" w:cs="宋体"/>
          <w:b/>
          <w:bCs/>
          <w:szCs w:val="21"/>
        </w:rPr>
      </w:pPr>
      <w:r>
        <w:rPr>
          <w:rFonts w:hint="eastAsia" w:ascii="宋体" w:hAnsi="宋体" w:eastAsia="宋体" w:cs="宋体"/>
          <w:b/>
          <w:bCs/>
          <w:szCs w:val="21"/>
        </w:rPr>
        <w:t>第十一条  乙方的责任</w:t>
      </w:r>
    </w:p>
    <w:p w14:paraId="68B4846A">
      <w:pPr>
        <w:ind w:firstLine="480" w:firstLineChars="200"/>
        <w:rPr>
          <w:rFonts w:hint="eastAsia" w:ascii="宋体" w:hAnsi="宋体" w:eastAsia="宋体" w:cs="宋体"/>
          <w:szCs w:val="21"/>
        </w:rPr>
      </w:pPr>
      <w:r>
        <w:rPr>
          <w:rFonts w:hint="eastAsia" w:ascii="宋体" w:hAnsi="宋体" w:eastAsia="宋体" w:cs="宋体"/>
          <w:szCs w:val="21"/>
        </w:rPr>
        <w:t>1、乙方的责任期即本合同有效期。如因非乙方的责任造成进度的推迟或延误而超过约定的日期，双方应进一步约定相应延长合同有效期。</w:t>
      </w:r>
    </w:p>
    <w:p w14:paraId="7048C71F">
      <w:pPr>
        <w:ind w:firstLine="480" w:firstLineChars="200"/>
        <w:rPr>
          <w:rFonts w:hint="eastAsia" w:ascii="宋体" w:hAnsi="宋体" w:eastAsia="宋体" w:cs="宋体"/>
          <w:szCs w:val="21"/>
        </w:rPr>
      </w:pPr>
      <w:r>
        <w:rPr>
          <w:rFonts w:hint="eastAsia" w:ascii="宋体" w:hAnsi="宋体" w:eastAsia="宋体" w:cs="宋体"/>
          <w:szCs w:val="21"/>
        </w:rPr>
        <w:t>2、乙方的责任期内，应当履行本合同中约定的义务，因乙方的单方过失造成的经济损失，应当向甲方进行赔偿。</w:t>
      </w:r>
    </w:p>
    <w:p w14:paraId="330BF0B1">
      <w:pPr>
        <w:ind w:firstLine="480" w:firstLineChars="200"/>
        <w:rPr>
          <w:rFonts w:hint="eastAsia" w:ascii="宋体" w:hAnsi="宋体" w:eastAsia="宋体" w:cs="宋体"/>
          <w:szCs w:val="21"/>
        </w:rPr>
      </w:pPr>
      <w:r>
        <w:rPr>
          <w:rFonts w:hint="eastAsia" w:ascii="宋体" w:hAnsi="宋体" w:eastAsia="宋体" w:cs="宋体"/>
          <w:szCs w:val="21"/>
        </w:rPr>
        <w:t>3、乙方对甲方或第三方所提出的问题不能及时核对或答复，导致合同不能全部或部分履行，乙方应承担责任。</w:t>
      </w:r>
    </w:p>
    <w:p w14:paraId="6C1D76A9">
      <w:pPr>
        <w:ind w:firstLine="480" w:firstLineChars="200"/>
        <w:rPr>
          <w:rFonts w:hint="eastAsia" w:ascii="宋体" w:hAnsi="宋体" w:eastAsia="宋体" w:cs="宋体"/>
          <w:szCs w:val="21"/>
        </w:rPr>
      </w:pPr>
      <w:r>
        <w:rPr>
          <w:rFonts w:hint="eastAsia" w:ascii="宋体" w:hAnsi="宋体" w:eastAsia="宋体" w:cs="宋体"/>
          <w:szCs w:val="21"/>
        </w:rPr>
        <w:t>4、乙方向甲方提出赔偿要求不能成立时，则应补偿由于该赔偿或其他要求所导致甲方的各种费用的支出。</w:t>
      </w:r>
    </w:p>
    <w:p w14:paraId="415E32B9">
      <w:pPr>
        <w:ind w:firstLine="482" w:firstLineChars="200"/>
        <w:rPr>
          <w:rFonts w:hint="eastAsia" w:ascii="宋体" w:hAnsi="宋体" w:eastAsia="宋体" w:cs="宋体"/>
          <w:b/>
          <w:bCs/>
          <w:szCs w:val="21"/>
        </w:rPr>
      </w:pPr>
      <w:r>
        <w:rPr>
          <w:rFonts w:hint="eastAsia" w:ascii="宋体" w:hAnsi="宋体" w:eastAsia="宋体" w:cs="宋体"/>
          <w:b/>
          <w:bCs/>
          <w:szCs w:val="21"/>
        </w:rPr>
        <w:t>第十二条  人员要求</w:t>
      </w:r>
    </w:p>
    <w:p w14:paraId="55CCAA76">
      <w:pPr>
        <w:ind w:firstLine="480" w:firstLineChars="200"/>
        <w:rPr>
          <w:rFonts w:hint="eastAsia" w:ascii="宋体" w:hAnsi="宋体" w:eastAsia="宋体" w:cs="宋体"/>
          <w:szCs w:val="21"/>
        </w:rPr>
      </w:pPr>
      <w:r>
        <w:rPr>
          <w:rFonts w:hint="eastAsia" w:ascii="宋体" w:hAnsi="宋体" w:eastAsia="宋体" w:cs="宋体"/>
          <w:szCs w:val="21"/>
        </w:rPr>
        <w:t>1、参加本项目试验的人员必须具有国家和有关部门规定的相应资质。</w:t>
      </w:r>
    </w:p>
    <w:p w14:paraId="27B4671B">
      <w:pPr>
        <w:ind w:firstLine="480" w:firstLineChars="200"/>
        <w:rPr>
          <w:rFonts w:hint="eastAsia" w:ascii="宋体" w:hAnsi="宋体" w:eastAsia="宋体" w:cs="宋体"/>
          <w:szCs w:val="21"/>
        </w:rPr>
      </w:pPr>
      <w:r>
        <w:rPr>
          <w:rFonts w:hint="eastAsia" w:ascii="宋体" w:hAnsi="宋体" w:eastAsia="宋体" w:cs="宋体"/>
          <w:szCs w:val="21"/>
        </w:rPr>
        <w:t>2、 参加本项目的试验人员的配置必须与投标文件中的服务承诺书和试验服务组织实施方案一致。</w:t>
      </w:r>
    </w:p>
    <w:p w14:paraId="4EE44269">
      <w:pPr>
        <w:ind w:firstLine="480" w:firstLineChars="200"/>
        <w:rPr>
          <w:rFonts w:hint="eastAsia" w:ascii="宋体" w:hAnsi="宋体" w:eastAsia="宋体" w:cs="宋体"/>
          <w:szCs w:val="21"/>
        </w:rPr>
      </w:pPr>
      <w:r>
        <w:rPr>
          <w:rFonts w:hint="eastAsia" w:ascii="宋体" w:hAnsi="宋体" w:eastAsia="宋体" w:cs="宋体"/>
          <w:szCs w:val="21"/>
        </w:rPr>
        <w:t>3、必须以直属试验人员参与本项目服务，不得使用挂靠队伍。</w:t>
      </w:r>
    </w:p>
    <w:p w14:paraId="25D49A8D">
      <w:pPr>
        <w:ind w:firstLine="482" w:firstLineChars="200"/>
        <w:rPr>
          <w:rFonts w:hint="eastAsia" w:ascii="宋体" w:hAnsi="宋体" w:eastAsia="宋体" w:cs="宋体"/>
          <w:b/>
          <w:bCs/>
          <w:szCs w:val="21"/>
        </w:rPr>
      </w:pPr>
      <w:r>
        <w:rPr>
          <w:rFonts w:hint="eastAsia" w:ascii="宋体" w:hAnsi="宋体" w:eastAsia="宋体" w:cs="宋体"/>
          <w:b/>
          <w:bCs/>
          <w:szCs w:val="21"/>
        </w:rPr>
        <w:t>第十三条  乙方咨询服务工具要求</w:t>
      </w:r>
    </w:p>
    <w:p w14:paraId="6839D5FB">
      <w:pPr>
        <w:ind w:firstLine="480" w:firstLineChars="200"/>
        <w:rPr>
          <w:rFonts w:hint="eastAsia" w:ascii="宋体" w:hAnsi="宋体" w:eastAsia="宋体" w:cs="宋体"/>
          <w:szCs w:val="21"/>
        </w:rPr>
      </w:pPr>
      <w:r>
        <w:rPr>
          <w:rFonts w:hint="eastAsia" w:ascii="宋体" w:hAnsi="宋体" w:eastAsia="宋体" w:cs="宋体"/>
          <w:szCs w:val="21"/>
        </w:rPr>
        <w:t>1、乙方应配备中标项目所需的足够数量的仪器、仪表以及工具等设备。用户不需向乙方提供施工工具和仪器、仪表。</w:t>
      </w:r>
    </w:p>
    <w:p w14:paraId="0DD2F852">
      <w:pPr>
        <w:ind w:firstLine="480" w:firstLineChars="200"/>
        <w:rPr>
          <w:rFonts w:hint="eastAsia" w:ascii="宋体" w:hAnsi="宋体" w:eastAsia="宋体" w:cs="宋体"/>
          <w:szCs w:val="21"/>
        </w:rPr>
      </w:pPr>
      <w:r>
        <w:rPr>
          <w:rFonts w:hint="eastAsia" w:ascii="宋体" w:hAnsi="宋体" w:eastAsia="宋体" w:cs="宋体"/>
          <w:szCs w:val="21"/>
        </w:rPr>
        <w:t>2、乙方在提供服务过程中应自备车辆。</w:t>
      </w:r>
    </w:p>
    <w:p w14:paraId="718D181C">
      <w:pPr>
        <w:ind w:firstLine="482" w:firstLineChars="200"/>
        <w:rPr>
          <w:rFonts w:hint="eastAsia" w:ascii="宋体" w:hAnsi="宋体" w:eastAsia="宋体" w:cs="宋体"/>
          <w:b/>
          <w:bCs/>
          <w:szCs w:val="21"/>
        </w:rPr>
      </w:pPr>
      <w:r>
        <w:rPr>
          <w:rFonts w:hint="eastAsia" w:ascii="宋体" w:hAnsi="宋体" w:eastAsia="宋体" w:cs="宋体"/>
          <w:b/>
          <w:bCs/>
          <w:szCs w:val="21"/>
        </w:rPr>
        <w:t>第十四条  保密要求</w:t>
      </w:r>
    </w:p>
    <w:p w14:paraId="4CE2DE76">
      <w:pPr>
        <w:ind w:firstLine="480" w:firstLineChars="200"/>
        <w:rPr>
          <w:rFonts w:hint="eastAsia" w:ascii="宋体" w:hAnsi="宋体" w:eastAsia="宋体" w:cs="宋体"/>
          <w:szCs w:val="21"/>
        </w:rPr>
      </w:pPr>
      <w:r>
        <w:rPr>
          <w:rFonts w:hint="eastAsia" w:ascii="宋体" w:hAnsi="宋体" w:eastAsia="宋体" w:cs="宋体"/>
          <w:szCs w:val="21"/>
        </w:rPr>
        <w:t>1、由甲方收集的、开发的、整理的、复制的、研究的和准备的与本合同项下工作有关的所有资料在提供给乙方时，均被视为保密的，不得泄漏给除甲方或其指定的代表之外的任何人、企业或公司，不管本合同因何种原因终止，本条款一直约束乙方。</w:t>
      </w:r>
    </w:p>
    <w:p w14:paraId="367D2B1C">
      <w:pPr>
        <w:ind w:firstLine="480" w:firstLineChars="200"/>
        <w:rPr>
          <w:rFonts w:hint="eastAsia" w:ascii="宋体" w:hAnsi="宋体" w:eastAsia="宋体" w:cs="宋体"/>
          <w:szCs w:val="21"/>
        </w:rPr>
      </w:pPr>
      <w:r>
        <w:rPr>
          <w:rFonts w:hint="eastAsia" w:ascii="宋体" w:hAnsi="宋体" w:eastAsia="宋体" w:cs="宋体"/>
          <w:szCs w:val="21"/>
        </w:rPr>
        <w:t>2、乙方在履行合同过程中所获得或接触到的任何内部数据资料，未经甲方同意，不得向第三方透露。</w:t>
      </w:r>
    </w:p>
    <w:p w14:paraId="7AEBADA1">
      <w:pPr>
        <w:ind w:firstLine="480" w:firstLineChars="200"/>
        <w:rPr>
          <w:rFonts w:hint="eastAsia" w:ascii="宋体" w:hAnsi="宋体" w:eastAsia="宋体" w:cs="宋体"/>
          <w:szCs w:val="21"/>
        </w:rPr>
      </w:pPr>
      <w:r>
        <w:rPr>
          <w:rFonts w:hint="eastAsia" w:ascii="宋体" w:hAnsi="宋体" w:eastAsia="宋体" w:cs="宋体"/>
          <w:szCs w:val="21"/>
        </w:rPr>
        <w:t>3、乙方实施项目的一切程序都应符合国家安全、保密的有关规定和标准。</w:t>
      </w:r>
    </w:p>
    <w:p w14:paraId="3E70FF3C">
      <w:pPr>
        <w:ind w:firstLine="480" w:firstLineChars="200"/>
        <w:rPr>
          <w:rFonts w:hint="eastAsia" w:ascii="宋体" w:hAnsi="宋体" w:eastAsia="宋体" w:cs="宋体"/>
          <w:szCs w:val="21"/>
        </w:rPr>
      </w:pPr>
      <w:r>
        <w:rPr>
          <w:rFonts w:hint="eastAsia" w:ascii="宋体" w:hAnsi="宋体" w:eastAsia="宋体" w:cs="宋体"/>
          <w:szCs w:val="21"/>
        </w:rPr>
        <w:t>4、乙方参加项目的有关人员均需同甲方签订保密协议。</w:t>
      </w:r>
    </w:p>
    <w:p w14:paraId="0FFC837B">
      <w:pPr>
        <w:ind w:firstLine="482" w:firstLineChars="200"/>
        <w:rPr>
          <w:rFonts w:hint="eastAsia" w:ascii="宋体" w:hAnsi="宋体" w:eastAsia="宋体" w:cs="宋体"/>
          <w:b/>
          <w:bCs/>
          <w:szCs w:val="21"/>
        </w:rPr>
      </w:pPr>
      <w:r>
        <w:rPr>
          <w:rFonts w:hint="eastAsia" w:ascii="宋体" w:hAnsi="宋体" w:eastAsia="宋体" w:cs="宋体"/>
          <w:b/>
          <w:bCs/>
          <w:szCs w:val="21"/>
        </w:rPr>
        <w:t xml:space="preserve">第十五条  验收     </w:t>
      </w:r>
    </w:p>
    <w:p w14:paraId="654CC1A0">
      <w:pPr>
        <w:ind w:firstLine="480" w:firstLineChars="200"/>
        <w:rPr>
          <w:rFonts w:hint="eastAsia" w:ascii="宋体" w:hAnsi="宋体" w:eastAsia="宋体" w:cs="宋体"/>
          <w:szCs w:val="21"/>
        </w:rPr>
      </w:pPr>
      <w:r>
        <w:rPr>
          <w:rFonts w:hint="eastAsia" w:ascii="宋体" w:hAnsi="宋体" w:eastAsia="宋体" w:cs="宋体"/>
          <w:szCs w:val="21"/>
        </w:rPr>
        <w:t>1、下列文件的验收分为</w:t>
      </w:r>
      <w:r>
        <w:rPr>
          <w:rFonts w:hint="eastAsia" w:ascii="宋体" w:hAnsi="宋体" w:eastAsia="宋体" w:cs="宋体"/>
          <w:szCs w:val="21"/>
          <w:u w:val="single"/>
        </w:rPr>
        <w:t xml:space="preserve">          三</w:t>
      </w:r>
      <w:r>
        <w:rPr>
          <w:rFonts w:hint="eastAsia" w:ascii="宋体" w:hAnsi="宋体" w:eastAsia="宋体" w:cs="宋体"/>
          <w:szCs w:val="21"/>
        </w:rPr>
        <w:t>个阶段:</w:t>
      </w:r>
    </w:p>
    <w:p w14:paraId="4CACFCF4">
      <w:pPr>
        <w:ind w:firstLine="480" w:firstLineChars="200"/>
        <w:rPr>
          <w:rFonts w:hint="eastAsia" w:ascii="宋体" w:hAnsi="宋体" w:eastAsia="宋体" w:cs="宋体"/>
          <w:szCs w:val="21"/>
        </w:rPr>
      </w:pPr>
      <w:r>
        <w:rPr>
          <w:rFonts w:hint="eastAsia" w:ascii="宋体" w:hAnsi="宋体" w:eastAsia="宋体" w:cs="宋体"/>
          <w:szCs w:val="21"/>
        </w:rPr>
        <w:t>2、其余文件和工作由用户组织有关技术人员根据国家和行业有关规范、规程、标准和用户需求直接验收。</w:t>
      </w:r>
    </w:p>
    <w:p w14:paraId="2370F0B6">
      <w:pPr>
        <w:ind w:firstLine="480" w:firstLineChars="200"/>
        <w:rPr>
          <w:rFonts w:hint="eastAsia" w:ascii="宋体" w:hAnsi="宋体" w:eastAsia="宋体" w:cs="宋体"/>
          <w:szCs w:val="21"/>
        </w:rPr>
      </w:pPr>
      <w:r>
        <w:rPr>
          <w:rFonts w:hint="eastAsia" w:ascii="宋体" w:hAnsi="宋体" w:eastAsia="宋体" w:cs="宋体"/>
          <w:szCs w:val="21"/>
        </w:rPr>
        <w:t>3、验收依据为</w:t>
      </w:r>
      <w:r>
        <w:rPr>
          <w:rFonts w:hint="eastAsia" w:ascii="宋体" w:hAnsi="宋体" w:eastAsia="宋体" w:cs="宋体"/>
          <w:szCs w:val="21"/>
          <w:u w:val="single"/>
        </w:rPr>
        <w:t xml:space="preserve">           </w:t>
      </w:r>
      <w:r>
        <w:rPr>
          <w:rFonts w:hint="eastAsia" w:ascii="宋体" w:hAnsi="宋体" w:eastAsia="宋体" w:cs="宋体"/>
          <w:szCs w:val="21"/>
        </w:rPr>
        <w:t>号招标文件、乙方投标文件，国家和行业有关规范、规程和标准。</w:t>
      </w:r>
    </w:p>
    <w:p w14:paraId="3ECF4850">
      <w:pPr>
        <w:ind w:firstLine="482" w:firstLineChars="200"/>
        <w:rPr>
          <w:rFonts w:hint="eastAsia" w:ascii="宋体" w:hAnsi="宋体" w:eastAsia="宋体" w:cs="宋体"/>
          <w:b/>
          <w:bCs/>
          <w:szCs w:val="21"/>
        </w:rPr>
      </w:pPr>
      <w:r>
        <w:rPr>
          <w:rFonts w:hint="eastAsia" w:ascii="宋体" w:hAnsi="宋体" w:eastAsia="宋体" w:cs="宋体"/>
          <w:b/>
          <w:bCs/>
          <w:szCs w:val="21"/>
        </w:rPr>
        <w:t>第十六条  付款方式</w:t>
      </w:r>
    </w:p>
    <w:p w14:paraId="311608DE">
      <w:pPr>
        <w:ind w:firstLine="480" w:firstLineChars="200"/>
        <w:rPr>
          <w:rFonts w:hint="eastAsia" w:ascii="宋体" w:hAnsi="宋体" w:eastAsia="宋体" w:cs="宋体"/>
          <w:szCs w:val="21"/>
        </w:rPr>
      </w:pPr>
      <w:r>
        <w:rPr>
          <w:rFonts w:hint="eastAsia" w:ascii="宋体" w:hAnsi="宋体" w:eastAsia="宋体" w:cs="宋体"/>
          <w:szCs w:val="21"/>
        </w:rPr>
        <w:t>□合同签订且本项目整体完成并由招标人验收合格，招标人收到中标人开具全额发票后支付合同总价的100%。</w:t>
      </w:r>
    </w:p>
    <w:p w14:paraId="355F0464">
      <w:pPr>
        <w:ind w:firstLine="480" w:firstLineChars="200"/>
        <w:rPr>
          <w:rFonts w:hint="eastAsia" w:ascii="宋体" w:hAnsi="宋体" w:eastAsia="宋体" w:cs="宋体"/>
          <w:szCs w:val="21"/>
        </w:rPr>
      </w:pPr>
      <w:r>
        <w:rPr>
          <w:rFonts w:hint="eastAsia" w:ascii="宋体" w:hAnsi="宋体" w:eastAsia="宋体" w:cs="宋体"/>
          <w:szCs w:val="21"/>
        </w:rPr>
        <w:t>□合同签订且招标人收到中标人开具相应发票后支付合同总价的30%作为预付款；合同总价的70%待项目整体完成且由招标人验收合格确认后支付。</w:t>
      </w:r>
    </w:p>
    <w:p w14:paraId="19383EB5">
      <w:pPr>
        <w:ind w:firstLine="480" w:firstLineChars="200"/>
        <w:rPr>
          <w:rFonts w:hint="eastAsia" w:ascii="宋体" w:hAnsi="宋体" w:eastAsia="宋体" w:cs="宋体"/>
          <w:szCs w:val="21"/>
          <w:highlight w:val="yellow"/>
        </w:rPr>
      </w:pPr>
      <w:r>
        <w:rPr>
          <w:rFonts w:hint="eastAsia" w:ascii="宋体" w:hAnsi="宋体" w:eastAsia="宋体" w:cs="宋体"/>
          <w:szCs w:val="21"/>
        </w:rPr>
        <w:t>☑其他：招标人每月10日前向中标人支付本月服务费，每月绩效金按照《南方科技大学校区服务绩效考核管理办法》执行，招标人收到中标人提供合法发票后10个工作日内支付管理费。（因招标人使用财政性资金，支付进度以深圳市财政局国库集中支付中心办理进度为准，中标人对此表示理解并同意招标人不因此构成付款延迟。）</w:t>
      </w:r>
    </w:p>
    <w:p w14:paraId="1DCA5915">
      <w:pPr>
        <w:ind w:firstLine="482" w:firstLineChars="200"/>
        <w:rPr>
          <w:rFonts w:hint="eastAsia" w:ascii="宋体" w:hAnsi="宋体" w:eastAsia="宋体" w:cs="宋体"/>
          <w:b/>
          <w:bCs/>
          <w:szCs w:val="21"/>
        </w:rPr>
      </w:pPr>
      <w:r>
        <w:rPr>
          <w:rFonts w:hint="eastAsia" w:ascii="宋体" w:hAnsi="宋体" w:eastAsia="宋体" w:cs="宋体"/>
          <w:b/>
          <w:bCs/>
          <w:szCs w:val="21"/>
        </w:rPr>
        <w:t>第十七条  争议解决办法</w:t>
      </w:r>
    </w:p>
    <w:p w14:paraId="76C83E5C">
      <w:pPr>
        <w:ind w:firstLine="480" w:firstLineChars="200"/>
        <w:rPr>
          <w:rFonts w:hint="eastAsia" w:ascii="宋体" w:hAnsi="宋体" w:eastAsia="宋体" w:cs="宋体"/>
          <w:szCs w:val="21"/>
        </w:rPr>
      </w:pPr>
      <w:r>
        <w:rPr>
          <w:rFonts w:hint="eastAsia" w:ascii="宋体" w:hAnsi="宋体" w:eastAsia="宋体" w:cs="宋体"/>
          <w:szCs w:val="21"/>
        </w:rPr>
        <w:t>执行本合同发生的争议，由甲乙双方协商解决。</w:t>
      </w:r>
    </w:p>
    <w:p w14:paraId="7B0D576A">
      <w:pPr>
        <w:ind w:firstLine="482" w:firstLineChars="200"/>
        <w:rPr>
          <w:rFonts w:hint="eastAsia" w:ascii="宋体" w:hAnsi="宋体" w:eastAsia="宋体" w:cs="宋体"/>
          <w:b/>
          <w:bCs/>
          <w:szCs w:val="21"/>
        </w:rPr>
      </w:pPr>
      <w:r>
        <w:rPr>
          <w:rFonts w:hint="eastAsia" w:ascii="宋体" w:hAnsi="宋体" w:eastAsia="宋体" w:cs="宋体"/>
          <w:b/>
          <w:bCs/>
          <w:szCs w:val="21"/>
        </w:rPr>
        <w:t>第十八条  风险责任</w:t>
      </w:r>
    </w:p>
    <w:p w14:paraId="49DF716C">
      <w:pPr>
        <w:ind w:firstLine="480" w:firstLineChars="200"/>
        <w:rPr>
          <w:rFonts w:hint="eastAsia" w:ascii="宋体" w:hAnsi="宋体" w:eastAsia="宋体" w:cs="宋体"/>
          <w:szCs w:val="21"/>
        </w:rPr>
      </w:pPr>
      <w:r>
        <w:rPr>
          <w:rFonts w:hint="eastAsia" w:ascii="宋体" w:hAnsi="宋体" w:eastAsia="宋体" w:cs="宋体"/>
          <w:szCs w:val="21"/>
        </w:rPr>
        <w:t>１、乙方应完全地按照</w:t>
      </w:r>
      <w:r>
        <w:rPr>
          <w:rFonts w:hint="eastAsia" w:ascii="宋体" w:hAnsi="宋体" w:eastAsia="宋体" w:cs="宋体"/>
          <w:szCs w:val="21"/>
          <w:u w:val="single"/>
        </w:rPr>
        <w:t xml:space="preserve">           </w:t>
      </w:r>
      <w:r>
        <w:rPr>
          <w:rFonts w:hint="eastAsia" w:ascii="宋体" w:hAnsi="宋体" w:eastAsia="宋体" w:cs="宋体"/>
          <w:szCs w:val="21"/>
        </w:rPr>
        <w:t>号招标文件的要求和乙方投标文件的承诺完成本项目，出于自身财务、技术、人力等原因导致项目失败的，应承担全部责任。</w:t>
      </w:r>
    </w:p>
    <w:p w14:paraId="1C0F1613">
      <w:pPr>
        <w:ind w:firstLine="480" w:firstLineChars="200"/>
        <w:rPr>
          <w:rFonts w:hint="eastAsia" w:ascii="宋体" w:hAnsi="宋体" w:eastAsia="宋体" w:cs="宋体"/>
          <w:szCs w:val="21"/>
        </w:rPr>
      </w:pPr>
      <w:r>
        <w:rPr>
          <w:rFonts w:hint="eastAsia" w:ascii="宋体" w:hAnsi="宋体" w:eastAsia="宋体" w:cs="宋体"/>
          <w:szCs w:val="21"/>
        </w:rPr>
        <w:t>2、乙方在实施荷载试验过程中应对自身的安全生产负责，若由乙方原因发生的各种事故甲方不承担任何责任。</w:t>
      </w:r>
    </w:p>
    <w:p w14:paraId="09CEA894">
      <w:pPr>
        <w:ind w:firstLine="482" w:firstLineChars="200"/>
        <w:rPr>
          <w:rFonts w:hint="eastAsia" w:ascii="宋体" w:hAnsi="宋体" w:eastAsia="宋体" w:cs="宋体"/>
          <w:b/>
          <w:bCs/>
          <w:szCs w:val="21"/>
        </w:rPr>
      </w:pPr>
      <w:r>
        <w:rPr>
          <w:rFonts w:hint="eastAsia" w:ascii="宋体" w:hAnsi="宋体" w:eastAsia="宋体" w:cs="宋体"/>
          <w:b/>
          <w:bCs/>
          <w:szCs w:val="21"/>
        </w:rPr>
        <w:t>第十九条  违约责任</w:t>
      </w:r>
    </w:p>
    <w:p w14:paraId="5825E8CA">
      <w:pPr>
        <w:pStyle w:val="10"/>
        <w:spacing w:line="240" w:lineRule="auto"/>
        <w:ind w:firstLine="480"/>
        <w:rPr>
          <w:rFonts w:hint="eastAsia" w:ascii="宋体" w:hAnsi="宋体" w:eastAsia="宋体" w:cs="宋体"/>
          <w:szCs w:val="21"/>
        </w:rPr>
      </w:pPr>
      <w:r>
        <w:rPr>
          <w:rFonts w:hint="eastAsia" w:ascii="宋体" w:hAnsi="宋体" w:eastAsia="宋体" w:cs="宋体"/>
          <w:szCs w:val="21"/>
        </w:rPr>
        <w:t>１、因乙方原因，未能按规定时间完成有关工作的，每延误一天，甲方可在支付合同余款中扣除合同价款千分之一。</w:t>
      </w:r>
    </w:p>
    <w:p w14:paraId="416081F9">
      <w:pPr>
        <w:ind w:firstLine="480" w:firstLineChars="200"/>
        <w:rPr>
          <w:rFonts w:hint="eastAsia" w:ascii="宋体" w:hAnsi="宋体" w:eastAsia="宋体" w:cs="宋体"/>
          <w:szCs w:val="21"/>
        </w:rPr>
      </w:pPr>
      <w:r>
        <w:rPr>
          <w:rFonts w:hint="eastAsia" w:ascii="宋体" w:hAnsi="宋体" w:eastAsia="宋体" w:cs="宋体"/>
          <w:szCs w:val="21"/>
        </w:rPr>
        <w:t>2、由于乙方原因造成试验成果质量低劣，不能满足大纲要求时，应继续完善试验工作，其费用由乙方承担。</w:t>
      </w:r>
    </w:p>
    <w:p w14:paraId="2E66F936">
      <w:pPr>
        <w:ind w:firstLine="480" w:firstLineChars="200"/>
        <w:rPr>
          <w:rFonts w:hint="eastAsia" w:ascii="宋体" w:hAnsi="宋体" w:eastAsia="宋体" w:cs="宋体"/>
          <w:szCs w:val="21"/>
        </w:rPr>
      </w:pPr>
      <w:r>
        <w:rPr>
          <w:rFonts w:hint="eastAsia" w:ascii="宋体" w:hAnsi="宋体" w:eastAsia="宋体" w:cs="宋体"/>
          <w:szCs w:val="21"/>
        </w:rPr>
        <w:t>3、如乙方提供的咨询服务文件不符合质量要求，必须在甲方提出要求后7天内无条件修改，其费用由乙方承担。</w:t>
      </w:r>
    </w:p>
    <w:p w14:paraId="3F735898">
      <w:pPr>
        <w:ind w:firstLine="480" w:firstLineChars="200"/>
        <w:rPr>
          <w:rFonts w:hint="eastAsia" w:ascii="宋体" w:hAnsi="宋体" w:eastAsia="宋体" w:cs="宋体"/>
          <w:szCs w:val="21"/>
        </w:rPr>
      </w:pPr>
      <w:r>
        <w:rPr>
          <w:rFonts w:hint="eastAsia" w:ascii="宋体" w:hAnsi="宋体" w:eastAsia="宋体" w:cs="宋体"/>
          <w:szCs w:val="21"/>
        </w:rPr>
        <w:t>4、若甲方发现乙方派出的试验服务人员或提供的试验仪器设备不符合合同要求，乙方应在3天之内按要求派出人员或提供满足投标文件承诺的仪器设备，否则甲方有权终止合同，并保留追究乙方责任及要求赔偿损失的权利。</w:t>
      </w:r>
    </w:p>
    <w:p w14:paraId="471AA01A">
      <w:pPr>
        <w:ind w:firstLine="482" w:firstLineChars="200"/>
        <w:rPr>
          <w:rFonts w:hint="eastAsia" w:ascii="宋体" w:hAnsi="宋体" w:eastAsia="宋体" w:cs="宋体"/>
          <w:b/>
          <w:bCs/>
          <w:szCs w:val="21"/>
        </w:rPr>
      </w:pPr>
      <w:r>
        <w:rPr>
          <w:rFonts w:hint="eastAsia" w:ascii="宋体" w:hAnsi="宋体" w:eastAsia="宋体" w:cs="宋体"/>
          <w:b/>
          <w:bCs/>
          <w:szCs w:val="21"/>
        </w:rPr>
        <w:t>第二十条  其他</w:t>
      </w:r>
    </w:p>
    <w:p w14:paraId="637CD9F6">
      <w:pPr>
        <w:ind w:firstLine="480" w:firstLineChars="200"/>
        <w:rPr>
          <w:rFonts w:hint="eastAsia" w:ascii="宋体" w:hAnsi="宋体" w:eastAsia="宋体" w:cs="宋体"/>
          <w:szCs w:val="21"/>
        </w:rPr>
      </w:pPr>
      <w:r>
        <w:rPr>
          <w:rFonts w:hint="eastAsia" w:ascii="宋体" w:hAnsi="宋体" w:eastAsia="宋体" w:cs="宋体"/>
          <w:szCs w:val="21"/>
        </w:rPr>
        <w:t>1、本合同与</w:t>
      </w:r>
      <w:r>
        <w:rPr>
          <w:rFonts w:hint="eastAsia" w:ascii="宋体" w:hAnsi="宋体" w:eastAsia="宋体" w:cs="宋体"/>
          <w:szCs w:val="21"/>
          <w:u w:val="single"/>
        </w:rPr>
        <w:t xml:space="preserve">        </w:t>
      </w:r>
      <w:r>
        <w:rPr>
          <w:rFonts w:hint="eastAsia" w:ascii="宋体" w:hAnsi="宋体" w:eastAsia="宋体" w:cs="宋体"/>
          <w:szCs w:val="21"/>
        </w:rPr>
        <w:t>号招标文件、乙方投标文件如有抵触之处，以本合同条款为准。</w:t>
      </w:r>
    </w:p>
    <w:p w14:paraId="47C2AE60">
      <w:pPr>
        <w:ind w:firstLine="480" w:firstLineChars="200"/>
        <w:rPr>
          <w:rFonts w:hint="eastAsia" w:ascii="宋体" w:hAnsi="宋体" w:eastAsia="宋体" w:cs="宋体"/>
          <w:szCs w:val="21"/>
        </w:rPr>
      </w:pPr>
      <w:r>
        <w:rPr>
          <w:rFonts w:hint="eastAsia" w:ascii="宋体" w:hAnsi="宋体" w:eastAsia="宋体" w:cs="宋体"/>
          <w:szCs w:val="21"/>
        </w:rPr>
        <w:t>2、下列文件均为本合同的组成部分：</w:t>
      </w:r>
    </w:p>
    <w:p w14:paraId="12A863F5">
      <w:pPr>
        <w:ind w:firstLine="480" w:firstLineChars="200"/>
        <w:rPr>
          <w:rFonts w:hint="eastAsia" w:ascii="宋体" w:hAnsi="宋体" w:eastAsia="宋体" w:cs="宋体"/>
          <w:szCs w:val="21"/>
        </w:rPr>
      </w:pPr>
      <w:r>
        <w:rPr>
          <w:rFonts w:hint="eastAsia" w:ascii="宋体" w:hAnsi="宋体" w:eastAsia="宋体" w:cs="宋体"/>
          <w:szCs w:val="21"/>
        </w:rPr>
        <w:t>（1）</w:t>
      </w:r>
      <w:r>
        <w:rPr>
          <w:rFonts w:hint="eastAsia" w:ascii="宋体" w:hAnsi="宋体" w:eastAsia="宋体" w:cs="宋体"/>
          <w:szCs w:val="21"/>
          <w:u w:val="single"/>
        </w:rPr>
        <w:t xml:space="preserve">         </w:t>
      </w:r>
      <w:r>
        <w:rPr>
          <w:rFonts w:hint="eastAsia" w:ascii="宋体" w:hAnsi="宋体" w:eastAsia="宋体" w:cs="宋体"/>
          <w:szCs w:val="21"/>
        </w:rPr>
        <w:t>号招标文件、答疑及补充通知；</w:t>
      </w:r>
    </w:p>
    <w:p w14:paraId="610F61A1">
      <w:pPr>
        <w:ind w:firstLine="480" w:firstLineChars="200"/>
        <w:rPr>
          <w:rFonts w:hint="eastAsia" w:ascii="宋体" w:hAnsi="宋体" w:eastAsia="宋体" w:cs="宋体"/>
          <w:szCs w:val="21"/>
        </w:rPr>
      </w:pPr>
      <w:r>
        <w:rPr>
          <w:rFonts w:hint="eastAsia" w:ascii="宋体" w:hAnsi="宋体" w:eastAsia="宋体" w:cs="宋体"/>
          <w:szCs w:val="21"/>
        </w:rPr>
        <w:t>（2）投标文件；</w:t>
      </w:r>
    </w:p>
    <w:p w14:paraId="26213D19">
      <w:pPr>
        <w:ind w:firstLine="480" w:firstLineChars="200"/>
        <w:rPr>
          <w:rFonts w:hint="eastAsia" w:ascii="宋体" w:hAnsi="宋体" w:eastAsia="宋体" w:cs="宋体"/>
          <w:szCs w:val="21"/>
        </w:rPr>
      </w:pPr>
      <w:r>
        <w:rPr>
          <w:rFonts w:hint="eastAsia" w:ascii="宋体" w:hAnsi="宋体" w:eastAsia="宋体" w:cs="宋体"/>
          <w:szCs w:val="21"/>
        </w:rPr>
        <w:t>（3）本合同执行中共同签署的补充与修正文件。</w:t>
      </w:r>
    </w:p>
    <w:p w14:paraId="6431B93A">
      <w:pPr>
        <w:ind w:firstLine="480" w:firstLineChars="20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份，甲、乙方双方各执</w:t>
      </w:r>
      <w:r>
        <w:rPr>
          <w:rFonts w:hint="eastAsia" w:ascii="宋体" w:hAnsi="宋体" w:eastAsia="宋体" w:cs="宋体"/>
          <w:szCs w:val="21"/>
          <w:u w:val="single"/>
        </w:rPr>
        <w:t xml:space="preserve">     </w:t>
      </w:r>
      <w:r>
        <w:rPr>
          <w:rFonts w:hint="eastAsia" w:ascii="宋体" w:hAnsi="宋体" w:eastAsia="宋体" w:cs="宋体"/>
          <w:szCs w:val="21"/>
        </w:rPr>
        <w:t>份，具有同等法律效力。本合同自双方法人代表签字（盖章）认可之日起生效。</w:t>
      </w:r>
    </w:p>
    <w:p w14:paraId="629BDB68">
      <w:pPr>
        <w:ind w:firstLine="480" w:firstLineChars="200"/>
        <w:rPr>
          <w:rFonts w:hint="eastAsia" w:ascii="宋体" w:hAnsi="宋体" w:eastAsia="宋体" w:cs="宋体"/>
          <w:szCs w:val="21"/>
        </w:rPr>
      </w:pPr>
      <w:r>
        <w:rPr>
          <w:rFonts w:hint="eastAsia" w:ascii="宋体" w:hAnsi="宋体" w:eastAsia="宋体" w:cs="宋体"/>
          <w:szCs w:val="21"/>
        </w:rPr>
        <w:t>本合同未尽事宜，双方友好协商，达成解决方案，经双方签字后，可作为本合同的有效附件。</w:t>
      </w:r>
    </w:p>
    <w:p w14:paraId="103D0FDB">
      <w:pPr>
        <w:ind w:firstLine="480" w:firstLineChars="200"/>
        <w:rPr>
          <w:rFonts w:hint="eastAsia" w:ascii="宋体" w:hAnsi="宋体" w:eastAsia="宋体" w:cs="宋体"/>
          <w:szCs w:val="21"/>
        </w:rPr>
      </w:pPr>
    </w:p>
    <w:p w14:paraId="11960DB1">
      <w:pPr>
        <w:ind w:firstLine="480" w:firstLineChars="200"/>
        <w:rPr>
          <w:rFonts w:hint="eastAsia" w:ascii="宋体" w:hAnsi="宋体" w:eastAsia="宋体" w:cs="宋体"/>
          <w:szCs w:val="21"/>
        </w:rPr>
      </w:pPr>
    </w:p>
    <w:p w14:paraId="4497FD91">
      <w:pPr>
        <w:rPr>
          <w:rFonts w:hint="eastAsia" w:ascii="宋体" w:hAnsi="宋体" w:eastAsia="宋体" w:cs="宋体"/>
          <w:szCs w:val="21"/>
          <w:u w:val="single"/>
        </w:rPr>
      </w:pPr>
      <w:r>
        <w:rPr>
          <w:rFonts w:hint="eastAsia" w:ascii="宋体" w:hAnsi="宋体" w:eastAsia="宋体" w:cs="宋体"/>
          <w:szCs w:val="21"/>
        </w:rPr>
        <w:t>甲方：</w:t>
      </w:r>
      <w:r>
        <w:rPr>
          <w:rFonts w:hint="eastAsia" w:ascii="宋体" w:hAnsi="宋体" w:eastAsia="宋体" w:cs="宋体"/>
          <w:szCs w:val="21"/>
          <w:u w:val="single"/>
        </w:rPr>
        <w:t xml:space="preserve">                                </w:t>
      </w:r>
      <w:r>
        <w:rPr>
          <w:rFonts w:hint="eastAsia" w:ascii="宋体" w:hAnsi="宋体" w:eastAsia="宋体" w:cs="宋体"/>
          <w:szCs w:val="21"/>
        </w:rPr>
        <w:t xml:space="preserve">    乙方：</w:t>
      </w:r>
      <w:r>
        <w:rPr>
          <w:rFonts w:hint="eastAsia" w:ascii="宋体" w:hAnsi="宋体" w:eastAsia="宋体" w:cs="宋体"/>
          <w:szCs w:val="21"/>
          <w:u w:val="single"/>
        </w:rPr>
        <w:t xml:space="preserve">                            </w:t>
      </w:r>
    </w:p>
    <w:p w14:paraId="15E77B58">
      <w:pPr>
        <w:ind w:firstLine="2160" w:firstLineChars="900"/>
        <w:rPr>
          <w:rFonts w:hint="eastAsia" w:ascii="宋体" w:hAnsi="宋体" w:eastAsia="宋体" w:cs="宋体"/>
          <w:szCs w:val="21"/>
        </w:rPr>
      </w:pPr>
      <w:r>
        <w:rPr>
          <w:rFonts w:hint="eastAsia" w:ascii="宋体" w:hAnsi="宋体" w:eastAsia="宋体" w:cs="宋体"/>
          <w:szCs w:val="21"/>
        </w:rPr>
        <w:t>（签章）                                 （签章）</w:t>
      </w:r>
    </w:p>
    <w:p w14:paraId="6C73A65F">
      <w:pPr>
        <w:ind w:firstLine="3120" w:firstLineChars="1300"/>
        <w:rPr>
          <w:rFonts w:hint="eastAsia" w:ascii="宋体" w:hAnsi="宋体" w:eastAsia="宋体" w:cs="宋体"/>
          <w:szCs w:val="21"/>
        </w:rPr>
      </w:pPr>
      <w:r>
        <w:rPr>
          <w:rFonts w:hint="eastAsia" w:ascii="宋体" w:hAnsi="宋体" w:eastAsia="宋体" w:cs="宋体"/>
          <w:szCs w:val="21"/>
        </w:rPr>
        <w:t xml:space="preserve">               </w:t>
      </w:r>
    </w:p>
    <w:p w14:paraId="2BC28EB0">
      <w:pPr>
        <w:ind w:firstLine="480" w:firstLineChars="200"/>
        <w:rPr>
          <w:rFonts w:hint="eastAsia" w:ascii="宋体" w:hAnsi="宋体" w:eastAsia="宋体" w:cs="宋体"/>
          <w:szCs w:val="21"/>
        </w:rPr>
      </w:pPr>
      <w:r>
        <w:rPr>
          <w:rFonts w:hint="eastAsia" w:ascii="宋体" w:hAnsi="宋体" w:eastAsia="宋体" w:cs="宋体"/>
          <w:szCs w:val="21"/>
        </w:rPr>
        <w:t xml:space="preserve">地址：                                地址： </w:t>
      </w:r>
    </w:p>
    <w:p w14:paraId="61E8B94C">
      <w:pPr>
        <w:ind w:firstLine="480" w:firstLineChars="200"/>
        <w:rPr>
          <w:rFonts w:hint="eastAsia" w:ascii="宋体" w:hAnsi="宋体" w:eastAsia="宋体" w:cs="宋体"/>
          <w:szCs w:val="21"/>
        </w:rPr>
      </w:pPr>
      <w:r>
        <w:rPr>
          <w:rFonts w:hint="eastAsia" w:ascii="宋体" w:hAnsi="宋体" w:eastAsia="宋体" w:cs="宋体"/>
          <w:szCs w:val="21"/>
        </w:rPr>
        <w:t>法定代表人：（签章）                   法定代表人：（签章）</w:t>
      </w:r>
    </w:p>
    <w:p w14:paraId="38197DC3">
      <w:pPr>
        <w:ind w:firstLine="480" w:firstLineChars="200"/>
        <w:rPr>
          <w:rFonts w:hint="eastAsia" w:ascii="宋体" w:hAnsi="宋体" w:eastAsia="宋体" w:cs="宋体"/>
          <w:szCs w:val="21"/>
        </w:rPr>
      </w:pPr>
      <w:r>
        <w:rPr>
          <w:rFonts w:hint="eastAsia" w:ascii="宋体" w:hAnsi="宋体" w:eastAsia="宋体" w:cs="宋体"/>
          <w:szCs w:val="21"/>
        </w:rPr>
        <w:t>开户行：                              开户行：</w:t>
      </w:r>
    </w:p>
    <w:p w14:paraId="44FA83EC">
      <w:pPr>
        <w:ind w:firstLine="480" w:firstLineChars="200"/>
        <w:rPr>
          <w:rFonts w:hint="eastAsia" w:ascii="宋体" w:hAnsi="宋体" w:eastAsia="宋体" w:cs="宋体"/>
          <w:szCs w:val="21"/>
        </w:rPr>
      </w:pPr>
      <w:r>
        <w:rPr>
          <w:rFonts w:hint="eastAsia" w:ascii="宋体" w:hAnsi="宋体" w:eastAsia="宋体" w:cs="宋体"/>
          <w:szCs w:val="21"/>
        </w:rPr>
        <w:t>人民币帐号：                          人民币帐号：</w:t>
      </w:r>
    </w:p>
    <w:p w14:paraId="59A3C5A8">
      <w:pPr>
        <w:ind w:firstLine="480" w:firstLineChars="200"/>
        <w:rPr>
          <w:rFonts w:hint="eastAsia" w:ascii="宋体" w:hAnsi="宋体" w:eastAsia="宋体" w:cs="宋体"/>
          <w:szCs w:val="21"/>
        </w:rPr>
      </w:pPr>
      <w:r>
        <w:rPr>
          <w:rFonts w:hint="eastAsia" w:ascii="宋体" w:hAnsi="宋体" w:eastAsia="宋体" w:cs="宋体"/>
          <w:szCs w:val="21"/>
        </w:rPr>
        <w:t>联系人：                              联系人：</w:t>
      </w:r>
    </w:p>
    <w:p w14:paraId="7AE29E76">
      <w:pPr>
        <w:ind w:firstLine="480" w:firstLineChars="200"/>
        <w:rPr>
          <w:rFonts w:hint="eastAsia" w:ascii="宋体" w:hAnsi="宋体" w:eastAsia="宋体" w:cs="宋体"/>
          <w:szCs w:val="21"/>
        </w:rPr>
      </w:pPr>
      <w:r>
        <w:rPr>
          <w:rFonts w:hint="eastAsia" w:ascii="宋体" w:hAnsi="宋体" w:eastAsia="宋体" w:cs="宋体"/>
          <w:szCs w:val="21"/>
        </w:rPr>
        <w:t>电话：                                电话：</w:t>
      </w:r>
    </w:p>
    <w:p w14:paraId="62E60C4D">
      <w:pPr>
        <w:ind w:firstLine="480" w:firstLineChars="200"/>
        <w:rPr>
          <w:rFonts w:hint="eastAsia" w:ascii="宋体" w:hAnsi="宋体" w:eastAsia="宋体" w:cs="宋体"/>
          <w:szCs w:val="21"/>
        </w:rPr>
      </w:pPr>
      <w:r>
        <w:rPr>
          <w:rFonts w:hint="eastAsia" w:ascii="宋体" w:hAnsi="宋体" w:eastAsia="宋体" w:cs="宋体"/>
          <w:szCs w:val="21"/>
        </w:rPr>
        <w:t>日期：                                日期：</w:t>
      </w:r>
    </w:p>
    <w:p w14:paraId="2E72D47E">
      <w:pPr>
        <w:ind w:firstLine="480" w:firstLineChars="200"/>
        <w:rPr>
          <w:rFonts w:hint="eastAsia" w:ascii="宋体" w:hAnsi="宋体" w:eastAsia="宋体" w:cs="宋体"/>
          <w:szCs w:val="21"/>
        </w:rPr>
      </w:pPr>
    </w:p>
    <w:p w14:paraId="064EBC8B">
      <w:pPr>
        <w:ind w:firstLine="480" w:firstLineChars="200"/>
        <w:rPr>
          <w:rFonts w:hint="eastAsia" w:ascii="宋体" w:hAnsi="宋体" w:eastAsia="宋体" w:cs="宋体"/>
          <w:szCs w:val="21"/>
        </w:rPr>
      </w:pPr>
    </w:p>
    <w:p w14:paraId="15A3E103">
      <w:pPr>
        <w:ind w:firstLine="480" w:firstLineChars="200"/>
        <w:rPr>
          <w:rFonts w:hint="eastAsia" w:ascii="宋体" w:hAnsi="宋体" w:eastAsia="宋体" w:cs="宋体"/>
          <w:szCs w:val="21"/>
        </w:rPr>
      </w:pPr>
    </w:p>
    <w:p w14:paraId="4AFBF2A0">
      <w:pPr>
        <w:ind w:firstLine="480" w:firstLineChars="200"/>
        <w:rPr>
          <w:rFonts w:hint="eastAsia" w:ascii="宋体" w:hAnsi="宋体" w:eastAsia="宋体" w:cs="宋体"/>
          <w:szCs w:val="21"/>
        </w:rPr>
      </w:pPr>
    </w:p>
    <w:p w14:paraId="3E97C95B">
      <w:pPr>
        <w:ind w:firstLine="480" w:firstLineChars="200"/>
        <w:rPr>
          <w:rFonts w:hint="eastAsia" w:ascii="宋体" w:hAnsi="宋体" w:eastAsia="宋体" w:cs="宋体"/>
          <w:szCs w:val="21"/>
        </w:rPr>
      </w:pPr>
    </w:p>
    <w:p w14:paraId="60146ABE">
      <w:pPr>
        <w:jc w:val="center"/>
        <w:rPr>
          <w:rFonts w:hint="eastAsia" w:ascii="宋体" w:hAnsi="宋体" w:eastAsia="宋体" w:cs="宋体"/>
        </w:rPr>
      </w:pPr>
      <w:r>
        <w:rPr>
          <w:rFonts w:hint="eastAsia" w:ascii="宋体" w:hAnsi="宋体" w:eastAsia="宋体" w:cs="宋体"/>
        </w:rPr>
        <w:br w:type="page"/>
      </w:r>
    </w:p>
    <w:p w14:paraId="0A4FEE31">
      <w:pPr>
        <w:pStyle w:val="6"/>
        <w:jc w:val="center"/>
        <w:rPr>
          <w:rFonts w:hint="eastAsia" w:cs="宋体"/>
          <w:szCs w:val="28"/>
        </w:rPr>
      </w:pPr>
      <w:r>
        <w:rPr>
          <w:rFonts w:hint="eastAsia" w:cs="宋体"/>
          <w:szCs w:val="28"/>
        </w:rPr>
        <w:t>二、政府采购履约情况反馈表</w:t>
      </w:r>
    </w:p>
    <w:p w14:paraId="3771883F">
      <w:pPr>
        <w:spacing w:line="240" w:lineRule="atLeast"/>
        <w:rPr>
          <w:rFonts w:hint="eastAsia" w:ascii="宋体" w:hAnsi="宋体" w:eastAsia="宋体" w:cs="宋体"/>
          <w:b/>
          <w:szCs w:val="21"/>
        </w:rPr>
      </w:pPr>
      <w:r>
        <w:rPr>
          <w:rFonts w:hint="eastAsia" w:ascii="宋体" w:hAnsi="宋体" w:eastAsia="宋体" w:cs="宋体"/>
          <w:b/>
          <w:szCs w:val="21"/>
        </w:rPr>
        <w:t>采购人名称：                       联系人及电话：</w:t>
      </w:r>
    </w:p>
    <w:p w14:paraId="1984A671">
      <w:pPr>
        <w:spacing w:line="60" w:lineRule="exact"/>
        <w:rPr>
          <w:rFonts w:hint="eastAsia" w:ascii="宋体" w:hAnsi="宋体" w:eastAsia="宋体" w:cs="宋体"/>
          <w:b/>
          <w:szCs w:val="21"/>
        </w:rPr>
      </w:pPr>
    </w:p>
    <w:tbl>
      <w:tblPr>
        <w:tblStyle w:val="26"/>
        <w:tblW w:w="8188"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606"/>
        <w:gridCol w:w="720"/>
        <w:gridCol w:w="720"/>
        <w:gridCol w:w="1639"/>
        <w:gridCol w:w="2310"/>
        <w:gridCol w:w="2193"/>
      </w:tblGrid>
      <w:tr w14:paraId="435F26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2046" w:type="dxa"/>
            <w:gridSpan w:val="3"/>
            <w:vAlign w:val="center"/>
          </w:tcPr>
          <w:p w14:paraId="10F1F074">
            <w:pPr>
              <w:spacing w:line="240" w:lineRule="atLeast"/>
              <w:jc w:val="center"/>
              <w:rPr>
                <w:rFonts w:hint="eastAsia" w:ascii="宋体" w:hAnsi="宋体" w:eastAsia="宋体" w:cs="宋体"/>
                <w:szCs w:val="21"/>
              </w:rPr>
            </w:pPr>
            <w:r>
              <w:rPr>
                <w:rFonts w:hint="eastAsia" w:ascii="宋体" w:hAnsi="宋体" w:eastAsia="宋体" w:cs="宋体"/>
                <w:szCs w:val="21"/>
              </w:rPr>
              <w:t>采购项目名称</w:t>
            </w:r>
          </w:p>
        </w:tc>
        <w:tc>
          <w:tcPr>
            <w:tcW w:w="1639" w:type="dxa"/>
            <w:vAlign w:val="center"/>
          </w:tcPr>
          <w:p w14:paraId="2CA25CD8">
            <w:pPr>
              <w:spacing w:line="240" w:lineRule="atLeast"/>
              <w:jc w:val="center"/>
              <w:rPr>
                <w:rFonts w:hint="eastAsia" w:ascii="宋体" w:hAnsi="宋体" w:eastAsia="宋体" w:cs="宋体"/>
                <w:szCs w:val="21"/>
              </w:rPr>
            </w:pPr>
          </w:p>
        </w:tc>
        <w:tc>
          <w:tcPr>
            <w:tcW w:w="2310" w:type="dxa"/>
            <w:vAlign w:val="center"/>
          </w:tcPr>
          <w:p w14:paraId="6BD0A7FA">
            <w:pPr>
              <w:spacing w:line="240" w:lineRule="atLeast"/>
              <w:jc w:val="center"/>
              <w:rPr>
                <w:rFonts w:hint="eastAsia" w:ascii="宋体" w:hAnsi="宋体" w:eastAsia="宋体" w:cs="宋体"/>
                <w:szCs w:val="21"/>
              </w:rPr>
            </w:pPr>
            <w:r>
              <w:rPr>
                <w:rFonts w:hint="eastAsia" w:ascii="宋体" w:hAnsi="宋体" w:eastAsia="宋体" w:cs="宋体"/>
                <w:szCs w:val="21"/>
              </w:rPr>
              <w:t>项目编号</w:t>
            </w:r>
          </w:p>
        </w:tc>
        <w:tc>
          <w:tcPr>
            <w:tcW w:w="2193" w:type="dxa"/>
            <w:vAlign w:val="center"/>
          </w:tcPr>
          <w:p w14:paraId="3EC91609">
            <w:pPr>
              <w:spacing w:line="240" w:lineRule="atLeast"/>
              <w:jc w:val="center"/>
              <w:rPr>
                <w:rFonts w:hint="eastAsia" w:ascii="宋体" w:hAnsi="宋体" w:eastAsia="宋体" w:cs="宋体"/>
                <w:szCs w:val="21"/>
              </w:rPr>
            </w:pPr>
          </w:p>
        </w:tc>
      </w:tr>
      <w:tr w14:paraId="1C38955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61" w:hRule="atLeast"/>
          <w:jc w:val="center"/>
        </w:trPr>
        <w:tc>
          <w:tcPr>
            <w:tcW w:w="2046" w:type="dxa"/>
            <w:gridSpan w:val="3"/>
            <w:vAlign w:val="center"/>
          </w:tcPr>
          <w:p w14:paraId="345962F3">
            <w:pPr>
              <w:spacing w:line="240" w:lineRule="atLeast"/>
              <w:jc w:val="center"/>
              <w:rPr>
                <w:rFonts w:hint="eastAsia" w:ascii="宋体" w:hAnsi="宋体" w:eastAsia="宋体" w:cs="宋体"/>
                <w:szCs w:val="21"/>
              </w:rPr>
            </w:pPr>
            <w:r>
              <w:rPr>
                <w:rFonts w:hint="eastAsia" w:ascii="宋体" w:hAnsi="宋体" w:eastAsia="宋体" w:cs="宋体"/>
                <w:szCs w:val="21"/>
              </w:rPr>
              <w:t>中标供应商名称</w:t>
            </w:r>
          </w:p>
        </w:tc>
        <w:tc>
          <w:tcPr>
            <w:tcW w:w="1639" w:type="dxa"/>
            <w:vAlign w:val="center"/>
          </w:tcPr>
          <w:p w14:paraId="6435DF2A">
            <w:pPr>
              <w:spacing w:line="240" w:lineRule="atLeast"/>
              <w:jc w:val="center"/>
              <w:rPr>
                <w:rFonts w:hint="eastAsia" w:ascii="宋体" w:hAnsi="宋体" w:eastAsia="宋体" w:cs="宋体"/>
                <w:szCs w:val="21"/>
              </w:rPr>
            </w:pPr>
          </w:p>
        </w:tc>
        <w:tc>
          <w:tcPr>
            <w:tcW w:w="2310" w:type="dxa"/>
            <w:vAlign w:val="center"/>
          </w:tcPr>
          <w:p w14:paraId="01BF34C4">
            <w:pPr>
              <w:spacing w:line="240" w:lineRule="atLeast"/>
              <w:jc w:val="center"/>
              <w:rPr>
                <w:rFonts w:hint="eastAsia" w:ascii="宋体" w:hAnsi="宋体" w:eastAsia="宋体" w:cs="宋体"/>
                <w:szCs w:val="21"/>
              </w:rPr>
            </w:pPr>
            <w:r>
              <w:rPr>
                <w:rFonts w:hint="eastAsia" w:ascii="宋体" w:hAnsi="宋体" w:eastAsia="宋体" w:cs="宋体"/>
                <w:szCs w:val="21"/>
              </w:rPr>
              <w:t>供应商</w:t>
            </w:r>
          </w:p>
          <w:p w14:paraId="1F57E2E6">
            <w:pPr>
              <w:spacing w:line="240" w:lineRule="atLeast"/>
              <w:jc w:val="center"/>
              <w:rPr>
                <w:rFonts w:hint="eastAsia" w:ascii="宋体" w:hAnsi="宋体" w:eastAsia="宋体" w:cs="宋体"/>
                <w:szCs w:val="21"/>
              </w:rPr>
            </w:pPr>
            <w:r>
              <w:rPr>
                <w:rFonts w:hint="eastAsia" w:ascii="宋体" w:hAnsi="宋体" w:eastAsia="宋体" w:cs="宋体"/>
                <w:szCs w:val="21"/>
              </w:rPr>
              <w:t>联系人及电话</w:t>
            </w:r>
          </w:p>
        </w:tc>
        <w:tc>
          <w:tcPr>
            <w:tcW w:w="2193" w:type="dxa"/>
            <w:vAlign w:val="center"/>
          </w:tcPr>
          <w:p w14:paraId="09A86508">
            <w:pPr>
              <w:spacing w:line="240" w:lineRule="atLeast"/>
              <w:jc w:val="center"/>
              <w:rPr>
                <w:rFonts w:hint="eastAsia" w:ascii="宋体" w:hAnsi="宋体" w:eastAsia="宋体" w:cs="宋体"/>
                <w:szCs w:val="21"/>
              </w:rPr>
            </w:pPr>
          </w:p>
        </w:tc>
      </w:tr>
      <w:tr w14:paraId="30BF0FC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38" w:hRule="atLeast"/>
          <w:jc w:val="center"/>
        </w:trPr>
        <w:tc>
          <w:tcPr>
            <w:tcW w:w="2046" w:type="dxa"/>
            <w:gridSpan w:val="3"/>
            <w:vAlign w:val="center"/>
          </w:tcPr>
          <w:p w14:paraId="41C6BFC4">
            <w:pPr>
              <w:spacing w:line="240" w:lineRule="atLeast"/>
              <w:jc w:val="center"/>
              <w:rPr>
                <w:rFonts w:hint="eastAsia" w:ascii="宋体" w:hAnsi="宋体" w:eastAsia="宋体" w:cs="宋体"/>
                <w:szCs w:val="21"/>
              </w:rPr>
            </w:pPr>
            <w:r>
              <w:rPr>
                <w:rFonts w:hint="eastAsia" w:ascii="宋体" w:hAnsi="宋体" w:eastAsia="宋体" w:cs="宋体"/>
                <w:szCs w:val="21"/>
              </w:rPr>
              <w:t>中标金额</w:t>
            </w:r>
          </w:p>
        </w:tc>
        <w:tc>
          <w:tcPr>
            <w:tcW w:w="1639" w:type="dxa"/>
            <w:vAlign w:val="center"/>
          </w:tcPr>
          <w:p w14:paraId="00B797C7">
            <w:pPr>
              <w:spacing w:line="240" w:lineRule="atLeast"/>
              <w:jc w:val="center"/>
              <w:rPr>
                <w:rFonts w:hint="eastAsia" w:ascii="宋体" w:hAnsi="宋体" w:eastAsia="宋体" w:cs="宋体"/>
                <w:szCs w:val="21"/>
              </w:rPr>
            </w:pPr>
          </w:p>
        </w:tc>
        <w:tc>
          <w:tcPr>
            <w:tcW w:w="2310" w:type="dxa"/>
            <w:vAlign w:val="center"/>
          </w:tcPr>
          <w:p w14:paraId="1E464B0B">
            <w:pPr>
              <w:spacing w:line="240" w:lineRule="atLeast"/>
              <w:jc w:val="center"/>
              <w:rPr>
                <w:rFonts w:hint="eastAsia" w:ascii="宋体" w:hAnsi="宋体" w:eastAsia="宋体" w:cs="宋体"/>
                <w:szCs w:val="21"/>
              </w:rPr>
            </w:pPr>
            <w:r>
              <w:rPr>
                <w:rFonts w:hint="eastAsia" w:ascii="宋体" w:hAnsi="宋体" w:eastAsia="宋体" w:cs="宋体"/>
                <w:szCs w:val="21"/>
              </w:rPr>
              <w:t>合同履约时间</w:t>
            </w:r>
          </w:p>
        </w:tc>
        <w:tc>
          <w:tcPr>
            <w:tcW w:w="2193" w:type="dxa"/>
            <w:vAlign w:val="center"/>
          </w:tcPr>
          <w:p w14:paraId="09B99CBF">
            <w:pPr>
              <w:spacing w:line="240" w:lineRule="atLeast"/>
              <w:rPr>
                <w:rFonts w:hint="eastAsia" w:ascii="宋体" w:hAnsi="宋体" w:eastAsia="宋体" w:cs="宋体"/>
                <w:szCs w:val="21"/>
              </w:rPr>
            </w:pPr>
            <w:r>
              <w:rPr>
                <w:rFonts w:hint="eastAsia" w:ascii="宋体" w:hAnsi="宋体" w:eastAsia="宋体" w:cs="宋体"/>
                <w:szCs w:val="21"/>
              </w:rPr>
              <w:t>自       至</w:t>
            </w:r>
          </w:p>
        </w:tc>
      </w:tr>
      <w:tr w14:paraId="1D9B01C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606" w:type="dxa"/>
            <w:vMerge w:val="restart"/>
            <w:vAlign w:val="center"/>
          </w:tcPr>
          <w:p w14:paraId="2CCC68CC">
            <w:pPr>
              <w:spacing w:line="240" w:lineRule="atLeast"/>
              <w:jc w:val="center"/>
              <w:rPr>
                <w:rFonts w:hint="eastAsia" w:ascii="宋体" w:hAnsi="宋体" w:eastAsia="宋体" w:cs="宋体"/>
                <w:b/>
                <w:szCs w:val="21"/>
              </w:rPr>
            </w:pPr>
            <w:r>
              <w:rPr>
                <w:rFonts w:hint="eastAsia" w:ascii="宋体" w:hAnsi="宋体" w:eastAsia="宋体" w:cs="宋体"/>
                <w:b/>
                <w:szCs w:val="21"/>
              </w:rPr>
              <w:t>履约情况评价</w:t>
            </w:r>
          </w:p>
        </w:tc>
        <w:tc>
          <w:tcPr>
            <w:tcW w:w="1440" w:type="dxa"/>
            <w:gridSpan w:val="2"/>
            <w:tcBorders>
              <w:right w:val="single" w:color="auto" w:sz="4" w:space="0"/>
            </w:tcBorders>
            <w:vAlign w:val="center"/>
          </w:tcPr>
          <w:p w14:paraId="38DD17BD">
            <w:pPr>
              <w:spacing w:line="240" w:lineRule="atLeast"/>
              <w:jc w:val="center"/>
              <w:rPr>
                <w:rFonts w:hint="eastAsia" w:ascii="宋体" w:hAnsi="宋体" w:eastAsia="宋体" w:cs="宋体"/>
                <w:szCs w:val="21"/>
              </w:rPr>
            </w:pPr>
            <w:r>
              <w:rPr>
                <w:rFonts w:hint="eastAsia" w:ascii="宋体" w:hAnsi="宋体" w:eastAsia="宋体" w:cs="宋体"/>
                <w:szCs w:val="21"/>
              </w:rPr>
              <w:t>总体评价</w:t>
            </w:r>
          </w:p>
        </w:tc>
        <w:tc>
          <w:tcPr>
            <w:tcW w:w="6142" w:type="dxa"/>
            <w:gridSpan w:val="3"/>
            <w:tcBorders>
              <w:left w:val="single" w:color="auto" w:sz="4" w:space="0"/>
            </w:tcBorders>
            <w:vAlign w:val="center"/>
          </w:tcPr>
          <w:p w14:paraId="14E483A5">
            <w:pPr>
              <w:spacing w:line="240" w:lineRule="atLeast"/>
              <w:ind w:firstLine="120" w:firstLineChars="50"/>
              <w:jc w:val="center"/>
              <w:rPr>
                <w:rFonts w:hint="eastAsia" w:ascii="宋体" w:hAnsi="宋体" w:eastAsia="宋体" w:cs="宋体"/>
                <w:szCs w:val="21"/>
              </w:rPr>
            </w:pPr>
            <w:r>
              <w:rPr>
                <w:rFonts w:hint="eastAsia" w:ascii="宋体" w:hAnsi="宋体" w:eastAsia="宋体" w:cs="宋体"/>
                <w:szCs w:val="21"/>
              </w:rPr>
              <w:t>□ 优          □ 良          □ 中        □ 差</w:t>
            </w:r>
          </w:p>
        </w:tc>
      </w:tr>
      <w:tr w14:paraId="62DC7A5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606" w:type="dxa"/>
            <w:vMerge w:val="continue"/>
            <w:vAlign w:val="center"/>
          </w:tcPr>
          <w:p w14:paraId="5EA0B311">
            <w:pPr>
              <w:spacing w:line="240" w:lineRule="atLeast"/>
              <w:jc w:val="center"/>
              <w:rPr>
                <w:rFonts w:hint="eastAsia" w:ascii="宋体" w:hAnsi="宋体" w:eastAsia="宋体" w:cs="宋体"/>
                <w:szCs w:val="21"/>
              </w:rPr>
            </w:pPr>
          </w:p>
        </w:tc>
        <w:tc>
          <w:tcPr>
            <w:tcW w:w="720" w:type="dxa"/>
            <w:vMerge w:val="restart"/>
            <w:tcBorders>
              <w:right w:val="single" w:color="auto" w:sz="4" w:space="0"/>
            </w:tcBorders>
            <w:vAlign w:val="center"/>
          </w:tcPr>
          <w:p w14:paraId="560289B6">
            <w:pPr>
              <w:spacing w:line="240" w:lineRule="atLeast"/>
              <w:jc w:val="center"/>
              <w:rPr>
                <w:rFonts w:hint="eastAsia" w:ascii="宋体" w:hAnsi="宋体" w:eastAsia="宋体" w:cs="宋体"/>
                <w:szCs w:val="21"/>
              </w:rPr>
            </w:pPr>
            <w:r>
              <w:rPr>
                <w:rFonts w:hint="eastAsia" w:ascii="宋体" w:hAnsi="宋体" w:eastAsia="宋体" w:cs="宋体"/>
                <w:szCs w:val="21"/>
              </w:rPr>
              <w:t>分项评价</w:t>
            </w:r>
          </w:p>
        </w:tc>
        <w:tc>
          <w:tcPr>
            <w:tcW w:w="720" w:type="dxa"/>
            <w:tcBorders>
              <w:left w:val="single" w:color="auto" w:sz="4" w:space="0"/>
              <w:right w:val="single" w:color="auto" w:sz="4" w:space="0"/>
            </w:tcBorders>
            <w:vAlign w:val="center"/>
          </w:tcPr>
          <w:p w14:paraId="3A69F298">
            <w:pPr>
              <w:spacing w:line="240" w:lineRule="atLeast"/>
              <w:jc w:val="center"/>
              <w:rPr>
                <w:rFonts w:hint="eastAsia" w:ascii="宋体" w:hAnsi="宋体" w:eastAsia="宋体" w:cs="宋体"/>
                <w:szCs w:val="21"/>
              </w:rPr>
            </w:pPr>
            <w:r>
              <w:rPr>
                <w:rFonts w:hint="eastAsia" w:ascii="宋体" w:hAnsi="宋体" w:eastAsia="宋体" w:cs="宋体"/>
                <w:szCs w:val="21"/>
              </w:rPr>
              <w:t>质量方面</w:t>
            </w:r>
          </w:p>
        </w:tc>
        <w:tc>
          <w:tcPr>
            <w:tcW w:w="6142" w:type="dxa"/>
            <w:gridSpan w:val="3"/>
            <w:tcBorders>
              <w:left w:val="single" w:color="auto" w:sz="4" w:space="0"/>
            </w:tcBorders>
            <w:vAlign w:val="center"/>
          </w:tcPr>
          <w:p w14:paraId="0D8C8524">
            <w:pPr>
              <w:spacing w:line="240" w:lineRule="atLeast"/>
              <w:jc w:val="center"/>
              <w:rPr>
                <w:rFonts w:hint="eastAsia" w:ascii="宋体" w:hAnsi="宋体" w:eastAsia="宋体" w:cs="宋体"/>
                <w:szCs w:val="21"/>
              </w:rPr>
            </w:pPr>
            <w:r>
              <w:rPr>
                <w:rFonts w:hint="eastAsia" w:ascii="宋体" w:hAnsi="宋体" w:eastAsia="宋体" w:cs="宋体"/>
                <w:szCs w:val="21"/>
              </w:rPr>
              <w:t xml:space="preserve"> □ 优          □ 良          □ 中        □ 差</w:t>
            </w:r>
          </w:p>
        </w:tc>
      </w:tr>
      <w:tr w14:paraId="66EC808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606" w:type="dxa"/>
            <w:vMerge w:val="continue"/>
            <w:vAlign w:val="center"/>
          </w:tcPr>
          <w:p w14:paraId="3F4E214A">
            <w:pPr>
              <w:spacing w:line="240" w:lineRule="atLeast"/>
              <w:jc w:val="center"/>
              <w:rPr>
                <w:rFonts w:hint="eastAsia" w:ascii="宋体" w:hAnsi="宋体" w:eastAsia="宋体" w:cs="宋体"/>
                <w:szCs w:val="21"/>
              </w:rPr>
            </w:pPr>
          </w:p>
        </w:tc>
        <w:tc>
          <w:tcPr>
            <w:tcW w:w="720" w:type="dxa"/>
            <w:vMerge w:val="continue"/>
            <w:tcBorders>
              <w:right w:val="single" w:color="auto" w:sz="4" w:space="0"/>
            </w:tcBorders>
            <w:vAlign w:val="center"/>
          </w:tcPr>
          <w:p w14:paraId="335FEAE0">
            <w:pPr>
              <w:spacing w:line="240" w:lineRule="atLeast"/>
              <w:jc w:val="center"/>
              <w:rPr>
                <w:rFonts w:hint="eastAsia" w:ascii="宋体" w:hAnsi="宋体" w:eastAsia="宋体" w:cs="宋体"/>
                <w:szCs w:val="21"/>
              </w:rPr>
            </w:pPr>
          </w:p>
        </w:tc>
        <w:tc>
          <w:tcPr>
            <w:tcW w:w="720" w:type="dxa"/>
            <w:tcBorders>
              <w:left w:val="single" w:color="auto" w:sz="4" w:space="0"/>
              <w:right w:val="single" w:color="auto" w:sz="4" w:space="0"/>
            </w:tcBorders>
            <w:vAlign w:val="center"/>
          </w:tcPr>
          <w:p w14:paraId="01C268CC">
            <w:pPr>
              <w:spacing w:line="240" w:lineRule="atLeast"/>
              <w:jc w:val="center"/>
              <w:rPr>
                <w:rFonts w:hint="eastAsia" w:ascii="宋体" w:hAnsi="宋体" w:eastAsia="宋体" w:cs="宋体"/>
                <w:szCs w:val="21"/>
              </w:rPr>
            </w:pPr>
            <w:r>
              <w:rPr>
                <w:rFonts w:hint="eastAsia" w:ascii="宋体" w:hAnsi="宋体" w:eastAsia="宋体" w:cs="宋体"/>
                <w:szCs w:val="21"/>
              </w:rPr>
              <w:t>价格方面</w:t>
            </w:r>
          </w:p>
        </w:tc>
        <w:tc>
          <w:tcPr>
            <w:tcW w:w="6142" w:type="dxa"/>
            <w:gridSpan w:val="3"/>
            <w:tcBorders>
              <w:left w:val="single" w:color="auto" w:sz="4" w:space="0"/>
            </w:tcBorders>
            <w:vAlign w:val="center"/>
          </w:tcPr>
          <w:p w14:paraId="1A3B1049">
            <w:pPr>
              <w:spacing w:line="240" w:lineRule="atLeast"/>
              <w:jc w:val="center"/>
              <w:rPr>
                <w:rFonts w:hint="eastAsia" w:ascii="宋体" w:hAnsi="宋体" w:eastAsia="宋体" w:cs="宋体"/>
                <w:szCs w:val="21"/>
              </w:rPr>
            </w:pPr>
            <w:r>
              <w:rPr>
                <w:rFonts w:hint="eastAsia" w:ascii="宋体" w:hAnsi="宋体" w:eastAsia="宋体" w:cs="宋体"/>
                <w:szCs w:val="21"/>
              </w:rPr>
              <w:t xml:space="preserve"> □ 优          □ 良          □ 中        □ 差</w:t>
            </w:r>
          </w:p>
        </w:tc>
      </w:tr>
      <w:tr w14:paraId="0F5C87B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606" w:type="dxa"/>
            <w:vMerge w:val="continue"/>
            <w:vAlign w:val="center"/>
          </w:tcPr>
          <w:p w14:paraId="1A0AF0B7">
            <w:pPr>
              <w:spacing w:line="240" w:lineRule="atLeast"/>
              <w:jc w:val="center"/>
              <w:rPr>
                <w:rFonts w:hint="eastAsia" w:ascii="宋体" w:hAnsi="宋体" w:eastAsia="宋体" w:cs="宋体"/>
                <w:szCs w:val="21"/>
              </w:rPr>
            </w:pPr>
          </w:p>
        </w:tc>
        <w:tc>
          <w:tcPr>
            <w:tcW w:w="720" w:type="dxa"/>
            <w:vMerge w:val="continue"/>
            <w:tcBorders>
              <w:right w:val="single" w:color="auto" w:sz="4" w:space="0"/>
            </w:tcBorders>
            <w:vAlign w:val="center"/>
          </w:tcPr>
          <w:p w14:paraId="30C16F21">
            <w:pPr>
              <w:spacing w:line="240" w:lineRule="atLeast"/>
              <w:jc w:val="center"/>
              <w:rPr>
                <w:rFonts w:hint="eastAsia" w:ascii="宋体" w:hAnsi="宋体" w:eastAsia="宋体" w:cs="宋体"/>
                <w:szCs w:val="21"/>
              </w:rPr>
            </w:pPr>
          </w:p>
        </w:tc>
        <w:tc>
          <w:tcPr>
            <w:tcW w:w="720" w:type="dxa"/>
            <w:tcBorders>
              <w:left w:val="single" w:color="auto" w:sz="4" w:space="0"/>
              <w:right w:val="single" w:color="auto" w:sz="4" w:space="0"/>
            </w:tcBorders>
            <w:vAlign w:val="center"/>
          </w:tcPr>
          <w:p w14:paraId="07D105E1">
            <w:pPr>
              <w:spacing w:line="240" w:lineRule="atLeast"/>
              <w:jc w:val="center"/>
              <w:rPr>
                <w:rFonts w:hint="eastAsia" w:ascii="宋体" w:hAnsi="宋体" w:eastAsia="宋体" w:cs="宋体"/>
                <w:szCs w:val="21"/>
              </w:rPr>
            </w:pPr>
            <w:r>
              <w:rPr>
                <w:rFonts w:hint="eastAsia" w:ascii="宋体" w:hAnsi="宋体" w:eastAsia="宋体" w:cs="宋体"/>
                <w:szCs w:val="21"/>
              </w:rPr>
              <w:t>服务方面</w:t>
            </w:r>
          </w:p>
        </w:tc>
        <w:tc>
          <w:tcPr>
            <w:tcW w:w="6142" w:type="dxa"/>
            <w:gridSpan w:val="3"/>
            <w:tcBorders>
              <w:left w:val="single" w:color="auto" w:sz="4" w:space="0"/>
            </w:tcBorders>
            <w:vAlign w:val="center"/>
          </w:tcPr>
          <w:p w14:paraId="78DB47C0">
            <w:pPr>
              <w:spacing w:line="240" w:lineRule="atLeast"/>
              <w:jc w:val="center"/>
              <w:rPr>
                <w:rFonts w:hint="eastAsia" w:ascii="宋体" w:hAnsi="宋体" w:eastAsia="宋体" w:cs="宋体"/>
                <w:szCs w:val="21"/>
              </w:rPr>
            </w:pPr>
            <w:r>
              <w:rPr>
                <w:rFonts w:hint="eastAsia" w:ascii="宋体" w:hAnsi="宋体" w:eastAsia="宋体" w:cs="宋体"/>
                <w:szCs w:val="21"/>
              </w:rPr>
              <w:t xml:space="preserve"> □ 优          □ 良          □ 中        □ 差</w:t>
            </w:r>
          </w:p>
        </w:tc>
      </w:tr>
      <w:tr w14:paraId="1DC4053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606" w:type="dxa"/>
            <w:vMerge w:val="continue"/>
            <w:vAlign w:val="center"/>
          </w:tcPr>
          <w:p w14:paraId="6BD02238">
            <w:pPr>
              <w:spacing w:line="240" w:lineRule="atLeast"/>
              <w:jc w:val="center"/>
              <w:rPr>
                <w:rFonts w:hint="eastAsia" w:ascii="宋体" w:hAnsi="宋体" w:eastAsia="宋体" w:cs="宋体"/>
                <w:szCs w:val="21"/>
              </w:rPr>
            </w:pPr>
          </w:p>
        </w:tc>
        <w:tc>
          <w:tcPr>
            <w:tcW w:w="720" w:type="dxa"/>
            <w:vMerge w:val="continue"/>
            <w:tcBorders>
              <w:right w:val="single" w:color="auto" w:sz="4" w:space="0"/>
            </w:tcBorders>
            <w:vAlign w:val="center"/>
          </w:tcPr>
          <w:p w14:paraId="2ABD9FE7">
            <w:pPr>
              <w:spacing w:line="240" w:lineRule="atLeast"/>
              <w:jc w:val="center"/>
              <w:rPr>
                <w:rFonts w:hint="eastAsia" w:ascii="宋体" w:hAnsi="宋体" w:eastAsia="宋体" w:cs="宋体"/>
                <w:szCs w:val="21"/>
              </w:rPr>
            </w:pPr>
          </w:p>
        </w:tc>
        <w:tc>
          <w:tcPr>
            <w:tcW w:w="720" w:type="dxa"/>
            <w:tcBorders>
              <w:left w:val="single" w:color="auto" w:sz="4" w:space="0"/>
              <w:right w:val="single" w:color="auto" w:sz="4" w:space="0"/>
            </w:tcBorders>
            <w:vAlign w:val="center"/>
          </w:tcPr>
          <w:p w14:paraId="47AC2793">
            <w:pPr>
              <w:spacing w:line="240" w:lineRule="atLeast"/>
              <w:jc w:val="center"/>
              <w:rPr>
                <w:rFonts w:hint="eastAsia" w:ascii="宋体" w:hAnsi="宋体" w:eastAsia="宋体" w:cs="宋体"/>
                <w:szCs w:val="21"/>
              </w:rPr>
            </w:pPr>
            <w:r>
              <w:rPr>
                <w:rFonts w:hint="eastAsia" w:ascii="宋体" w:hAnsi="宋体" w:eastAsia="宋体" w:cs="宋体"/>
                <w:szCs w:val="21"/>
              </w:rPr>
              <w:t>时间方面</w:t>
            </w:r>
          </w:p>
        </w:tc>
        <w:tc>
          <w:tcPr>
            <w:tcW w:w="6142" w:type="dxa"/>
            <w:gridSpan w:val="3"/>
            <w:tcBorders>
              <w:left w:val="single" w:color="auto" w:sz="4" w:space="0"/>
            </w:tcBorders>
            <w:vAlign w:val="center"/>
          </w:tcPr>
          <w:p w14:paraId="32771742">
            <w:pPr>
              <w:spacing w:line="240" w:lineRule="atLeast"/>
              <w:jc w:val="center"/>
              <w:rPr>
                <w:rFonts w:hint="eastAsia" w:ascii="宋体" w:hAnsi="宋体" w:eastAsia="宋体" w:cs="宋体"/>
                <w:szCs w:val="21"/>
              </w:rPr>
            </w:pPr>
            <w:r>
              <w:rPr>
                <w:rFonts w:hint="eastAsia" w:ascii="宋体" w:hAnsi="宋体" w:eastAsia="宋体" w:cs="宋体"/>
                <w:szCs w:val="21"/>
              </w:rPr>
              <w:t xml:space="preserve"> □ 优          □ 良          □ 中        □ 差</w:t>
            </w:r>
          </w:p>
        </w:tc>
      </w:tr>
      <w:tr w14:paraId="4485F11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606" w:type="dxa"/>
            <w:vMerge w:val="continue"/>
            <w:vAlign w:val="center"/>
          </w:tcPr>
          <w:p w14:paraId="0407BD7C">
            <w:pPr>
              <w:spacing w:line="240" w:lineRule="atLeast"/>
              <w:jc w:val="center"/>
              <w:rPr>
                <w:rFonts w:hint="eastAsia" w:ascii="宋体" w:hAnsi="宋体" w:eastAsia="宋体" w:cs="宋体"/>
                <w:szCs w:val="21"/>
              </w:rPr>
            </w:pPr>
          </w:p>
        </w:tc>
        <w:tc>
          <w:tcPr>
            <w:tcW w:w="720" w:type="dxa"/>
            <w:vMerge w:val="continue"/>
            <w:tcBorders>
              <w:right w:val="single" w:color="auto" w:sz="4" w:space="0"/>
            </w:tcBorders>
            <w:vAlign w:val="center"/>
          </w:tcPr>
          <w:p w14:paraId="37FCF69E">
            <w:pPr>
              <w:spacing w:line="240" w:lineRule="atLeast"/>
              <w:jc w:val="center"/>
              <w:rPr>
                <w:rFonts w:hint="eastAsia" w:ascii="宋体" w:hAnsi="宋体" w:eastAsia="宋体" w:cs="宋体"/>
                <w:szCs w:val="21"/>
              </w:rPr>
            </w:pPr>
          </w:p>
        </w:tc>
        <w:tc>
          <w:tcPr>
            <w:tcW w:w="720" w:type="dxa"/>
            <w:tcBorders>
              <w:left w:val="single" w:color="auto" w:sz="4" w:space="0"/>
              <w:right w:val="single" w:color="auto" w:sz="4" w:space="0"/>
            </w:tcBorders>
            <w:vAlign w:val="center"/>
          </w:tcPr>
          <w:p w14:paraId="7E8DEA8E">
            <w:pPr>
              <w:spacing w:line="240" w:lineRule="atLeast"/>
              <w:jc w:val="center"/>
              <w:rPr>
                <w:rFonts w:hint="eastAsia" w:ascii="宋体" w:hAnsi="宋体" w:eastAsia="宋体" w:cs="宋体"/>
                <w:szCs w:val="21"/>
              </w:rPr>
            </w:pPr>
            <w:r>
              <w:rPr>
                <w:rFonts w:hint="eastAsia" w:ascii="宋体" w:hAnsi="宋体" w:eastAsia="宋体" w:cs="宋体"/>
                <w:szCs w:val="21"/>
              </w:rPr>
              <w:t>环境保护</w:t>
            </w:r>
          </w:p>
        </w:tc>
        <w:tc>
          <w:tcPr>
            <w:tcW w:w="6142" w:type="dxa"/>
            <w:gridSpan w:val="3"/>
            <w:tcBorders>
              <w:left w:val="single" w:color="auto" w:sz="4" w:space="0"/>
            </w:tcBorders>
            <w:vAlign w:val="center"/>
          </w:tcPr>
          <w:p w14:paraId="256C3DA7">
            <w:pPr>
              <w:spacing w:line="240" w:lineRule="atLeast"/>
              <w:jc w:val="center"/>
              <w:rPr>
                <w:rFonts w:hint="eastAsia" w:ascii="宋体" w:hAnsi="宋体" w:eastAsia="宋体" w:cs="宋体"/>
                <w:szCs w:val="21"/>
              </w:rPr>
            </w:pPr>
            <w:r>
              <w:rPr>
                <w:rFonts w:hint="eastAsia" w:ascii="宋体" w:hAnsi="宋体" w:eastAsia="宋体" w:cs="宋体"/>
                <w:szCs w:val="21"/>
              </w:rPr>
              <w:t xml:space="preserve"> □ 优          □ 良          □ 中        □ 差</w:t>
            </w:r>
          </w:p>
        </w:tc>
      </w:tr>
      <w:tr w14:paraId="10C0E3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58" w:hRule="atLeast"/>
          <w:jc w:val="center"/>
        </w:trPr>
        <w:tc>
          <w:tcPr>
            <w:tcW w:w="606" w:type="dxa"/>
            <w:vMerge w:val="continue"/>
            <w:vAlign w:val="center"/>
          </w:tcPr>
          <w:p w14:paraId="617E7C0F">
            <w:pPr>
              <w:spacing w:line="240" w:lineRule="atLeast"/>
              <w:jc w:val="center"/>
              <w:rPr>
                <w:rFonts w:hint="eastAsia" w:ascii="宋体" w:hAnsi="宋体" w:eastAsia="宋体" w:cs="宋体"/>
                <w:szCs w:val="21"/>
              </w:rPr>
            </w:pPr>
          </w:p>
        </w:tc>
        <w:tc>
          <w:tcPr>
            <w:tcW w:w="720" w:type="dxa"/>
            <w:vMerge w:val="continue"/>
            <w:tcBorders>
              <w:right w:val="single" w:color="auto" w:sz="4" w:space="0"/>
            </w:tcBorders>
            <w:vAlign w:val="center"/>
          </w:tcPr>
          <w:p w14:paraId="4C6A2596">
            <w:pPr>
              <w:spacing w:line="240" w:lineRule="atLeast"/>
              <w:jc w:val="center"/>
              <w:rPr>
                <w:rFonts w:hint="eastAsia" w:ascii="宋体" w:hAnsi="宋体" w:eastAsia="宋体" w:cs="宋体"/>
                <w:szCs w:val="21"/>
              </w:rPr>
            </w:pPr>
          </w:p>
        </w:tc>
        <w:tc>
          <w:tcPr>
            <w:tcW w:w="720" w:type="dxa"/>
            <w:tcBorders>
              <w:left w:val="single" w:color="auto" w:sz="4" w:space="0"/>
              <w:right w:val="single" w:color="auto" w:sz="4" w:space="0"/>
            </w:tcBorders>
            <w:vAlign w:val="center"/>
          </w:tcPr>
          <w:p w14:paraId="1F30D90A">
            <w:pPr>
              <w:spacing w:line="240" w:lineRule="atLeast"/>
              <w:jc w:val="center"/>
              <w:rPr>
                <w:rFonts w:hint="eastAsia" w:ascii="宋体" w:hAnsi="宋体" w:eastAsia="宋体" w:cs="宋体"/>
                <w:szCs w:val="21"/>
              </w:rPr>
            </w:pPr>
            <w:r>
              <w:rPr>
                <w:rFonts w:hint="eastAsia" w:ascii="宋体" w:hAnsi="宋体" w:eastAsia="宋体" w:cs="宋体"/>
                <w:szCs w:val="21"/>
              </w:rPr>
              <w:t>其他</w:t>
            </w:r>
          </w:p>
        </w:tc>
        <w:tc>
          <w:tcPr>
            <w:tcW w:w="6142" w:type="dxa"/>
            <w:gridSpan w:val="3"/>
            <w:tcBorders>
              <w:left w:val="single" w:color="auto" w:sz="4" w:space="0"/>
            </w:tcBorders>
            <w:vAlign w:val="center"/>
          </w:tcPr>
          <w:p w14:paraId="30031D8A">
            <w:pPr>
              <w:spacing w:before="120" w:beforeLines="50" w:after="120" w:afterLines="50" w:line="240" w:lineRule="atLeast"/>
              <w:rPr>
                <w:rFonts w:hint="eastAsia" w:ascii="宋体" w:hAnsi="宋体" w:eastAsia="宋体" w:cs="宋体"/>
                <w:szCs w:val="21"/>
                <w:u w:val="single"/>
              </w:rPr>
            </w:pPr>
            <w:r>
              <w:rPr>
                <w:rFonts w:hint="eastAsia" w:ascii="宋体" w:hAnsi="宋体" w:eastAsia="宋体" w:cs="宋体"/>
                <w:szCs w:val="21"/>
              </w:rPr>
              <w:t>评价内容为：</w:t>
            </w:r>
            <w:r>
              <w:rPr>
                <w:rFonts w:hint="eastAsia" w:ascii="宋体" w:hAnsi="宋体" w:eastAsia="宋体" w:cs="宋体"/>
                <w:szCs w:val="21"/>
                <w:u w:val="single"/>
              </w:rPr>
              <w:t xml:space="preserve">                    </w:t>
            </w:r>
          </w:p>
          <w:p w14:paraId="029106DC">
            <w:pPr>
              <w:spacing w:before="120" w:beforeLines="50" w:after="120" w:afterLines="50" w:line="240" w:lineRule="atLeast"/>
              <w:rPr>
                <w:rFonts w:hint="eastAsia" w:ascii="宋体" w:hAnsi="宋体" w:eastAsia="宋体" w:cs="宋体"/>
                <w:szCs w:val="21"/>
              </w:rPr>
            </w:pPr>
            <w:r>
              <w:rPr>
                <w:rFonts w:hint="eastAsia" w:ascii="宋体" w:hAnsi="宋体" w:eastAsia="宋体" w:cs="宋体"/>
                <w:szCs w:val="21"/>
              </w:rPr>
              <w:t>评价等级为：  □ 优       □ 良        □ 中         □ 差</w:t>
            </w:r>
          </w:p>
        </w:tc>
      </w:tr>
      <w:tr w14:paraId="535CE42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91" w:hRule="atLeast"/>
          <w:jc w:val="center"/>
        </w:trPr>
        <w:tc>
          <w:tcPr>
            <w:tcW w:w="1326" w:type="dxa"/>
            <w:gridSpan w:val="2"/>
            <w:vAlign w:val="center"/>
          </w:tcPr>
          <w:p w14:paraId="52E7DE24">
            <w:pPr>
              <w:spacing w:line="240" w:lineRule="atLeast"/>
              <w:jc w:val="center"/>
              <w:rPr>
                <w:rFonts w:hint="eastAsia" w:ascii="宋体" w:hAnsi="宋体" w:eastAsia="宋体" w:cs="宋体"/>
                <w:szCs w:val="21"/>
              </w:rPr>
            </w:pPr>
            <w:r>
              <w:rPr>
                <w:rFonts w:hint="eastAsia" w:ascii="宋体" w:hAnsi="宋体" w:eastAsia="宋体" w:cs="宋体"/>
                <w:szCs w:val="21"/>
              </w:rPr>
              <w:t>具体情况说明</w:t>
            </w:r>
          </w:p>
        </w:tc>
        <w:tc>
          <w:tcPr>
            <w:tcW w:w="6862" w:type="dxa"/>
            <w:gridSpan w:val="4"/>
          </w:tcPr>
          <w:p w14:paraId="2441E418">
            <w:pPr>
              <w:spacing w:line="240" w:lineRule="atLeast"/>
              <w:rPr>
                <w:rFonts w:hint="eastAsia" w:ascii="宋体" w:hAnsi="宋体" w:eastAsia="宋体" w:cs="宋体"/>
                <w:szCs w:val="21"/>
              </w:rPr>
            </w:pPr>
          </w:p>
          <w:p w14:paraId="0ED83E78">
            <w:pPr>
              <w:spacing w:line="240" w:lineRule="atLeast"/>
              <w:rPr>
                <w:rFonts w:hint="eastAsia" w:ascii="宋体" w:hAnsi="宋体" w:eastAsia="宋体" w:cs="宋体"/>
                <w:szCs w:val="21"/>
              </w:rPr>
            </w:pPr>
          </w:p>
          <w:p w14:paraId="18E13B97">
            <w:pPr>
              <w:spacing w:line="240" w:lineRule="atLeast"/>
              <w:rPr>
                <w:rFonts w:hint="eastAsia" w:ascii="宋体" w:hAnsi="宋体" w:eastAsia="宋体" w:cs="宋体"/>
                <w:szCs w:val="21"/>
              </w:rPr>
            </w:pPr>
          </w:p>
          <w:p w14:paraId="13B7D9F6">
            <w:pPr>
              <w:spacing w:line="240" w:lineRule="atLeast"/>
              <w:rPr>
                <w:rFonts w:hint="eastAsia" w:ascii="宋体" w:hAnsi="宋体" w:eastAsia="宋体" w:cs="宋体"/>
                <w:szCs w:val="21"/>
              </w:rPr>
            </w:pPr>
          </w:p>
          <w:p w14:paraId="0F317E7F">
            <w:pPr>
              <w:spacing w:line="240" w:lineRule="atLeast"/>
              <w:rPr>
                <w:rFonts w:hint="eastAsia" w:ascii="宋体" w:hAnsi="宋体" w:eastAsia="宋体" w:cs="宋体"/>
                <w:szCs w:val="21"/>
              </w:rPr>
            </w:pPr>
          </w:p>
          <w:p w14:paraId="78CE9697">
            <w:pPr>
              <w:spacing w:line="240" w:lineRule="atLeast"/>
              <w:rPr>
                <w:rFonts w:hint="eastAsia" w:ascii="宋体" w:hAnsi="宋体" w:eastAsia="宋体" w:cs="宋体"/>
                <w:szCs w:val="21"/>
              </w:rPr>
            </w:pPr>
          </w:p>
          <w:p w14:paraId="2874117F">
            <w:pPr>
              <w:spacing w:line="240" w:lineRule="atLeast"/>
              <w:rPr>
                <w:rFonts w:hint="eastAsia" w:ascii="宋体" w:hAnsi="宋体" w:eastAsia="宋体" w:cs="宋体"/>
                <w:szCs w:val="21"/>
              </w:rPr>
            </w:pPr>
          </w:p>
          <w:p w14:paraId="07D00BAF">
            <w:pPr>
              <w:spacing w:line="240" w:lineRule="atLeast"/>
              <w:rPr>
                <w:rFonts w:hint="eastAsia" w:ascii="宋体" w:hAnsi="宋体" w:eastAsia="宋体" w:cs="宋体"/>
                <w:szCs w:val="21"/>
              </w:rPr>
            </w:pPr>
          </w:p>
        </w:tc>
      </w:tr>
      <w:tr w14:paraId="6CCD71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0" w:hRule="atLeast"/>
          <w:jc w:val="center"/>
        </w:trPr>
        <w:tc>
          <w:tcPr>
            <w:tcW w:w="1326" w:type="dxa"/>
            <w:gridSpan w:val="2"/>
            <w:vAlign w:val="center"/>
          </w:tcPr>
          <w:p w14:paraId="2DAAADFA">
            <w:pPr>
              <w:spacing w:line="240" w:lineRule="atLeast"/>
              <w:jc w:val="center"/>
              <w:rPr>
                <w:rFonts w:hint="eastAsia" w:ascii="宋体" w:hAnsi="宋体" w:eastAsia="宋体" w:cs="宋体"/>
                <w:szCs w:val="21"/>
              </w:rPr>
            </w:pPr>
            <w:r>
              <w:rPr>
                <w:rFonts w:hint="eastAsia" w:ascii="宋体" w:hAnsi="宋体" w:eastAsia="宋体" w:cs="宋体"/>
                <w:szCs w:val="21"/>
              </w:rPr>
              <w:t>采购人意见</w:t>
            </w:r>
          </w:p>
          <w:p w14:paraId="07E10D91">
            <w:pPr>
              <w:spacing w:line="240" w:lineRule="atLeast"/>
              <w:jc w:val="center"/>
              <w:rPr>
                <w:rFonts w:hint="eastAsia" w:ascii="宋体" w:hAnsi="宋体" w:eastAsia="宋体" w:cs="宋体"/>
                <w:szCs w:val="21"/>
              </w:rPr>
            </w:pPr>
            <w:r>
              <w:rPr>
                <w:rFonts w:hint="eastAsia" w:ascii="宋体" w:hAnsi="宋体" w:eastAsia="宋体" w:cs="宋体"/>
                <w:szCs w:val="21"/>
              </w:rPr>
              <w:t>（公章）</w:t>
            </w:r>
          </w:p>
        </w:tc>
        <w:tc>
          <w:tcPr>
            <w:tcW w:w="6862" w:type="dxa"/>
            <w:gridSpan w:val="4"/>
            <w:vAlign w:val="center"/>
          </w:tcPr>
          <w:p w14:paraId="5FD21A90">
            <w:pPr>
              <w:spacing w:line="240" w:lineRule="atLeast"/>
              <w:rPr>
                <w:rFonts w:hint="eastAsia" w:ascii="宋体" w:hAnsi="宋体" w:eastAsia="宋体" w:cs="宋体"/>
                <w:szCs w:val="21"/>
              </w:rPr>
            </w:pPr>
          </w:p>
          <w:p w14:paraId="1A51EA92">
            <w:pPr>
              <w:spacing w:line="240" w:lineRule="atLeast"/>
              <w:rPr>
                <w:rFonts w:hint="eastAsia" w:ascii="宋体" w:hAnsi="宋体" w:eastAsia="宋体" w:cs="宋体"/>
                <w:szCs w:val="21"/>
              </w:rPr>
            </w:pPr>
          </w:p>
          <w:p w14:paraId="53A097DD">
            <w:pPr>
              <w:spacing w:line="240" w:lineRule="atLeast"/>
              <w:rPr>
                <w:rFonts w:hint="eastAsia" w:ascii="宋体" w:hAnsi="宋体" w:eastAsia="宋体" w:cs="宋体"/>
                <w:szCs w:val="21"/>
              </w:rPr>
            </w:pPr>
          </w:p>
          <w:p w14:paraId="52EED54C">
            <w:pPr>
              <w:spacing w:line="240" w:lineRule="atLeast"/>
              <w:rPr>
                <w:rFonts w:hint="eastAsia" w:ascii="宋体" w:hAnsi="宋体" w:eastAsia="宋体" w:cs="宋体"/>
                <w:szCs w:val="21"/>
              </w:rPr>
            </w:pPr>
            <w:r>
              <w:rPr>
                <w:rFonts w:hint="eastAsia" w:ascii="宋体" w:hAnsi="宋体" w:eastAsia="宋体" w:cs="宋体"/>
                <w:szCs w:val="21"/>
              </w:rPr>
              <w:t xml:space="preserve">                                        </w:t>
            </w:r>
          </w:p>
          <w:p w14:paraId="2F79A08C">
            <w:pPr>
              <w:spacing w:line="240" w:lineRule="atLeast"/>
              <w:ind w:firstLine="4320" w:firstLineChars="1800"/>
              <w:rPr>
                <w:rFonts w:hint="eastAsia" w:ascii="宋体" w:hAnsi="宋体" w:eastAsia="宋体" w:cs="宋体"/>
                <w:szCs w:val="21"/>
              </w:rPr>
            </w:pPr>
          </w:p>
          <w:p w14:paraId="6810EFD3">
            <w:pPr>
              <w:spacing w:line="240" w:lineRule="atLeast"/>
              <w:ind w:firstLine="4320" w:firstLineChars="1800"/>
              <w:rPr>
                <w:rFonts w:hint="eastAsia" w:ascii="宋体" w:hAnsi="宋体" w:eastAsia="宋体" w:cs="宋体"/>
                <w:szCs w:val="21"/>
              </w:rPr>
            </w:pPr>
            <w:r>
              <w:rPr>
                <w:rFonts w:hint="eastAsia" w:ascii="宋体" w:hAnsi="宋体" w:eastAsia="宋体" w:cs="宋体"/>
                <w:szCs w:val="21"/>
              </w:rPr>
              <w:t>日期：   年   月   日</w:t>
            </w:r>
          </w:p>
        </w:tc>
      </w:tr>
    </w:tbl>
    <w:p w14:paraId="2078F187">
      <w:pPr>
        <w:spacing w:line="240" w:lineRule="atLeast"/>
        <w:rPr>
          <w:rFonts w:hint="eastAsia" w:ascii="宋体" w:hAnsi="宋体" w:eastAsia="宋体" w:cs="宋体"/>
          <w:sz w:val="21"/>
          <w:szCs w:val="21"/>
        </w:rPr>
      </w:pPr>
      <w:r>
        <w:rPr>
          <w:rFonts w:hint="eastAsia" w:ascii="宋体" w:hAnsi="宋体" w:eastAsia="宋体" w:cs="宋体"/>
          <w:sz w:val="21"/>
          <w:szCs w:val="21"/>
        </w:rPr>
        <w:t>说明：</w:t>
      </w:r>
    </w:p>
    <w:p w14:paraId="5AD67DEA">
      <w:pPr>
        <w:spacing w:line="240" w:lineRule="atLeast"/>
        <w:rPr>
          <w:rFonts w:hint="eastAsia" w:ascii="宋体" w:hAnsi="宋体" w:eastAsia="宋体" w:cs="宋体"/>
          <w:sz w:val="21"/>
          <w:szCs w:val="21"/>
        </w:rPr>
      </w:pPr>
      <w:r>
        <w:rPr>
          <w:rFonts w:hint="eastAsia" w:ascii="宋体" w:hAnsi="宋体" w:eastAsia="宋体" w:cs="宋体"/>
          <w:sz w:val="21"/>
          <w:szCs w:val="21"/>
        </w:rPr>
        <w:t>1、本表为采购人向履约评价工作实施机构反映政府采购项目履约情况时所用；</w:t>
      </w:r>
    </w:p>
    <w:p w14:paraId="71A96AD9">
      <w:pPr>
        <w:rPr>
          <w:rFonts w:hint="eastAsia" w:ascii="宋体" w:hAnsi="宋体" w:eastAsia="宋体" w:cs="宋体"/>
          <w:sz w:val="21"/>
          <w:szCs w:val="21"/>
        </w:rPr>
      </w:pPr>
      <w:r>
        <w:rPr>
          <w:rFonts w:hint="eastAsia" w:ascii="宋体" w:hAnsi="宋体" w:eastAsia="宋体" w:cs="宋体"/>
          <w:sz w:val="21"/>
          <w:szCs w:val="21"/>
        </w:rPr>
        <w:t>2、履约情况评价分为优、良、中、差四个等级，请在对应的框前打“√”，然后在“具体情况说明”一栏详细说明有关情况。</w:t>
      </w:r>
    </w:p>
    <w:p w14:paraId="0B74F5CE">
      <w:pPr>
        <w:pStyle w:val="4"/>
        <w:spacing w:before="120" w:beforeLines="50" w:after="120" w:afterLines="50"/>
        <w:ind w:left="562"/>
        <w:rPr>
          <w:rFonts w:hint="eastAsia" w:ascii="宋体" w:hAnsi="宋体" w:eastAsia="宋体" w:cs="宋体"/>
          <w:b/>
          <w:bCs/>
          <w:sz w:val="28"/>
          <w:szCs w:val="28"/>
        </w:rPr>
      </w:pPr>
      <w:r>
        <w:rPr>
          <w:rFonts w:hint="eastAsia" w:ascii="宋体" w:hAnsi="宋体" w:eastAsia="宋体" w:cs="宋体"/>
          <w:b/>
          <w:bCs/>
          <w:sz w:val="28"/>
          <w:szCs w:val="28"/>
        </w:rPr>
        <w:t>第二册  通用条款（公开招标）</w:t>
      </w:r>
    </w:p>
    <w:p w14:paraId="210693C3">
      <w:pPr>
        <w:pStyle w:val="5"/>
        <w:spacing w:before="120" w:beforeLines="50" w:after="120" w:afterLines="50"/>
        <w:ind w:left="562" w:hanging="562"/>
        <w:rPr>
          <w:rFonts w:hint="eastAsia" w:cs="宋体"/>
          <w:szCs w:val="28"/>
        </w:rPr>
      </w:pPr>
      <w:bookmarkStart w:id="48" w:name="_Hlk72399513"/>
      <w:r>
        <w:rPr>
          <w:rFonts w:hint="eastAsia" w:cs="宋体"/>
          <w:szCs w:val="28"/>
        </w:rPr>
        <w:t>第一章总则</w:t>
      </w:r>
    </w:p>
    <w:bookmarkEnd w:id="48"/>
    <w:p w14:paraId="145F74F6">
      <w:pPr>
        <w:rPr>
          <w:rFonts w:hint="eastAsia" w:ascii="宋体" w:hAnsi="宋体" w:eastAsia="宋体" w:cs="宋体"/>
        </w:rPr>
      </w:pPr>
      <w:r>
        <w:rPr>
          <w:rFonts w:hint="eastAsia" w:ascii="宋体" w:hAnsi="宋体" w:eastAsia="宋体" w:cs="宋体"/>
        </w:rPr>
        <w:t>1. 通用条款说明</w:t>
      </w:r>
    </w:p>
    <w:p w14:paraId="2D16C208">
      <w:pPr>
        <w:ind w:firstLine="470" w:firstLineChars="196"/>
        <w:rPr>
          <w:rFonts w:hint="eastAsia" w:ascii="宋体" w:hAnsi="宋体" w:eastAsia="宋体" w:cs="宋体"/>
          <w:szCs w:val="21"/>
        </w:rPr>
      </w:pPr>
      <w:r>
        <w:rPr>
          <w:rFonts w:hint="eastAsia" w:ascii="宋体" w:hAnsi="宋体" w:eastAsia="宋体" w:cs="宋体"/>
          <w:szCs w:val="21"/>
        </w:rPr>
        <w:t>1.1招标代理机构发出招标文件通用条款版本，列出深圳市政府采购项目进行招标采购所适用的通用条款内容。</w:t>
      </w:r>
      <w:bookmarkStart w:id="49" w:name="_Hlk72399729"/>
      <w:r>
        <w:rPr>
          <w:rFonts w:hint="eastAsia" w:ascii="宋体" w:hAnsi="宋体" w:eastAsia="宋体" w:cs="宋体"/>
          <w:szCs w:val="21"/>
        </w:rPr>
        <w:t>如有需要，招标代理机构可以对通用条款的内容进行补充。</w:t>
      </w:r>
      <w:bookmarkEnd w:id="49"/>
    </w:p>
    <w:p w14:paraId="5D1E7D61">
      <w:pPr>
        <w:ind w:firstLine="470" w:firstLineChars="196"/>
        <w:rPr>
          <w:rFonts w:hint="eastAsia" w:ascii="宋体" w:hAnsi="宋体" w:eastAsia="宋体" w:cs="宋体"/>
          <w:szCs w:val="21"/>
        </w:rPr>
      </w:pPr>
      <w:r>
        <w:rPr>
          <w:rFonts w:hint="eastAsia" w:ascii="宋体" w:hAnsi="宋体" w:eastAsia="宋体" w:cs="宋体"/>
          <w:szCs w:val="21"/>
        </w:rPr>
        <w:t>1.2招标文件分为第一册“专用条款”和第二册“通用条款”。</w:t>
      </w:r>
    </w:p>
    <w:p w14:paraId="75BCCF39">
      <w:pPr>
        <w:ind w:firstLine="470" w:firstLineChars="196"/>
        <w:rPr>
          <w:rFonts w:hint="eastAsia" w:ascii="宋体" w:hAnsi="宋体" w:eastAsia="宋体" w:cs="宋体"/>
          <w:szCs w:val="21"/>
        </w:rPr>
      </w:pPr>
      <w:r>
        <w:rPr>
          <w:rFonts w:hint="eastAsia" w:ascii="宋体" w:hAnsi="宋体" w:eastAsia="宋体" w:cs="宋体"/>
          <w:szCs w:val="21"/>
        </w:rPr>
        <w:t>1.3“专用条款”是对本次采购项目的具体要求，包含招标公告、对通用条款的补充内容及其他关键信息、用户需求书、投标文件格式及附件、合同条款及格式等内容。</w:t>
      </w:r>
    </w:p>
    <w:p w14:paraId="6766A781">
      <w:pPr>
        <w:ind w:firstLine="470" w:firstLineChars="196"/>
        <w:rPr>
          <w:rFonts w:hint="eastAsia" w:ascii="宋体" w:hAnsi="宋体" w:eastAsia="宋体" w:cs="宋体"/>
          <w:szCs w:val="21"/>
        </w:rPr>
      </w:pPr>
      <w:r>
        <w:rPr>
          <w:rFonts w:hint="eastAsia" w:ascii="宋体" w:hAnsi="宋体" w:eastAsia="宋体" w:cs="宋体"/>
          <w:szCs w:val="21"/>
        </w:rPr>
        <w:t>1.4“通用条款”是适用于政府采购公开招标项目的基础性条款，具有普遍性和通用性。</w:t>
      </w:r>
    </w:p>
    <w:p w14:paraId="6834EBFC">
      <w:pPr>
        <w:ind w:firstLine="470" w:firstLineChars="196"/>
        <w:rPr>
          <w:rFonts w:hint="eastAsia" w:ascii="宋体" w:hAnsi="宋体" w:eastAsia="宋体" w:cs="宋体"/>
          <w:szCs w:val="21"/>
        </w:rPr>
      </w:pPr>
      <w:r>
        <w:rPr>
          <w:rFonts w:hint="eastAsia" w:ascii="宋体" w:hAnsi="宋体" w:eastAsia="宋体" w:cs="宋体"/>
          <w:szCs w:val="21"/>
        </w:rPr>
        <w:t>1.5 “专用条款”和“通用条款”表述不一致或有冲突时，以“专用条款”为准。</w:t>
      </w:r>
    </w:p>
    <w:p w14:paraId="514E0082">
      <w:pPr>
        <w:rPr>
          <w:rFonts w:hint="eastAsia" w:ascii="宋体" w:hAnsi="宋体" w:eastAsia="宋体" w:cs="宋体"/>
        </w:rPr>
      </w:pPr>
      <w:r>
        <w:rPr>
          <w:rFonts w:hint="eastAsia" w:ascii="宋体" w:hAnsi="宋体" w:eastAsia="宋体" w:cs="宋体"/>
        </w:rPr>
        <w:t>2．招标说明</w:t>
      </w:r>
    </w:p>
    <w:p w14:paraId="38764C86">
      <w:pPr>
        <w:ind w:firstLine="470" w:firstLineChars="196"/>
        <w:rPr>
          <w:rFonts w:hint="eastAsia" w:ascii="宋体" w:hAnsi="宋体" w:eastAsia="宋体" w:cs="宋体"/>
          <w:szCs w:val="21"/>
        </w:rPr>
      </w:pPr>
      <w:r>
        <w:rPr>
          <w:rFonts w:hint="eastAsia" w:ascii="宋体" w:hAnsi="宋体" w:eastAsia="宋体" w:cs="宋体"/>
          <w:szCs w:val="21"/>
        </w:rPr>
        <w:t>本项目按照《深圳经济特区政府采购条例》、《深圳经济特区政府采购条例实施细则》及政府采购其他法律法规，通过公开招标方式确定中标供应商。</w:t>
      </w:r>
    </w:p>
    <w:p w14:paraId="2D628D98">
      <w:pPr>
        <w:rPr>
          <w:rFonts w:hint="eastAsia" w:ascii="宋体" w:hAnsi="宋体" w:eastAsia="宋体" w:cs="宋体"/>
        </w:rPr>
      </w:pPr>
      <w:r>
        <w:rPr>
          <w:rFonts w:hint="eastAsia" w:ascii="宋体" w:hAnsi="宋体" w:eastAsia="宋体" w:cs="宋体"/>
        </w:rPr>
        <w:t>3．定义</w:t>
      </w:r>
    </w:p>
    <w:p w14:paraId="38DEBCB0">
      <w:pPr>
        <w:ind w:firstLine="480" w:firstLineChars="200"/>
        <w:rPr>
          <w:rFonts w:hint="eastAsia" w:ascii="宋体" w:hAnsi="宋体" w:eastAsia="宋体" w:cs="宋体"/>
          <w:szCs w:val="21"/>
        </w:rPr>
      </w:pPr>
      <w:r>
        <w:rPr>
          <w:rFonts w:hint="eastAsia" w:ascii="宋体" w:hAnsi="宋体" w:eastAsia="宋体" w:cs="宋体"/>
          <w:szCs w:val="21"/>
        </w:rPr>
        <w:t>招标文件中下列术语应解释为：</w:t>
      </w:r>
    </w:p>
    <w:p w14:paraId="53F975D1">
      <w:pPr>
        <w:ind w:firstLine="470" w:firstLineChars="196"/>
        <w:rPr>
          <w:rFonts w:hint="eastAsia" w:ascii="宋体" w:hAnsi="宋体" w:eastAsia="宋体" w:cs="宋体"/>
          <w:szCs w:val="21"/>
        </w:rPr>
      </w:pPr>
      <w:r>
        <w:rPr>
          <w:rFonts w:hint="eastAsia" w:ascii="宋体" w:hAnsi="宋体" w:eastAsia="宋体" w:cs="宋体"/>
          <w:szCs w:val="21"/>
        </w:rPr>
        <w:t xml:space="preserve">3.1“采购人”：指利用财政性资金依法进行政府采购的国家机关、事业单位、团体组织； </w:t>
      </w:r>
    </w:p>
    <w:p w14:paraId="2429B083">
      <w:pPr>
        <w:ind w:firstLine="470" w:firstLineChars="196"/>
        <w:rPr>
          <w:rFonts w:hint="eastAsia" w:ascii="宋体" w:hAnsi="宋体" w:eastAsia="宋体" w:cs="宋体"/>
          <w:szCs w:val="21"/>
        </w:rPr>
      </w:pPr>
      <w:r>
        <w:rPr>
          <w:rFonts w:hint="eastAsia" w:ascii="宋体" w:hAnsi="宋体" w:eastAsia="宋体" w:cs="宋体"/>
          <w:szCs w:val="21"/>
        </w:rPr>
        <w:t>3.2 “采购代理机构”是指根据采购人委托，代理政府采购事宜的社会采购代理机构。本招标文件的招标机构特指</w:t>
      </w:r>
      <w:r>
        <w:rPr>
          <w:rFonts w:hint="eastAsia" w:ascii="宋体" w:hAnsi="宋体" w:eastAsia="宋体" w:cs="宋体"/>
          <w:b/>
          <w:bCs/>
          <w:szCs w:val="21"/>
        </w:rPr>
        <w:t>深圳市南科大资产经营管理有限公司</w:t>
      </w:r>
      <w:r>
        <w:rPr>
          <w:rFonts w:hint="eastAsia" w:ascii="宋体" w:hAnsi="宋体" w:eastAsia="宋体" w:cs="宋体"/>
          <w:szCs w:val="21"/>
        </w:rPr>
        <w:t>；</w:t>
      </w:r>
    </w:p>
    <w:p w14:paraId="6E656668">
      <w:pPr>
        <w:ind w:firstLine="470" w:firstLineChars="196"/>
        <w:rPr>
          <w:rFonts w:hint="eastAsia" w:ascii="宋体" w:hAnsi="宋体" w:eastAsia="宋体" w:cs="宋体"/>
          <w:szCs w:val="21"/>
        </w:rPr>
      </w:pPr>
      <w:r>
        <w:rPr>
          <w:rFonts w:hint="eastAsia" w:ascii="宋体" w:hAnsi="宋体" w:eastAsia="宋体" w:cs="宋体"/>
          <w:szCs w:val="21"/>
        </w:rPr>
        <w:t>3.3“投标人”，即供应商，指参加投标竞争并愿意按照招标文件要求向采购人提供货物、工程或者服务的依法成立的法人、其他组织或者自然人；</w:t>
      </w:r>
    </w:p>
    <w:p w14:paraId="4316954C">
      <w:pPr>
        <w:ind w:firstLine="470" w:firstLineChars="196"/>
        <w:rPr>
          <w:rFonts w:hint="eastAsia" w:ascii="宋体" w:hAnsi="宋体" w:eastAsia="宋体" w:cs="宋体"/>
          <w:szCs w:val="21"/>
        </w:rPr>
      </w:pPr>
      <w:r>
        <w:rPr>
          <w:rFonts w:hint="eastAsia" w:ascii="宋体" w:hAnsi="宋体" w:eastAsia="宋体" w:cs="宋体"/>
          <w:szCs w:val="21"/>
        </w:rPr>
        <w:t>3.4“评审委员会”是依据《深圳经济特区政府采购条例》、《深圳经济特区政府采购条例实施细则》等有关规定组建的专门负责本次招标其评审工作的临时性机构；</w:t>
      </w:r>
    </w:p>
    <w:p w14:paraId="546A65A4">
      <w:pPr>
        <w:ind w:firstLine="470" w:firstLineChars="196"/>
        <w:rPr>
          <w:rFonts w:hint="eastAsia" w:ascii="宋体" w:hAnsi="宋体" w:eastAsia="宋体" w:cs="宋体"/>
          <w:szCs w:val="21"/>
        </w:rPr>
      </w:pPr>
      <w:r>
        <w:rPr>
          <w:rFonts w:hint="eastAsia" w:ascii="宋体" w:hAnsi="宋体" w:eastAsia="宋体" w:cs="宋体"/>
          <w:szCs w:val="21"/>
        </w:rPr>
        <w:t>3.5“日期”指公历日；</w:t>
      </w:r>
    </w:p>
    <w:p w14:paraId="10CA2709">
      <w:pPr>
        <w:ind w:firstLine="470" w:firstLineChars="196"/>
        <w:rPr>
          <w:rFonts w:hint="eastAsia" w:ascii="宋体" w:hAnsi="宋体" w:eastAsia="宋体" w:cs="宋体"/>
          <w:szCs w:val="21"/>
        </w:rPr>
      </w:pPr>
      <w:r>
        <w:rPr>
          <w:rFonts w:hint="eastAsia" w:ascii="宋体" w:hAnsi="宋体" w:eastAsia="宋体" w:cs="宋体"/>
          <w:szCs w:val="21"/>
        </w:rPr>
        <w:t>3.6“合同”指由本次招标所产生的合同或合约文件；</w:t>
      </w:r>
    </w:p>
    <w:p w14:paraId="364851AC">
      <w:pPr>
        <w:ind w:firstLine="470" w:firstLineChars="196"/>
        <w:rPr>
          <w:rFonts w:hint="eastAsia" w:ascii="宋体" w:hAnsi="宋体" w:eastAsia="宋体" w:cs="宋体"/>
          <w:szCs w:val="21"/>
        </w:rPr>
      </w:pPr>
      <w:r>
        <w:rPr>
          <w:rFonts w:hint="eastAsia" w:ascii="宋体" w:hAnsi="宋体" w:eastAsia="宋体" w:cs="宋体"/>
          <w:szCs w:val="21"/>
        </w:rPr>
        <w:t>3.7“电子投标文件”指利用</w:t>
      </w:r>
      <w:r>
        <w:rPr>
          <w:rFonts w:hint="eastAsia" w:ascii="宋体" w:hAnsi="宋体" w:eastAsia="宋体" w:cs="宋体"/>
          <w:b/>
          <w:bCs/>
          <w:color w:val="FF0000"/>
          <w:szCs w:val="21"/>
        </w:rPr>
        <w:t>深圳公共资源交易中心（深圳交易集团有限公司政府采购业务分公司）</w:t>
      </w:r>
      <w:r>
        <w:rPr>
          <w:rFonts w:hint="eastAsia" w:ascii="宋体" w:hAnsi="宋体" w:eastAsia="宋体" w:cs="宋体"/>
          <w:szCs w:val="21"/>
        </w:rPr>
        <w:t>网站提供的深圳智慧采购平台投标文件制作专用软件（以下简称：投标文件制作软件）制作并加密的投标文件,适用于网上投标；（投标文件制作软件可从“下载地址：http://zfcg.szggzy.com:8081/cgxy/013002/20210923/173e0b2c-7a4c-4246-a0c7-e0ea75d84dd6.html深圳智慧采购平台投标文件制作专用软件.zip”下载）</w:t>
      </w:r>
    </w:p>
    <w:p w14:paraId="0F71FF51">
      <w:pPr>
        <w:ind w:firstLine="470" w:firstLineChars="196"/>
        <w:rPr>
          <w:rFonts w:hint="eastAsia" w:ascii="宋体" w:hAnsi="宋体" w:eastAsia="宋体" w:cs="宋体"/>
          <w:szCs w:val="21"/>
        </w:rPr>
      </w:pPr>
      <w:r>
        <w:rPr>
          <w:rFonts w:hint="eastAsia" w:ascii="宋体" w:hAnsi="宋体" w:eastAsia="宋体" w:cs="宋体"/>
          <w:szCs w:val="21"/>
        </w:rPr>
        <w:t>3.8“网上投标”指通过</w:t>
      </w:r>
      <w:r>
        <w:rPr>
          <w:rFonts w:hint="eastAsia" w:ascii="宋体" w:hAnsi="宋体" w:eastAsia="宋体" w:cs="宋体"/>
          <w:b/>
          <w:bCs/>
          <w:color w:val="FF0000"/>
          <w:szCs w:val="21"/>
        </w:rPr>
        <w:t>深圳公共资源交易中心（深圳交易集团有限公司政府采购业务分公司）</w:t>
      </w:r>
      <w:r>
        <w:rPr>
          <w:rFonts w:hint="eastAsia" w:ascii="宋体" w:hAnsi="宋体" w:eastAsia="宋体" w:cs="宋体"/>
          <w:szCs w:val="21"/>
        </w:rPr>
        <w:t>网站上传电子投标文件；</w:t>
      </w:r>
    </w:p>
    <w:p w14:paraId="235C7303">
      <w:pPr>
        <w:ind w:firstLine="470" w:firstLineChars="196"/>
        <w:rPr>
          <w:rFonts w:hint="eastAsia" w:ascii="宋体" w:hAnsi="宋体" w:eastAsia="宋体" w:cs="宋体"/>
          <w:szCs w:val="21"/>
        </w:rPr>
      </w:pPr>
      <w:r>
        <w:rPr>
          <w:rFonts w:hint="eastAsia" w:ascii="宋体" w:hAnsi="宋体" w:eastAsia="宋体" w:cs="宋体"/>
          <w:szCs w:val="21"/>
        </w:rPr>
        <w:t>3.9招标文件中的标题或题名仅起引导作用，而不应视为对招标文件内容的理解和解释。</w:t>
      </w:r>
    </w:p>
    <w:p w14:paraId="2CB4F07D">
      <w:pPr>
        <w:rPr>
          <w:rFonts w:hint="eastAsia" w:ascii="宋体" w:hAnsi="宋体" w:eastAsia="宋体" w:cs="宋体"/>
        </w:rPr>
      </w:pPr>
      <w:r>
        <w:rPr>
          <w:rFonts w:hint="eastAsia" w:ascii="宋体" w:hAnsi="宋体" w:eastAsia="宋体" w:cs="宋体"/>
        </w:rPr>
        <w:t xml:space="preserve">4. </w:t>
      </w:r>
      <w:bookmarkStart w:id="50" w:name="_Hlk72398643"/>
      <w:r>
        <w:rPr>
          <w:rFonts w:hint="eastAsia" w:ascii="宋体" w:hAnsi="宋体" w:eastAsia="宋体" w:cs="宋体"/>
        </w:rPr>
        <w:t>政府采购供应商责任</w:t>
      </w:r>
    </w:p>
    <w:p w14:paraId="347AC04E">
      <w:pPr>
        <w:ind w:firstLine="470" w:firstLineChars="196"/>
        <w:rPr>
          <w:rFonts w:hint="eastAsia" w:ascii="宋体" w:hAnsi="宋体" w:eastAsia="宋体" w:cs="宋体"/>
          <w:szCs w:val="21"/>
        </w:rPr>
      </w:pPr>
      <w:r>
        <w:rPr>
          <w:rFonts w:hint="eastAsia" w:ascii="宋体" w:hAnsi="宋体" w:eastAsia="宋体" w:cs="宋体"/>
          <w:szCs w:val="21"/>
        </w:rPr>
        <w:t>4.1欢迎诚信、有实力和有社会责任心的供应商参与政府采购事业。</w:t>
      </w:r>
    </w:p>
    <w:p w14:paraId="64304275">
      <w:pPr>
        <w:ind w:firstLine="470" w:firstLineChars="196"/>
        <w:rPr>
          <w:rFonts w:hint="eastAsia" w:ascii="宋体" w:hAnsi="宋体" w:eastAsia="宋体" w:cs="宋体"/>
          <w:szCs w:val="21"/>
        </w:rPr>
      </w:pPr>
      <w:r>
        <w:rPr>
          <w:rFonts w:hint="eastAsia" w:ascii="宋体" w:hAnsi="宋体" w:eastAsia="宋体" w:cs="宋体"/>
          <w:szCs w:val="21"/>
        </w:rPr>
        <w:t>4.2投标人应当遵循公平竞争的原则，不得恶意串通，不得妨碍其他投标人的竞争行为，不得损害采购人或者其他投标人的合法权益。如违反上述要求，经核实后，供应商的投标无效。</w:t>
      </w:r>
    </w:p>
    <w:p w14:paraId="2A725F57">
      <w:pPr>
        <w:rPr>
          <w:rFonts w:hint="eastAsia" w:ascii="宋体" w:hAnsi="宋体" w:eastAsia="宋体" w:cs="宋体"/>
        </w:rPr>
      </w:pPr>
      <w:r>
        <w:rPr>
          <w:rFonts w:hint="eastAsia" w:ascii="宋体" w:hAnsi="宋体" w:eastAsia="宋体" w:cs="宋体"/>
        </w:rPr>
        <w:t>5．投标人参加政府采购的条件</w:t>
      </w:r>
    </w:p>
    <w:p w14:paraId="00C06879">
      <w:pPr>
        <w:ind w:firstLine="470" w:firstLineChars="196"/>
        <w:rPr>
          <w:rFonts w:hint="eastAsia" w:ascii="宋体" w:hAnsi="宋体" w:eastAsia="宋体" w:cs="宋体"/>
          <w:szCs w:val="21"/>
        </w:rPr>
      </w:pPr>
      <w:r>
        <w:rPr>
          <w:rFonts w:hint="eastAsia" w:ascii="宋体" w:hAnsi="宋体" w:eastAsia="宋体" w:cs="宋体"/>
          <w:szCs w:val="21"/>
        </w:rPr>
        <w:t>5.1投标人应在投标前到</w:t>
      </w:r>
      <w:r>
        <w:rPr>
          <w:rFonts w:hint="eastAsia" w:ascii="宋体" w:hAnsi="宋体" w:eastAsia="宋体" w:cs="宋体"/>
          <w:b/>
          <w:bCs/>
          <w:szCs w:val="21"/>
        </w:rPr>
        <w:t>深圳公共资源交易中心（具体在深圳交易集团有限公司政府采购业务分公司进行办理）</w:t>
      </w:r>
      <w:r>
        <w:rPr>
          <w:rFonts w:hint="eastAsia" w:ascii="宋体" w:hAnsi="宋体" w:eastAsia="宋体" w:cs="宋体"/>
          <w:szCs w:val="21"/>
        </w:rPr>
        <w:t>进行注册并办理电子密钥。《供应商注册及信息变更指引》详见www.szggzy.com网站“交易服务指南-政府采购”。</w:t>
      </w:r>
    </w:p>
    <w:p w14:paraId="70749197">
      <w:pPr>
        <w:ind w:firstLine="470" w:firstLineChars="196"/>
        <w:rPr>
          <w:rFonts w:hint="eastAsia" w:ascii="宋体" w:hAnsi="宋体" w:eastAsia="宋体" w:cs="宋体"/>
          <w:szCs w:val="21"/>
        </w:rPr>
      </w:pPr>
      <w:r>
        <w:rPr>
          <w:rFonts w:hint="eastAsia" w:ascii="宋体" w:hAnsi="宋体" w:eastAsia="宋体" w:cs="宋体"/>
          <w:szCs w:val="21"/>
        </w:rPr>
        <w:t>5.2投标人资格要求</w:t>
      </w:r>
    </w:p>
    <w:p w14:paraId="4302516E">
      <w:pPr>
        <w:ind w:firstLine="470" w:firstLineChars="196"/>
        <w:rPr>
          <w:rFonts w:hint="eastAsia" w:ascii="宋体" w:hAnsi="宋体" w:eastAsia="宋体" w:cs="宋体"/>
          <w:szCs w:val="21"/>
        </w:rPr>
      </w:pPr>
      <w:r>
        <w:rPr>
          <w:rFonts w:hint="eastAsia" w:ascii="宋体" w:hAnsi="宋体" w:eastAsia="宋体" w:cs="宋体"/>
          <w:szCs w:val="21"/>
        </w:rPr>
        <w:t>参加本项目的投标人应具备的资格条件详见本项目招标公告中“投标人资格要求”（即申请人的资格要求）的内容。</w:t>
      </w:r>
    </w:p>
    <w:p w14:paraId="4AFACCD7">
      <w:pPr>
        <w:ind w:firstLine="470" w:firstLineChars="196"/>
        <w:rPr>
          <w:rFonts w:hint="eastAsia" w:ascii="宋体" w:hAnsi="宋体" w:eastAsia="宋体" w:cs="宋体"/>
          <w:szCs w:val="21"/>
        </w:rPr>
      </w:pPr>
      <w:r>
        <w:rPr>
          <w:rFonts w:hint="eastAsia" w:ascii="宋体" w:hAnsi="宋体" w:eastAsia="宋体" w:cs="宋体"/>
          <w:szCs w:val="21"/>
        </w:rPr>
        <w:t>5.3联合体投标</w:t>
      </w:r>
    </w:p>
    <w:p w14:paraId="129132D1">
      <w:pPr>
        <w:ind w:firstLine="470" w:firstLineChars="196"/>
        <w:rPr>
          <w:rFonts w:hint="eastAsia" w:ascii="宋体" w:hAnsi="宋体" w:eastAsia="宋体" w:cs="宋体"/>
          <w:szCs w:val="21"/>
        </w:rPr>
      </w:pPr>
      <w:r>
        <w:rPr>
          <w:rFonts w:hint="eastAsia" w:ascii="宋体" w:hAnsi="宋体" w:eastAsia="宋体" w:cs="宋体"/>
          <w:szCs w:val="21"/>
        </w:rPr>
        <w:t>5.3.1　以下有关联合体投标的条款仅适用于允许投标人组成联合体投标的项目。</w:t>
      </w:r>
    </w:p>
    <w:p w14:paraId="6757462D">
      <w:pPr>
        <w:ind w:firstLine="470" w:firstLineChars="196"/>
        <w:rPr>
          <w:rFonts w:hint="eastAsia" w:ascii="宋体" w:hAnsi="宋体" w:eastAsia="宋体" w:cs="宋体"/>
          <w:szCs w:val="21"/>
        </w:rPr>
      </w:pPr>
      <w:r>
        <w:rPr>
          <w:rFonts w:hint="eastAsia" w:ascii="宋体" w:hAnsi="宋体" w:eastAsia="宋体" w:cs="宋体"/>
          <w:szCs w:val="21"/>
        </w:rPr>
        <w:t>5.3.2  由两个或两个以上的自然人、法人或者其他组织可以组成一个联合体，以一个供应商的身份共同投标时，应符合以下原则：</w:t>
      </w:r>
    </w:p>
    <w:p w14:paraId="1A2C2CC7">
      <w:pPr>
        <w:ind w:firstLine="470" w:firstLineChars="196"/>
        <w:rPr>
          <w:rFonts w:hint="eastAsia" w:ascii="宋体" w:hAnsi="宋体" w:eastAsia="宋体" w:cs="宋体"/>
        </w:rPr>
      </w:pPr>
      <w:r>
        <w:rPr>
          <w:rFonts w:hint="eastAsia" w:ascii="宋体" w:hAnsi="宋体" w:eastAsia="宋体" w:cs="宋体"/>
        </w:rPr>
        <w:t xml:space="preserve">（1）投标联合体各方参加政府采购活动应当具备下列条件： </w:t>
      </w:r>
    </w:p>
    <w:p w14:paraId="2BBE8E82">
      <w:pPr>
        <w:ind w:left="480" w:leftChars="200" w:firstLine="470" w:firstLineChars="196"/>
        <w:rPr>
          <w:rFonts w:hint="eastAsia" w:ascii="宋体" w:hAnsi="宋体" w:eastAsia="宋体" w:cs="宋体"/>
        </w:rPr>
      </w:pPr>
      <w:r>
        <w:rPr>
          <w:rFonts w:hint="eastAsia" w:ascii="宋体" w:hAnsi="宋体" w:eastAsia="宋体" w:cs="宋体"/>
        </w:rPr>
        <w:t xml:space="preserve">1、具有独立承担民事责任的能力； </w:t>
      </w:r>
    </w:p>
    <w:p w14:paraId="486DDE41">
      <w:pPr>
        <w:ind w:left="420" w:firstLine="470" w:firstLineChars="196"/>
        <w:rPr>
          <w:rFonts w:hint="eastAsia" w:ascii="宋体" w:hAnsi="宋体" w:eastAsia="宋体" w:cs="宋体"/>
        </w:rPr>
      </w:pPr>
      <w:r>
        <w:rPr>
          <w:rFonts w:hint="eastAsia" w:ascii="宋体" w:hAnsi="宋体" w:eastAsia="宋体" w:cs="宋体"/>
        </w:rPr>
        <w:t xml:space="preserve">2、有良好的商业信誉和健全的财务会计制度； </w:t>
      </w:r>
    </w:p>
    <w:p w14:paraId="39F432F7">
      <w:pPr>
        <w:ind w:left="480" w:leftChars="200" w:firstLine="470" w:firstLineChars="196"/>
        <w:rPr>
          <w:rFonts w:hint="eastAsia" w:ascii="宋体" w:hAnsi="宋体" w:eastAsia="宋体" w:cs="宋体"/>
        </w:rPr>
      </w:pPr>
      <w:r>
        <w:rPr>
          <w:rFonts w:hint="eastAsia" w:ascii="宋体" w:hAnsi="宋体" w:eastAsia="宋体" w:cs="宋体"/>
        </w:rPr>
        <w:t xml:space="preserve">3、具有履行合同所必需的设备和专业技术能力； </w:t>
      </w:r>
    </w:p>
    <w:p w14:paraId="6853EEEA">
      <w:pPr>
        <w:ind w:left="480" w:leftChars="200" w:firstLine="470" w:firstLineChars="196"/>
        <w:rPr>
          <w:rFonts w:hint="eastAsia" w:ascii="宋体" w:hAnsi="宋体" w:eastAsia="宋体" w:cs="宋体"/>
        </w:rPr>
      </w:pPr>
      <w:r>
        <w:rPr>
          <w:rFonts w:hint="eastAsia" w:ascii="宋体" w:hAnsi="宋体" w:eastAsia="宋体" w:cs="宋体"/>
        </w:rPr>
        <w:t xml:space="preserve">4、有依法缴纳税收和社会保障资金的良好记录； </w:t>
      </w:r>
    </w:p>
    <w:p w14:paraId="77018842">
      <w:pPr>
        <w:ind w:left="480" w:leftChars="200" w:firstLine="470" w:firstLineChars="196"/>
        <w:rPr>
          <w:rFonts w:hint="eastAsia" w:ascii="宋体" w:hAnsi="宋体" w:eastAsia="宋体" w:cs="宋体"/>
        </w:rPr>
      </w:pPr>
      <w:r>
        <w:rPr>
          <w:rFonts w:hint="eastAsia" w:ascii="宋体" w:hAnsi="宋体" w:eastAsia="宋体" w:cs="宋体"/>
        </w:rPr>
        <w:t xml:space="preserve">5、参加政府采购活动前三年内，在经营活动中没有重大违法记录； </w:t>
      </w:r>
    </w:p>
    <w:p w14:paraId="10D5327B">
      <w:pPr>
        <w:ind w:left="480" w:leftChars="200" w:firstLine="470" w:firstLineChars="196"/>
        <w:rPr>
          <w:rFonts w:hint="eastAsia" w:ascii="宋体" w:hAnsi="宋体" w:eastAsia="宋体" w:cs="宋体"/>
        </w:rPr>
      </w:pPr>
      <w:r>
        <w:rPr>
          <w:rFonts w:hint="eastAsia" w:ascii="宋体" w:hAnsi="宋体" w:eastAsia="宋体" w:cs="宋体"/>
        </w:rPr>
        <w:t xml:space="preserve">6、法律、行政法规规定的其他条件。 </w:t>
      </w:r>
    </w:p>
    <w:p w14:paraId="5DFE5EBD">
      <w:pPr>
        <w:ind w:firstLine="470" w:firstLineChars="196"/>
        <w:rPr>
          <w:rFonts w:hint="eastAsia" w:ascii="宋体" w:hAnsi="宋体" w:eastAsia="宋体" w:cs="宋体"/>
        </w:rPr>
      </w:pPr>
      <w:r>
        <w:rPr>
          <w:rFonts w:hint="eastAsia" w:ascii="宋体" w:hAnsi="宋体" w:eastAsia="宋体" w:cs="宋体"/>
        </w:rPr>
        <w:t>（2）在投标截止前，投标联合体各方均应注册成招标代理机构供应商；</w:t>
      </w:r>
    </w:p>
    <w:p w14:paraId="0285727F">
      <w:pPr>
        <w:ind w:firstLine="470" w:firstLineChars="196"/>
        <w:rPr>
          <w:rFonts w:hint="eastAsia" w:ascii="宋体" w:hAnsi="宋体" w:eastAsia="宋体" w:cs="宋体"/>
        </w:rPr>
      </w:pPr>
      <w:r>
        <w:rPr>
          <w:rFonts w:hint="eastAsia" w:ascii="宋体" w:hAnsi="宋体" w:eastAsia="宋体" w:cs="宋体"/>
        </w:rPr>
        <w:t>（3）联合体中有同类资质的供应商按照联合体分工承担相同工作的，应当按照资质等级较低的供应商确定资质等级；</w:t>
      </w:r>
    </w:p>
    <w:p w14:paraId="548632F3">
      <w:pPr>
        <w:ind w:firstLine="470" w:firstLineChars="196"/>
        <w:rPr>
          <w:rFonts w:hint="eastAsia" w:ascii="宋体" w:hAnsi="宋体" w:eastAsia="宋体" w:cs="宋体"/>
        </w:rPr>
      </w:pPr>
      <w:r>
        <w:rPr>
          <w:rFonts w:hint="eastAsia" w:ascii="宋体" w:hAnsi="宋体" w:eastAsia="宋体" w:cs="宋体"/>
        </w:rPr>
        <w:t>（4）是否允许联合体参加投标，应当由采购人和采购代理机构根据项目的实际情况和潜在供应商的数量自主决定，如果决定接受联合体投标则应当在招标公告中明示；</w:t>
      </w:r>
    </w:p>
    <w:p w14:paraId="3B5D72B1">
      <w:pPr>
        <w:ind w:firstLine="470" w:firstLineChars="196"/>
        <w:rPr>
          <w:rFonts w:hint="eastAsia" w:ascii="宋体" w:hAnsi="宋体" w:eastAsia="宋体" w:cs="宋体"/>
        </w:rPr>
      </w:pPr>
      <w:r>
        <w:rPr>
          <w:rFonts w:hint="eastAsia" w:ascii="宋体" w:hAnsi="宋体" w:eastAsia="宋体" w:cs="宋体"/>
        </w:rPr>
        <w:t>（5）投标人的投标文件及中标后签署的合同协议对联合体各方均具法律约束力；</w:t>
      </w:r>
    </w:p>
    <w:p w14:paraId="0B05B5B0">
      <w:pPr>
        <w:ind w:firstLine="470" w:firstLineChars="196"/>
        <w:rPr>
          <w:rFonts w:hint="eastAsia" w:ascii="宋体" w:hAnsi="宋体" w:eastAsia="宋体" w:cs="宋体"/>
        </w:rPr>
      </w:pPr>
      <w:r>
        <w:rPr>
          <w:rFonts w:hint="eastAsia" w:ascii="宋体" w:hAnsi="宋体" w:eastAsia="宋体" w:cs="宋体"/>
        </w:rPr>
        <w:t>（6）联合体各方应当签订联合体投标协议，明确约定各方拟承担的工作和责任，并将该协议随投标文件一并递交给招标代理机构；</w:t>
      </w:r>
    </w:p>
    <w:p w14:paraId="7517DC0E">
      <w:pPr>
        <w:ind w:firstLine="470" w:firstLineChars="196"/>
        <w:rPr>
          <w:rFonts w:hint="eastAsia" w:ascii="宋体" w:hAnsi="宋体" w:eastAsia="宋体" w:cs="宋体"/>
        </w:rPr>
      </w:pPr>
      <w:r>
        <w:rPr>
          <w:rFonts w:hint="eastAsia" w:ascii="宋体" w:hAnsi="宋体" w:eastAsia="宋体" w:cs="宋体"/>
        </w:rPr>
        <w:t>（7）联合体中标后，联合体各方应当共同与采购人签订合同，就中标项目向采购人承担连带责任；</w:t>
      </w:r>
    </w:p>
    <w:p w14:paraId="2F61EAFD">
      <w:pPr>
        <w:ind w:firstLine="470" w:firstLineChars="196"/>
        <w:rPr>
          <w:rFonts w:hint="eastAsia" w:ascii="宋体" w:hAnsi="宋体" w:eastAsia="宋体" w:cs="宋体"/>
        </w:rPr>
      </w:pPr>
      <w:r>
        <w:rPr>
          <w:rFonts w:hint="eastAsia" w:ascii="宋体" w:hAnsi="宋体" w:eastAsia="宋体" w:cs="宋体"/>
        </w:rPr>
        <w:t>（8）以联合体形式参加政府采购活动的，联合体各方不得再单独参加或者与其他供应商另外组成联合体参加同一合同项下的政府采购活动，出现上述情况者，其投标和与此有关联合体、总包单位的投标将被拒绝；</w:t>
      </w:r>
    </w:p>
    <w:p w14:paraId="5A80C6F2">
      <w:pPr>
        <w:ind w:firstLine="470" w:firstLineChars="196"/>
        <w:rPr>
          <w:rFonts w:hint="eastAsia" w:ascii="宋体" w:hAnsi="宋体" w:eastAsia="宋体" w:cs="宋体"/>
          <w:szCs w:val="21"/>
        </w:rPr>
      </w:pPr>
      <w:r>
        <w:rPr>
          <w:rFonts w:hint="eastAsia" w:ascii="宋体" w:hAnsi="宋体" w:eastAsia="宋体" w:cs="宋体"/>
        </w:rPr>
        <w:t>（9）本通用条款中“投标人”一词亦指联合体各方，专用条款另有规定或说明的除外。</w:t>
      </w:r>
    </w:p>
    <w:p w14:paraId="195D265B">
      <w:pPr>
        <w:rPr>
          <w:rFonts w:hint="eastAsia" w:ascii="宋体" w:hAnsi="宋体" w:eastAsia="宋体" w:cs="宋体"/>
        </w:rPr>
      </w:pPr>
      <w:r>
        <w:rPr>
          <w:rFonts w:hint="eastAsia" w:ascii="宋体" w:hAnsi="宋体" w:eastAsia="宋体" w:cs="宋体"/>
        </w:rPr>
        <w:t>6．政策导向</w:t>
      </w:r>
    </w:p>
    <w:p w14:paraId="25952EE0">
      <w:pPr>
        <w:ind w:firstLine="470" w:firstLineChars="196"/>
        <w:rPr>
          <w:rFonts w:hint="eastAsia" w:ascii="宋体" w:hAnsi="宋体" w:eastAsia="宋体" w:cs="宋体"/>
        </w:rPr>
      </w:pPr>
      <w:r>
        <w:rPr>
          <w:rFonts w:hint="eastAsia" w:ascii="宋体" w:hAnsi="宋体" w:eastAsia="宋体" w:cs="宋体"/>
        </w:rPr>
        <w:t>6.1  政府采购支持本国产品、支持中小企业、监狱企业和残疾人福利性单位发展，支持乡村产业振兴，支持创新、节能减排、绿色环保等。</w:t>
      </w:r>
    </w:p>
    <w:p w14:paraId="67341B98">
      <w:pPr>
        <w:ind w:firstLine="405"/>
        <w:rPr>
          <w:rFonts w:hint="eastAsia" w:ascii="宋体" w:hAnsi="宋体" w:eastAsia="宋体" w:cs="宋体"/>
        </w:rPr>
      </w:pPr>
      <w:r>
        <w:rPr>
          <w:rFonts w:hint="eastAsia" w:ascii="宋体" w:hAnsi="宋体" w:eastAsia="宋体" w:cs="宋体"/>
        </w:rPr>
        <w:t>6.2  本项目落实深圳市政府采购供应商诚信管理政策要求。</w:t>
      </w:r>
    </w:p>
    <w:p w14:paraId="5513765A">
      <w:pPr>
        <w:ind w:firstLine="405"/>
        <w:rPr>
          <w:rFonts w:hint="eastAsia" w:ascii="宋体" w:hAnsi="宋体" w:eastAsia="宋体" w:cs="宋体"/>
        </w:rPr>
      </w:pPr>
      <w:r>
        <w:rPr>
          <w:rFonts w:hint="eastAsia" w:ascii="宋体" w:hAnsi="宋体" w:eastAsia="宋体" w:cs="宋体"/>
        </w:rPr>
        <w:t>6.3  本项目支持投标人性别平等的相关政策。</w:t>
      </w:r>
    </w:p>
    <w:p w14:paraId="66B03641">
      <w:pPr>
        <w:rPr>
          <w:rFonts w:hint="eastAsia" w:ascii="宋体" w:hAnsi="宋体" w:eastAsia="宋体" w:cs="宋体"/>
        </w:rPr>
      </w:pPr>
      <w:r>
        <w:rPr>
          <w:rFonts w:hint="eastAsia" w:ascii="宋体" w:hAnsi="宋体" w:eastAsia="宋体" w:cs="宋体"/>
        </w:rPr>
        <w:t>7. 本项目若涉及采购货物，则合格的货物及相应服务应满足以下要求：</w:t>
      </w:r>
    </w:p>
    <w:p w14:paraId="111E5A78">
      <w:pPr>
        <w:ind w:firstLine="470" w:firstLineChars="196"/>
        <w:rPr>
          <w:rFonts w:hint="eastAsia" w:ascii="宋体" w:hAnsi="宋体" w:eastAsia="宋体" w:cs="宋体"/>
        </w:rPr>
      </w:pPr>
      <w:r>
        <w:rPr>
          <w:rFonts w:hint="eastAsia" w:ascii="宋体" w:hAnsi="宋体" w:eastAsia="宋体" w:cs="宋体"/>
        </w:rPr>
        <w:t>7.1  必须是全新、未使用过的原装合格正品（包括零部件），如安装或配置了软件的，须为正版软件。</w:t>
      </w:r>
    </w:p>
    <w:p w14:paraId="548174ED">
      <w:pPr>
        <w:ind w:firstLine="470" w:firstLineChars="196"/>
        <w:rPr>
          <w:rFonts w:hint="eastAsia" w:ascii="宋体" w:hAnsi="宋体" w:eastAsia="宋体" w:cs="宋体"/>
        </w:rPr>
      </w:pPr>
      <w:r>
        <w:rPr>
          <w:rFonts w:hint="eastAsia" w:ascii="宋体" w:hAnsi="宋体" w:eastAsia="宋体" w:cs="宋体"/>
        </w:rPr>
        <w:t>7.2  国产的货物及其有关服务必须符合中华人民共和国的设计、制造生产标准及行业标准。招标公告有其他要求的，亦应符合其要求。</w:t>
      </w:r>
    </w:p>
    <w:p w14:paraId="056F7EF2">
      <w:pPr>
        <w:ind w:firstLine="470" w:firstLineChars="196"/>
        <w:rPr>
          <w:rFonts w:hint="eastAsia" w:ascii="宋体" w:hAnsi="宋体" w:eastAsia="宋体" w:cs="宋体"/>
        </w:rPr>
      </w:pPr>
      <w:r>
        <w:rPr>
          <w:rFonts w:hint="eastAsia" w:ascii="宋体" w:hAnsi="宋体" w:eastAsia="宋体" w:cs="宋体"/>
        </w:rPr>
        <w:t>7.3  进口货物及其有关服务必须符合原产地和中华人民共和国的设计、制造生产标准及行业标准。进口的货物必须具有合法的进口手续和途径，并通过中华人民共和国商检部门检验。招标公告有其他要求的，亦应符合其要求。</w:t>
      </w:r>
    </w:p>
    <w:p w14:paraId="2165AB09">
      <w:pPr>
        <w:ind w:firstLine="470" w:firstLineChars="196"/>
        <w:rPr>
          <w:rFonts w:hint="eastAsia" w:ascii="宋体" w:hAnsi="宋体" w:eastAsia="宋体" w:cs="宋体"/>
        </w:rPr>
      </w:pPr>
      <w:r>
        <w:rPr>
          <w:rFonts w:hint="eastAsia" w:ascii="宋体" w:hAnsi="宋体" w:eastAsia="宋体" w:cs="宋体"/>
        </w:rPr>
        <w:t>7.4  投标人</w:t>
      </w:r>
      <w:bookmarkStart w:id="51" w:name="_Hlk72152753"/>
      <w:r>
        <w:rPr>
          <w:rFonts w:hint="eastAsia" w:ascii="宋体" w:hAnsi="宋体" w:eastAsia="宋体" w:cs="宋体"/>
        </w:rPr>
        <w:t>应保证，其所提供的货物通过合法正规渠道供货，在提供给采购人前具有完全的所有权，采购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bookmarkEnd w:id="51"/>
    </w:p>
    <w:p w14:paraId="545F36AF">
      <w:pPr>
        <w:ind w:firstLine="470" w:firstLineChars="196"/>
        <w:rPr>
          <w:rFonts w:hint="eastAsia" w:ascii="宋体" w:hAnsi="宋体" w:eastAsia="宋体" w:cs="宋体"/>
        </w:rPr>
      </w:pPr>
      <w:r>
        <w:rPr>
          <w:rFonts w:hint="eastAsia" w:ascii="宋体" w:hAnsi="宋体" w:eastAsia="宋体" w:cs="宋体"/>
        </w:rPr>
        <w:t>7.5  投标人应保证，其所提供的货物符合国家强制性标准要求；符合相关行业标准（如具备行政主管部门颁发的资质证书或国家质量监督部门的产品《检验报告》等）。设备到货验收时，还必须提供设备的产品合格证、质量保证文件。若中标后，除非另有约定，投标人必须按合同规定完成设备的安装，并达到验收标准。</w:t>
      </w:r>
    </w:p>
    <w:p w14:paraId="63C1BD2D">
      <w:pPr>
        <w:ind w:firstLine="470" w:firstLineChars="196"/>
        <w:rPr>
          <w:rFonts w:hint="eastAsia" w:ascii="宋体" w:hAnsi="宋体" w:eastAsia="宋体" w:cs="宋体"/>
        </w:rPr>
      </w:pPr>
      <w:r>
        <w:rPr>
          <w:rFonts w:hint="eastAsia" w:ascii="宋体" w:hAnsi="宋体" w:eastAsia="宋体" w:cs="宋体"/>
        </w:rPr>
        <w:t>7.6  工期要求：投标人在投标时对其所投项目应提交交货进度、交货计划等，在合同规定的时间内完成项目实施工作。</w:t>
      </w:r>
    </w:p>
    <w:p w14:paraId="1A834CE1">
      <w:pPr>
        <w:ind w:firstLine="470" w:firstLineChars="196"/>
        <w:rPr>
          <w:rFonts w:hint="eastAsia" w:ascii="宋体" w:hAnsi="宋体" w:eastAsia="宋体" w:cs="宋体"/>
        </w:rPr>
      </w:pPr>
      <w:r>
        <w:rPr>
          <w:rFonts w:hint="eastAsia" w:ascii="宋体" w:hAnsi="宋体" w:eastAsia="宋体" w:cs="宋体"/>
        </w:rPr>
        <w:t>7.7  投标人必须承担的设备运输、安装调试、验收检测和提供设备操作说明书、图纸等其他相关及类似的义务。</w:t>
      </w:r>
    </w:p>
    <w:p w14:paraId="3A290BEF">
      <w:pPr>
        <w:rPr>
          <w:rFonts w:hint="eastAsia" w:ascii="宋体" w:hAnsi="宋体" w:eastAsia="宋体" w:cs="宋体"/>
        </w:rPr>
      </w:pPr>
      <w:r>
        <w:rPr>
          <w:rFonts w:hint="eastAsia" w:ascii="宋体" w:hAnsi="宋体" w:eastAsia="宋体" w:cs="宋体"/>
        </w:rPr>
        <w:t>8．投标费用</w:t>
      </w:r>
    </w:p>
    <w:p w14:paraId="53BBB281">
      <w:pPr>
        <w:ind w:firstLine="470" w:firstLineChars="196"/>
        <w:rPr>
          <w:rFonts w:hint="eastAsia" w:ascii="宋体" w:hAnsi="宋体" w:eastAsia="宋体" w:cs="宋体"/>
          <w:szCs w:val="21"/>
        </w:rPr>
      </w:pPr>
      <w:r>
        <w:rPr>
          <w:rFonts w:hint="eastAsia" w:ascii="宋体" w:hAnsi="宋体" w:eastAsia="宋体" w:cs="宋体"/>
          <w:szCs w:val="21"/>
        </w:rPr>
        <w:t>不论投标结果如何，投标人应承担其编制投标文件与递交投标文件所涉及的一切费用。</w:t>
      </w:r>
    </w:p>
    <w:p w14:paraId="62BBE12B">
      <w:pPr>
        <w:rPr>
          <w:rFonts w:hint="eastAsia" w:ascii="宋体" w:hAnsi="宋体" w:eastAsia="宋体" w:cs="宋体"/>
        </w:rPr>
      </w:pPr>
      <w:r>
        <w:rPr>
          <w:rFonts w:hint="eastAsia" w:ascii="宋体" w:hAnsi="宋体" w:eastAsia="宋体" w:cs="宋体"/>
        </w:rPr>
        <w:t>9．踏勘现场</w:t>
      </w:r>
    </w:p>
    <w:p w14:paraId="5CBA1472">
      <w:pPr>
        <w:ind w:firstLine="470" w:firstLineChars="196"/>
        <w:rPr>
          <w:rFonts w:hint="eastAsia" w:ascii="宋体" w:hAnsi="宋体" w:eastAsia="宋体" w:cs="宋体"/>
          <w:szCs w:val="21"/>
        </w:rPr>
      </w:pPr>
      <w:r>
        <w:rPr>
          <w:rFonts w:hint="eastAsia" w:ascii="宋体" w:hAnsi="宋体" w:eastAsia="宋体" w:cs="宋体"/>
          <w:szCs w:val="21"/>
        </w:rPr>
        <w:t>9.1如有需要（详见专用条款），采购人或招标代理机构将组织投标人对项目现场及周围环境进行踏勘，以便投标人获取有关编制投标文件和签署合同所需的资料。踏勘现场所发生的费用由投标人自行承担。投标人应按招标文件所约定的时间、地点踏勘现场。</w:t>
      </w:r>
    </w:p>
    <w:p w14:paraId="69AF53D8">
      <w:pPr>
        <w:ind w:firstLine="470" w:firstLineChars="196"/>
        <w:rPr>
          <w:rFonts w:hint="eastAsia" w:ascii="宋体" w:hAnsi="宋体" w:eastAsia="宋体" w:cs="宋体"/>
        </w:rPr>
      </w:pPr>
      <w:r>
        <w:rPr>
          <w:rFonts w:hint="eastAsia" w:ascii="宋体" w:hAnsi="宋体" w:eastAsia="宋体" w:cs="宋体"/>
        </w:rPr>
        <w:t>9.2投标人及其人员经过采购人的允许，可以进入采购人的项目现场踏勘。若招标文件要求投标人于统一时间地点踏勘现场的，投标人应当按时前往。</w:t>
      </w:r>
    </w:p>
    <w:p w14:paraId="06307E08">
      <w:pPr>
        <w:ind w:firstLine="470" w:firstLineChars="196"/>
        <w:rPr>
          <w:rFonts w:hint="eastAsia" w:ascii="宋体" w:hAnsi="宋体" w:eastAsia="宋体" w:cs="宋体"/>
        </w:rPr>
      </w:pPr>
      <w:r>
        <w:rPr>
          <w:rFonts w:hint="eastAsia" w:ascii="宋体" w:hAnsi="宋体" w:eastAsia="宋体" w:cs="宋体"/>
        </w:rPr>
        <w:t>9.3采购人应当通过招标代理机构向投标人提供有关现场的书面资料和数据。</w:t>
      </w:r>
    </w:p>
    <w:p w14:paraId="0D5FB65A">
      <w:pPr>
        <w:ind w:firstLine="470" w:firstLineChars="196"/>
        <w:rPr>
          <w:rFonts w:hint="eastAsia" w:ascii="宋体" w:hAnsi="宋体" w:eastAsia="宋体" w:cs="宋体"/>
        </w:rPr>
      </w:pPr>
      <w:r>
        <w:rPr>
          <w:rFonts w:hint="eastAsia" w:ascii="宋体" w:hAnsi="宋体" w:eastAsia="宋体" w:cs="宋体"/>
        </w:rPr>
        <w:t>9.4任何人或任何组织在踏勘现场时向投标人提供的任何书面资料或口头承诺，未经招标代理机构在网上发布或书面通知，均作无效处理。</w:t>
      </w:r>
    </w:p>
    <w:p w14:paraId="2BE34C13">
      <w:pPr>
        <w:ind w:firstLine="470" w:firstLineChars="196"/>
        <w:rPr>
          <w:rFonts w:hint="eastAsia" w:ascii="宋体" w:hAnsi="宋体" w:eastAsia="宋体" w:cs="宋体"/>
        </w:rPr>
      </w:pPr>
      <w:r>
        <w:rPr>
          <w:rFonts w:hint="eastAsia" w:ascii="宋体" w:hAnsi="宋体" w:eastAsia="宋体" w:cs="宋体"/>
          <w:szCs w:val="21"/>
        </w:rPr>
        <w:t>9.5未参与踏勘现场不作为否定投标人资格的理由。</w:t>
      </w:r>
    </w:p>
    <w:p w14:paraId="49EA4347">
      <w:pPr>
        <w:rPr>
          <w:rFonts w:hint="eastAsia" w:ascii="宋体" w:hAnsi="宋体" w:eastAsia="宋体" w:cs="宋体"/>
          <w:szCs w:val="21"/>
        </w:rPr>
      </w:pPr>
      <w:r>
        <w:rPr>
          <w:rFonts w:hint="eastAsia" w:ascii="宋体" w:hAnsi="宋体" w:eastAsia="宋体" w:cs="宋体"/>
        </w:rPr>
        <w:t>10．标前会议</w:t>
      </w:r>
    </w:p>
    <w:p w14:paraId="3B23D47C">
      <w:pPr>
        <w:ind w:firstLine="470" w:firstLineChars="196"/>
        <w:rPr>
          <w:rFonts w:hint="eastAsia" w:ascii="宋体" w:hAnsi="宋体" w:eastAsia="宋体" w:cs="宋体"/>
          <w:szCs w:val="21"/>
        </w:rPr>
      </w:pPr>
      <w:r>
        <w:rPr>
          <w:rFonts w:hint="eastAsia" w:ascii="宋体" w:hAnsi="宋体" w:eastAsia="宋体" w:cs="宋体"/>
          <w:szCs w:val="21"/>
        </w:rPr>
        <w:t>10.1如采购人或招标代理机构认为有必要组织标前会议，投标人应按照招标文件规定的时间或招标代理机构另行书面通知（包括招标代理机构网站发布方式，如更正公告等）的时间和地点，参与标前会议。</w:t>
      </w:r>
    </w:p>
    <w:p w14:paraId="689B5CC8">
      <w:pPr>
        <w:ind w:firstLine="470" w:firstLineChars="196"/>
        <w:rPr>
          <w:rFonts w:hint="eastAsia" w:ascii="宋体" w:hAnsi="宋体" w:eastAsia="宋体" w:cs="宋体"/>
          <w:szCs w:val="21"/>
        </w:rPr>
      </w:pPr>
      <w:r>
        <w:rPr>
          <w:rFonts w:hint="eastAsia" w:ascii="宋体" w:hAnsi="宋体" w:eastAsia="宋体" w:cs="宋体"/>
        </w:rPr>
        <w:t>10.2任何人或任何组织在标前会议时向投标人提供的任何书面资料或口头承诺，未经招标代理机构在网上发布或书面通知，均作无效处理。</w:t>
      </w:r>
    </w:p>
    <w:p w14:paraId="2B43464A">
      <w:pPr>
        <w:ind w:firstLine="470" w:firstLineChars="196"/>
        <w:rPr>
          <w:rFonts w:hint="eastAsia" w:ascii="宋体" w:hAnsi="宋体" w:eastAsia="宋体" w:cs="宋体"/>
          <w:szCs w:val="21"/>
        </w:rPr>
      </w:pPr>
      <w:r>
        <w:rPr>
          <w:rFonts w:hint="eastAsia" w:ascii="宋体" w:hAnsi="宋体" w:eastAsia="宋体" w:cs="宋体"/>
          <w:szCs w:val="21"/>
        </w:rPr>
        <w:t>10.3未参与标前会议不作为否定投标人资格的理由。</w:t>
      </w:r>
    </w:p>
    <w:bookmarkEnd w:id="50"/>
    <w:p w14:paraId="4EEC525C">
      <w:pPr>
        <w:ind w:firstLine="470" w:firstLineChars="196"/>
        <w:rPr>
          <w:rFonts w:hint="eastAsia" w:ascii="宋体" w:hAnsi="宋体" w:eastAsia="宋体" w:cs="宋体"/>
        </w:rPr>
      </w:pPr>
    </w:p>
    <w:p w14:paraId="5B206637">
      <w:pPr>
        <w:pStyle w:val="5"/>
        <w:spacing w:before="120" w:beforeLines="50" w:after="120" w:afterLines="50"/>
        <w:ind w:left="562" w:hanging="562"/>
        <w:rPr>
          <w:rFonts w:hint="eastAsia" w:cs="宋体"/>
          <w:szCs w:val="28"/>
        </w:rPr>
      </w:pPr>
      <w:r>
        <w:rPr>
          <w:rFonts w:hint="eastAsia" w:cs="宋体"/>
          <w:szCs w:val="28"/>
        </w:rPr>
        <w:t>第二章招标文件</w:t>
      </w:r>
    </w:p>
    <w:p w14:paraId="04FE412C">
      <w:pPr>
        <w:rPr>
          <w:rFonts w:hint="eastAsia" w:ascii="宋体" w:hAnsi="宋体" w:eastAsia="宋体" w:cs="宋体"/>
        </w:rPr>
      </w:pPr>
      <w:r>
        <w:rPr>
          <w:rFonts w:hint="eastAsia" w:ascii="宋体" w:hAnsi="宋体" w:eastAsia="宋体" w:cs="宋体"/>
        </w:rPr>
        <w:t>11．</w:t>
      </w:r>
      <w:bookmarkStart w:id="52" w:name="_Hlk72399819"/>
      <w:r>
        <w:rPr>
          <w:rFonts w:hint="eastAsia" w:ascii="宋体" w:hAnsi="宋体" w:eastAsia="宋体" w:cs="宋体"/>
        </w:rPr>
        <w:t>招标文件的编制与组成</w:t>
      </w:r>
    </w:p>
    <w:p w14:paraId="2916EBC2">
      <w:pPr>
        <w:snapToGrid w:val="0"/>
        <w:ind w:firstLine="480" w:firstLineChars="200"/>
        <w:rPr>
          <w:rFonts w:hint="eastAsia" w:ascii="宋体" w:hAnsi="宋体" w:eastAsia="宋体" w:cs="宋体"/>
          <w:szCs w:val="21"/>
        </w:rPr>
      </w:pPr>
      <w:r>
        <w:rPr>
          <w:rFonts w:hint="eastAsia" w:ascii="宋体" w:hAnsi="宋体" w:eastAsia="宋体" w:cs="宋体"/>
          <w:szCs w:val="21"/>
        </w:rPr>
        <w:t>11.1招标文件除以下内容外，招标代理机构在招标期间发出的澄清或修改等相关公告或通知内容，均是招标文件的组成部分，对投标人起约束作用；</w:t>
      </w:r>
    </w:p>
    <w:p w14:paraId="6F5F42D9">
      <w:pPr>
        <w:ind w:firstLine="470" w:firstLineChars="196"/>
        <w:rPr>
          <w:rFonts w:hint="eastAsia" w:ascii="宋体" w:hAnsi="宋体" w:eastAsia="宋体" w:cs="宋体"/>
          <w:szCs w:val="21"/>
        </w:rPr>
      </w:pPr>
      <w:r>
        <w:rPr>
          <w:rFonts w:hint="eastAsia" w:ascii="宋体" w:hAnsi="宋体" w:eastAsia="宋体" w:cs="宋体"/>
          <w:szCs w:val="21"/>
        </w:rPr>
        <w:t>招标文件包括下列内容：</w:t>
      </w:r>
    </w:p>
    <w:p w14:paraId="349462B6">
      <w:pPr>
        <w:ind w:left="480" w:leftChars="200" w:firstLine="472" w:firstLineChars="196"/>
        <w:rPr>
          <w:rFonts w:hint="eastAsia" w:ascii="宋体" w:hAnsi="宋体" w:eastAsia="宋体" w:cs="宋体"/>
          <w:b/>
          <w:szCs w:val="21"/>
        </w:rPr>
      </w:pPr>
      <w:r>
        <w:rPr>
          <w:rFonts w:hint="eastAsia" w:ascii="宋体" w:hAnsi="宋体" w:eastAsia="宋体" w:cs="宋体"/>
          <w:b/>
          <w:szCs w:val="21"/>
        </w:rPr>
        <w:t>第一册  专用条款</w:t>
      </w:r>
    </w:p>
    <w:p w14:paraId="3B9BBEE7">
      <w:pPr>
        <w:ind w:firstLine="1205" w:firstLineChars="500"/>
        <w:rPr>
          <w:rFonts w:hint="eastAsia" w:ascii="宋体" w:hAnsi="宋体" w:eastAsia="宋体" w:cs="宋体"/>
          <w:b/>
          <w:szCs w:val="21"/>
        </w:rPr>
      </w:pPr>
      <w:r>
        <w:rPr>
          <w:rFonts w:hint="eastAsia" w:ascii="宋体" w:hAnsi="宋体" w:eastAsia="宋体" w:cs="宋体"/>
          <w:b/>
          <w:szCs w:val="21"/>
        </w:rPr>
        <w:t>关键信息</w:t>
      </w:r>
    </w:p>
    <w:p w14:paraId="60F77523">
      <w:pPr>
        <w:ind w:left="720" w:leftChars="300" w:firstLine="470" w:firstLineChars="196"/>
        <w:rPr>
          <w:rFonts w:hint="eastAsia" w:ascii="宋体" w:hAnsi="宋体" w:eastAsia="宋体" w:cs="宋体"/>
          <w:szCs w:val="21"/>
        </w:rPr>
      </w:pPr>
      <w:r>
        <w:rPr>
          <w:rFonts w:hint="eastAsia" w:ascii="宋体" w:hAnsi="宋体" w:eastAsia="宋体" w:cs="宋体"/>
          <w:szCs w:val="21"/>
        </w:rPr>
        <w:t>第一章  招标公告</w:t>
      </w:r>
    </w:p>
    <w:p w14:paraId="1055BC06">
      <w:pPr>
        <w:ind w:left="720" w:leftChars="300" w:firstLine="470" w:firstLineChars="196"/>
        <w:rPr>
          <w:rFonts w:hint="eastAsia" w:ascii="宋体" w:hAnsi="宋体" w:eastAsia="宋体" w:cs="宋体"/>
          <w:szCs w:val="21"/>
        </w:rPr>
      </w:pPr>
      <w:r>
        <w:rPr>
          <w:rFonts w:hint="eastAsia" w:ascii="宋体" w:hAnsi="宋体" w:eastAsia="宋体" w:cs="宋体"/>
          <w:szCs w:val="21"/>
        </w:rPr>
        <w:t>第二章  招标项目需求</w:t>
      </w:r>
    </w:p>
    <w:p w14:paraId="441AF2C5">
      <w:pPr>
        <w:ind w:left="720" w:leftChars="300" w:firstLine="470" w:firstLineChars="196"/>
        <w:rPr>
          <w:rFonts w:hint="eastAsia" w:ascii="宋体" w:hAnsi="宋体" w:eastAsia="宋体" w:cs="宋体"/>
          <w:szCs w:val="21"/>
        </w:rPr>
      </w:pPr>
      <w:r>
        <w:rPr>
          <w:rFonts w:hint="eastAsia" w:ascii="宋体" w:hAnsi="宋体" w:eastAsia="宋体" w:cs="宋体"/>
          <w:szCs w:val="21"/>
        </w:rPr>
        <w:t xml:space="preserve">第三章  </w:t>
      </w:r>
      <w:r>
        <w:rPr>
          <w:rFonts w:hint="eastAsia" w:ascii="宋体" w:hAnsi="宋体" w:eastAsia="宋体" w:cs="宋体"/>
        </w:rPr>
        <w:t>投标文件格式、附件</w:t>
      </w:r>
    </w:p>
    <w:p w14:paraId="58E03912">
      <w:pPr>
        <w:ind w:left="720" w:leftChars="300" w:firstLine="470" w:firstLineChars="196"/>
        <w:rPr>
          <w:rFonts w:hint="eastAsia" w:ascii="宋体" w:hAnsi="宋体" w:eastAsia="宋体" w:cs="宋体"/>
          <w:szCs w:val="21"/>
        </w:rPr>
      </w:pPr>
      <w:r>
        <w:rPr>
          <w:rFonts w:hint="eastAsia" w:ascii="宋体" w:hAnsi="宋体" w:eastAsia="宋体" w:cs="宋体"/>
        </w:rPr>
        <w:t xml:space="preserve">第四章  </w:t>
      </w:r>
      <w:r>
        <w:rPr>
          <w:rFonts w:hint="eastAsia" w:ascii="宋体" w:hAnsi="宋体" w:eastAsia="宋体" w:cs="宋体"/>
          <w:szCs w:val="21"/>
        </w:rPr>
        <w:t>合同条款及履约情况反馈格式</w:t>
      </w:r>
    </w:p>
    <w:p w14:paraId="2CFA48A6">
      <w:pPr>
        <w:ind w:left="480" w:leftChars="200" w:firstLine="472" w:firstLineChars="196"/>
        <w:rPr>
          <w:rFonts w:hint="eastAsia" w:ascii="宋体" w:hAnsi="宋体" w:eastAsia="宋体" w:cs="宋体"/>
          <w:b/>
          <w:szCs w:val="21"/>
        </w:rPr>
      </w:pPr>
      <w:r>
        <w:rPr>
          <w:rFonts w:hint="eastAsia" w:ascii="宋体" w:hAnsi="宋体" w:eastAsia="宋体" w:cs="宋体"/>
          <w:b/>
          <w:szCs w:val="21"/>
        </w:rPr>
        <w:t>第二册  通用条款</w:t>
      </w:r>
    </w:p>
    <w:p w14:paraId="18C1CB5E">
      <w:pPr>
        <w:ind w:left="720" w:leftChars="300" w:firstLine="470" w:firstLineChars="196"/>
        <w:rPr>
          <w:rFonts w:hint="eastAsia" w:ascii="宋体" w:hAnsi="宋体" w:eastAsia="宋体" w:cs="宋体"/>
          <w:szCs w:val="21"/>
        </w:rPr>
      </w:pPr>
      <w:r>
        <w:rPr>
          <w:rFonts w:hint="eastAsia" w:ascii="宋体" w:hAnsi="宋体" w:eastAsia="宋体" w:cs="宋体"/>
          <w:szCs w:val="21"/>
        </w:rPr>
        <w:t>第一章  总则</w:t>
      </w:r>
    </w:p>
    <w:p w14:paraId="5DA39E6D">
      <w:pPr>
        <w:ind w:left="720" w:leftChars="300" w:firstLine="470" w:firstLineChars="196"/>
        <w:rPr>
          <w:rFonts w:hint="eastAsia" w:ascii="宋体" w:hAnsi="宋体" w:eastAsia="宋体" w:cs="宋体"/>
          <w:szCs w:val="21"/>
        </w:rPr>
      </w:pPr>
      <w:r>
        <w:rPr>
          <w:rFonts w:hint="eastAsia" w:ascii="宋体" w:hAnsi="宋体" w:eastAsia="宋体" w:cs="宋体"/>
          <w:szCs w:val="21"/>
        </w:rPr>
        <w:t>第二章  招标文件</w:t>
      </w:r>
    </w:p>
    <w:p w14:paraId="6901AE29">
      <w:pPr>
        <w:ind w:left="720" w:leftChars="300" w:firstLine="470" w:firstLineChars="196"/>
        <w:rPr>
          <w:rFonts w:hint="eastAsia" w:ascii="宋体" w:hAnsi="宋体" w:eastAsia="宋体" w:cs="宋体"/>
          <w:szCs w:val="21"/>
        </w:rPr>
      </w:pPr>
      <w:r>
        <w:rPr>
          <w:rFonts w:hint="eastAsia" w:ascii="宋体" w:hAnsi="宋体" w:eastAsia="宋体" w:cs="宋体"/>
          <w:szCs w:val="21"/>
        </w:rPr>
        <w:t>第三章  投标文件的编制</w:t>
      </w:r>
    </w:p>
    <w:p w14:paraId="008350B0">
      <w:pPr>
        <w:ind w:left="720" w:leftChars="300" w:firstLine="470" w:firstLineChars="196"/>
        <w:rPr>
          <w:rFonts w:hint="eastAsia" w:ascii="宋体" w:hAnsi="宋体" w:eastAsia="宋体" w:cs="宋体"/>
          <w:szCs w:val="21"/>
        </w:rPr>
      </w:pPr>
      <w:r>
        <w:rPr>
          <w:rFonts w:hint="eastAsia" w:ascii="宋体" w:hAnsi="宋体" w:eastAsia="宋体" w:cs="宋体"/>
          <w:szCs w:val="21"/>
        </w:rPr>
        <w:t>第四章  投标文件的递交</w:t>
      </w:r>
    </w:p>
    <w:p w14:paraId="48BB11BB">
      <w:pPr>
        <w:ind w:left="720" w:leftChars="300" w:firstLine="470" w:firstLineChars="196"/>
        <w:rPr>
          <w:rFonts w:hint="eastAsia" w:ascii="宋体" w:hAnsi="宋体" w:eastAsia="宋体" w:cs="宋体"/>
          <w:szCs w:val="21"/>
        </w:rPr>
      </w:pPr>
      <w:r>
        <w:rPr>
          <w:rFonts w:hint="eastAsia" w:ascii="宋体" w:hAnsi="宋体" w:eastAsia="宋体" w:cs="宋体"/>
          <w:szCs w:val="21"/>
        </w:rPr>
        <w:t>第五章  开标</w:t>
      </w:r>
    </w:p>
    <w:p w14:paraId="4BA409B4">
      <w:pPr>
        <w:ind w:left="720" w:leftChars="300" w:firstLine="470" w:firstLineChars="196"/>
        <w:rPr>
          <w:rFonts w:hint="eastAsia" w:ascii="宋体" w:hAnsi="宋体" w:eastAsia="宋体" w:cs="宋体"/>
          <w:szCs w:val="21"/>
        </w:rPr>
      </w:pPr>
      <w:r>
        <w:rPr>
          <w:rFonts w:hint="eastAsia" w:ascii="宋体" w:hAnsi="宋体" w:eastAsia="宋体" w:cs="宋体"/>
          <w:szCs w:val="21"/>
        </w:rPr>
        <w:t>第六章  评审要求</w:t>
      </w:r>
    </w:p>
    <w:p w14:paraId="6F150A5E">
      <w:pPr>
        <w:ind w:left="720" w:leftChars="300" w:firstLine="470" w:firstLineChars="196"/>
        <w:rPr>
          <w:rFonts w:hint="eastAsia" w:ascii="宋体" w:hAnsi="宋体" w:eastAsia="宋体" w:cs="宋体"/>
          <w:szCs w:val="21"/>
        </w:rPr>
      </w:pPr>
      <w:r>
        <w:rPr>
          <w:rFonts w:hint="eastAsia" w:ascii="宋体" w:hAnsi="宋体" w:eastAsia="宋体" w:cs="宋体"/>
          <w:szCs w:val="21"/>
        </w:rPr>
        <w:t>第七章  评审程序及评审方法</w:t>
      </w:r>
    </w:p>
    <w:p w14:paraId="153B9909">
      <w:pPr>
        <w:ind w:left="720" w:leftChars="300" w:firstLine="470" w:firstLineChars="196"/>
        <w:rPr>
          <w:rFonts w:hint="eastAsia" w:ascii="宋体" w:hAnsi="宋体" w:eastAsia="宋体" w:cs="宋体"/>
          <w:szCs w:val="21"/>
        </w:rPr>
      </w:pPr>
      <w:r>
        <w:rPr>
          <w:rFonts w:hint="eastAsia" w:ascii="宋体" w:hAnsi="宋体" w:eastAsia="宋体" w:cs="宋体"/>
          <w:szCs w:val="21"/>
        </w:rPr>
        <w:t>第八章  定标及公示</w:t>
      </w:r>
    </w:p>
    <w:p w14:paraId="2A6A9C80">
      <w:pPr>
        <w:ind w:left="720" w:leftChars="300" w:firstLine="470" w:firstLineChars="196"/>
        <w:rPr>
          <w:rFonts w:hint="eastAsia" w:ascii="宋体" w:hAnsi="宋体" w:eastAsia="宋体" w:cs="宋体"/>
          <w:szCs w:val="21"/>
        </w:rPr>
      </w:pPr>
      <w:r>
        <w:rPr>
          <w:rFonts w:hint="eastAsia" w:ascii="宋体" w:hAnsi="宋体" w:eastAsia="宋体" w:cs="宋体"/>
          <w:szCs w:val="21"/>
        </w:rPr>
        <w:t>第九章  公开招标失败的后续处理</w:t>
      </w:r>
    </w:p>
    <w:p w14:paraId="5702B71C">
      <w:pPr>
        <w:ind w:left="720" w:leftChars="300" w:firstLine="470" w:firstLineChars="196"/>
        <w:rPr>
          <w:rFonts w:hint="eastAsia" w:ascii="宋体" w:hAnsi="宋体" w:eastAsia="宋体" w:cs="宋体"/>
          <w:szCs w:val="21"/>
        </w:rPr>
      </w:pPr>
      <w:r>
        <w:rPr>
          <w:rFonts w:hint="eastAsia" w:ascii="宋体" w:hAnsi="宋体" w:eastAsia="宋体" w:cs="宋体"/>
          <w:szCs w:val="21"/>
        </w:rPr>
        <w:t>第十章  合同的授予与备案</w:t>
      </w:r>
    </w:p>
    <w:p w14:paraId="1E379A7F">
      <w:pPr>
        <w:ind w:left="720" w:leftChars="300" w:firstLine="470" w:firstLineChars="196"/>
        <w:rPr>
          <w:rFonts w:hint="eastAsia" w:ascii="宋体" w:hAnsi="宋体" w:eastAsia="宋体" w:cs="宋体"/>
          <w:szCs w:val="21"/>
        </w:rPr>
      </w:pPr>
      <w:r>
        <w:rPr>
          <w:rFonts w:hint="eastAsia" w:ascii="宋体" w:hAnsi="宋体" w:eastAsia="宋体" w:cs="宋体"/>
          <w:szCs w:val="21"/>
        </w:rPr>
        <w:t>第十一章  质疑处理</w:t>
      </w:r>
    </w:p>
    <w:p w14:paraId="562EAE23">
      <w:pPr>
        <w:ind w:firstLine="470" w:firstLineChars="196"/>
        <w:rPr>
          <w:rFonts w:hint="eastAsia" w:ascii="宋体" w:hAnsi="宋体" w:eastAsia="宋体" w:cs="宋体"/>
        </w:rPr>
      </w:pPr>
      <w:r>
        <w:rPr>
          <w:rFonts w:hint="eastAsia" w:ascii="宋体" w:hAnsi="宋体" w:eastAsia="宋体" w:cs="宋体"/>
          <w:szCs w:val="21"/>
        </w:rPr>
        <w:t>11.2 投标人下载招标文件后，应仔细检查招标文件的所有内容，如有疑问应在答疑截止时间之前向招标代理机构提出，否则，由此引起的投标损失自负；投标人同时应认真审阅招标文件所有的事项、格式、条款和规范要求等，如果投标人的</w:t>
      </w:r>
      <w:r>
        <w:rPr>
          <w:rFonts w:hint="eastAsia" w:ascii="宋体" w:hAnsi="宋体" w:eastAsia="宋体" w:cs="宋体"/>
        </w:rPr>
        <w:t>投标文件未按招标文件要求提交全部资料或者投标文件未对招标文件做出实质性响应，其风险由投标人自行承担。</w:t>
      </w:r>
    </w:p>
    <w:p w14:paraId="57DB50CD">
      <w:pPr>
        <w:ind w:firstLine="470" w:firstLineChars="196"/>
        <w:rPr>
          <w:rFonts w:hint="eastAsia" w:ascii="宋体" w:hAnsi="宋体" w:eastAsia="宋体" w:cs="宋体"/>
        </w:rPr>
      </w:pPr>
      <w:r>
        <w:rPr>
          <w:rFonts w:hint="eastAsia" w:ascii="宋体" w:hAnsi="宋体" w:eastAsia="宋体" w:cs="宋体"/>
        </w:rPr>
        <w:t>11.3任何人或任何组织向投标人提交的任何书面或口头资料，未经招标代理机构在网上发布或书面通知，均作无效处理，不得作为招标文件的组成部分。招标代理机构对投标人由此而做出的推论、理解和结论概不负责。</w:t>
      </w:r>
    </w:p>
    <w:p w14:paraId="13B7AB62">
      <w:pPr>
        <w:pStyle w:val="2"/>
        <w:spacing w:line="240" w:lineRule="auto"/>
        <w:ind w:firstLine="480" w:firstLineChars="200"/>
        <w:rPr>
          <w:rFonts w:hint="eastAsia" w:ascii="宋体" w:hAnsi="宋体" w:eastAsia="宋体" w:cs="宋体"/>
          <w:b w:val="0"/>
          <w:bCs w:val="0"/>
        </w:rPr>
      </w:pPr>
      <w:r>
        <w:rPr>
          <w:rFonts w:hint="eastAsia" w:ascii="宋体" w:hAnsi="宋体" w:eastAsia="宋体" w:cs="宋体"/>
          <w:b w:val="0"/>
          <w:bCs w:val="0"/>
        </w:rPr>
        <w:t>11.4招标文件所称“原件备查”，是指在项目产生质疑、投诉等阶段，主管部门、采购人、代理机构、评审委员会等可以要求供应商提供原件进行核查。</w:t>
      </w:r>
    </w:p>
    <w:p w14:paraId="08367917">
      <w:pPr>
        <w:rPr>
          <w:rFonts w:hint="eastAsia" w:ascii="宋体" w:hAnsi="宋体" w:eastAsia="宋体" w:cs="宋体"/>
        </w:rPr>
      </w:pPr>
      <w:r>
        <w:rPr>
          <w:rFonts w:hint="eastAsia" w:ascii="宋体" w:hAnsi="宋体" w:eastAsia="宋体" w:cs="宋体"/>
        </w:rPr>
        <w:t>12．招标文件的澄清</w:t>
      </w:r>
    </w:p>
    <w:p w14:paraId="2CD01A75">
      <w:pPr>
        <w:ind w:firstLine="470" w:firstLineChars="196"/>
        <w:rPr>
          <w:rFonts w:hint="eastAsia" w:ascii="宋体" w:hAnsi="宋体" w:eastAsia="宋体" w:cs="宋体"/>
          <w:szCs w:val="21"/>
        </w:rPr>
      </w:pPr>
      <w:r>
        <w:rPr>
          <w:rFonts w:hint="eastAsia" w:ascii="宋体" w:hAnsi="宋体" w:eastAsia="宋体" w:cs="宋体"/>
          <w:szCs w:val="21"/>
        </w:rPr>
        <w:t>12.1招标文件澄清的目的是澄清、解答投标人在查阅招标文件后或现场踏勘中可能提出的与投标有关的疑问或询问。</w:t>
      </w:r>
    </w:p>
    <w:p w14:paraId="4693CFB3">
      <w:pPr>
        <w:ind w:firstLine="470" w:firstLineChars="196"/>
        <w:rPr>
          <w:rFonts w:hint="eastAsia" w:ascii="宋体" w:hAnsi="宋体" w:eastAsia="宋体" w:cs="宋体"/>
          <w:szCs w:val="21"/>
        </w:rPr>
      </w:pPr>
      <w:r>
        <w:rPr>
          <w:rFonts w:hint="eastAsia" w:ascii="宋体" w:hAnsi="宋体" w:eastAsia="宋体" w:cs="宋体"/>
          <w:szCs w:val="21"/>
        </w:rPr>
        <w:t>12.2投标人如对招标文件内容有疑问，应当在招标公告规定的澄清（提问）截止时间前以网上提问的形式通过网上政府采购系统提交招标代理机构。</w:t>
      </w:r>
    </w:p>
    <w:p w14:paraId="2F93CDA9">
      <w:pPr>
        <w:ind w:firstLine="470" w:firstLineChars="196"/>
        <w:rPr>
          <w:rFonts w:hint="eastAsia" w:ascii="宋体" w:hAnsi="宋体" w:eastAsia="宋体" w:cs="宋体"/>
          <w:szCs w:val="21"/>
        </w:rPr>
      </w:pPr>
      <w:r>
        <w:rPr>
          <w:rFonts w:hint="eastAsia" w:ascii="宋体" w:hAnsi="宋体" w:eastAsia="宋体" w:cs="宋体"/>
          <w:szCs w:val="21"/>
        </w:rPr>
        <w:t>12.3不论是招标代理机构根据需要主动对招标文件进行必要的澄清或是根据投标人的要求对招标文件做出澄清，招标代理机构都将在投标截止日期前以书面形式（包括招标代理机构网站发布方式）答复或发送给所有投标人。答复内容是招标文件的组成部分，对投标人起约束作用，其有效性按照本通用条款第13.3、13.4款规定执行。</w:t>
      </w:r>
    </w:p>
    <w:p w14:paraId="544598BF">
      <w:pPr>
        <w:rPr>
          <w:rFonts w:hint="eastAsia" w:ascii="宋体" w:hAnsi="宋体" w:eastAsia="宋体" w:cs="宋体"/>
        </w:rPr>
      </w:pPr>
      <w:r>
        <w:rPr>
          <w:rFonts w:hint="eastAsia" w:ascii="宋体" w:hAnsi="宋体" w:eastAsia="宋体" w:cs="宋体"/>
        </w:rPr>
        <w:t>13．招标文件的修改</w:t>
      </w:r>
    </w:p>
    <w:p w14:paraId="0D01B4C0">
      <w:pPr>
        <w:ind w:firstLine="470" w:firstLineChars="196"/>
        <w:rPr>
          <w:rFonts w:hint="eastAsia" w:ascii="宋体" w:hAnsi="宋体" w:eastAsia="宋体" w:cs="宋体"/>
          <w:szCs w:val="21"/>
        </w:rPr>
      </w:pPr>
      <w:r>
        <w:rPr>
          <w:rFonts w:hint="eastAsia" w:ascii="宋体" w:hAnsi="宋体" w:eastAsia="宋体" w:cs="宋体"/>
          <w:szCs w:val="21"/>
        </w:rPr>
        <w:t>13.1招标文件发出后，在投标截止日期前任何时候，确需要变更招标文件内容的，招标代理机构可主动或在解答投标人提出的澄清问题时对招标文件进行修改。</w:t>
      </w:r>
    </w:p>
    <w:p w14:paraId="157FE9AB">
      <w:pPr>
        <w:ind w:firstLine="470" w:firstLineChars="196"/>
        <w:rPr>
          <w:rFonts w:hint="eastAsia" w:ascii="宋体" w:hAnsi="宋体" w:eastAsia="宋体" w:cs="宋体"/>
          <w:szCs w:val="21"/>
        </w:rPr>
      </w:pPr>
      <w:r>
        <w:rPr>
          <w:rFonts w:hint="eastAsia" w:ascii="宋体" w:hAnsi="宋体" w:eastAsia="宋体" w:cs="宋体"/>
          <w:szCs w:val="21"/>
        </w:rPr>
        <w:t>13.2招标文件的修改以书面形式（包括招标代理机构网站发布方式，如更正公告等）发送给所有投标人，招标文件的修改内容作为招标文件的组成部分，并具有约束力。</w:t>
      </w:r>
    </w:p>
    <w:p w14:paraId="6733F646">
      <w:pPr>
        <w:ind w:firstLine="470" w:firstLineChars="196"/>
        <w:rPr>
          <w:rFonts w:hint="eastAsia" w:ascii="宋体" w:hAnsi="宋体" w:eastAsia="宋体" w:cs="宋体"/>
          <w:szCs w:val="21"/>
        </w:rPr>
      </w:pPr>
      <w:r>
        <w:rPr>
          <w:rFonts w:hint="eastAsia" w:ascii="宋体" w:hAnsi="宋体" w:eastAsia="宋体" w:cs="宋体"/>
          <w:szCs w:val="21"/>
        </w:rPr>
        <w:t>13.3招标文件、招标文件澄清答复内容、招标文件修改补充内容均以书面形式（包括招标代理机构网站公开发布方式，如更正公告等）明确的内容为准。当招标文件、修改补充通知、招标文件澄清答复内容相互矛盾时，以最后发出的内容为准。</w:t>
      </w:r>
    </w:p>
    <w:p w14:paraId="4F7BBB43">
      <w:pPr>
        <w:ind w:firstLine="470" w:firstLineChars="196"/>
        <w:rPr>
          <w:rFonts w:hint="eastAsia" w:ascii="宋体" w:hAnsi="宋体" w:eastAsia="宋体" w:cs="宋体"/>
          <w:szCs w:val="21"/>
        </w:rPr>
      </w:pPr>
      <w:r>
        <w:rPr>
          <w:rFonts w:hint="eastAsia" w:ascii="宋体" w:hAnsi="宋体" w:eastAsia="宋体" w:cs="宋体"/>
          <w:szCs w:val="21"/>
        </w:rPr>
        <w:t>13.4招标代理机构保证招标文件澄清答复内容和招标文件修改补充内容在投标截止时间前以书面形式（包括招标代理机构网站发布方式，如更正公告等）发送给所有投标人。为使投标人在编制投标文件时有充分时间对招标文件的修改部分进行研究，招标代理机构可以酌情延长递交投标文件的截止日期。</w:t>
      </w:r>
      <w:bookmarkEnd w:id="52"/>
    </w:p>
    <w:p w14:paraId="58CBDF64">
      <w:pPr>
        <w:rPr>
          <w:rFonts w:hint="eastAsia" w:ascii="宋体" w:hAnsi="宋体" w:eastAsia="宋体" w:cs="宋体"/>
          <w:szCs w:val="21"/>
        </w:rPr>
      </w:pPr>
    </w:p>
    <w:p w14:paraId="2045E84E">
      <w:pPr>
        <w:pStyle w:val="5"/>
        <w:spacing w:before="120" w:beforeLines="50" w:after="120" w:afterLines="50"/>
        <w:ind w:left="562" w:hanging="562"/>
        <w:rPr>
          <w:rFonts w:hint="eastAsia" w:cs="宋体"/>
          <w:szCs w:val="28"/>
        </w:rPr>
      </w:pPr>
      <w:r>
        <w:rPr>
          <w:rFonts w:hint="eastAsia" w:cs="宋体"/>
          <w:szCs w:val="28"/>
        </w:rPr>
        <w:t>第三章投标文件的编制</w:t>
      </w:r>
    </w:p>
    <w:p w14:paraId="34EDBE2C">
      <w:pPr>
        <w:rPr>
          <w:rFonts w:hint="eastAsia" w:ascii="宋体" w:hAnsi="宋体" w:eastAsia="宋体" w:cs="宋体"/>
        </w:rPr>
      </w:pPr>
      <w:r>
        <w:rPr>
          <w:rFonts w:hint="eastAsia" w:ascii="宋体" w:hAnsi="宋体" w:eastAsia="宋体" w:cs="宋体"/>
        </w:rPr>
        <w:t>14．</w:t>
      </w:r>
      <w:bookmarkStart w:id="53" w:name="_Hlk72400236"/>
      <w:r>
        <w:rPr>
          <w:rFonts w:hint="eastAsia" w:ascii="宋体" w:hAnsi="宋体" w:eastAsia="宋体" w:cs="宋体"/>
        </w:rPr>
        <w:t>投标文件的语言及度量单位</w:t>
      </w:r>
    </w:p>
    <w:p w14:paraId="1FA55C8D">
      <w:pPr>
        <w:ind w:firstLine="470" w:firstLineChars="196"/>
        <w:rPr>
          <w:rFonts w:hint="eastAsia" w:ascii="宋体" w:hAnsi="宋体" w:eastAsia="宋体" w:cs="宋体"/>
          <w:szCs w:val="21"/>
        </w:rPr>
      </w:pPr>
      <w:r>
        <w:rPr>
          <w:rFonts w:hint="eastAsia" w:ascii="宋体" w:hAnsi="宋体" w:eastAsia="宋体" w:cs="宋体"/>
          <w:szCs w:val="21"/>
        </w:rPr>
        <w:t>14.1 投标人与招标代理机构之间与投标有关的所有往来通知、函件和投标文件均用中文表述。投标人随投标文件提供的证明文件和资料可以为其它语言，但必须附中文译文。翻译的中文资料与外文资料如果出现差异时，以中文为准。</w:t>
      </w:r>
    </w:p>
    <w:p w14:paraId="25DC5A67">
      <w:pPr>
        <w:ind w:firstLine="470" w:firstLineChars="196"/>
        <w:rPr>
          <w:rFonts w:hint="eastAsia" w:ascii="宋体" w:hAnsi="宋体" w:eastAsia="宋体" w:cs="宋体"/>
          <w:szCs w:val="21"/>
        </w:rPr>
      </w:pPr>
      <w:r>
        <w:rPr>
          <w:rFonts w:hint="eastAsia" w:ascii="宋体" w:hAnsi="宋体" w:eastAsia="宋体" w:cs="宋体"/>
          <w:szCs w:val="21"/>
        </w:rPr>
        <w:t>14.2 除技术规范另有规定外，投标文件使用的度量单位，均采用中华人民共和国法定计量单位。</w:t>
      </w:r>
    </w:p>
    <w:bookmarkEnd w:id="53"/>
    <w:p w14:paraId="1184D858">
      <w:pPr>
        <w:rPr>
          <w:rFonts w:hint="eastAsia" w:ascii="宋体" w:hAnsi="宋体" w:eastAsia="宋体" w:cs="宋体"/>
        </w:rPr>
      </w:pPr>
      <w:r>
        <w:rPr>
          <w:rFonts w:hint="eastAsia" w:ascii="宋体" w:hAnsi="宋体" w:eastAsia="宋体" w:cs="宋体"/>
        </w:rPr>
        <w:t>15．</w:t>
      </w:r>
      <w:bookmarkStart w:id="54" w:name="_Hlk72401567"/>
      <w:r>
        <w:rPr>
          <w:rFonts w:hint="eastAsia" w:ascii="宋体" w:hAnsi="宋体" w:eastAsia="宋体" w:cs="宋体"/>
        </w:rPr>
        <w:t>投标文件的组成</w:t>
      </w:r>
    </w:p>
    <w:p w14:paraId="306C60EA">
      <w:pPr>
        <w:ind w:firstLine="470" w:firstLineChars="196"/>
        <w:rPr>
          <w:rFonts w:hint="eastAsia" w:ascii="宋体" w:hAnsi="宋体" w:eastAsia="宋体" w:cs="宋体"/>
          <w:szCs w:val="21"/>
        </w:rPr>
      </w:pPr>
      <w:r>
        <w:rPr>
          <w:rFonts w:hint="eastAsia" w:ascii="宋体" w:hAnsi="宋体" w:eastAsia="宋体" w:cs="宋体"/>
          <w:szCs w:val="21"/>
        </w:rPr>
        <w:t>具体内容在招标文件专用条款中进行规定。</w:t>
      </w:r>
    </w:p>
    <w:p w14:paraId="48CECCA5">
      <w:pPr>
        <w:rPr>
          <w:rFonts w:hint="eastAsia" w:ascii="宋体" w:hAnsi="宋体" w:eastAsia="宋体" w:cs="宋体"/>
        </w:rPr>
      </w:pPr>
      <w:r>
        <w:rPr>
          <w:rFonts w:hint="eastAsia" w:ascii="宋体" w:hAnsi="宋体" w:eastAsia="宋体" w:cs="宋体"/>
        </w:rPr>
        <w:t>16．投标文件格式</w:t>
      </w:r>
    </w:p>
    <w:p w14:paraId="408DB566">
      <w:pPr>
        <w:ind w:firstLine="470" w:firstLineChars="196"/>
        <w:rPr>
          <w:rFonts w:hint="eastAsia" w:ascii="宋体" w:hAnsi="宋体" w:eastAsia="宋体" w:cs="宋体"/>
          <w:szCs w:val="21"/>
        </w:rPr>
      </w:pPr>
      <w:r>
        <w:rPr>
          <w:rFonts w:hint="eastAsia" w:ascii="宋体" w:hAnsi="宋体" w:eastAsia="宋体" w:cs="宋体"/>
          <w:szCs w:val="21"/>
        </w:rPr>
        <w:t>投标文件包括本通用条款第15条中规定的内容。如招标文件提供了投标文件格式，则</w:t>
      </w:r>
      <w:r>
        <w:rPr>
          <w:rFonts w:hint="eastAsia" w:ascii="宋体" w:hAnsi="宋体" w:eastAsia="宋体" w:cs="宋体"/>
          <w:b/>
          <w:bCs/>
          <w:szCs w:val="21"/>
        </w:rPr>
        <w:t>投标人提交的投标文件应毫无例外地使用招标文件所提供的相应格式</w:t>
      </w:r>
      <w:r>
        <w:rPr>
          <w:rFonts w:hint="eastAsia" w:ascii="宋体" w:hAnsi="宋体" w:eastAsia="宋体" w:cs="宋体"/>
          <w:szCs w:val="21"/>
        </w:rPr>
        <w:t>（表格均可按同样格式扩展）。</w:t>
      </w:r>
    </w:p>
    <w:p w14:paraId="1774F3A2">
      <w:pPr>
        <w:rPr>
          <w:rFonts w:hint="eastAsia" w:ascii="宋体" w:hAnsi="宋体" w:eastAsia="宋体" w:cs="宋体"/>
        </w:rPr>
      </w:pPr>
      <w:r>
        <w:rPr>
          <w:rFonts w:hint="eastAsia" w:ascii="宋体" w:hAnsi="宋体" w:eastAsia="宋体" w:cs="宋体"/>
        </w:rPr>
        <w:t>17．投标货币</w:t>
      </w:r>
    </w:p>
    <w:p w14:paraId="7CB33EB4">
      <w:pPr>
        <w:ind w:firstLine="470" w:firstLineChars="196"/>
        <w:rPr>
          <w:rFonts w:hint="eastAsia" w:ascii="宋体" w:hAnsi="宋体" w:eastAsia="宋体" w:cs="宋体"/>
          <w:szCs w:val="21"/>
        </w:rPr>
      </w:pPr>
      <w:r>
        <w:rPr>
          <w:rFonts w:hint="eastAsia" w:ascii="宋体" w:hAnsi="宋体" w:eastAsia="宋体" w:cs="宋体"/>
          <w:szCs w:val="21"/>
        </w:rPr>
        <w:t>本项目的投标报价应以人民币计。</w:t>
      </w:r>
    </w:p>
    <w:bookmarkEnd w:id="54"/>
    <w:p w14:paraId="037969B8">
      <w:pPr>
        <w:rPr>
          <w:rFonts w:hint="eastAsia" w:ascii="宋体" w:hAnsi="宋体" w:eastAsia="宋体" w:cs="宋体"/>
        </w:rPr>
      </w:pPr>
      <w:r>
        <w:rPr>
          <w:rFonts w:hint="eastAsia" w:ascii="宋体" w:hAnsi="宋体" w:eastAsia="宋体" w:cs="宋体"/>
        </w:rPr>
        <w:t>18．</w:t>
      </w:r>
      <w:bookmarkStart w:id="55" w:name="_Hlk72401735"/>
      <w:r>
        <w:rPr>
          <w:rFonts w:hint="eastAsia" w:ascii="宋体" w:hAnsi="宋体" w:eastAsia="宋体" w:cs="宋体"/>
        </w:rPr>
        <w:t>证明投标文件投标技术方案的合格性和符合招标文件规定的文件要求</w:t>
      </w:r>
    </w:p>
    <w:p w14:paraId="63D961BA">
      <w:pPr>
        <w:ind w:firstLine="470" w:firstLineChars="196"/>
        <w:rPr>
          <w:rFonts w:hint="eastAsia" w:ascii="宋体" w:hAnsi="宋体" w:eastAsia="宋体" w:cs="宋体"/>
          <w:szCs w:val="21"/>
        </w:rPr>
      </w:pPr>
      <w:r>
        <w:rPr>
          <w:rFonts w:hint="eastAsia" w:ascii="宋体" w:hAnsi="宋体" w:eastAsia="宋体" w:cs="宋体"/>
          <w:szCs w:val="21"/>
        </w:rPr>
        <w:t>18.1 投标人应提交证明文件，证明其投标技术方案项下的货物和服务的合格性符合招标文件规定。该投标技术方案及其证明文件均作为投标文件组成部分。</w:t>
      </w:r>
    </w:p>
    <w:p w14:paraId="25870B04">
      <w:pPr>
        <w:ind w:firstLine="470" w:firstLineChars="196"/>
        <w:rPr>
          <w:rFonts w:hint="eastAsia" w:ascii="宋体" w:hAnsi="宋体" w:eastAsia="宋体" w:cs="宋体"/>
          <w:szCs w:val="21"/>
        </w:rPr>
      </w:pPr>
      <w:r>
        <w:rPr>
          <w:rFonts w:hint="eastAsia" w:ascii="宋体" w:hAnsi="宋体" w:eastAsia="宋体" w:cs="宋体"/>
          <w:szCs w:val="21"/>
        </w:rPr>
        <w:t>18.2 投标人提供证明投标技术方案与招标文件的要求相一致的文件，可以是文字资料、图纸、数据或数码照片、制造商公布的产品说明书、产品彩页和我国政府机构出具的产品检验和核准证件等，提供的文件应符合以下要求：</w:t>
      </w:r>
    </w:p>
    <w:p w14:paraId="48BE6840">
      <w:pPr>
        <w:ind w:firstLine="470" w:firstLineChars="196"/>
        <w:rPr>
          <w:rFonts w:hint="eastAsia" w:ascii="宋体" w:hAnsi="宋体" w:eastAsia="宋体" w:cs="宋体"/>
          <w:szCs w:val="21"/>
        </w:rPr>
      </w:pPr>
      <w:r>
        <w:rPr>
          <w:rFonts w:hint="eastAsia" w:ascii="宋体" w:hAnsi="宋体" w:eastAsia="宋体" w:cs="宋体"/>
          <w:szCs w:val="21"/>
        </w:rPr>
        <w:t>18.2.1主要技术指标和性能的详细说明。</w:t>
      </w:r>
    </w:p>
    <w:p w14:paraId="4BB24A3F">
      <w:pPr>
        <w:ind w:firstLine="470" w:firstLineChars="196"/>
        <w:rPr>
          <w:rFonts w:hint="eastAsia" w:ascii="宋体" w:hAnsi="宋体" w:eastAsia="宋体" w:cs="宋体"/>
          <w:szCs w:val="21"/>
        </w:rPr>
      </w:pPr>
      <w:r>
        <w:rPr>
          <w:rFonts w:hint="eastAsia" w:ascii="宋体" w:hAnsi="宋体" w:eastAsia="宋体" w:cs="宋体"/>
          <w:szCs w:val="21"/>
        </w:rPr>
        <w:t>18.2.2投标产品从采购人开始使用至招标文件中规定的周期内正常、连续地使用所必须的备件和专用工具清单，包括备件和专用工具的货源及现行价格。</w:t>
      </w:r>
    </w:p>
    <w:p w14:paraId="11D73B6A">
      <w:pPr>
        <w:ind w:firstLine="470" w:firstLineChars="196"/>
        <w:rPr>
          <w:rFonts w:hint="eastAsia" w:ascii="宋体" w:hAnsi="宋体" w:eastAsia="宋体" w:cs="宋体"/>
          <w:szCs w:val="21"/>
        </w:rPr>
      </w:pPr>
      <w:r>
        <w:rPr>
          <w:rFonts w:hint="eastAsia" w:ascii="宋体" w:hAnsi="宋体" w:eastAsia="宋体" w:cs="宋体"/>
          <w:szCs w:val="21"/>
        </w:rPr>
        <w:t>18.2.3对照招标文件技术规格，逐条说明投标技术方案已对采购人的技术规格做出了实质性的响应，或申明与技术规格条文的偏差和例外。投标人应详细说明投标技术方案中产品的具体参数，不得不合理照搬照抄招标文件的技术要求。</w:t>
      </w:r>
    </w:p>
    <w:p w14:paraId="090F13E6">
      <w:pPr>
        <w:ind w:firstLine="470" w:firstLineChars="196"/>
        <w:rPr>
          <w:rFonts w:hint="eastAsia" w:ascii="宋体" w:hAnsi="宋体" w:eastAsia="宋体" w:cs="宋体"/>
          <w:szCs w:val="21"/>
        </w:rPr>
      </w:pPr>
      <w:r>
        <w:rPr>
          <w:rFonts w:hint="eastAsia" w:ascii="宋体" w:hAnsi="宋体" w:eastAsia="宋体" w:cs="宋体"/>
          <w:szCs w:val="21"/>
        </w:rPr>
        <w:t>18.2.4产品说明书或彩页应为制造商公布或出具的中文产品说明书或彩页；提供外文说明书或彩页的，必须同时提供加盖制造商公章的对应中文翻译说明，评标依据以中文翻译内容为准，外文说明书或彩页仅供参考；产品说明书或彩页的尺寸和</w:t>
      </w:r>
      <w:r>
        <w:rPr>
          <w:rFonts w:hint="eastAsia" w:ascii="宋体" w:hAnsi="宋体" w:eastAsia="宋体" w:cs="宋体"/>
        </w:rPr>
        <w:t>清晰度要求能够使用电脑阅读、识别和判断</w:t>
      </w:r>
      <w:r>
        <w:rPr>
          <w:rFonts w:hint="eastAsia" w:ascii="宋体" w:hAnsi="宋体" w:eastAsia="宋体" w:cs="宋体"/>
          <w:szCs w:val="21"/>
        </w:rPr>
        <w:t>；</w:t>
      </w:r>
    </w:p>
    <w:p w14:paraId="227B0F7C">
      <w:pPr>
        <w:ind w:firstLine="470" w:firstLineChars="196"/>
        <w:rPr>
          <w:rFonts w:hint="eastAsia" w:ascii="宋体" w:hAnsi="宋体" w:eastAsia="宋体" w:cs="宋体"/>
          <w:szCs w:val="21"/>
        </w:rPr>
      </w:pPr>
      <w:r>
        <w:rPr>
          <w:rFonts w:hint="eastAsia" w:ascii="宋体" w:hAnsi="宋体" w:eastAsia="宋体" w:cs="宋体"/>
          <w:szCs w:val="21"/>
        </w:rPr>
        <w:t>18.2.5我国政府机构出具的产品检验和核准证件应为证件正面、背面和附件标注的全部具体内容；产品检验和核准证件的尺寸和清晰度应该能够在电脑上被阅读、识别和判断，提供原件扫描件。</w:t>
      </w:r>
    </w:p>
    <w:p w14:paraId="660DD2F9">
      <w:pPr>
        <w:ind w:firstLine="470" w:firstLineChars="196"/>
        <w:rPr>
          <w:rFonts w:hint="eastAsia" w:ascii="宋体" w:hAnsi="宋体" w:eastAsia="宋体" w:cs="宋体"/>
          <w:szCs w:val="21"/>
        </w:rPr>
      </w:pPr>
      <w:r>
        <w:rPr>
          <w:rFonts w:hint="eastAsia" w:ascii="宋体" w:hAnsi="宋体" w:eastAsia="宋体" w:cs="宋体"/>
          <w:szCs w:val="21"/>
        </w:rPr>
        <w:t>18.3相关资料不符合18.2款要求的，评审委员会有权认定为投标技术方案不合格响应，其相关分数予以扣减或作投标无效处理。</w:t>
      </w:r>
    </w:p>
    <w:p w14:paraId="3B638CE0">
      <w:pPr>
        <w:ind w:firstLine="470" w:firstLineChars="196"/>
        <w:rPr>
          <w:rFonts w:hint="eastAsia" w:ascii="宋体" w:hAnsi="宋体" w:eastAsia="宋体" w:cs="宋体"/>
          <w:szCs w:val="21"/>
        </w:rPr>
      </w:pPr>
      <w:r>
        <w:rPr>
          <w:rFonts w:hint="eastAsia" w:ascii="宋体" w:hAnsi="宋体" w:eastAsia="宋体" w:cs="宋体"/>
          <w:szCs w:val="21"/>
        </w:rPr>
        <w:t>18.4投标人在阐述上述第18.2时应注意采购人在技术规格中指出的工艺、材料和设备的标准以及参照的牌号或分类号仅起说明作用，并没有任何限制性。投标人在投标中可以选用替代标准、牌号或分类号，但这些替代要实质上满足招标文件中技术规格的要求，是否</w:t>
      </w:r>
      <w:r>
        <w:rPr>
          <w:rFonts w:hint="eastAsia" w:ascii="宋体" w:hAnsi="宋体" w:eastAsia="宋体" w:cs="宋体"/>
        </w:rPr>
        <w:t>满足要求</w:t>
      </w:r>
      <w:r>
        <w:rPr>
          <w:rFonts w:hint="eastAsia" w:ascii="宋体" w:hAnsi="宋体" w:eastAsia="宋体" w:cs="宋体"/>
          <w:szCs w:val="21"/>
        </w:rPr>
        <w:t>，由评审委员会来评判。</w:t>
      </w:r>
    </w:p>
    <w:p w14:paraId="75202EDC">
      <w:pPr>
        <w:ind w:firstLine="470" w:firstLineChars="196"/>
        <w:rPr>
          <w:rFonts w:hint="eastAsia" w:ascii="宋体" w:hAnsi="宋体" w:eastAsia="宋体" w:cs="宋体"/>
          <w:szCs w:val="21"/>
        </w:rPr>
      </w:pPr>
      <w:r>
        <w:rPr>
          <w:rFonts w:hint="eastAsia" w:ascii="宋体" w:hAnsi="宋体" w:eastAsia="宋体" w:cs="宋体"/>
          <w:szCs w:val="21"/>
        </w:rPr>
        <w:t>18.5除非另有规定或说明，投标人对同一项目投标时，不得同时提供两套或两套以上的投标方案。</w:t>
      </w:r>
    </w:p>
    <w:bookmarkEnd w:id="55"/>
    <w:p w14:paraId="6EB2A4AE">
      <w:pPr>
        <w:rPr>
          <w:rFonts w:hint="eastAsia" w:ascii="宋体" w:hAnsi="宋体" w:eastAsia="宋体" w:cs="宋体"/>
        </w:rPr>
      </w:pPr>
      <w:r>
        <w:rPr>
          <w:rFonts w:hint="eastAsia" w:ascii="宋体" w:hAnsi="宋体" w:eastAsia="宋体" w:cs="宋体"/>
        </w:rPr>
        <w:t>19．</w:t>
      </w:r>
      <w:bookmarkStart w:id="56" w:name="_Hlk72402034"/>
      <w:r>
        <w:rPr>
          <w:rFonts w:hint="eastAsia" w:ascii="宋体" w:hAnsi="宋体" w:eastAsia="宋体" w:cs="宋体"/>
        </w:rPr>
        <w:t>投标文件其他证明文件的要求</w:t>
      </w:r>
    </w:p>
    <w:p w14:paraId="5664A3AA">
      <w:pPr>
        <w:rPr>
          <w:rFonts w:hint="eastAsia" w:ascii="宋体" w:hAnsi="宋体" w:eastAsia="宋体" w:cs="宋体"/>
          <w:color w:val="FF0000"/>
          <w:szCs w:val="21"/>
        </w:rPr>
      </w:pPr>
      <w:r>
        <w:rPr>
          <w:rFonts w:hint="eastAsia" w:ascii="宋体" w:hAnsi="宋体" w:eastAsia="宋体" w:cs="宋体"/>
        </w:rPr>
        <w:t xml:space="preserve">    </w:t>
      </w:r>
      <w:r>
        <w:rPr>
          <w:rFonts w:hint="eastAsia" w:ascii="宋体" w:hAnsi="宋体" w:eastAsia="宋体" w:cs="宋体"/>
          <w:szCs w:val="21"/>
        </w:rPr>
        <w:t>19.1采用综合评分法的项目，对项目招标文件《评标信息》评分项中涉及的相关业绩、社保情况等内容以及《资格性审查表》和《符合性审查表》中涉及的证明材料，投标人应提供相关部门出具的证明材料扫描件或照片，原件备查。有关扫描件（或照片）的尺寸和清晰度要求能够使用电脑阅读、识别和判断。</w:t>
      </w:r>
      <w:bookmarkStart w:id="57" w:name="_Hlk71407299"/>
      <w:r>
        <w:rPr>
          <w:rFonts w:hint="eastAsia" w:ascii="宋体" w:hAnsi="宋体" w:eastAsia="宋体" w:cs="宋体"/>
          <w:szCs w:val="21"/>
        </w:rPr>
        <w:t>若投标人未按要求提供证明材料或提供的是部分证明材料或提供不清晰的扫描件（或照片）的，采购人、代理机构及评审委员会依据各自审查范围，有权认定其投标文件未对招标文件有关需求进行响应，涉及资格性审查或符合性审查的予以投标无效处理，涉及《评标信息》打分项的则该项评分予以0分处理。对供应商投标资料是否异常、是否有效问题进行核查和判定，如认为供应商投标资料有异常或无效的，若涉及资格性审查或符合性审查条款的，则应作投标无效处理；若涉及评分的，则作不得分处理。</w:t>
      </w:r>
    </w:p>
    <w:bookmarkEnd w:id="57"/>
    <w:p w14:paraId="6DE7A5B8">
      <w:pPr>
        <w:ind w:firstLine="470" w:firstLineChars="196"/>
        <w:rPr>
          <w:rFonts w:hint="eastAsia" w:ascii="宋体" w:hAnsi="宋体" w:eastAsia="宋体" w:cs="宋体"/>
          <w:szCs w:val="21"/>
        </w:rPr>
      </w:pPr>
      <w:r>
        <w:rPr>
          <w:rFonts w:hint="eastAsia" w:ascii="宋体" w:hAnsi="宋体" w:eastAsia="宋体" w:cs="宋体"/>
          <w:szCs w:val="21"/>
        </w:rPr>
        <w:t>19.2本项目涉及提供的有关资质（资格）证书，若原有资质（资格）证书处于年审期间，须提供证书颁发部门提供的回执，并且回执须证明该证书依然有效（若在法规范围不需提供的，供应商应做书面说明并提供证明文件，否则该证书无效），则该投标人提供年审证明的可按原资质（资格）投标；若投标人正在申报上一级别资质（资格），在未获批准之前，仍按原级别资质（资格）投标。</w:t>
      </w:r>
    </w:p>
    <w:p w14:paraId="6ACD7270">
      <w:pPr>
        <w:rPr>
          <w:rFonts w:hint="eastAsia" w:ascii="宋体" w:hAnsi="宋体" w:eastAsia="宋体" w:cs="宋体"/>
        </w:rPr>
      </w:pPr>
      <w:r>
        <w:rPr>
          <w:rFonts w:hint="eastAsia" w:ascii="宋体" w:hAnsi="宋体" w:eastAsia="宋体" w:cs="宋体"/>
        </w:rPr>
        <w:t>20．投标有效期</w:t>
      </w:r>
    </w:p>
    <w:bookmarkEnd w:id="56"/>
    <w:p w14:paraId="66AC106C">
      <w:pPr>
        <w:ind w:firstLine="470" w:firstLineChars="196"/>
        <w:rPr>
          <w:rFonts w:hint="eastAsia" w:ascii="宋体" w:hAnsi="宋体" w:eastAsia="宋体" w:cs="宋体"/>
          <w:szCs w:val="21"/>
        </w:rPr>
      </w:pPr>
      <w:bookmarkStart w:id="58" w:name="_Hlk72402214"/>
      <w:r>
        <w:rPr>
          <w:rFonts w:hint="eastAsia" w:ascii="宋体" w:hAnsi="宋体" w:eastAsia="宋体" w:cs="宋体"/>
          <w:szCs w:val="21"/>
        </w:rPr>
        <w:t>20.1 投标有效期为从投标截止之日算起的日历天数。在此期限内，所有投标文件均保持有效。</w:t>
      </w:r>
    </w:p>
    <w:p w14:paraId="71FEE210">
      <w:pPr>
        <w:ind w:firstLine="470" w:firstLineChars="196"/>
        <w:rPr>
          <w:rFonts w:hint="eastAsia" w:ascii="宋体" w:hAnsi="宋体" w:eastAsia="宋体" w:cs="宋体"/>
          <w:szCs w:val="21"/>
        </w:rPr>
      </w:pPr>
      <w:r>
        <w:rPr>
          <w:rFonts w:hint="eastAsia" w:ascii="宋体" w:hAnsi="宋体" w:eastAsia="宋体" w:cs="宋体"/>
          <w:szCs w:val="21"/>
        </w:rPr>
        <w:t>20.2 在特殊情况下，招标代理机构在原定的投标有效期满之前，招标代理机构可以根据需要以书面形式（包括招标代理机构网站公开发布方式）向投标人提出延长投标有效期的要求，对此要求投标人须以书面形式予以答复，投标人可以拒绝招标代理机构此项要求，其投标在原投标有效期满后不再有效。同意延长投标有效期的投标人不能要求也不允许修改其投标文件。</w:t>
      </w:r>
    </w:p>
    <w:p w14:paraId="5A33700E">
      <w:pPr>
        <w:ind w:firstLine="470" w:firstLineChars="196"/>
        <w:rPr>
          <w:rFonts w:hint="eastAsia" w:ascii="宋体" w:hAnsi="宋体" w:eastAsia="宋体" w:cs="宋体"/>
          <w:szCs w:val="21"/>
        </w:rPr>
      </w:pPr>
      <w:r>
        <w:rPr>
          <w:rFonts w:hint="eastAsia" w:ascii="宋体" w:hAnsi="宋体" w:eastAsia="宋体" w:cs="宋体"/>
          <w:szCs w:val="21"/>
        </w:rPr>
        <w:t>20.3 中标供应商的投标文件有效期，截止于完成本招标文件规定的全部项目内容，并通过竣工验收及保修期结束。</w:t>
      </w:r>
    </w:p>
    <w:bookmarkEnd w:id="58"/>
    <w:p w14:paraId="025EA6D3">
      <w:pPr>
        <w:rPr>
          <w:rFonts w:hint="eastAsia" w:ascii="宋体" w:hAnsi="宋体" w:eastAsia="宋体" w:cs="宋体"/>
        </w:rPr>
      </w:pPr>
      <w:r>
        <w:rPr>
          <w:rFonts w:hint="eastAsia" w:ascii="宋体" w:hAnsi="宋体" w:eastAsia="宋体" w:cs="宋体"/>
        </w:rPr>
        <w:t>21．</w:t>
      </w:r>
      <w:bookmarkStart w:id="59" w:name="_Hlk72402325"/>
      <w:r>
        <w:rPr>
          <w:rFonts w:hint="eastAsia" w:ascii="宋体" w:hAnsi="宋体" w:eastAsia="宋体" w:cs="宋体"/>
        </w:rPr>
        <w:t xml:space="preserve">关于投标保证金 </w:t>
      </w:r>
    </w:p>
    <w:p w14:paraId="0432A90C">
      <w:pPr>
        <w:rPr>
          <w:rFonts w:hint="eastAsia" w:ascii="宋体" w:hAnsi="宋体" w:eastAsia="宋体" w:cs="宋体"/>
          <w:szCs w:val="21"/>
        </w:rPr>
      </w:pPr>
      <w:r>
        <w:rPr>
          <w:rFonts w:hint="eastAsia" w:ascii="宋体" w:hAnsi="宋体" w:eastAsia="宋体" w:cs="宋体"/>
          <w:szCs w:val="21"/>
        </w:rPr>
        <w:t xml:space="preserve">    21.1</w:t>
      </w:r>
      <w:r>
        <w:rPr>
          <w:rFonts w:hint="eastAsia" w:ascii="宋体" w:hAnsi="宋体" w:eastAsia="宋体" w:cs="宋体"/>
        </w:rPr>
        <w:t>根据《深圳市财政局关于调整政府采购投标（响应）保证金管理政策的通知》（深财购〔2021〕51号）文的规定，本项目不收取投标保证金。</w:t>
      </w:r>
    </w:p>
    <w:p w14:paraId="268BF446">
      <w:pPr>
        <w:rPr>
          <w:rFonts w:hint="eastAsia" w:ascii="宋体" w:hAnsi="宋体" w:eastAsia="宋体" w:cs="宋体"/>
        </w:rPr>
      </w:pPr>
      <w:r>
        <w:rPr>
          <w:rFonts w:hint="eastAsia" w:ascii="宋体" w:hAnsi="宋体" w:eastAsia="宋体" w:cs="宋体"/>
        </w:rPr>
        <w:t>22．投标人的替代方案</w:t>
      </w:r>
    </w:p>
    <w:p w14:paraId="6226F3C4">
      <w:pPr>
        <w:ind w:firstLine="470" w:firstLineChars="196"/>
        <w:rPr>
          <w:rFonts w:hint="eastAsia" w:ascii="宋体" w:hAnsi="宋体" w:eastAsia="宋体" w:cs="宋体"/>
          <w:szCs w:val="21"/>
        </w:rPr>
      </w:pPr>
      <w:r>
        <w:rPr>
          <w:rFonts w:hint="eastAsia" w:ascii="宋体" w:hAnsi="宋体" w:eastAsia="宋体" w:cs="宋体"/>
          <w:szCs w:val="21"/>
        </w:rPr>
        <w:t>22.1投标人所提交的投标文件应完全满足招标文件（包括图纸和技术规范所示的基本技术设计）的要求。除非项目明确允许投标人提交替代方案，否则投标人有关替代方案的条款将初审不通过，作投标无效处理。</w:t>
      </w:r>
    </w:p>
    <w:p w14:paraId="0B6288B3">
      <w:pPr>
        <w:ind w:firstLine="470" w:firstLineChars="196"/>
        <w:rPr>
          <w:rFonts w:hint="eastAsia" w:ascii="宋体" w:hAnsi="宋体" w:eastAsia="宋体" w:cs="宋体"/>
          <w:szCs w:val="21"/>
        </w:rPr>
      </w:pPr>
      <w:r>
        <w:rPr>
          <w:rFonts w:hint="eastAsia" w:ascii="宋体" w:hAnsi="宋体" w:eastAsia="宋体" w:cs="宋体"/>
          <w:szCs w:val="21"/>
        </w:rPr>
        <w:t>22.2 如果允许投标人提交替代方案，则准备提交替代方案的投标人除应提交一份满足招标文件（包括图纸和技术规范所示的基本技术设计）要求的投标文件外，还应提交需评审其替代方案所需的全部资料，包括项目方案书、技术规范、替代方案报价书、所建议的项目方案及有关的其它详细资料。</w:t>
      </w:r>
    </w:p>
    <w:bookmarkEnd w:id="59"/>
    <w:p w14:paraId="5E22F8C4">
      <w:pPr>
        <w:rPr>
          <w:rFonts w:hint="eastAsia" w:ascii="宋体" w:hAnsi="宋体" w:eastAsia="宋体" w:cs="宋体"/>
        </w:rPr>
      </w:pPr>
      <w:r>
        <w:rPr>
          <w:rFonts w:hint="eastAsia" w:ascii="宋体" w:hAnsi="宋体" w:eastAsia="宋体" w:cs="宋体"/>
        </w:rPr>
        <w:t>23．</w:t>
      </w:r>
      <w:bookmarkStart w:id="60" w:name="_Hlk72402860"/>
      <w:r>
        <w:rPr>
          <w:rFonts w:hint="eastAsia" w:ascii="宋体" w:hAnsi="宋体" w:eastAsia="宋体" w:cs="宋体"/>
        </w:rPr>
        <w:t>投标文件的制作要求</w:t>
      </w:r>
    </w:p>
    <w:p w14:paraId="7EAE6AD0">
      <w:pPr>
        <w:ind w:firstLine="470" w:firstLineChars="196"/>
        <w:rPr>
          <w:rFonts w:hint="eastAsia" w:ascii="宋体" w:hAnsi="宋体" w:eastAsia="宋体" w:cs="宋体"/>
        </w:rPr>
      </w:pPr>
      <w:r>
        <w:rPr>
          <w:rFonts w:hint="eastAsia" w:ascii="宋体" w:hAnsi="宋体" w:eastAsia="宋体" w:cs="宋体"/>
        </w:rPr>
        <w:t>23.1投标人应准备所投项目的电子投标文件一份。此电子投标文件须由投标人根据招标代理机构提供的后缀名为. szczf的电子招标文件，下载并使用相应的深圳智慧采购平台投标文件制作专用软件打开招标文件（.szczf格式）【下载地址：http://zfcg.szggzy.com:8081/cgxy/013002/list.html】。</w:t>
      </w:r>
    </w:p>
    <w:p w14:paraId="0444B82F">
      <w:pPr>
        <w:ind w:firstLine="470" w:firstLineChars="196"/>
        <w:rPr>
          <w:rFonts w:hint="eastAsia" w:ascii="宋体" w:hAnsi="宋体" w:eastAsia="宋体" w:cs="宋体"/>
        </w:rPr>
      </w:pPr>
      <w:r>
        <w:rPr>
          <w:rFonts w:hint="eastAsia" w:ascii="宋体" w:hAnsi="宋体" w:eastAsia="宋体" w:cs="宋体"/>
        </w:rPr>
        <w:t>23.2投标人在使用《投标书编制软件》编制投标书时须注意：</w:t>
      </w:r>
    </w:p>
    <w:p w14:paraId="5B5A980C">
      <w:pPr>
        <w:ind w:firstLine="470" w:firstLineChars="196"/>
        <w:rPr>
          <w:rFonts w:hint="eastAsia" w:ascii="宋体" w:hAnsi="宋体" w:eastAsia="宋体" w:cs="宋体"/>
        </w:rPr>
      </w:pPr>
      <w:r>
        <w:rPr>
          <w:rFonts w:hint="eastAsia" w:ascii="宋体" w:hAnsi="宋体" w:eastAsia="宋体" w:cs="宋体"/>
        </w:rPr>
        <w:t>23.2.1导入《投标书编制软件》的招标文件项目编号、包号应与以此制作的投标文件项目编号、包号一致。例如，不能将甲项目A包的招标书导入《投标书编制软件》，制作乙项目B包的投标书。</w:t>
      </w:r>
    </w:p>
    <w:p w14:paraId="3D87EE4F">
      <w:pPr>
        <w:ind w:firstLine="470" w:firstLineChars="196"/>
        <w:rPr>
          <w:rFonts w:hint="eastAsia" w:ascii="宋体" w:hAnsi="宋体" w:eastAsia="宋体" w:cs="宋体"/>
        </w:rPr>
      </w:pPr>
      <w:r>
        <w:rPr>
          <w:rFonts w:hint="eastAsia" w:ascii="宋体" w:hAnsi="宋体" w:eastAsia="宋体" w:cs="宋体"/>
        </w:rPr>
        <w:t>23.2.2不能用非本公司的电子密钥加密本公司的投标文件，或者用其它公司的登录用户上传本公司的投标文件。</w:t>
      </w:r>
    </w:p>
    <w:p w14:paraId="22CE2065">
      <w:pPr>
        <w:ind w:firstLine="470" w:firstLineChars="196"/>
        <w:rPr>
          <w:rFonts w:hint="eastAsia" w:ascii="宋体" w:hAnsi="宋体" w:eastAsia="宋体" w:cs="宋体"/>
        </w:rPr>
      </w:pPr>
      <w:r>
        <w:rPr>
          <w:rFonts w:hint="eastAsia" w:ascii="宋体" w:hAnsi="宋体" w:eastAsia="宋体" w:cs="宋体"/>
        </w:rPr>
        <w:t>23.2.3要求用《投标书编制软件》编制投标书的包，不能用其它方式编制投标书。编制投标文件时，电脑须连通互联网。</w:t>
      </w:r>
    </w:p>
    <w:p w14:paraId="58BD9868">
      <w:pPr>
        <w:ind w:firstLine="470" w:firstLineChars="196"/>
        <w:rPr>
          <w:rFonts w:hint="eastAsia" w:ascii="宋体" w:hAnsi="宋体" w:eastAsia="宋体" w:cs="宋体"/>
        </w:rPr>
      </w:pPr>
      <w:r>
        <w:rPr>
          <w:rFonts w:hint="eastAsia" w:ascii="宋体" w:hAnsi="宋体" w:eastAsia="宋体" w:cs="宋体"/>
        </w:rPr>
        <w:t>23.2.4投标文件不能带病毒。招标代理机构将用专业杀毒软件对投标文件进行病毒检测，如果这两种软件均报告发现病毒，则招标代理机构认为该投标文件带病毒。</w:t>
      </w:r>
    </w:p>
    <w:p w14:paraId="7C8CC630">
      <w:pPr>
        <w:ind w:firstLine="470" w:firstLineChars="196"/>
        <w:rPr>
          <w:rFonts w:hint="eastAsia" w:ascii="宋体" w:hAnsi="宋体" w:eastAsia="宋体" w:cs="宋体"/>
        </w:rPr>
      </w:pPr>
      <w:r>
        <w:rPr>
          <w:rFonts w:hint="eastAsia" w:ascii="宋体" w:hAnsi="宋体" w:eastAsia="宋体" w:cs="宋体"/>
        </w:rPr>
        <w:t>23.2.5完整填写“投标关键信息”，如下图所示：</w:t>
      </w:r>
    </w:p>
    <w:p w14:paraId="3F9C1BAB">
      <w:pPr>
        <w:ind w:firstLine="470" w:firstLineChars="196"/>
        <w:rPr>
          <w:rFonts w:hint="eastAsia" w:ascii="宋体" w:hAnsi="宋体" w:eastAsia="宋体" w:cs="宋体"/>
        </w:rPr>
      </w:pPr>
      <w:r>
        <w:rPr>
          <w:rFonts w:hint="eastAsia" w:ascii="宋体" w:hAnsi="宋体" w:eastAsia="宋体" w:cs="宋体"/>
        </w:rPr>
        <w:drawing>
          <wp:inline distT="0" distB="0" distL="0" distR="0">
            <wp:extent cx="5278755" cy="2721610"/>
            <wp:effectExtent l="0" t="0" r="17145" b="2540"/>
            <wp:docPr id="2" name="图片 2"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形用户界面, 应用程序&#10;&#10;描述已自动生成"/>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62DE4F41">
      <w:pPr>
        <w:ind w:firstLine="472" w:firstLineChars="196"/>
        <w:rPr>
          <w:rFonts w:hint="eastAsia" w:ascii="宋体" w:hAnsi="宋体" w:eastAsia="宋体" w:cs="宋体"/>
          <w:b/>
        </w:rPr>
      </w:pPr>
      <w:r>
        <w:rPr>
          <w:rFonts w:hint="eastAsia" w:ascii="宋体" w:hAnsi="宋体" w:eastAsia="宋体" w:cs="宋体"/>
          <w:b/>
        </w:rPr>
        <w:t>备注：上述“开标一览表”中的“投标报价”将作为价格分计算依据；其它信息仅是对投标文件相关内容的概括性表述，不作为评审依据。</w:t>
      </w:r>
    </w:p>
    <w:p w14:paraId="05934C2E">
      <w:pPr>
        <w:ind w:firstLine="470" w:firstLineChars="196"/>
        <w:rPr>
          <w:rFonts w:hint="eastAsia" w:ascii="宋体" w:hAnsi="宋体" w:eastAsia="宋体" w:cs="宋体"/>
        </w:rPr>
      </w:pPr>
      <w:r>
        <w:rPr>
          <w:rFonts w:hint="eastAsia" w:ascii="宋体" w:hAnsi="宋体" w:eastAsia="宋体" w:cs="宋体"/>
        </w:rPr>
        <w:t>23.2.6投标人在编辑投标文件时，</w:t>
      </w:r>
      <w:r>
        <w:rPr>
          <w:rFonts w:hint="eastAsia" w:ascii="宋体" w:hAnsi="宋体" w:eastAsia="宋体" w:cs="宋体"/>
          <w:b/>
        </w:rPr>
        <w:t>在投标文件目录中属于本节点内容的必须在本节点中填写，填写到其他节点或附件，</w:t>
      </w:r>
      <w:r>
        <w:rPr>
          <w:rFonts w:hint="eastAsia" w:ascii="宋体" w:hAnsi="宋体" w:eastAsia="宋体" w:cs="宋体"/>
        </w:rPr>
        <w:t>一切后果由供应商自行承担。</w:t>
      </w:r>
    </w:p>
    <w:p w14:paraId="7EDE32D6">
      <w:pPr>
        <w:ind w:firstLine="470" w:firstLineChars="196"/>
        <w:rPr>
          <w:rFonts w:hint="eastAsia" w:ascii="宋体" w:hAnsi="宋体" w:eastAsia="宋体" w:cs="宋体"/>
        </w:rPr>
      </w:pPr>
      <w:r>
        <w:rPr>
          <w:rFonts w:hint="eastAsia" w:ascii="宋体" w:hAnsi="宋体" w:eastAsia="宋体" w:cs="宋体"/>
        </w:rPr>
        <w:t>23.2.7投标文件编写完成后，</w:t>
      </w:r>
      <w:r>
        <w:rPr>
          <w:rFonts w:hint="eastAsia" w:ascii="宋体" w:hAnsi="宋体" w:eastAsia="宋体" w:cs="宋体"/>
          <w:b/>
        </w:rPr>
        <w:t>必须用属于投标人的电子密钥或电子营业执照进行加密，否则视同未盖公章，将导致投标文件无效。</w:t>
      </w:r>
    </w:p>
    <w:p w14:paraId="2D512970">
      <w:pPr>
        <w:ind w:firstLine="470" w:firstLineChars="196"/>
        <w:rPr>
          <w:rFonts w:hint="eastAsia" w:ascii="宋体" w:hAnsi="宋体" w:eastAsia="宋体" w:cs="宋体"/>
        </w:rPr>
      </w:pPr>
      <w:r>
        <w:rPr>
          <w:rFonts w:hint="eastAsia" w:ascii="宋体" w:hAnsi="宋体" w:eastAsia="宋体" w:cs="宋体"/>
        </w:rPr>
        <w:t>23.2.8招标代理机构不接受投标截止时间后递交的纸质、电子、传真等所有形式的投标文件。由于对网上政府采购系统操作不熟悉或自身电脑、网络等原因导致不能在投标截止时间之前上传投标文件，招标代理机构概不负责。建议于开标前一个工作日完成投标文件的制作与上传，如上传确有困难，请及时咨询。</w:t>
      </w:r>
    </w:p>
    <w:p w14:paraId="1DAF8488">
      <w:pPr>
        <w:ind w:firstLine="470" w:firstLineChars="196"/>
        <w:rPr>
          <w:rFonts w:hint="eastAsia" w:ascii="宋体" w:hAnsi="宋体" w:eastAsia="宋体" w:cs="宋体"/>
        </w:rPr>
      </w:pPr>
      <w:r>
        <w:rPr>
          <w:rFonts w:hint="eastAsia" w:ascii="宋体" w:hAnsi="宋体" w:eastAsia="宋体" w:cs="宋体"/>
        </w:rPr>
        <w:t>23.2.9如果开标时出现网络故障、技术故障，影响了政府采购活动，招标代理机构有权采取措施如延期、接受无法从网上上传的投标书等，以保障政府采购活动的公开、公平和公正。</w:t>
      </w:r>
    </w:p>
    <w:p w14:paraId="717C1CE3">
      <w:pPr>
        <w:ind w:firstLine="470" w:firstLineChars="196"/>
        <w:rPr>
          <w:rFonts w:hint="eastAsia" w:ascii="宋体" w:hAnsi="宋体" w:eastAsia="宋体" w:cs="宋体"/>
        </w:rPr>
      </w:pPr>
      <w:r>
        <w:rPr>
          <w:rFonts w:hint="eastAsia" w:ascii="宋体" w:hAnsi="宋体" w:eastAsia="宋体" w:cs="宋体"/>
        </w:rPr>
        <w:t>23.3电报、电话、传真形式的投标概不接受。</w:t>
      </w:r>
    </w:p>
    <w:p w14:paraId="416D153E">
      <w:pPr>
        <w:ind w:firstLine="472" w:firstLineChars="196"/>
        <w:rPr>
          <w:rFonts w:hint="eastAsia" w:ascii="宋体" w:hAnsi="宋体" w:eastAsia="宋体" w:cs="宋体"/>
          <w:b/>
        </w:rPr>
      </w:pPr>
      <w:r>
        <w:rPr>
          <w:rFonts w:hint="eastAsia" w:ascii="宋体" w:hAnsi="宋体" w:eastAsia="宋体" w:cs="宋体"/>
          <w:b/>
        </w:rPr>
        <w:t>23.4经投标人电子密钥或电子营业执照加密的投标文件无须盖章或签字，</w:t>
      </w:r>
      <w:r>
        <w:rPr>
          <w:rFonts w:hint="eastAsia" w:ascii="宋体" w:hAnsi="宋体" w:eastAsia="宋体" w:cs="宋体"/>
        </w:rPr>
        <w:t>专用条款另有要求的除外。</w:t>
      </w:r>
    </w:p>
    <w:p w14:paraId="10D4D134">
      <w:pPr>
        <w:ind w:firstLine="470" w:firstLineChars="196"/>
        <w:rPr>
          <w:rFonts w:hint="eastAsia" w:ascii="宋体" w:hAnsi="宋体" w:eastAsia="宋体" w:cs="宋体"/>
        </w:rPr>
      </w:pPr>
      <w:r>
        <w:rPr>
          <w:rFonts w:hint="eastAsia" w:ascii="宋体" w:hAnsi="宋体" w:eastAsia="宋体" w:cs="宋体"/>
          <w:bCs/>
        </w:rPr>
        <w:t xml:space="preserve">23.5 </w:t>
      </w:r>
      <w:r>
        <w:rPr>
          <w:rFonts w:hint="eastAsia" w:ascii="宋体" w:hAnsi="宋体" w:eastAsia="宋体" w:cs="宋体"/>
        </w:rPr>
        <w:t>各类资格（资质）文件提供扫描件，专用条款另有要求的除外。</w:t>
      </w:r>
      <w:bookmarkEnd w:id="60"/>
    </w:p>
    <w:p w14:paraId="4F6A7E06">
      <w:pPr>
        <w:ind w:firstLine="470" w:firstLineChars="196"/>
        <w:rPr>
          <w:rFonts w:hint="eastAsia" w:ascii="宋体" w:hAnsi="宋体" w:eastAsia="宋体" w:cs="宋体"/>
          <w:szCs w:val="21"/>
        </w:rPr>
      </w:pPr>
    </w:p>
    <w:p w14:paraId="4371869E">
      <w:pPr>
        <w:pStyle w:val="5"/>
        <w:spacing w:before="120" w:beforeLines="50" w:after="120" w:afterLines="50"/>
        <w:ind w:left="562" w:hanging="562"/>
        <w:rPr>
          <w:rFonts w:hint="eastAsia" w:cs="宋体"/>
          <w:szCs w:val="28"/>
        </w:rPr>
      </w:pPr>
      <w:r>
        <w:rPr>
          <w:rFonts w:hint="eastAsia" w:cs="宋体"/>
          <w:szCs w:val="28"/>
        </w:rPr>
        <w:t>第四章投标文件的递交</w:t>
      </w:r>
    </w:p>
    <w:p w14:paraId="75463E73">
      <w:pPr>
        <w:rPr>
          <w:rFonts w:hint="eastAsia" w:ascii="宋体" w:hAnsi="宋体" w:eastAsia="宋体" w:cs="宋体"/>
        </w:rPr>
      </w:pPr>
      <w:bookmarkStart w:id="61" w:name="_Hlk72405459"/>
      <w:r>
        <w:rPr>
          <w:rFonts w:hint="eastAsia" w:ascii="宋体" w:hAnsi="宋体" w:eastAsia="宋体" w:cs="宋体"/>
        </w:rPr>
        <w:t>24．投标文件的保密</w:t>
      </w:r>
    </w:p>
    <w:p w14:paraId="22D6C6ED">
      <w:pPr>
        <w:ind w:firstLine="470" w:firstLineChars="196"/>
        <w:rPr>
          <w:rFonts w:hint="eastAsia" w:ascii="宋体" w:hAnsi="宋体" w:eastAsia="宋体" w:cs="宋体"/>
        </w:rPr>
      </w:pPr>
      <w:r>
        <w:rPr>
          <w:rFonts w:hint="eastAsia" w:ascii="宋体" w:hAnsi="宋体" w:eastAsia="宋体" w:cs="宋体"/>
        </w:rPr>
        <w:t>24.1在投标文件制作完成后，在投标书编制软件点击【生成标书】按钮进入【填写开标一览表界面】界面，在该界面填写完开标一览表信息后点击【确定】，进入投标文件生成环节。投标文件制作软件会在投标文件生成过程中，提示用户输入密码，输入密码后对投标文件自动进行加密，此加密程序确保投标文件在到达投标截止时间后才能解密查看。在加密过程中，请按照软件提示进行操作。加密界面如下图所示：</w:t>
      </w:r>
    </w:p>
    <w:p w14:paraId="249A4366">
      <w:pPr>
        <w:rPr>
          <w:rFonts w:hint="eastAsia" w:ascii="宋体" w:hAnsi="宋体" w:eastAsia="宋体" w:cs="宋体"/>
        </w:rPr>
      </w:pPr>
      <w:r>
        <w:rPr>
          <w:rFonts w:hint="eastAsia" w:ascii="宋体" w:hAnsi="宋体" w:eastAsia="宋体" w:cs="宋体"/>
        </w:rPr>
        <w:drawing>
          <wp:inline distT="0" distB="0" distL="0" distR="0">
            <wp:extent cx="5278755" cy="2721610"/>
            <wp:effectExtent l="0" t="0" r="17145" b="2540"/>
            <wp:docPr id="8" name="图片 8" descr="图形用户界面,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图形用户界面, 应用程序&#10;&#10;描述已自动生成"/>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8755" cy="2721610"/>
                    </a:xfrm>
                    <a:prstGeom prst="rect">
                      <a:avLst/>
                    </a:prstGeom>
                    <a:noFill/>
                    <a:ln>
                      <a:noFill/>
                    </a:ln>
                  </pic:spPr>
                </pic:pic>
              </a:graphicData>
            </a:graphic>
          </wp:inline>
        </w:drawing>
      </w:r>
    </w:p>
    <w:p w14:paraId="4D18569A">
      <w:pPr>
        <w:ind w:firstLine="480" w:firstLineChars="200"/>
        <w:rPr>
          <w:rFonts w:hint="eastAsia" w:ascii="宋体" w:hAnsi="宋体" w:eastAsia="宋体" w:cs="宋体"/>
        </w:rPr>
      </w:pPr>
    </w:p>
    <w:p w14:paraId="39BF34C7">
      <w:pPr>
        <w:rPr>
          <w:rFonts w:hint="eastAsia" w:ascii="宋体" w:hAnsi="宋体" w:eastAsia="宋体" w:cs="宋体"/>
        </w:rPr>
      </w:pPr>
      <w:r>
        <w:rPr>
          <w:rFonts w:hint="eastAsia" w:ascii="宋体" w:hAnsi="宋体" w:eastAsia="宋体" w:cs="宋体"/>
        </w:rPr>
        <w:drawing>
          <wp:inline distT="0" distB="0" distL="0" distR="0">
            <wp:extent cx="5278755" cy="2732405"/>
            <wp:effectExtent l="0" t="0" r="17145" b="10795"/>
            <wp:docPr id="9" name="图片 9"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形用户界面&#10;&#10;描述已自动生成"/>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55" cy="2732405"/>
                    </a:xfrm>
                    <a:prstGeom prst="rect">
                      <a:avLst/>
                    </a:prstGeom>
                    <a:noFill/>
                    <a:ln>
                      <a:noFill/>
                    </a:ln>
                  </pic:spPr>
                </pic:pic>
              </a:graphicData>
            </a:graphic>
          </wp:inline>
        </w:drawing>
      </w:r>
    </w:p>
    <w:p w14:paraId="7758802B">
      <w:pPr>
        <w:ind w:firstLine="470" w:firstLineChars="196"/>
        <w:rPr>
          <w:rFonts w:hint="eastAsia" w:ascii="宋体" w:hAnsi="宋体" w:eastAsia="宋体" w:cs="宋体"/>
        </w:rPr>
      </w:pPr>
    </w:p>
    <w:p w14:paraId="1939F593">
      <w:pPr>
        <w:rPr>
          <w:rFonts w:hint="eastAsia" w:ascii="宋体" w:hAnsi="宋体" w:eastAsia="宋体" w:cs="宋体"/>
          <w:b/>
        </w:rPr>
      </w:pPr>
      <w:r>
        <w:rPr>
          <w:rFonts w:hint="eastAsia" w:ascii="宋体" w:hAnsi="宋体" w:eastAsia="宋体" w:cs="宋体"/>
        </w:rPr>
        <w:t>24.2若采购项目出现延期情况：</w:t>
      </w:r>
    </w:p>
    <w:p w14:paraId="5F8EB6EE">
      <w:pPr>
        <w:ind w:firstLine="480" w:firstLineChars="200"/>
        <w:rPr>
          <w:rFonts w:hint="eastAsia" w:ascii="宋体" w:hAnsi="宋体" w:eastAsia="宋体" w:cs="宋体"/>
          <w:b/>
        </w:rPr>
      </w:pPr>
      <w:r>
        <w:rPr>
          <w:rFonts w:hint="eastAsia" w:ascii="宋体" w:hAnsi="宋体" w:eastAsia="宋体" w:cs="宋体"/>
        </w:rPr>
        <w:t>如果供下载的招标文件（后缀名为. szczf）有更新，</w:t>
      </w:r>
      <w:r>
        <w:rPr>
          <w:rFonts w:hint="eastAsia" w:ascii="宋体" w:hAnsi="宋体" w:eastAsia="宋体" w:cs="宋体"/>
          <w:b/>
          <w:bCs/>
        </w:rPr>
        <w:t>投标人必须重新下载招标文件、重新制作投标文件、重新加密投标文件、重新上传投标文件</w:t>
      </w:r>
      <w:r>
        <w:rPr>
          <w:rFonts w:hint="eastAsia" w:ascii="宋体" w:hAnsi="宋体" w:eastAsia="宋体" w:cs="宋体"/>
        </w:rPr>
        <w:t>；如果供下载的招标文件（后缀名为. szczf）没有更新，</w:t>
      </w:r>
      <w:r>
        <w:rPr>
          <w:rFonts w:hint="eastAsia" w:ascii="宋体" w:hAnsi="宋体" w:eastAsia="宋体" w:cs="宋体"/>
          <w:b/>
          <w:bCs/>
        </w:rPr>
        <w:t>投标人必须重新加密投标文件、重新上传投标文件</w:t>
      </w:r>
      <w:r>
        <w:rPr>
          <w:rFonts w:hint="eastAsia" w:ascii="宋体" w:hAnsi="宋体" w:eastAsia="宋体" w:cs="宋体"/>
        </w:rPr>
        <w:t>（是否重新制作投标文件根据项目实际情况定）。否则，投标人自行承担投标文件无法解密导致投标无效的后果。</w:t>
      </w:r>
    </w:p>
    <w:p w14:paraId="010CC0F3">
      <w:pPr>
        <w:rPr>
          <w:rFonts w:hint="eastAsia" w:ascii="宋体" w:hAnsi="宋体" w:eastAsia="宋体" w:cs="宋体"/>
        </w:rPr>
      </w:pPr>
      <w:r>
        <w:rPr>
          <w:rFonts w:hint="eastAsia" w:ascii="宋体" w:hAnsi="宋体" w:eastAsia="宋体" w:cs="宋体"/>
        </w:rPr>
        <w:t>25．上传投标文件及投标截止日期</w:t>
      </w:r>
    </w:p>
    <w:p w14:paraId="6152E0C0">
      <w:pPr>
        <w:wordWrap w:val="0"/>
        <w:ind w:firstLine="470" w:firstLineChars="196"/>
        <w:rPr>
          <w:rFonts w:hint="eastAsia" w:ascii="宋体" w:hAnsi="宋体" w:eastAsia="宋体" w:cs="宋体"/>
        </w:rPr>
      </w:pPr>
      <w:r>
        <w:rPr>
          <w:rFonts w:hint="eastAsia" w:ascii="宋体" w:hAnsi="宋体" w:eastAsia="宋体" w:cs="宋体"/>
        </w:rPr>
        <w:t>25.1实行网上投标，投标人必须在招标文件规定的投标截止时间前用电子密钥登录“深圳政府采购智慧平台用户网上办事子系统（http://zfcg.szggzy.com:8081/TPBidder/memberLogin）”，用“【我的项目】→【项目流程】→【递交投标(应答)文件】”功能点上传投标文件。</w:t>
      </w:r>
      <w:r>
        <w:rPr>
          <w:rFonts w:hint="eastAsia" w:ascii="宋体" w:hAnsi="宋体"/>
        </w:rPr>
        <w:t>如上传过程中遇到问题，可拨打采购公告中的技术支持电话。</w:t>
      </w:r>
      <w:r>
        <w:rPr>
          <w:rFonts w:ascii="宋体" w:hAnsi="宋体"/>
          <w:b/>
          <w:bCs/>
        </w:rPr>
        <w:t>上传过程</w:t>
      </w:r>
      <w:r>
        <w:rPr>
          <w:rFonts w:hint="eastAsia" w:ascii="宋体" w:hAnsi="宋体"/>
          <w:b/>
          <w:bCs/>
        </w:rPr>
        <w:t>中应答</w:t>
      </w:r>
      <w:r>
        <w:rPr>
          <w:rFonts w:ascii="宋体" w:hAnsi="宋体"/>
          <w:b/>
          <w:bCs/>
        </w:rPr>
        <w:t>截止时间到达仍无法上传成功的，由</w:t>
      </w:r>
      <w:r>
        <w:rPr>
          <w:rFonts w:hint="eastAsia" w:ascii="宋体" w:hAnsi="宋体"/>
          <w:b/>
          <w:bCs/>
        </w:rPr>
        <w:t>供应商</w:t>
      </w:r>
      <w:r>
        <w:rPr>
          <w:rFonts w:ascii="宋体" w:hAnsi="宋体"/>
          <w:b/>
          <w:bCs/>
        </w:rPr>
        <w:t>自行负责</w:t>
      </w:r>
      <w:r>
        <w:rPr>
          <w:rFonts w:hint="eastAsia" w:ascii="宋体" w:hAnsi="宋体"/>
        </w:rPr>
        <w:t>。</w:t>
      </w:r>
    </w:p>
    <w:p w14:paraId="4385019D">
      <w:pPr>
        <w:ind w:firstLine="470" w:firstLineChars="196"/>
        <w:rPr>
          <w:rFonts w:hint="eastAsia" w:ascii="宋体" w:hAnsi="宋体" w:eastAsia="宋体" w:cs="宋体"/>
        </w:rPr>
      </w:pPr>
      <w:r>
        <w:rPr>
          <w:rFonts w:hint="eastAsia" w:ascii="宋体" w:hAnsi="宋体" w:eastAsia="宋体" w:cs="宋体"/>
        </w:rPr>
        <w:t>25.2招标代理机构可以按本通用条款第13条规定，通过修改招标文件自行决定酌情延长投标截止期。在此情况下，招标代理机构、采购人和投标人受投标截止期制约的所有权利和义务均应延长至新的截止期。</w:t>
      </w:r>
    </w:p>
    <w:p w14:paraId="609BBD7F">
      <w:pPr>
        <w:ind w:firstLine="470" w:firstLineChars="196"/>
        <w:rPr>
          <w:rFonts w:hint="eastAsia" w:ascii="宋体" w:hAnsi="宋体" w:eastAsia="宋体" w:cs="宋体"/>
        </w:rPr>
      </w:pPr>
      <w:r>
        <w:rPr>
          <w:rFonts w:hint="eastAsia" w:ascii="宋体" w:hAnsi="宋体" w:eastAsia="宋体" w:cs="宋体"/>
        </w:rPr>
        <w:t>25.3投标截止时间以后不得上传投标文件。</w:t>
      </w:r>
    </w:p>
    <w:p w14:paraId="51C1ACB1">
      <w:pPr>
        <w:ind w:firstLine="470" w:firstLineChars="196"/>
        <w:rPr>
          <w:rFonts w:hint="eastAsia" w:ascii="宋体" w:hAnsi="宋体" w:eastAsia="宋体" w:cs="宋体"/>
        </w:rPr>
      </w:pPr>
    </w:p>
    <w:p w14:paraId="0E0AF04D">
      <w:pPr>
        <w:ind w:firstLine="470" w:firstLineChars="196"/>
        <w:rPr>
          <w:rFonts w:hint="eastAsia" w:ascii="宋体" w:hAnsi="宋体" w:eastAsia="宋体" w:cs="宋体"/>
        </w:rPr>
      </w:pPr>
    </w:p>
    <w:bookmarkEnd w:id="61"/>
    <w:p w14:paraId="54B15FF6">
      <w:pPr>
        <w:rPr>
          <w:rFonts w:hint="eastAsia" w:ascii="宋体" w:hAnsi="宋体" w:eastAsia="宋体" w:cs="宋体"/>
        </w:rPr>
      </w:pPr>
      <w:r>
        <w:rPr>
          <w:rFonts w:hint="eastAsia" w:ascii="宋体" w:hAnsi="宋体" w:eastAsia="宋体" w:cs="宋体"/>
        </w:rPr>
        <w:t>26. 样品、现场演示、方案讲解</w:t>
      </w:r>
    </w:p>
    <w:p w14:paraId="33BB3DBB">
      <w:pPr>
        <w:ind w:firstLine="470" w:firstLineChars="196"/>
        <w:rPr>
          <w:rFonts w:hint="eastAsia" w:ascii="宋体" w:hAnsi="宋体" w:eastAsia="宋体" w:cs="宋体"/>
          <w:szCs w:val="21"/>
        </w:rPr>
      </w:pPr>
      <w:r>
        <w:rPr>
          <w:rFonts w:hint="eastAsia" w:ascii="宋体" w:hAnsi="宋体" w:eastAsia="宋体" w:cs="宋体"/>
          <w:szCs w:val="21"/>
        </w:rPr>
        <w:t>26.1 样品、现场演示、方案讲解等事项在招标文件专用条款中进行规定。</w:t>
      </w:r>
    </w:p>
    <w:p w14:paraId="313BEED9">
      <w:pPr>
        <w:rPr>
          <w:rFonts w:hint="eastAsia" w:ascii="宋体" w:hAnsi="宋体" w:eastAsia="宋体" w:cs="宋体"/>
        </w:rPr>
      </w:pPr>
      <w:bookmarkStart w:id="62" w:name="_Hlk72428346"/>
      <w:r>
        <w:rPr>
          <w:rFonts w:hint="eastAsia" w:ascii="宋体" w:hAnsi="宋体" w:eastAsia="宋体" w:cs="宋体"/>
        </w:rPr>
        <w:t>27．投标文件的修改和撤销</w:t>
      </w:r>
    </w:p>
    <w:p w14:paraId="6346D259">
      <w:pPr>
        <w:ind w:firstLine="470" w:firstLineChars="196"/>
        <w:rPr>
          <w:rFonts w:hint="eastAsia" w:ascii="宋体" w:hAnsi="宋体" w:eastAsia="宋体" w:cs="宋体"/>
        </w:rPr>
      </w:pPr>
      <w:r>
        <w:rPr>
          <w:rFonts w:hint="eastAsia" w:ascii="宋体" w:hAnsi="宋体" w:eastAsia="宋体" w:cs="宋体"/>
        </w:rPr>
        <w:t>27.1投标方在提交投标文件后可对其投标文件进行修改并重新上传投标文件或在网上进行撤销投标的操作。</w:t>
      </w:r>
    </w:p>
    <w:p w14:paraId="2F00802B">
      <w:pPr>
        <w:ind w:firstLine="470" w:firstLineChars="196"/>
        <w:rPr>
          <w:rFonts w:hint="eastAsia" w:ascii="宋体" w:hAnsi="宋体" w:eastAsia="宋体" w:cs="宋体"/>
        </w:rPr>
      </w:pPr>
      <w:r>
        <w:rPr>
          <w:rFonts w:hint="eastAsia" w:ascii="宋体" w:hAnsi="宋体" w:eastAsia="宋体" w:cs="宋体"/>
        </w:rPr>
        <w:t>27.2投标截止时间以后不得修改投标文件。</w:t>
      </w:r>
    </w:p>
    <w:p w14:paraId="4141B14F">
      <w:pPr>
        <w:ind w:firstLine="470" w:firstLineChars="196"/>
        <w:rPr>
          <w:rFonts w:hint="eastAsia" w:ascii="宋体" w:hAnsi="宋体" w:eastAsia="宋体" w:cs="宋体"/>
        </w:rPr>
      </w:pPr>
      <w:r>
        <w:rPr>
          <w:rFonts w:hint="eastAsia" w:ascii="宋体" w:hAnsi="宋体" w:eastAsia="宋体" w:cs="宋体"/>
        </w:rPr>
        <w:t>27.3从投标截止期至投标人在投标文件中确定的投标有效期之间的这段时间内，投标人不得撤回其投标。</w:t>
      </w:r>
    </w:p>
    <w:p w14:paraId="103C0CAD">
      <w:pPr>
        <w:ind w:firstLine="470" w:firstLineChars="196"/>
        <w:rPr>
          <w:rFonts w:hint="eastAsia" w:ascii="宋体" w:hAnsi="宋体" w:eastAsia="宋体" w:cs="宋体"/>
          <w:szCs w:val="21"/>
        </w:rPr>
      </w:pPr>
      <w:r>
        <w:rPr>
          <w:rFonts w:hint="eastAsia" w:ascii="宋体" w:hAnsi="宋体" w:eastAsia="宋体" w:cs="宋体"/>
          <w:szCs w:val="21"/>
        </w:rPr>
        <w:t>27.4招标代理机构不退还投标文件，专用条款另有规定的除外。</w:t>
      </w:r>
    </w:p>
    <w:bookmarkEnd w:id="62"/>
    <w:p w14:paraId="6ABF0EAE">
      <w:pPr>
        <w:pStyle w:val="5"/>
        <w:spacing w:before="120" w:beforeLines="50" w:after="120" w:afterLines="50"/>
        <w:ind w:left="562" w:hanging="562"/>
        <w:rPr>
          <w:rFonts w:hint="eastAsia" w:cs="宋体"/>
          <w:szCs w:val="28"/>
        </w:rPr>
      </w:pPr>
      <w:r>
        <w:rPr>
          <w:rFonts w:hint="eastAsia" w:cs="宋体"/>
          <w:szCs w:val="28"/>
        </w:rPr>
        <w:t>第五章开标</w:t>
      </w:r>
    </w:p>
    <w:p w14:paraId="3EA30E24">
      <w:pPr>
        <w:rPr>
          <w:rFonts w:hint="eastAsia" w:ascii="宋体" w:hAnsi="宋体" w:eastAsia="宋体" w:cs="宋体"/>
        </w:rPr>
      </w:pPr>
      <w:r>
        <w:rPr>
          <w:rFonts w:hint="eastAsia" w:ascii="宋体" w:hAnsi="宋体" w:eastAsia="宋体" w:cs="宋体"/>
        </w:rPr>
        <w:t>28．开标</w:t>
      </w:r>
    </w:p>
    <w:p w14:paraId="10624842">
      <w:pPr>
        <w:ind w:firstLine="410" w:firstLineChars="171"/>
        <w:rPr>
          <w:rFonts w:hint="eastAsia" w:ascii="宋体" w:hAnsi="宋体" w:eastAsia="宋体" w:cs="宋体"/>
          <w:szCs w:val="21"/>
        </w:rPr>
      </w:pPr>
      <w:r>
        <w:rPr>
          <w:rFonts w:hint="eastAsia" w:ascii="宋体" w:hAnsi="宋体" w:eastAsia="宋体" w:cs="宋体"/>
          <w:szCs w:val="21"/>
        </w:rPr>
        <w:t>28.1投标人须在开标当日的开标时间至解密截止时间内进行解密，逾期未解密的作无效处理。解密方法：登录“深圳政府采购智慧平台用户网上办事子系统（</w:t>
      </w:r>
      <w:r>
        <w:rPr>
          <w:rFonts w:hint="eastAsia" w:ascii="宋体" w:hAnsi="宋体" w:eastAsia="宋体" w:cs="宋体"/>
        </w:rPr>
        <w:t>http://zfcg.szggzy.com:8081/TPBidder/memberLogin</w:t>
      </w:r>
      <w:r>
        <w:rPr>
          <w:rFonts w:hint="eastAsia" w:ascii="宋体" w:hAnsi="宋体" w:eastAsia="宋体" w:cs="宋体"/>
          <w:szCs w:val="21"/>
        </w:rPr>
        <w:t>）”，使用本单位制作电子投标文件同一个电子密钥，在“【我的项目】→【项目流程】→【开标及解密】”进行在线解密、查询开标情况。</w:t>
      </w:r>
    </w:p>
    <w:p w14:paraId="257AC2E7">
      <w:pPr>
        <w:ind w:firstLine="360" w:firstLineChars="150"/>
        <w:rPr>
          <w:rFonts w:hint="eastAsia" w:ascii="宋体" w:hAnsi="宋体" w:eastAsia="宋体" w:cs="宋体"/>
          <w:szCs w:val="21"/>
        </w:rPr>
      </w:pPr>
      <w:r>
        <w:rPr>
          <w:rFonts w:hint="eastAsia" w:ascii="宋体" w:hAnsi="宋体" w:eastAsia="宋体" w:cs="宋体"/>
          <w:szCs w:val="21"/>
        </w:rPr>
        <w:t>28.2招标代理机构将在满足开标条件（①解密时间结束，解密后的投标供应商数量满足开标要求或②解密时间结束前所有投标供应商均完成投标文件解密）后，对投标文件进行开标，并在网上公布开标结果。</w:t>
      </w:r>
    </w:p>
    <w:p w14:paraId="7193D0DC">
      <w:pPr>
        <w:ind w:firstLine="360" w:firstLineChars="150"/>
        <w:rPr>
          <w:rFonts w:hint="eastAsia" w:ascii="宋体" w:hAnsi="宋体" w:eastAsia="宋体" w:cs="宋体"/>
          <w:szCs w:val="21"/>
        </w:rPr>
      </w:pPr>
    </w:p>
    <w:p w14:paraId="4EC089EC">
      <w:pPr>
        <w:pStyle w:val="5"/>
        <w:spacing w:before="120" w:beforeLines="50" w:after="120" w:afterLines="50"/>
        <w:ind w:left="562" w:hanging="562"/>
        <w:rPr>
          <w:rFonts w:hint="eastAsia" w:cs="宋体"/>
          <w:szCs w:val="28"/>
        </w:rPr>
      </w:pPr>
      <w:r>
        <w:rPr>
          <w:rFonts w:hint="eastAsia" w:cs="宋体"/>
          <w:szCs w:val="28"/>
        </w:rPr>
        <w:t>第六章评审要求</w:t>
      </w:r>
    </w:p>
    <w:p w14:paraId="4B780244">
      <w:pPr>
        <w:rPr>
          <w:rFonts w:hint="eastAsia" w:ascii="宋体" w:hAnsi="宋体" w:eastAsia="宋体" w:cs="宋体"/>
        </w:rPr>
      </w:pPr>
      <w:r>
        <w:rPr>
          <w:rFonts w:hint="eastAsia" w:ascii="宋体" w:hAnsi="宋体" w:eastAsia="宋体" w:cs="宋体"/>
        </w:rPr>
        <w:t>29．评审委员会组成</w:t>
      </w:r>
    </w:p>
    <w:p w14:paraId="55FBDB3F">
      <w:pPr>
        <w:ind w:firstLine="470" w:firstLineChars="196"/>
        <w:rPr>
          <w:rFonts w:hint="eastAsia" w:ascii="宋体" w:hAnsi="宋体" w:eastAsia="宋体" w:cs="宋体"/>
        </w:rPr>
      </w:pPr>
      <w:r>
        <w:rPr>
          <w:rFonts w:hint="eastAsia" w:ascii="宋体" w:hAnsi="宋体" w:eastAsia="宋体" w:cs="宋体"/>
        </w:rPr>
        <w:t>29.1网上开标结束后召开评审会议，</w:t>
      </w:r>
      <w:r>
        <w:rPr>
          <w:rFonts w:hint="eastAsia" w:ascii="宋体" w:hAnsi="宋体" w:eastAsia="宋体" w:cs="宋体"/>
          <w:szCs w:val="21"/>
        </w:rPr>
        <w:t>评审委员会</w:t>
      </w:r>
      <w:r>
        <w:rPr>
          <w:rFonts w:hint="eastAsia" w:ascii="宋体" w:hAnsi="宋体" w:eastAsia="宋体" w:cs="宋体"/>
        </w:rPr>
        <w:t>由招标代理机构依法组建，负责评审活动。</w:t>
      </w:r>
    </w:p>
    <w:p w14:paraId="3A16D2FC">
      <w:pPr>
        <w:ind w:firstLine="470" w:firstLineChars="196"/>
        <w:rPr>
          <w:rFonts w:hint="eastAsia" w:ascii="宋体" w:hAnsi="宋体" w:eastAsia="宋体" w:cs="宋体"/>
        </w:rPr>
      </w:pPr>
      <w:bookmarkStart w:id="63" w:name="_Hlk72436580"/>
      <w:r>
        <w:rPr>
          <w:rFonts w:hint="eastAsia" w:ascii="宋体" w:hAnsi="宋体" w:eastAsia="宋体" w:cs="宋体"/>
        </w:rPr>
        <w:t>评审委员会由采购人代表和评审专家组成，成员人数应当为5人以上单数（部分条件下为7人以上单数），其中评审专家不得少于成员总数的三分之二。</w:t>
      </w:r>
      <w:bookmarkEnd w:id="63"/>
      <w:r>
        <w:rPr>
          <w:rFonts w:hint="eastAsia" w:ascii="宋体" w:hAnsi="宋体" w:eastAsia="宋体" w:cs="宋体"/>
        </w:rPr>
        <w:t>评定分离项目评审专家均由评审专家组成。</w:t>
      </w:r>
      <w:r>
        <w:rPr>
          <w:rFonts w:hint="eastAsia" w:ascii="宋体" w:hAnsi="宋体" w:eastAsia="宋体" w:cs="宋体"/>
          <w:szCs w:val="21"/>
        </w:rPr>
        <w:t>评审专家一般是</w:t>
      </w:r>
      <w:r>
        <w:rPr>
          <w:rFonts w:hint="eastAsia" w:ascii="宋体" w:hAnsi="宋体" w:eastAsia="宋体" w:cs="宋体"/>
        </w:rPr>
        <w:t>从深圳市政府采购评审专家库中随机抽取。采购人代表须持本单位签发的《评审授权书》参加评审。</w:t>
      </w:r>
    </w:p>
    <w:p w14:paraId="18A8D1E2">
      <w:pPr>
        <w:pStyle w:val="2"/>
        <w:ind w:firstLine="422" w:firstLineChars="200"/>
        <w:rPr>
          <w:rFonts w:hint="eastAsia" w:ascii="宋体" w:hAnsi="宋体" w:eastAsia="宋体" w:cs="宋体"/>
          <w:color w:val="FF0000"/>
          <w:sz w:val="21"/>
        </w:rPr>
      </w:pPr>
      <w:r>
        <w:rPr>
          <w:rFonts w:hint="eastAsia" w:ascii="宋体" w:hAnsi="宋体" w:eastAsia="宋体" w:cs="宋体"/>
          <w:color w:val="FF0000"/>
          <w:sz w:val="21"/>
        </w:rPr>
        <w:t>根据财政部门要求，将食材、物业管理、清扫保洁、保安服务、家具、窗帘、园林绿化、社工服务、“城市管家”九类采购项目作为严管项目，实行“通用品目+专业品目”组合抽取制。严管项目的范围由市财政部门根据监管需要适时调整。上述所称专业品目是指，与项目采购标的相对应的品目，具体由采购人商采购代理机构根据项目需求自主确定。通用品目具体由会计、审计、法律、人力资源管理、资产评估、金融服务品目下的所有专家合并组成。专业品目下产生的专家人数占抽取总人数的比例不得超过50%（含本数），除此之外的专家均从通用品目库中随机抽取。注：论证专家抽取规则无需按此要求执行，具体严管项目的范围由市财政部门根据监管需要适时调整。</w:t>
      </w:r>
    </w:p>
    <w:p w14:paraId="1F8897C1">
      <w:pPr>
        <w:ind w:firstLine="470" w:firstLineChars="196"/>
        <w:rPr>
          <w:rFonts w:hint="eastAsia" w:ascii="宋体" w:hAnsi="宋体" w:eastAsia="宋体" w:cs="宋体"/>
        </w:rPr>
      </w:pPr>
      <w:r>
        <w:rPr>
          <w:rFonts w:hint="eastAsia" w:ascii="宋体" w:hAnsi="宋体" w:eastAsia="宋体" w:cs="宋体"/>
        </w:rPr>
        <w:t>29.2评审定标应当遵循公平、公正、科学、择优的原则。</w:t>
      </w:r>
    </w:p>
    <w:p w14:paraId="563299FC">
      <w:pPr>
        <w:ind w:firstLine="470" w:firstLineChars="196"/>
        <w:rPr>
          <w:rFonts w:hint="eastAsia" w:ascii="宋体" w:hAnsi="宋体" w:eastAsia="宋体" w:cs="宋体"/>
        </w:rPr>
      </w:pPr>
      <w:r>
        <w:rPr>
          <w:rFonts w:hint="eastAsia" w:ascii="宋体" w:hAnsi="宋体" w:eastAsia="宋体" w:cs="宋体"/>
        </w:rPr>
        <w:t>29.3评审活动依法进行，任何单位和个人不得非法干预评标过程和结果。</w:t>
      </w:r>
    </w:p>
    <w:p w14:paraId="6E4A2E56">
      <w:pPr>
        <w:ind w:firstLine="470" w:firstLineChars="196"/>
        <w:rPr>
          <w:rFonts w:hint="eastAsia" w:ascii="宋体" w:hAnsi="宋体" w:eastAsia="宋体" w:cs="宋体"/>
        </w:rPr>
      </w:pPr>
      <w:r>
        <w:rPr>
          <w:rFonts w:hint="eastAsia" w:ascii="宋体" w:hAnsi="宋体" w:eastAsia="宋体" w:cs="宋体"/>
        </w:rPr>
        <w:t>29.4评审过程中不允许违背评标程序或采用招标文件未载明的评标方法或评标因素进行评标。</w:t>
      </w:r>
    </w:p>
    <w:p w14:paraId="2EE0989F">
      <w:pPr>
        <w:ind w:firstLine="470" w:firstLineChars="196"/>
        <w:rPr>
          <w:rFonts w:hint="eastAsia" w:ascii="宋体" w:hAnsi="宋体" w:eastAsia="宋体" w:cs="宋体"/>
          <w:bCs/>
        </w:rPr>
      </w:pPr>
      <w:r>
        <w:rPr>
          <w:rFonts w:hint="eastAsia" w:ascii="宋体" w:hAnsi="宋体" w:eastAsia="宋体" w:cs="宋体"/>
          <w:bCs/>
        </w:rPr>
        <w:t>29.5 开标后，直到签订合同为止，凡属于对投标文件的审查、澄清、评价和比较的有关资料以及中标候选人的推荐情况、与评审有关的其他任何情况均严格保密（</w:t>
      </w:r>
      <w:r>
        <w:rPr>
          <w:rFonts w:hint="eastAsia" w:ascii="宋体" w:hAnsi="宋体" w:eastAsia="宋体" w:cs="宋体"/>
        </w:rPr>
        <w:t>信息公开的内容除外</w:t>
      </w:r>
      <w:r>
        <w:rPr>
          <w:rFonts w:hint="eastAsia" w:ascii="宋体" w:hAnsi="宋体" w:eastAsia="宋体" w:cs="宋体"/>
          <w:bCs/>
        </w:rPr>
        <w:t>）。</w:t>
      </w:r>
    </w:p>
    <w:p w14:paraId="794BDD81">
      <w:pPr>
        <w:rPr>
          <w:rFonts w:hint="eastAsia" w:ascii="宋体" w:hAnsi="宋体" w:eastAsia="宋体" w:cs="宋体"/>
        </w:rPr>
      </w:pPr>
      <w:r>
        <w:rPr>
          <w:rFonts w:hint="eastAsia" w:ascii="宋体" w:hAnsi="宋体" w:eastAsia="宋体" w:cs="宋体"/>
        </w:rPr>
        <w:t>30．向评审委员会提供的资料</w:t>
      </w:r>
    </w:p>
    <w:p w14:paraId="6E7DA495">
      <w:pPr>
        <w:ind w:firstLine="470" w:firstLineChars="196"/>
        <w:rPr>
          <w:rFonts w:hint="eastAsia" w:ascii="宋体" w:hAnsi="宋体" w:eastAsia="宋体" w:cs="宋体"/>
        </w:rPr>
      </w:pPr>
      <w:r>
        <w:rPr>
          <w:rFonts w:hint="eastAsia" w:ascii="宋体" w:hAnsi="宋体" w:eastAsia="宋体" w:cs="宋体"/>
        </w:rPr>
        <w:t>30.1公开发布的招标文件，包括图纸、服务清单、答疑文件等；</w:t>
      </w:r>
    </w:p>
    <w:p w14:paraId="651FD8BF">
      <w:pPr>
        <w:ind w:firstLine="470" w:firstLineChars="196"/>
        <w:rPr>
          <w:rFonts w:hint="eastAsia" w:ascii="宋体" w:hAnsi="宋体" w:eastAsia="宋体" w:cs="宋体"/>
        </w:rPr>
      </w:pPr>
      <w:r>
        <w:rPr>
          <w:rFonts w:hint="eastAsia" w:ascii="宋体" w:hAnsi="宋体" w:eastAsia="宋体" w:cs="宋体"/>
        </w:rPr>
        <w:t>30.2其他评标必须的资料。</w:t>
      </w:r>
    </w:p>
    <w:p w14:paraId="11CAF187">
      <w:pPr>
        <w:ind w:firstLine="470" w:firstLineChars="196"/>
        <w:rPr>
          <w:rFonts w:hint="eastAsia" w:ascii="宋体" w:hAnsi="宋体" w:eastAsia="宋体" w:cs="宋体"/>
        </w:rPr>
      </w:pPr>
      <w:r>
        <w:rPr>
          <w:rFonts w:hint="eastAsia" w:ascii="宋体" w:hAnsi="宋体" w:eastAsia="宋体" w:cs="宋体"/>
        </w:rPr>
        <w:t>30.3</w:t>
      </w:r>
      <w:r>
        <w:rPr>
          <w:rFonts w:hint="eastAsia" w:ascii="宋体" w:hAnsi="宋体" w:eastAsia="宋体" w:cs="宋体"/>
          <w:szCs w:val="21"/>
        </w:rPr>
        <w:t>评审委员会</w:t>
      </w:r>
      <w:r>
        <w:rPr>
          <w:rFonts w:hint="eastAsia" w:ascii="宋体" w:hAnsi="宋体" w:eastAsia="宋体" w:cs="宋体"/>
        </w:rPr>
        <w:t>应当认真研究招标文件，至少应了解熟悉以下内容：</w:t>
      </w:r>
    </w:p>
    <w:p w14:paraId="31A08F3A">
      <w:pPr>
        <w:ind w:firstLine="470" w:firstLineChars="196"/>
        <w:rPr>
          <w:rFonts w:hint="eastAsia" w:ascii="宋体" w:hAnsi="宋体" w:eastAsia="宋体" w:cs="宋体"/>
        </w:rPr>
      </w:pPr>
      <w:r>
        <w:rPr>
          <w:rFonts w:hint="eastAsia" w:ascii="宋体" w:hAnsi="宋体" w:eastAsia="宋体" w:cs="宋体"/>
        </w:rPr>
        <w:t>（1）招标的目的；</w:t>
      </w:r>
    </w:p>
    <w:p w14:paraId="77A36CF9">
      <w:pPr>
        <w:ind w:firstLine="470" w:firstLineChars="196"/>
        <w:rPr>
          <w:rFonts w:hint="eastAsia" w:ascii="宋体" w:hAnsi="宋体" w:eastAsia="宋体" w:cs="宋体"/>
        </w:rPr>
      </w:pPr>
      <w:r>
        <w:rPr>
          <w:rFonts w:hint="eastAsia" w:ascii="宋体" w:hAnsi="宋体" w:eastAsia="宋体" w:cs="宋体"/>
        </w:rPr>
        <w:t>（2）招标项目需求的范围和性质；</w:t>
      </w:r>
    </w:p>
    <w:p w14:paraId="5398828B">
      <w:pPr>
        <w:ind w:firstLine="470" w:firstLineChars="196"/>
        <w:rPr>
          <w:rFonts w:hint="eastAsia" w:ascii="宋体" w:hAnsi="宋体" w:eastAsia="宋体" w:cs="宋体"/>
        </w:rPr>
      </w:pPr>
      <w:r>
        <w:rPr>
          <w:rFonts w:hint="eastAsia" w:ascii="宋体" w:hAnsi="宋体" w:eastAsia="宋体" w:cs="宋体"/>
        </w:rPr>
        <w:t>（3）招标文件规定的投标人的资格、财政预算限额、商务条款；</w:t>
      </w:r>
    </w:p>
    <w:p w14:paraId="1CD4F287">
      <w:pPr>
        <w:ind w:firstLine="470" w:firstLineChars="196"/>
        <w:rPr>
          <w:rFonts w:hint="eastAsia" w:ascii="宋体" w:hAnsi="宋体" w:eastAsia="宋体" w:cs="宋体"/>
        </w:rPr>
      </w:pPr>
      <w:r>
        <w:rPr>
          <w:rFonts w:hint="eastAsia" w:ascii="宋体" w:hAnsi="宋体" w:eastAsia="宋体" w:cs="宋体"/>
        </w:rPr>
        <w:t>（4）招标文件规定的评标程序、评标方法和评标因素；</w:t>
      </w:r>
    </w:p>
    <w:p w14:paraId="3068EB54">
      <w:pPr>
        <w:ind w:firstLine="470" w:firstLineChars="196"/>
        <w:rPr>
          <w:rFonts w:hint="eastAsia" w:ascii="宋体" w:hAnsi="宋体" w:eastAsia="宋体" w:cs="宋体"/>
        </w:rPr>
      </w:pPr>
      <w:r>
        <w:rPr>
          <w:rFonts w:hint="eastAsia" w:ascii="宋体" w:hAnsi="宋体" w:eastAsia="宋体" w:cs="宋体"/>
        </w:rPr>
        <w:t>（5）招标文件所列示的资格性审查表及符合性审查表。</w:t>
      </w:r>
    </w:p>
    <w:p w14:paraId="4418B787">
      <w:pPr>
        <w:rPr>
          <w:rFonts w:hint="eastAsia" w:ascii="宋体" w:hAnsi="宋体" w:eastAsia="宋体" w:cs="宋体"/>
        </w:rPr>
      </w:pPr>
      <w:r>
        <w:rPr>
          <w:rFonts w:hint="eastAsia" w:ascii="宋体" w:hAnsi="宋体" w:eastAsia="宋体" w:cs="宋体"/>
        </w:rPr>
        <w:t>31．独立评审</w:t>
      </w:r>
    </w:p>
    <w:p w14:paraId="034590DC">
      <w:pPr>
        <w:ind w:firstLine="470" w:firstLineChars="196"/>
        <w:rPr>
          <w:rFonts w:hint="eastAsia" w:ascii="宋体" w:hAnsi="宋体" w:eastAsia="宋体" w:cs="宋体"/>
          <w:bCs/>
        </w:rPr>
      </w:pPr>
      <w:r>
        <w:rPr>
          <w:rFonts w:hint="eastAsia" w:ascii="宋体" w:hAnsi="宋体" w:eastAsia="宋体" w:cs="宋体"/>
          <w:bCs/>
        </w:rPr>
        <w:t>31.1</w:t>
      </w:r>
      <w:r>
        <w:rPr>
          <w:rFonts w:hint="eastAsia" w:ascii="宋体" w:hAnsi="宋体" w:eastAsia="宋体" w:cs="宋体"/>
          <w:szCs w:val="21"/>
        </w:rPr>
        <w:t>评审委员会</w:t>
      </w:r>
      <w:r>
        <w:rPr>
          <w:rFonts w:hint="eastAsia" w:ascii="宋体" w:hAnsi="宋体" w:eastAsia="宋体" w:cs="宋体"/>
          <w:bCs/>
        </w:rPr>
        <w:t>成员的评标活动应当独立进行，并应遵循投标文件初审、澄清有关问题、比较与评价、确定中标供应商、编写评审报告的工作程序。</w:t>
      </w:r>
    </w:p>
    <w:p w14:paraId="1ED30118">
      <w:pPr>
        <w:ind w:firstLine="470" w:firstLineChars="196"/>
        <w:rPr>
          <w:rFonts w:hint="eastAsia" w:ascii="宋体" w:hAnsi="宋体" w:eastAsia="宋体" w:cs="宋体"/>
          <w:bCs/>
          <w:szCs w:val="21"/>
        </w:rPr>
      </w:pPr>
    </w:p>
    <w:p w14:paraId="1FDDBFE7">
      <w:pPr>
        <w:pStyle w:val="5"/>
        <w:spacing w:before="120" w:beforeLines="50" w:after="120" w:afterLines="50"/>
        <w:ind w:left="562" w:hanging="562"/>
        <w:rPr>
          <w:rFonts w:hint="eastAsia" w:cs="宋体"/>
          <w:szCs w:val="28"/>
        </w:rPr>
      </w:pPr>
      <w:r>
        <w:rPr>
          <w:rFonts w:hint="eastAsia" w:cs="宋体"/>
          <w:szCs w:val="28"/>
        </w:rPr>
        <w:t>第七章评审程序及评审方法</w:t>
      </w:r>
    </w:p>
    <w:p w14:paraId="1917C4A8">
      <w:pPr>
        <w:rPr>
          <w:rFonts w:hint="eastAsia" w:ascii="宋体" w:hAnsi="宋体" w:eastAsia="宋体" w:cs="宋体"/>
        </w:rPr>
      </w:pPr>
      <w:r>
        <w:rPr>
          <w:rFonts w:hint="eastAsia" w:ascii="宋体" w:hAnsi="宋体" w:eastAsia="宋体" w:cs="宋体"/>
        </w:rPr>
        <w:t>32．投标文件初审</w:t>
      </w:r>
    </w:p>
    <w:p w14:paraId="3FE01C4D">
      <w:pPr>
        <w:ind w:firstLine="470" w:firstLineChars="196"/>
        <w:rPr>
          <w:rFonts w:hint="eastAsia" w:ascii="宋体" w:hAnsi="宋体" w:eastAsia="宋体" w:cs="宋体"/>
        </w:rPr>
      </w:pPr>
      <w:r>
        <w:rPr>
          <w:rFonts w:hint="eastAsia" w:ascii="宋体" w:hAnsi="宋体" w:eastAsia="宋体" w:cs="宋体"/>
        </w:rPr>
        <w:t>32.1投标文件初审包括资格性审查和符合性审查。</w:t>
      </w:r>
    </w:p>
    <w:p w14:paraId="13AA8374">
      <w:pPr>
        <w:ind w:firstLine="470" w:firstLineChars="196"/>
        <w:rPr>
          <w:rFonts w:hint="eastAsia" w:ascii="宋体" w:hAnsi="宋体" w:eastAsia="宋体" w:cs="宋体"/>
        </w:rPr>
      </w:pPr>
      <w:r>
        <w:rPr>
          <w:rFonts w:hint="eastAsia" w:ascii="宋体" w:hAnsi="宋体" w:eastAsia="宋体" w:cs="宋体"/>
        </w:rPr>
        <w:t>资格性审查：依据法律法规和招标文件的规定，对投标文件中的资格证明等进行审查，以确定投标供应商是否具备投标资格。</w:t>
      </w:r>
    </w:p>
    <w:p w14:paraId="0F81A594">
      <w:pPr>
        <w:ind w:firstLine="470" w:firstLineChars="196"/>
        <w:rPr>
          <w:rFonts w:hint="eastAsia" w:ascii="宋体" w:hAnsi="宋体" w:eastAsia="宋体" w:cs="宋体"/>
        </w:rPr>
      </w:pPr>
      <w:r>
        <w:rPr>
          <w:rFonts w:hint="eastAsia" w:ascii="宋体" w:hAnsi="宋体" w:eastAsia="宋体" w:cs="宋体"/>
        </w:rPr>
        <w:t>符合性审查：依据招标文件的规定，对投标文件的有效性、完整性和对招标文件的响应程度进行审查，以确定是否满足符合性审查的要求。</w:t>
      </w:r>
    </w:p>
    <w:p w14:paraId="7BB9C739">
      <w:pPr>
        <w:ind w:firstLine="470" w:firstLineChars="196"/>
        <w:rPr>
          <w:rFonts w:hint="eastAsia" w:ascii="宋体" w:hAnsi="宋体" w:eastAsia="宋体" w:cs="宋体"/>
        </w:rPr>
      </w:pPr>
      <w:r>
        <w:rPr>
          <w:rFonts w:hint="eastAsia" w:ascii="宋体" w:hAnsi="宋体" w:eastAsia="宋体" w:cs="宋体"/>
        </w:rPr>
        <w:t>32.2 投标文件初审内容请详见《资格性审查表》和《符合性审查表》部分。投标人若有一条审查不通过则按投标无效处理。</w:t>
      </w:r>
    </w:p>
    <w:p w14:paraId="211CD935">
      <w:pPr>
        <w:ind w:firstLine="470" w:firstLineChars="196"/>
        <w:rPr>
          <w:rFonts w:hint="eastAsia" w:ascii="宋体" w:hAnsi="宋体" w:eastAsia="宋体" w:cs="宋体"/>
          <w:bCs/>
        </w:rPr>
      </w:pPr>
      <w:r>
        <w:rPr>
          <w:rFonts w:hint="eastAsia" w:ascii="宋体" w:hAnsi="宋体" w:eastAsia="宋体" w:cs="宋体"/>
          <w:bCs/>
        </w:rPr>
        <w:t>32.3 投标文件初审中关于供应商家数的计算:</w:t>
      </w:r>
    </w:p>
    <w:p w14:paraId="6AC597B3">
      <w:pPr>
        <w:ind w:firstLine="470" w:firstLineChars="196"/>
        <w:rPr>
          <w:rFonts w:hint="eastAsia" w:ascii="宋体" w:hAnsi="宋体" w:eastAsia="宋体" w:cs="宋体"/>
          <w:bCs/>
        </w:rPr>
      </w:pPr>
      <w:r>
        <w:rPr>
          <w:rFonts w:hint="eastAsia" w:ascii="宋体" w:hAnsi="宋体" w:eastAsia="宋体" w:cs="宋体"/>
          <w:bCs/>
        </w:rPr>
        <w:t>32.3.1采用最低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审的投标人，招标文件未规定的采取随机抽取方式确定，其他投标无效。</w:t>
      </w:r>
    </w:p>
    <w:p w14:paraId="395998E0">
      <w:pPr>
        <w:ind w:firstLine="470" w:firstLineChars="196"/>
        <w:rPr>
          <w:rFonts w:hint="eastAsia" w:ascii="宋体" w:hAnsi="宋体" w:eastAsia="宋体" w:cs="宋体"/>
          <w:bCs/>
        </w:rPr>
      </w:pPr>
      <w:r>
        <w:rPr>
          <w:rFonts w:hint="eastAsia" w:ascii="宋体" w:hAnsi="宋体" w:eastAsia="宋体" w:cs="宋体"/>
          <w:bCs/>
        </w:rPr>
        <w:t>32.3.2采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w:t>
      </w:r>
      <w:r>
        <w:rPr>
          <w:rFonts w:hint="eastAsia" w:ascii="宋体" w:hAnsi="宋体" w:eastAsia="宋体" w:cs="宋体"/>
          <w:bCs/>
          <w:szCs w:val="21"/>
        </w:rPr>
        <w:t>评审委员会</w:t>
      </w:r>
      <w:r>
        <w:rPr>
          <w:rFonts w:hint="eastAsia" w:ascii="宋体" w:hAnsi="宋体" w:eastAsia="宋体" w:cs="宋体"/>
          <w:bCs/>
        </w:rPr>
        <w:t>按照招标文件规定的方式确定一个投标人获得中标人推荐资格，招标文件未规定的采取随机抽取方式确定，其他同品牌投标人不作为中标候选人。</w:t>
      </w:r>
    </w:p>
    <w:p w14:paraId="3D4AA41D">
      <w:pPr>
        <w:ind w:firstLine="470" w:firstLineChars="196"/>
        <w:rPr>
          <w:rFonts w:hint="eastAsia" w:ascii="宋体" w:hAnsi="宋体" w:eastAsia="宋体" w:cs="宋体"/>
          <w:bCs/>
        </w:rPr>
      </w:pPr>
      <w:r>
        <w:rPr>
          <w:rFonts w:hint="eastAsia" w:ascii="宋体" w:hAnsi="宋体" w:eastAsia="宋体" w:cs="宋体"/>
          <w:bCs/>
        </w:rPr>
        <w:t>32.3.3非单一产品采购项目，采购人应当根据采购项目技术构成、产品价格比重等合理确定核心产品，并在招标文件中载明。多家投标人提供的核心产品品牌相同的，按前两款规定处理。</w:t>
      </w:r>
    </w:p>
    <w:p w14:paraId="7386C519">
      <w:pPr>
        <w:ind w:firstLine="470" w:firstLineChars="196"/>
        <w:rPr>
          <w:rFonts w:hint="eastAsia" w:ascii="宋体" w:hAnsi="宋体" w:eastAsia="宋体" w:cs="宋体"/>
        </w:rPr>
      </w:pPr>
      <w:r>
        <w:rPr>
          <w:rFonts w:hint="eastAsia" w:ascii="宋体" w:hAnsi="宋体" w:eastAsia="宋体" w:cs="宋体"/>
        </w:rPr>
        <w:t>32.4投标人投标文件作无效处理的情形，具体包括但不限于以下：</w:t>
      </w:r>
    </w:p>
    <w:p w14:paraId="144444C0">
      <w:pPr>
        <w:ind w:firstLine="470" w:firstLineChars="196"/>
        <w:rPr>
          <w:rFonts w:hint="eastAsia" w:ascii="宋体" w:hAnsi="宋体" w:eastAsia="宋体" w:cs="宋体"/>
        </w:rPr>
      </w:pPr>
      <w:r>
        <w:rPr>
          <w:rFonts w:hint="eastAsia" w:ascii="宋体" w:hAnsi="宋体" w:eastAsia="宋体" w:cs="宋体"/>
        </w:rPr>
        <w:t>32.4.1不同投标人的投标文件由同一单位或者同一个人编制，或者由同一个人分阶段参与编制；</w:t>
      </w:r>
    </w:p>
    <w:p w14:paraId="1A0E262F">
      <w:pPr>
        <w:ind w:firstLine="470" w:firstLineChars="196"/>
        <w:rPr>
          <w:rFonts w:hint="eastAsia" w:ascii="宋体" w:hAnsi="宋体" w:eastAsia="宋体" w:cs="宋体"/>
        </w:rPr>
      </w:pPr>
      <w:r>
        <w:rPr>
          <w:rFonts w:hint="eastAsia" w:ascii="宋体" w:hAnsi="宋体" w:eastAsia="宋体" w:cs="宋体"/>
        </w:rPr>
        <w:t>32.4.2不同投标人委托同一单位或者个人办理投标事宜；</w:t>
      </w:r>
    </w:p>
    <w:p w14:paraId="2BDBA7E6">
      <w:pPr>
        <w:ind w:firstLine="470" w:firstLineChars="196"/>
        <w:rPr>
          <w:rFonts w:hint="eastAsia" w:ascii="宋体" w:hAnsi="宋体" w:eastAsia="宋体" w:cs="宋体"/>
        </w:rPr>
      </w:pPr>
      <w:r>
        <w:rPr>
          <w:rFonts w:hint="eastAsia" w:ascii="宋体" w:hAnsi="宋体" w:eastAsia="宋体" w:cs="宋体"/>
        </w:rPr>
        <w:t>32.4.3不同投标人的投标文件载明的项目管理成员或者联系人员为同一人；</w:t>
      </w:r>
    </w:p>
    <w:p w14:paraId="24C4FFB1">
      <w:pPr>
        <w:ind w:firstLine="470" w:firstLineChars="196"/>
        <w:rPr>
          <w:rFonts w:hint="eastAsia" w:ascii="宋体" w:hAnsi="宋体" w:eastAsia="宋体" w:cs="宋体"/>
        </w:rPr>
      </w:pPr>
      <w:r>
        <w:rPr>
          <w:rFonts w:hint="eastAsia" w:ascii="宋体" w:hAnsi="宋体" w:eastAsia="宋体" w:cs="宋体"/>
        </w:rPr>
        <w:t>32.4.4不同投标人的投标文件异常一致或者投标报价呈规律性差异；</w:t>
      </w:r>
    </w:p>
    <w:p w14:paraId="3491FAAD">
      <w:pPr>
        <w:ind w:firstLine="470" w:firstLineChars="196"/>
        <w:rPr>
          <w:rFonts w:hint="eastAsia" w:ascii="宋体" w:hAnsi="宋体" w:eastAsia="宋体" w:cs="宋体"/>
        </w:rPr>
      </w:pPr>
      <w:r>
        <w:rPr>
          <w:rFonts w:hint="eastAsia" w:ascii="宋体" w:hAnsi="宋体" w:eastAsia="宋体" w:cs="宋体"/>
        </w:rPr>
        <w:t>32.4.5不同投标供应商的投标文件或部分投标文件相互混装；</w:t>
      </w:r>
    </w:p>
    <w:p w14:paraId="5F4A7C5D">
      <w:pPr>
        <w:ind w:firstLine="470" w:firstLineChars="196"/>
        <w:rPr>
          <w:rFonts w:hint="eastAsia" w:ascii="宋体" w:hAnsi="宋体" w:eastAsia="宋体" w:cs="宋体"/>
        </w:rPr>
      </w:pPr>
      <w:r>
        <w:rPr>
          <w:rFonts w:hint="eastAsia" w:ascii="宋体" w:hAnsi="宋体" w:eastAsia="宋体" w:cs="宋体"/>
        </w:rPr>
        <w:t>32.4.6投标供应商之间相互约定给予未中标的供应商利益补偿；</w:t>
      </w:r>
    </w:p>
    <w:p w14:paraId="4791DA7F">
      <w:pPr>
        <w:ind w:firstLine="470" w:firstLineChars="196"/>
        <w:rPr>
          <w:rFonts w:hint="eastAsia" w:ascii="宋体" w:hAnsi="宋体" w:eastAsia="宋体" w:cs="宋体"/>
        </w:rPr>
      </w:pPr>
      <w:r>
        <w:rPr>
          <w:rFonts w:hint="eastAsia" w:ascii="宋体" w:hAnsi="宋体" w:eastAsia="宋体" w:cs="宋体"/>
        </w:rPr>
        <w:t>32.4.7不同投标供应商的法定代表人、主要经营负责人、项目投标授权代表人、项目负责人、主要技术人员为同一人、属同一单位或者同一单位缴纳社会保险；</w:t>
      </w:r>
    </w:p>
    <w:p w14:paraId="41780464">
      <w:pPr>
        <w:ind w:firstLine="470" w:firstLineChars="196"/>
        <w:rPr>
          <w:rFonts w:hint="eastAsia" w:ascii="宋体" w:hAnsi="宋体" w:eastAsia="宋体" w:cs="宋体"/>
        </w:rPr>
      </w:pPr>
      <w:r>
        <w:rPr>
          <w:rFonts w:hint="eastAsia" w:ascii="宋体" w:hAnsi="宋体" w:eastAsia="宋体" w:cs="宋体"/>
        </w:rPr>
        <w:t>32.4.8不同投标供应商的投标文件内容存在非正常一致；</w:t>
      </w:r>
    </w:p>
    <w:p w14:paraId="344D4A65">
      <w:pPr>
        <w:ind w:firstLine="470" w:firstLineChars="196"/>
        <w:rPr>
          <w:rFonts w:hint="eastAsia" w:ascii="宋体" w:hAnsi="宋体" w:eastAsia="宋体" w:cs="宋体"/>
        </w:rPr>
      </w:pPr>
      <w:r>
        <w:rPr>
          <w:rFonts w:hint="eastAsia" w:ascii="宋体" w:hAnsi="宋体" w:eastAsia="宋体" w:cs="宋体"/>
        </w:rPr>
        <w:t>32.4.9在同一单位工作人员为两家以上（含两家）供应商进行同一项投标活动；</w:t>
      </w:r>
    </w:p>
    <w:p w14:paraId="142BC4E8">
      <w:pPr>
        <w:ind w:firstLine="470" w:firstLineChars="196"/>
        <w:rPr>
          <w:rFonts w:hint="eastAsia" w:ascii="宋体" w:hAnsi="宋体" w:eastAsia="宋体" w:cs="宋体"/>
        </w:rPr>
      </w:pPr>
      <w:r>
        <w:rPr>
          <w:rFonts w:hint="eastAsia" w:ascii="宋体" w:hAnsi="宋体" w:eastAsia="宋体" w:cs="宋体"/>
        </w:rPr>
        <w:t>32.4.10主管部门依照法律、法规认定的其他情形。</w:t>
      </w:r>
    </w:p>
    <w:p w14:paraId="6E2DC54E">
      <w:pPr>
        <w:rPr>
          <w:rFonts w:hint="eastAsia" w:ascii="宋体" w:hAnsi="宋体" w:eastAsia="宋体" w:cs="宋体"/>
        </w:rPr>
      </w:pPr>
      <w:r>
        <w:rPr>
          <w:rFonts w:hint="eastAsia" w:ascii="宋体" w:hAnsi="宋体" w:eastAsia="宋体" w:cs="宋体"/>
        </w:rPr>
        <w:t>32.5对不属于《资格性审查表》和《符合性审查表》所列的其他情形，除专用条款另有规定和32.4条款所列情形外，不得作为投标无效的理由。</w:t>
      </w:r>
    </w:p>
    <w:p w14:paraId="6CF7370C">
      <w:pPr>
        <w:rPr>
          <w:rFonts w:hint="eastAsia" w:ascii="宋体" w:hAnsi="宋体" w:eastAsia="宋体" w:cs="宋体"/>
        </w:rPr>
      </w:pPr>
      <w:r>
        <w:rPr>
          <w:rFonts w:hint="eastAsia" w:ascii="宋体" w:hAnsi="宋体" w:eastAsia="宋体" w:cs="宋体"/>
        </w:rPr>
        <w:t>33．澄清有关问题</w:t>
      </w:r>
    </w:p>
    <w:p w14:paraId="6307AEFC">
      <w:pPr>
        <w:ind w:firstLine="470" w:firstLineChars="196"/>
        <w:rPr>
          <w:rFonts w:hint="eastAsia" w:ascii="宋体" w:hAnsi="宋体" w:eastAsia="宋体" w:cs="宋体"/>
        </w:rPr>
      </w:pPr>
      <w:bookmarkStart w:id="64" w:name="_Hlk71407321"/>
      <w:r>
        <w:rPr>
          <w:rFonts w:hint="eastAsia" w:ascii="宋体" w:hAnsi="宋体" w:eastAsia="宋体" w:cs="宋体"/>
        </w:rPr>
        <w:t>33.1对招标文件中描述有歧义或前后不一致的地方（不含</w:t>
      </w:r>
      <w:r>
        <w:rPr>
          <w:rFonts w:hint="eastAsia" w:ascii="宋体" w:hAnsi="宋体" w:eastAsia="宋体" w:cs="宋体"/>
          <w:szCs w:val="21"/>
        </w:rPr>
        <w:t>招标文件存在歧义、重大缺陷导致评审工作无法进行的情况）</w:t>
      </w:r>
      <w:r>
        <w:rPr>
          <w:rFonts w:hint="eastAsia" w:ascii="宋体" w:hAnsi="宋体" w:eastAsia="宋体" w:cs="宋体"/>
        </w:rPr>
        <w:t>，评审委员会有权进行评判，但对同一条款的评判应适用于每个投标人。</w:t>
      </w:r>
      <w:bookmarkEnd w:id="64"/>
    </w:p>
    <w:p w14:paraId="38D0DB7B">
      <w:pPr>
        <w:ind w:firstLine="470" w:firstLineChars="196"/>
        <w:rPr>
          <w:rFonts w:hint="eastAsia" w:ascii="宋体" w:hAnsi="宋体" w:eastAsia="宋体" w:cs="宋体"/>
        </w:rPr>
      </w:pPr>
      <w:r>
        <w:rPr>
          <w:rFonts w:hint="eastAsia" w:ascii="宋体" w:hAnsi="宋体" w:eastAsia="宋体" w:cs="宋体"/>
        </w:rPr>
        <w:t>33.2</w:t>
      </w:r>
      <w:r>
        <w:rPr>
          <w:rFonts w:hint="eastAsia" w:ascii="宋体" w:hAnsi="宋体" w:eastAsia="宋体" w:cs="宋体"/>
          <w:szCs w:val="21"/>
        </w:rPr>
        <w:t>评审委员会发现招标文件存在歧义、重大缺陷导致评审工作无法进行，或者招标文件内容违反国家有关强制性规定的，应当停止评审工作，与招标代理机构沟通并作书面记录。经确认后，项目应当修改招标文件，重新组织采购活动。</w:t>
      </w:r>
    </w:p>
    <w:p w14:paraId="3F80C0AB">
      <w:pPr>
        <w:ind w:firstLine="470" w:firstLineChars="196"/>
        <w:rPr>
          <w:rFonts w:hint="eastAsia" w:ascii="宋体" w:hAnsi="宋体" w:eastAsia="宋体" w:cs="宋体"/>
        </w:rPr>
      </w:pPr>
      <w:r>
        <w:rPr>
          <w:rFonts w:hint="eastAsia" w:ascii="宋体" w:hAnsi="宋体" w:eastAsia="宋体" w:cs="宋体"/>
        </w:rPr>
        <w:t>33.3对于投标文件中含义不明确、同类问题表述不一致或者有明显文字和计算错误的内容，评审委员会应当以书面形式要求投标人作出必要的澄清、说明或者补正。</w:t>
      </w:r>
    </w:p>
    <w:p w14:paraId="496C48CC">
      <w:pPr>
        <w:ind w:firstLine="470" w:firstLineChars="196"/>
        <w:rPr>
          <w:rFonts w:hint="eastAsia" w:ascii="宋体" w:hAnsi="宋体" w:eastAsia="宋体" w:cs="宋体"/>
        </w:rPr>
      </w:pPr>
      <w:r>
        <w:rPr>
          <w:rFonts w:hint="eastAsia" w:ascii="宋体" w:hAnsi="宋体" w:eastAsia="宋体" w:cs="宋体"/>
        </w:rPr>
        <w:t>投标人的澄清、说明或者补正应当采用书面形式【书面形式是指文书、信件（含电子邮件）、电报、电传、传真等形式】，并加盖公章（或者由法定代表人或其授权的代表签字）。投标人的澄清、说明或者补正不得超出投标文件的范围或者改变投标文件的实质性内容。</w:t>
      </w:r>
    </w:p>
    <w:p w14:paraId="5A318A6E">
      <w:pPr>
        <w:ind w:firstLine="470" w:firstLineChars="196"/>
        <w:rPr>
          <w:rFonts w:hint="eastAsia" w:ascii="宋体" w:hAnsi="宋体" w:eastAsia="宋体" w:cs="宋体"/>
          <w:szCs w:val="21"/>
        </w:rPr>
      </w:pPr>
      <w:r>
        <w:rPr>
          <w:rFonts w:hint="eastAsia" w:ascii="宋体" w:hAnsi="宋体" w:eastAsia="宋体" w:cs="宋体"/>
          <w:szCs w:val="21"/>
        </w:rPr>
        <w:t>根据本通用条款第34条，凡属于评审委员会在评审中发现的算术错误进行核实的修改不在此列。</w:t>
      </w:r>
    </w:p>
    <w:p w14:paraId="39989360">
      <w:pPr>
        <w:rPr>
          <w:rFonts w:hint="eastAsia" w:ascii="宋体" w:hAnsi="宋体" w:eastAsia="宋体" w:cs="宋体"/>
        </w:rPr>
      </w:pPr>
      <w:bookmarkStart w:id="65" w:name="_Toc73518151"/>
      <w:bookmarkStart w:id="66" w:name="_Toc100052400"/>
      <w:bookmarkStart w:id="67" w:name="_Toc73521581"/>
      <w:bookmarkStart w:id="68" w:name="_Toc73521669"/>
      <w:bookmarkStart w:id="69" w:name="_Toc73517673"/>
      <w:r>
        <w:rPr>
          <w:rFonts w:hint="eastAsia" w:ascii="宋体" w:hAnsi="宋体" w:eastAsia="宋体" w:cs="宋体"/>
        </w:rPr>
        <w:t>34．错误的修正</w:t>
      </w:r>
      <w:bookmarkEnd w:id="65"/>
      <w:bookmarkEnd w:id="66"/>
      <w:bookmarkEnd w:id="67"/>
      <w:bookmarkEnd w:id="68"/>
      <w:bookmarkEnd w:id="69"/>
    </w:p>
    <w:p w14:paraId="2D5A958E">
      <w:pPr>
        <w:ind w:firstLine="470" w:firstLineChars="196"/>
        <w:rPr>
          <w:rFonts w:hint="eastAsia" w:ascii="宋体" w:hAnsi="宋体" w:eastAsia="宋体" w:cs="宋体"/>
          <w:szCs w:val="21"/>
        </w:rPr>
      </w:pPr>
      <w:r>
        <w:rPr>
          <w:rFonts w:hint="eastAsia" w:ascii="宋体" w:hAnsi="宋体" w:eastAsia="宋体" w:cs="宋体"/>
          <w:szCs w:val="21"/>
        </w:rPr>
        <w:t>投标文件报价出现前后不一致的，除专用条款另有规定外，按照下列规定修正：</w:t>
      </w:r>
    </w:p>
    <w:p w14:paraId="07282D99">
      <w:pPr>
        <w:ind w:firstLine="470" w:firstLineChars="196"/>
        <w:rPr>
          <w:rFonts w:hint="eastAsia" w:ascii="宋体" w:hAnsi="宋体" w:eastAsia="宋体" w:cs="宋体"/>
          <w:szCs w:val="21"/>
        </w:rPr>
      </w:pPr>
      <w:r>
        <w:rPr>
          <w:rFonts w:hint="eastAsia" w:ascii="宋体" w:hAnsi="宋体" w:eastAsia="宋体" w:cs="宋体"/>
          <w:szCs w:val="21"/>
        </w:rPr>
        <w:t>34.1投标文件中开标一览表投标报价内容与投标文件中投标报价相应内容不一致的，以开标一览表为准；</w:t>
      </w:r>
    </w:p>
    <w:p w14:paraId="2B6A0539">
      <w:pPr>
        <w:ind w:firstLine="470" w:firstLineChars="196"/>
        <w:rPr>
          <w:rFonts w:hint="eastAsia" w:ascii="宋体" w:hAnsi="宋体" w:eastAsia="宋体" w:cs="宋体"/>
          <w:szCs w:val="21"/>
        </w:rPr>
      </w:pPr>
      <w:r>
        <w:rPr>
          <w:rFonts w:hint="eastAsia" w:ascii="宋体" w:hAnsi="宋体" w:eastAsia="宋体" w:cs="宋体"/>
          <w:szCs w:val="21"/>
        </w:rPr>
        <w:t>34.2大写金额和小写金额不一致的，以大写金额为准；</w:t>
      </w:r>
    </w:p>
    <w:p w14:paraId="1D572FDB">
      <w:pPr>
        <w:ind w:firstLine="470" w:firstLineChars="196"/>
        <w:rPr>
          <w:rFonts w:hint="eastAsia" w:ascii="宋体" w:hAnsi="宋体" w:eastAsia="宋体" w:cs="宋体"/>
          <w:szCs w:val="21"/>
        </w:rPr>
      </w:pPr>
      <w:r>
        <w:rPr>
          <w:rFonts w:hint="eastAsia" w:ascii="宋体" w:hAnsi="宋体" w:eastAsia="宋体" w:cs="宋体"/>
          <w:szCs w:val="21"/>
        </w:rPr>
        <w:t>34.3单价金额小数点或者百分比有明显错位，以开标一览表的总价为准，并修改单价；</w:t>
      </w:r>
    </w:p>
    <w:p w14:paraId="34D3975C">
      <w:pPr>
        <w:ind w:firstLine="470" w:firstLineChars="196"/>
        <w:rPr>
          <w:rFonts w:hint="eastAsia" w:ascii="宋体" w:hAnsi="宋体" w:eastAsia="宋体" w:cs="宋体"/>
          <w:szCs w:val="21"/>
        </w:rPr>
      </w:pPr>
      <w:r>
        <w:rPr>
          <w:rFonts w:hint="eastAsia" w:ascii="宋体" w:hAnsi="宋体" w:eastAsia="宋体" w:cs="宋体"/>
          <w:szCs w:val="21"/>
        </w:rPr>
        <w:t>34.4总价金额与按单价汇总金额不一致的，以单价金额计算结果为准。</w:t>
      </w:r>
    </w:p>
    <w:p w14:paraId="3462841B">
      <w:pPr>
        <w:ind w:firstLine="470" w:firstLineChars="196"/>
        <w:rPr>
          <w:rFonts w:hint="eastAsia" w:ascii="宋体" w:hAnsi="宋体" w:eastAsia="宋体" w:cs="宋体"/>
          <w:szCs w:val="21"/>
        </w:rPr>
      </w:pPr>
      <w:r>
        <w:rPr>
          <w:rFonts w:hint="eastAsia" w:ascii="宋体" w:hAnsi="宋体" w:eastAsia="宋体" w:cs="宋体"/>
          <w:szCs w:val="21"/>
        </w:rPr>
        <w:t>34.5同时出现两种以上不一致的，按照前款规定的顺序修正。修正后的报价按照本通用条款33条的规定，经投标人确认后产生约束力，投标人不确认的，其投标无效。</w:t>
      </w:r>
    </w:p>
    <w:p w14:paraId="4272D7ED">
      <w:pPr>
        <w:rPr>
          <w:rFonts w:hint="eastAsia" w:ascii="宋体" w:hAnsi="宋体" w:eastAsia="宋体" w:cs="宋体"/>
        </w:rPr>
      </w:pPr>
      <w:r>
        <w:rPr>
          <w:rFonts w:hint="eastAsia" w:ascii="宋体" w:hAnsi="宋体" w:eastAsia="宋体" w:cs="宋体"/>
        </w:rPr>
        <w:t>35．投标文件的比较与评价</w:t>
      </w:r>
    </w:p>
    <w:p w14:paraId="4AD269F3">
      <w:pPr>
        <w:ind w:firstLine="470" w:firstLineChars="196"/>
        <w:rPr>
          <w:rFonts w:hint="eastAsia" w:ascii="宋体" w:hAnsi="宋体" w:eastAsia="宋体" w:cs="宋体"/>
          <w:szCs w:val="21"/>
        </w:rPr>
      </w:pPr>
      <w:r>
        <w:rPr>
          <w:rFonts w:hint="eastAsia" w:ascii="宋体" w:hAnsi="宋体" w:eastAsia="宋体" w:cs="宋体"/>
          <w:szCs w:val="21"/>
        </w:rPr>
        <w:t>评审委员会将按照《深圳经济特区政府采购条例》、《深圳经济特区政府采购条例实施细则》、《深圳市政府采购评标定标分离管理办法》及政府采购其他法律法规，仅对通过资格性审查和符合性审查的投标文件进行综合比较与评价。</w:t>
      </w:r>
    </w:p>
    <w:p w14:paraId="05377ABA">
      <w:pPr>
        <w:ind w:firstLine="470" w:firstLineChars="196"/>
        <w:rPr>
          <w:rFonts w:hint="eastAsia" w:ascii="宋体" w:hAnsi="宋体" w:eastAsia="宋体" w:cs="宋体"/>
          <w:szCs w:val="21"/>
        </w:rPr>
      </w:pPr>
      <w:r>
        <w:rPr>
          <w:rFonts w:hint="eastAsia" w:ascii="宋体" w:hAnsi="宋体" w:eastAsia="宋体" w:cs="宋体"/>
          <w:szCs w:val="21"/>
        </w:rPr>
        <w:t>评审委员会成员对需要共同认定的事项存在争议的，应当按照少数服从多数的原则作出结论。持不同意见的评审委员会成员应当书面作出说明，否则视为无异议。</w:t>
      </w:r>
    </w:p>
    <w:p w14:paraId="3C6BF72E">
      <w:pPr>
        <w:rPr>
          <w:rFonts w:hint="eastAsia" w:ascii="宋体" w:hAnsi="宋体" w:eastAsia="宋体" w:cs="宋体"/>
        </w:rPr>
      </w:pPr>
      <w:r>
        <w:rPr>
          <w:rFonts w:hint="eastAsia" w:ascii="宋体" w:hAnsi="宋体" w:eastAsia="宋体" w:cs="宋体"/>
        </w:rPr>
        <w:t>36. 实地考察</w:t>
      </w:r>
    </w:p>
    <w:p w14:paraId="14F66FBD">
      <w:pPr>
        <w:ind w:firstLine="470" w:firstLineChars="196"/>
        <w:rPr>
          <w:rFonts w:hint="eastAsia" w:ascii="宋体" w:hAnsi="宋体" w:eastAsia="宋体" w:cs="宋体"/>
          <w:szCs w:val="21"/>
        </w:rPr>
      </w:pPr>
      <w:r>
        <w:rPr>
          <w:rFonts w:hint="eastAsia" w:ascii="宋体" w:hAnsi="宋体" w:eastAsia="宋体" w:cs="宋体"/>
          <w:szCs w:val="21"/>
        </w:rPr>
        <w:t>36.1在评审期间，评审委员会根据招标文件规定（详见“一、对通用条款的补充内容”），有权对本项目的投标人开展实地考察，投标人需时刻做好接收实地考察的准备。</w:t>
      </w:r>
    </w:p>
    <w:p w14:paraId="4D2958D6">
      <w:pPr>
        <w:rPr>
          <w:rFonts w:hint="eastAsia" w:ascii="宋体" w:hAnsi="宋体" w:eastAsia="宋体" w:cs="宋体"/>
        </w:rPr>
      </w:pPr>
      <w:r>
        <w:rPr>
          <w:rFonts w:hint="eastAsia" w:ascii="宋体" w:hAnsi="宋体" w:eastAsia="宋体" w:cs="宋体"/>
        </w:rPr>
        <w:t>37．评审方法</w:t>
      </w:r>
    </w:p>
    <w:p w14:paraId="4641E5E7">
      <w:pPr>
        <w:ind w:firstLine="472" w:firstLineChars="196"/>
        <w:rPr>
          <w:rFonts w:hint="eastAsia" w:ascii="宋体" w:hAnsi="宋体" w:eastAsia="宋体" w:cs="宋体"/>
          <w:b/>
          <w:bCs/>
          <w:szCs w:val="21"/>
        </w:rPr>
      </w:pPr>
      <w:r>
        <w:rPr>
          <w:rFonts w:hint="eastAsia" w:ascii="宋体" w:hAnsi="宋体" w:eastAsia="宋体" w:cs="宋体"/>
          <w:b/>
          <w:bCs/>
          <w:szCs w:val="21"/>
        </w:rPr>
        <w:t>37.1.1最低价法</w:t>
      </w:r>
    </w:p>
    <w:p w14:paraId="691DB8CA">
      <w:pPr>
        <w:ind w:firstLine="470" w:firstLineChars="196"/>
        <w:rPr>
          <w:rFonts w:hint="eastAsia" w:ascii="宋体" w:hAnsi="宋体" w:eastAsia="宋体" w:cs="宋体"/>
        </w:rPr>
      </w:pPr>
      <w:bookmarkStart w:id="70" w:name="_Hlk72438142"/>
      <w:r>
        <w:rPr>
          <w:rFonts w:hint="eastAsia" w:ascii="宋体" w:hAnsi="宋体" w:eastAsia="宋体" w:cs="宋体"/>
        </w:rPr>
        <w:t>最低价法，是指投标文件满足招标文件全部实质性要求，且投标报价最低的投标人为中标候选人的评标方法。</w:t>
      </w:r>
    </w:p>
    <w:p w14:paraId="34471079">
      <w:pPr>
        <w:ind w:firstLine="470" w:firstLineChars="196"/>
        <w:rPr>
          <w:rFonts w:hint="eastAsia" w:ascii="宋体" w:hAnsi="宋体" w:eastAsia="宋体" w:cs="宋体"/>
        </w:rPr>
      </w:pPr>
      <w:r>
        <w:rPr>
          <w:rFonts w:hint="eastAsia" w:ascii="宋体" w:hAnsi="宋体" w:eastAsia="宋体" w:cs="宋体"/>
        </w:rPr>
        <w:t>采用最低价法的，评标结果按投标报价由低到高顺序排列。投标报价相同的并列。投标文件满足招标文件全部实质性要求且投标报价最低的投标人为排名第一的中标候选人。中标候选人并列的，由采购人或者采购人委托评标委员会按照招标文件规定的方式确定中标人；招标文件未规定的，采取随机抽取的方式确定。</w:t>
      </w:r>
    </w:p>
    <w:p w14:paraId="254FCBCC">
      <w:pPr>
        <w:ind w:firstLine="472" w:firstLineChars="196"/>
        <w:rPr>
          <w:rFonts w:hint="eastAsia" w:ascii="宋体" w:hAnsi="宋体" w:eastAsia="宋体" w:cs="宋体"/>
          <w:b/>
          <w:bCs/>
          <w:szCs w:val="21"/>
        </w:rPr>
      </w:pPr>
      <w:r>
        <w:rPr>
          <w:rFonts w:hint="eastAsia" w:ascii="宋体" w:hAnsi="宋体" w:eastAsia="宋体" w:cs="宋体"/>
          <w:b/>
          <w:bCs/>
          <w:szCs w:val="21"/>
        </w:rPr>
        <w:t>37.1.2综合评分法</w:t>
      </w:r>
    </w:p>
    <w:p w14:paraId="014A22C9">
      <w:pPr>
        <w:ind w:firstLine="470" w:firstLineChars="196"/>
        <w:rPr>
          <w:rFonts w:hint="eastAsia" w:ascii="宋体" w:hAnsi="宋体" w:eastAsia="宋体" w:cs="宋体"/>
        </w:rPr>
      </w:pPr>
      <w:r>
        <w:rPr>
          <w:rFonts w:hint="eastAsia" w:ascii="宋体" w:hAnsi="宋体" w:eastAsia="宋体" w:cs="宋体"/>
        </w:rPr>
        <w:t>综合评分法，是指在满足招标文件全部实质性要求的前提下，按照招标文件中规定的各项因素进行综合评审，评审总得分排名前列的投标人，作为推荐的候选中标供应商</w:t>
      </w:r>
      <w:bookmarkEnd w:id="70"/>
      <w:r>
        <w:rPr>
          <w:rFonts w:hint="eastAsia" w:ascii="宋体" w:hAnsi="宋体" w:eastAsia="宋体" w:cs="宋体"/>
        </w:rPr>
        <w:t>。</w:t>
      </w:r>
    </w:p>
    <w:p w14:paraId="14252C0C">
      <w:pPr>
        <w:ind w:firstLine="470" w:firstLineChars="196"/>
        <w:rPr>
          <w:rFonts w:hint="eastAsia" w:ascii="宋体" w:hAnsi="宋体" w:eastAsia="宋体" w:cs="宋体"/>
        </w:rPr>
      </w:pPr>
      <w:r>
        <w:rPr>
          <w:rFonts w:hint="eastAsia" w:ascii="宋体" w:hAnsi="宋体" w:eastAsia="宋体" w:cs="宋体"/>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中标候选人并列的，由采购人或者采购人委托评标委员会按照招标文件规定的方式确定中标人；招标文件未规定的，采取随机抽取的方式确定。</w:t>
      </w:r>
    </w:p>
    <w:p w14:paraId="71179695">
      <w:pPr>
        <w:ind w:firstLine="472" w:firstLineChars="196"/>
        <w:rPr>
          <w:rFonts w:hint="eastAsia" w:ascii="宋体" w:hAnsi="宋体" w:eastAsia="宋体" w:cs="宋体"/>
          <w:b/>
          <w:bCs/>
          <w:szCs w:val="21"/>
        </w:rPr>
      </w:pPr>
      <w:r>
        <w:rPr>
          <w:rFonts w:hint="eastAsia" w:ascii="宋体" w:hAnsi="宋体" w:eastAsia="宋体" w:cs="宋体"/>
          <w:b/>
          <w:bCs/>
          <w:szCs w:val="21"/>
        </w:rPr>
        <w:t>37.2本项目采用的评审方法见本项目招标文件第一册“专用条款”的相关内容。</w:t>
      </w:r>
    </w:p>
    <w:p w14:paraId="30F8CFBF">
      <w:pPr>
        <w:ind w:firstLine="472" w:firstLineChars="196"/>
        <w:rPr>
          <w:rFonts w:hint="eastAsia" w:ascii="宋体" w:hAnsi="宋体" w:eastAsia="宋体" w:cs="宋体"/>
          <w:b/>
          <w:bCs/>
          <w:szCs w:val="21"/>
        </w:rPr>
      </w:pPr>
      <w:r>
        <w:rPr>
          <w:rFonts w:hint="eastAsia" w:ascii="宋体" w:hAnsi="宋体" w:eastAsia="宋体" w:cs="宋体"/>
          <w:b/>
          <w:bCs/>
          <w:szCs w:val="21"/>
        </w:rPr>
        <w:t>37.3重新评审的情形</w:t>
      </w:r>
    </w:p>
    <w:p w14:paraId="5446AD20">
      <w:pPr>
        <w:ind w:firstLine="470" w:firstLineChars="196"/>
        <w:rPr>
          <w:rFonts w:hint="eastAsia" w:ascii="宋体" w:hAnsi="宋体" w:eastAsia="宋体" w:cs="宋体"/>
          <w:b/>
          <w:bCs/>
          <w:szCs w:val="21"/>
        </w:rPr>
      </w:pPr>
      <w:r>
        <w:rPr>
          <w:rFonts w:hint="eastAsia" w:ascii="宋体" w:hAnsi="宋体" w:eastAsia="宋体" w:cs="宋体"/>
          <w:szCs w:val="21"/>
        </w:rPr>
        <w:t>评审结果汇总完成后，除下列情形外，任何人不得修改评审结果：</w:t>
      </w:r>
    </w:p>
    <w:p w14:paraId="366C7D31">
      <w:pPr>
        <w:ind w:firstLine="470" w:firstLineChars="196"/>
        <w:rPr>
          <w:rFonts w:hint="eastAsia" w:ascii="宋体" w:hAnsi="宋体" w:eastAsia="宋体" w:cs="宋体"/>
          <w:szCs w:val="21"/>
        </w:rPr>
      </w:pPr>
      <w:r>
        <w:rPr>
          <w:rFonts w:hint="eastAsia" w:ascii="宋体" w:hAnsi="宋体" w:eastAsia="宋体" w:cs="宋体"/>
          <w:szCs w:val="21"/>
        </w:rPr>
        <w:t>37.3.1分值汇总计算错误的；</w:t>
      </w:r>
    </w:p>
    <w:p w14:paraId="7B0B8F19">
      <w:pPr>
        <w:ind w:firstLine="470" w:firstLineChars="196"/>
        <w:rPr>
          <w:rFonts w:hint="eastAsia" w:ascii="宋体" w:hAnsi="宋体" w:eastAsia="宋体" w:cs="宋体"/>
          <w:szCs w:val="21"/>
        </w:rPr>
      </w:pPr>
      <w:r>
        <w:rPr>
          <w:rFonts w:hint="eastAsia" w:ascii="宋体" w:hAnsi="宋体" w:eastAsia="宋体" w:cs="宋体"/>
          <w:szCs w:val="21"/>
        </w:rPr>
        <w:t>37.3.2分项评分超出评分标准范围的；</w:t>
      </w:r>
    </w:p>
    <w:p w14:paraId="057DAB2C">
      <w:pPr>
        <w:ind w:firstLine="470" w:firstLineChars="196"/>
        <w:rPr>
          <w:rFonts w:hint="eastAsia" w:ascii="宋体" w:hAnsi="宋体" w:eastAsia="宋体" w:cs="宋体"/>
          <w:szCs w:val="21"/>
        </w:rPr>
      </w:pPr>
      <w:r>
        <w:rPr>
          <w:rFonts w:hint="eastAsia" w:ascii="宋体" w:hAnsi="宋体" w:eastAsia="宋体" w:cs="宋体"/>
          <w:szCs w:val="21"/>
        </w:rPr>
        <w:t>37.3.3评审委员会成员对客观评审因素评分不一致的；</w:t>
      </w:r>
    </w:p>
    <w:p w14:paraId="411C587A">
      <w:pPr>
        <w:ind w:firstLine="470" w:firstLineChars="196"/>
        <w:rPr>
          <w:rFonts w:hint="eastAsia" w:ascii="宋体" w:hAnsi="宋体" w:eastAsia="宋体" w:cs="宋体"/>
          <w:szCs w:val="21"/>
        </w:rPr>
      </w:pPr>
      <w:r>
        <w:rPr>
          <w:rFonts w:hint="eastAsia" w:ascii="宋体" w:hAnsi="宋体" w:eastAsia="宋体" w:cs="宋体"/>
          <w:szCs w:val="21"/>
        </w:rPr>
        <w:t>37.3.4经评审委员会认定评分畸高、畸低的。</w:t>
      </w:r>
    </w:p>
    <w:p w14:paraId="777B2193">
      <w:pPr>
        <w:ind w:firstLine="470" w:firstLineChars="196"/>
        <w:rPr>
          <w:rFonts w:hint="eastAsia" w:ascii="宋体" w:hAnsi="宋体" w:eastAsia="宋体" w:cs="宋体"/>
          <w:szCs w:val="21"/>
        </w:rPr>
      </w:pPr>
      <w:r>
        <w:rPr>
          <w:rFonts w:hint="eastAsia" w:ascii="宋体" w:hAnsi="宋体" w:eastAsia="宋体" w:cs="宋体"/>
          <w:szCs w:val="21"/>
        </w:rPr>
        <w:t>评审报告签署前，经复核发现存在以上情形之一的，评审委员会应当当场修改评审结果，并进行书面记载；评审报告签署后，采购人或者采购代理机构发现存在以上情形之一的，应当组织原评审委员会进行重新评审，重新评审改变评审结果的，书面报告本级财政部门。</w:t>
      </w:r>
    </w:p>
    <w:p w14:paraId="49C3FBC3">
      <w:pPr>
        <w:ind w:firstLine="470" w:firstLineChars="196"/>
        <w:rPr>
          <w:rFonts w:hint="eastAsia" w:ascii="宋体" w:hAnsi="宋体" w:eastAsia="宋体" w:cs="宋体"/>
          <w:szCs w:val="21"/>
        </w:rPr>
      </w:pPr>
      <w:r>
        <w:rPr>
          <w:rFonts w:hint="eastAsia" w:ascii="宋体" w:hAnsi="宋体" w:eastAsia="宋体" w:cs="宋体"/>
          <w:szCs w:val="21"/>
        </w:rPr>
        <w:t>投标人对本条第一款情形提出质疑的，采购人或者采购代理机构可以组织原评审委员会进行重新评审，重新评审改变评审结果的，应当书面报告本级财政部门。</w:t>
      </w:r>
    </w:p>
    <w:p w14:paraId="7E9E4F50">
      <w:pPr>
        <w:ind w:firstLine="472" w:firstLineChars="196"/>
        <w:rPr>
          <w:rFonts w:hint="eastAsia" w:ascii="宋体" w:hAnsi="宋体" w:eastAsia="宋体" w:cs="宋体"/>
          <w:b/>
          <w:bCs/>
          <w:szCs w:val="21"/>
        </w:rPr>
      </w:pPr>
      <w:r>
        <w:rPr>
          <w:rFonts w:hint="eastAsia" w:ascii="宋体" w:hAnsi="宋体" w:eastAsia="宋体" w:cs="宋体"/>
          <w:b/>
          <w:bCs/>
          <w:szCs w:val="21"/>
        </w:rPr>
        <w:t>37.4重新组建评审委员会的情形</w:t>
      </w:r>
    </w:p>
    <w:p w14:paraId="1A55AA59">
      <w:pPr>
        <w:ind w:firstLine="470" w:firstLineChars="196"/>
        <w:rPr>
          <w:rFonts w:hint="eastAsia" w:ascii="宋体" w:hAnsi="宋体" w:eastAsia="宋体" w:cs="宋体"/>
          <w:szCs w:val="21"/>
        </w:rPr>
      </w:pPr>
      <w:r>
        <w:rPr>
          <w:rFonts w:hint="eastAsia" w:ascii="宋体" w:hAnsi="宋体" w:eastAsia="宋体" w:cs="宋体"/>
          <w:szCs w:val="21"/>
        </w:rPr>
        <w:t>评审委员会或者其成员存在下列情形导致评审结果无效的，重新组建评审委员会进行评标，并书面报告本级财政部门：</w:t>
      </w:r>
    </w:p>
    <w:p w14:paraId="6374DC97">
      <w:pPr>
        <w:ind w:firstLine="470" w:firstLineChars="196"/>
        <w:rPr>
          <w:rFonts w:hint="eastAsia" w:ascii="宋体" w:hAnsi="宋体" w:eastAsia="宋体" w:cs="宋体"/>
          <w:szCs w:val="21"/>
        </w:rPr>
      </w:pPr>
      <w:r>
        <w:rPr>
          <w:rFonts w:hint="eastAsia" w:ascii="宋体" w:hAnsi="宋体" w:eastAsia="宋体" w:cs="宋体"/>
          <w:szCs w:val="21"/>
        </w:rPr>
        <w:t>37.4.1评审委员会组成不符合《政府采购货物和服务招标投标管理办法》规定的；</w:t>
      </w:r>
    </w:p>
    <w:p w14:paraId="153F78E8">
      <w:pPr>
        <w:ind w:firstLine="470" w:firstLineChars="196"/>
        <w:rPr>
          <w:rFonts w:hint="eastAsia" w:ascii="宋体" w:hAnsi="宋体" w:eastAsia="宋体" w:cs="宋体"/>
          <w:szCs w:val="21"/>
        </w:rPr>
      </w:pPr>
      <w:r>
        <w:rPr>
          <w:rFonts w:hint="eastAsia" w:ascii="宋体" w:hAnsi="宋体" w:eastAsia="宋体" w:cs="宋体"/>
          <w:szCs w:val="21"/>
        </w:rPr>
        <w:t>37.4.2有《政府采购货物和服务招标投标管理办法》第六十二条第一至五项情形的；</w:t>
      </w:r>
    </w:p>
    <w:p w14:paraId="3F0E0CE9">
      <w:pPr>
        <w:ind w:firstLine="470" w:firstLineChars="196"/>
        <w:rPr>
          <w:rFonts w:hint="eastAsia" w:ascii="宋体" w:hAnsi="宋体" w:eastAsia="宋体" w:cs="宋体"/>
          <w:szCs w:val="21"/>
        </w:rPr>
      </w:pPr>
      <w:r>
        <w:rPr>
          <w:rFonts w:hint="eastAsia" w:ascii="宋体" w:hAnsi="宋体" w:eastAsia="宋体" w:cs="宋体"/>
          <w:szCs w:val="21"/>
        </w:rPr>
        <w:t>37.4.3评审委员会及其成员独立评标受到非法干预的；</w:t>
      </w:r>
    </w:p>
    <w:p w14:paraId="19121C11">
      <w:pPr>
        <w:ind w:firstLine="470" w:firstLineChars="196"/>
        <w:rPr>
          <w:rFonts w:hint="eastAsia" w:ascii="宋体" w:hAnsi="宋体" w:eastAsia="宋体" w:cs="宋体"/>
          <w:szCs w:val="21"/>
        </w:rPr>
      </w:pPr>
      <w:r>
        <w:rPr>
          <w:rFonts w:hint="eastAsia" w:ascii="宋体" w:hAnsi="宋体" w:eastAsia="宋体" w:cs="宋体"/>
          <w:szCs w:val="21"/>
        </w:rPr>
        <w:t>37.4.4有政府采购法实施条例第七十五条规定的违法行为的。</w:t>
      </w:r>
    </w:p>
    <w:p w14:paraId="66CB6E59">
      <w:pPr>
        <w:ind w:firstLine="470" w:firstLineChars="196"/>
        <w:rPr>
          <w:rFonts w:hint="eastAsia" w:ascii="宋体" w:hAnsi="宋体" w:eastAsia="宋体" w:cs="宋体"/>
          <w:szCs w:val="21"/>
        </w:rPr>
      </w:pPr>
      <w:r>
        <w:rPr>
          <w:rFonts w:hint="eastAsia" w:ascii="宋体" w:hAnsi="宋体" w:eastAsia="宋体" w:cs="宋体"/>
          <w:szCs w:val="21"/>
        </w:rPr>
        <w:t>有违法违规行为的原评审委员会成员不得参加重新组建的评审委员会。</w:t>
      </w:r>
    </w:p>
    <w:p w14:paraId="255532B0">
      <w:pPr>
        <w:ind w:firstLine="470" w:firstLineChars="196"/>
        <w:rPr>
          <w:rFonts w:hint="eastAsia" w:ascii="宋体" w:hAnsi="宋体" w:eastAsia="宋体" w:cs="宋体"/>
          <w:szCs w:val="21"/>
        </w:rPr>
      </w:pPr>
    </w:p>
    <w:p w14:paraId="5086420F">
      <w:pPr>
        <w:pStyle w:val="5"/>
        <w:spacing w:before="120" w:beforeLines="50" w:after="120" w:afterLines="50"/>
        <w:ind w:left="562" w:hanging="562"/>
        <w:rPr>
          <w:rFonts w:hint="eastAsia" w:cs="宋体"/>
          <w:szCs w:val="28"/>
        </w:rPr>
      </w:pPr>
      <w:r>
        <w:rPr>
          <w:rFonts w:hint="eastAsia" w:cs="宋体"/>
          <w:szCs w:val="28"/>
        </w:rPr>
        <w:t>第八章定标及公示</w:t>
      </w:r>
    </w:p>
    <w:p w14:paraId="49A11529">
      <w:pPr>
        <w:rPr>
          <w:rFonts w:hint="eastAsia" w:ascii="宋体" w:hAnsi="宋体" w:eastAsia="宋体" w:cs="宋体"/>
        </w:rPr>
      </w:pPr>
      <w:r>
        <w:rPr>
          <w:rFonts w:hint="eastAsia" w:ascii="宋体" w:hAnsi="宋体" w:eastAsia="宋体" w:cs="宋体"/>
        </w:rPr>
        <w:t>38．定标方法</w:t>
      </w:r>
    </w:p>
    <w:p w14:paraId="43B5AC52">
      <w:pPr>
        <w:ind w:firstLine="470" w:firstLineChars="196"/>
        <w:rPr>
          <w:rFonts w:hint="eastAsia" w:ascii="宋体" w:hAnsi="宋体" w:eastAsia="宋体" w:cs="宋体"/>
          <w:szCs w:val="21"/>
        </w:rPr>
      </w:pPr>
      <w:r>
        <w:rPr>
          <w:rFonts w:hint="eastAsia" w:ascii="宋体" w:hAnsi="宋体" w:eastAsia="宋体" w:cs="宋体"/>
          <w:szCs w:val="21"/>
        </w:rPr>
        <w:t>38.1非评定分离项目定标方法</w:t>
      </w:r>
    </w:p>
    <w:p w14:paraId="2BA0AB3E">
      <w:pPr>
        <w:ind w:firstLine="470" w:firstLineChars="196"/>
        <w:rPr>
          <w:rFonts w:hint="eastAsia" w:ascii="宋体" w:hAnsi="宋体" w:eastAsia="宋体" w:cs="宋体"/>
          <w:szCs w:val="21"/>
        </w:rPr>
      </w:pPr>
      <w:r>
        <w:rPr>
          <w:rFonts w:hint="eastAsia" w:ascii="宋体" w:hAnsi="宋体" w:eastAsia="宋体" w:cs="宋体"/>
          <w:szCs w:val="21"/>
        </w:rPr>
        <w:t>38.1.1评审委员会依据本项目招标文件所约定的评审方法进行评审和比较，向招标代理机构提交书面评审报告，并根据评审方法比较评价结果从优到劣进行排序，确定候选中标供应商。</w:t>
      </w:r>
    </w:p>
    <w:p w14:paraId="4DD6411D">
      <w:pPr>
        <w:ind w:firstLine="470" w:firstLineChars="196"/>
        <w:rPr>
          <w:rFonts w:hint="eastAsia" w:ascii="宋体" w:hAnsi="宋体" w:eastAsia="宋体" w:cs="宋体"/>
        </w:rPr>
      </w:pPr>
      <w:r>
        <w:rPr>
          <w:rFonts w:hint="eastAsia" w:ascii="宋体" w:hAnsi="宋体" w:eastAsia="宋体" w:cs="宋体"/>
          <w:szCs w:val="21"/>
        </w:rPr>
        <w:t>38.1.2</w:t>
      </w:r>
      <w:r>
        <w:rPr>
          <w:rFonts w:hint="eastAsia" w:ascii="宋体" w:hAnsi="宋体" w:eastAsia="宋体" w:cs="宋体"/>
        </w:rPr>
        <w:t>采用最低价法的，评审结果按投标报价由低到高顺序排列。投标报价相同的并列。投标文件满足招标文件全部实质性要求且投标报价最低的投标人为</w:t>
      </w:r>
      <w:bookmarkStart w:id="71" w:name="_Hlk73821177"/>
      <w:r>
        <w:rPr>
          <w:rFonts w:hint="eastAsia" w:ascii="宋体" w:hAnsi="宋体" w:eastAsia="宋体" w:cs="宋体"/>
        </w:rPr>
        <w:t>中标供应商（排名第二的投标人为第一替补中标候选人、排名第三的投标人为第二替补中标候选人</w:t>
      </w:r>
      <w:bookmarkEnd w:id="71"/>
      <w:r>
        <w:rPr>
          <w:rFonts w:hint="eastAsia" w:ascii="宋体" w:hAnsi="宋体" w:eastAsia="宋体" w:cs="宋体"/>
        </w:rPr>
        <w:t>）。</w:t>
      </w:r>
    </w:p>
    <w:p w14:paraId="2F8CDC57">
      <w:pPr>
        <w:ind w:firstLine="470" w:firstLineChars="196"/>
        <w:rPr>
          <w:rFonts w:hint="eastAsia" w:ascii="宋体" w:hAnsi="宋体" w:eastAsia="宋体" w:cs="宋体"/>
        </w:rPr>
      </w:pPr>
      <w:r>
        <w:rPr>
          <w:rFonts w:hint="eastAsia" w:ascii="宋体" w:hAnsi="宋体" w:eastAsia="宋体" w:cs="宋体"/>
          <w:szCs w:val="21"/>
        </w:rPr>
        <w:t>38.1.3采</w:t>
      </w:r>
      <w:r>
        <w:rPr>
          <w:rFonts w:hint="eastAsia" w:ascii="宋体" w:hAnsi="宋体" w:eastAsia="宋体" w:cs="宋体"/>
        </w:rPr>
        <w:t>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供应商（排名第二的投标人为第一替补中标候选人、排名第三的投标人为第二替补中标候选人）。出现得分且投标报价相同的并列情况时，采取随机抽取的方式确定，具体操作办法及流程由评审委员会确定。</w:t>
      </w:r>
    </w:p>
    <w:p w14:paraId="49EDB12C">
      <w:pPr>
        <w:ind w:firstLine="470" w:firstLineChars="196"/>
        <w:rPr>
          <w:rFonts w:hint="eastAsia" w:ascii="宋体" w:hAnsi="宋体" w:eastAsia="宋体" w:cs="宋体"/>
          <w:szCs w:val="21"/>
        </w:rPr>
      </w:pPr>
      <w:r>
        <w:rPr>
          <w:rFonts w:hint="eastAsia" w:ascii="宋体" w:hAnsi="宋体" w:eastAsia="宋体" w:cs="宋体"/>
          <w:szCs w:val="21"/>
        </w:rPr>
        <w:t>38.2评定分离项目定标方法</w:t>
      </w:r>
    </w:p>
    <w:p w14:paraId="3EB2CE55">
      <w:pPr>
        <w:ind w:firstLine="470" w:firstLineChars="196"/>
        <w:rPr>
          <w:rFonts w:hint="eastAsia" w:ascii="宋体" w:hAnsi="宋体" w:eastAsia="宋体" w:cs="宋体"/>
          <w:szCs w:val="21"/>
        </w:rPr>
      </w:pPr>
      <w:r>
        <w:rPr>
          <w:rFonts w:hint="eastAsia" w:ascii="宋体" w:hAnsi="宋体" w:eastAsia="宋体" w:cs="宋体"/>
          <w:szCs w:val="21"/>
        </w:rPr>
        <w:t>38.2.1评定分离是指在政府集中采购程序中，以公开招标方式执行采购，评审委员会负责对投标文件进行评审、推荐候选中标供应商并出具书面评审报告，由采购人根据评审委员会出具的评审报告从推荐的候选中标供应商中确定中标供应商。单个项目需要确定多家中标供应商的，不适用评定分离。</w:t>
      </w:r>
    </w:p>
    <w:p w14:paraId="6CA27B8D">
      <w:pPr>
        <w:ind w:firstLine="470" w:firstLineChars="196"/>
        <w:rPr>
          <w:rFonts w:hint="eastAsia" w:ascii="宋体" w:hAnsi="宋体" w:eastAsia="宋体" w:cs="宋体"/>
        </w:rPr>
      </w:pPr>
      <w:r>
        <w:rPr>
          <w:rFonts w:hint="eastAsia" w:ascii="宋体" w:hAnsi="宋体" w:eastAsia="宋体" w:cs="宋体"/>
          <w:szCs w:val="21"/>
        </w:rPr>
        <w:t xml:space="preserve">38.2.2 </w:t>
      </w:r>
      <w:r>
        <w:rPr>
          <w:rFonts w:hint="eastAsia" w:ascii="宋体" w:hAnsi="宋体" w:eastAsia="宋体" w:cs="宋体"/>
        </w:rPr>
        <w:t>适用评定分离的政府采购项目，采用综合评分法评审。</w:t>
      </w:r>
      <w:r>
        <w:rPr>
          <w:rFonts w:hint="eastAsia" w:ascii="宋体" w:hAnsi="宋体" w:eastAsia="宋体" w:cs="宋体"/>
          <w:szCs w:val="21"/>
        </w:rPr>
        <w:t>评审委员会按照评审结果，推荐</w:t>
      </w:r>
      <w:r>
        <w:rPr>
          <w:rFonts w:hint="eastAsia" w:ascii="宋体" w:hAnsi="宋体" w:eastAsia="宋体" w:cs="宋体"/>
        </w:rPr>
        <w:t>三个合格的候选中标供应商。</w:t>
      </w:r>
    </w:p>
    <w:p w14:paraId="306AC6E9">
      <w:pPr>
        <w:ind w:firstLine="470" w:firstLineChars="196"/>
        <w:rPr>
          <w:rFonts w:hint="eastAsia" w:ascii="宋体" w:hAnsi="宋体" w:eastAsia="宋体" w:cs="宋体"/>
          <w:szCs w:val="21"/>
        </w:rPr>
      </w:pPr>
      <w:r>
        <w:rPr>
          <w:rFonts w:hint="eastAsia" w:ascii="宋体" w:hAnsi="宋体" w:eastAsia="宋体" w:cs="宋体"/>
          <w:szCs w:val="21"/>
        </w:rPr>
        <w:t>38.2.3</w:t>
      </w:r>
      <w:r>
        <w:rPr>
          <w:rFonts w:hint="eastAsia" w:ascii="宋体" w:hAnsi="宋体" w:eastAsia="宋体" w:cs="宋体"/>
        </w:rPr>
        <w:t>适用评定分离的政府采购项目，</w:t>
      </w:r>
      <w:r>
        <w:rPr>
          <w:rFonts w:hint="eastAsia" w:ascii="宋体" w:hAnsi="宋体" w:eastAsia="宋体" w:cs="宋体"/>
          <w:szCs w:val="21"/>
        </w:rPr>
        <w:t>按照自定法确定中标供应商：自定法是指采购人组织定标委员会，由定标委员会在三家候选中标供应商中确定中标供应商。</w:t>
      </w:r>
    </w:p>
    <w:p w14:paraId="0B5DA7B3">
      <w:pPr>
        <w:ind w:firstLine="470" w:firstLineChars="196"/>
        <w:rPr>
          <w:rFonts w:hint="eastAsia" w:ascii="宋体" w:hAnsi="宋体" w:eastAsia="宋体" w:cs="宋体"/>
          <w:szCs w:val="21"/>
        </w:rPr>
      </w:pPr>
      <w:r>
        <w:rPr>
          <w:rFonts w:hint="eastAsia" w:ascii="宋体" w:hAnsi="宋体" w:eastAsia="宋体" w:cs="宋体"/>
          <w:szCs w:val="21"/>
        </w:rPr>
        <w:t>38.2.4招标代理机构</w:t>
      </w:r>
      <w:r>
        <w:rPr>
          <w:rFonts w:hint="eastAsia" w:ascii="宋体" w:hAnsi="宋体" w:eastAsia="宋体" w:cs="宋体"/>
        </w:rPr>
        <w:t>应当自评审结束之日起两个工作日内将候选中标供应商名单及其投标文件、评审报告送交采购人</w:t>
      </w:r>
      <w:r>
        <w:rPr>
          <w:rFonts w:hint="eastAsia" w:ascii="宋体" w:hAnsi="宋体" w:eastAsia="宋体" w:cs="宋体"/>
          <w:szCs w:val="21"/>
        </w:rPr>
        <w:t>。</w:t>
      </w:r>
      <w:r>
        <w:rPr>
          <w:rFonts w:hint="eastAsia" w:ascii="宋体" w:hAnsi="宋体" w:eastAsia="宋体" w:cs="宋体"/>
        </w:rPr>
        <w:t>采购人应当安排专人对定标过程进行书面记录，形成定标报告，作为采购文件的组成部分存档，并及时将定标结果反馈招标代理机构。具体定标程序及相关要求以按照《深圳市财政局关于&lt;深圳市政府采购评标定标分离管理办法&gt;续期的通知》（深财规〔2023〕1号）执行。</w:t>
      </w:r>
    </w:p>
    <w:p w14:paraId="22F72358">
      <w:pPr>
        <w:ind w:firstLine="470" w:firstLineChars="196"/>
        <w:rPr>
          <w:rFonts w:hint="eastAsia" w:ascii="宋体" w:hAnsi="宋体" w:eastAsia="宋体" w:cs="宋体"/>
          <w:szCs w:val="21"/>
        </w:rPr>
      </w:pPr>
      <w:r>
        <w:rPr>
          <w:rFonts w:hint="eastAsia" w:ascii="宋体" w:hAnsi="宋体" w:eastAsia="宋体" w:cs="宋体"/>
          <w:szCs w:val="21"/>
        </w:rPr>
        <w:t>说明：采购人及投标供应商应按照上述方法提前做好相关准备。</w:t>
      </w:r>
    </w:p>
    <w:p w14:paraId="7E13ABF9">
      <w:pPr>
        <w:ind w:firstLine="470" w:firstLineChars="196"/>
        <w:rPr>
          <w:rFonts w:hint="eastAsia" w:ascii="宋体" w:hAnsi="宋体" w:eastAsia="宋体" w:cs="宋体"/>
          <w:szCs w:val="21"/>
        </w:rPr>
      </w:pPr>
      <w:r>
        <w:rPr>
          <w:rFonts w:hint="eastAsia" w:ascii="宋体" w:hAnsi="宋体" w:eastAsia="宋体" w:cs="宋体"/>
          <w:szCs w:val="21"/>
        </w:rPr>
        <w:t>38.3专用条款另有规定的，按专用条款相关要求定标。</w:t>
      </w:r>
    </w:p>
    <w:p w14:paraId="53B97AD3">
      <w:pPr>
        <w:rPr>
          <w:rFonts w:hint="eastAsia" w:ascii="宋体" w:hAnsi="宋体" w:eastAsia="宋体" w:cs="宋体"/>
        </w:rPr>
      </w:pPr>
      <w:r>
        <w:rPr>
          <w:rFonts w:hint="eastAsia" w:ascii="宋体" w:hAnsi="宋体" w:eastAsia="宋体" w:cs="宋体"/>
        </w:rPr>
        <w:t>39．编写评审报告</w:t>
      </w:r>
    </w:p>
    <w:p w14:paraId="0DA9C4CD">
      <w:pPr>
        <w:ind w:firstLine="470" w:firstLineChars="196"/>
        <w:rPr>
          <w:rFonts w:hint="eastAsia" w:ascii="宋体" w:hAnsi="宋体" w:eastAsia="宋体" w:cs="宋体"/>
          <w:szCs w:val="21"/>
        </w:rPr>
      </w:pPr>
      <w:r>
        <w:rPr>
          <w:rFonts w:hint="eastAsia" w:ascii="宋体" w:hAnsi="宋体" w:eastAsia="宋体" w:cs="宋体"/>
          <w:szCs w:val="21"/>
        </w:rPr>
        <w:t>评审报告是评审委员会根据全体评标成员签字的原始评审记录和评审结果编写的报告，评审报告由评审委员会全体成员签字。对评审结论持有异议的评审委员会成员可以书面方式阐述其不同意见和理由。评审委员会成员拒绝在评审报告上签字且不陈述其不同意见和理由的，视为同意评审结论。评审委员会应当对此作出书面说明并记录存档。</w:t>
      </w:r>
    </w:p>
    <w:p w14:paraId="44EF9F46">
      <w:pPr>
        <w:rPr>
          <w:rFonts w:hint="eastAsia" w:ascii="宋体" w:hAnsi="宋体" w:eastAsia="宋体" w:cs="宋体"/>
        </w:rPr>
      </w:pPr>
      <w:r>
        <w:rPr>
          <w:rFonts w:hint="eastAsia" w:ascii="宋体" w:hAnsi="宋体" w:eastAsia="宋体" w:cs="宋体"/>
        </w:rPr>
        <w:t>40．中标公告</w:t>
      </w:r>
    </w:p>
    <w:p w14:paraId="37BE201D">
      <w:pPr>
        <w:ind w:firstLine="470" w:firstLineChars="196"/>
        <w:rPr>
          <w:rFonts w:hint="eastAsia" w:ascii="宋体" w:hAnsi="宋体" w:eastAsia="宋体" w:cs="宋体"/>
          <w:szCs w:val="21"/>
        </w:rPr>
      </w:pPr>
      <w:r>
        <w:rPr>
          <w:rFonts w:hint="eastAsia" w:ascii="宋体" w:hAnsi="宋体" w:eastAsia="宋体" w:cs="宋体"/>
          <w:szCs w:val="21"/>
        </w:rPr>
        <w:t>40.1</w:t>
      </w:r>
      <w:bookmarkStart w:id="72" w:name="_Hlk72438709"/>
      <w:r>
        <w:rPr>
          <w:rFonts w:hint="eastAsia" w:ascii="宋体" w:hAnsi="宋体" w:eastAsia="宋体" w:cs="宋体"/>
          <w:szCs w:val="21"/>
        </w:rPr>
        <w:t>为体现“公开、公平、公正”的原则，评审结束后经采购人确认（确定）评审结果，招标代理机构将在</w:t>
      </w:r>
      <w:r>
        <w:rPr>
          <w:rFonts w:hint="eastAsia" w:ascii="宋体" w:hAnsi="宋体" w:eastAsia="宋体" w:cs="宋体"/>
          <w:b/>
          <w:bCs/>
          <w:szCs w:val="21"/>
        </w:rPr>
        <w:t>深圳公共资源交易网（https://szggzy.com/）</w:t>
      </w:r>
      <w:r>
        <w:rPr>
          <w:rFonts w:hint="eastAsia" w:ascii="宋体" w:hAnsi="宋体" w:eastAsia="宋体" w:cs="宋体"/>
          <w:szCs w:val="21"/>
        </w:rPr>
        <w:t>上发布中标结果公告。</w:t>
      </w:r>
      <w:bookmarkEnd w:id="72"/>
      <w:bookmarkStart w:id="73" w:name="_Hlk72438751"/>
      <w:r>
        <w:rPr>
          <w:rFonts w:hint="eastAsia" w:ascii="宋体" w:hAnsi="宋体" w:eastAsia="宋体" w:cs="宋体"/>
          <w:szCs w:val="21"/>
        </w:rPr>
        <w:t>供应商如对评审结果有异议，可在发布公示日期起七个工作日内向招标代理机构提出。若在公示期内未提出质疑，则视为认同该评审结果。</w:t>
      </w:r>
    </w:p>
    <w:bookmarkEnd w:id="73"/>
    <w:p w14:paraId="13E2D0A7">
      <w:pPr>
        <w:ind w:firstLine="470" w:firstLineChars="196"/>
        <w:rPr>
          <w:rFonts w:hint="eastAsia" w:ascii="宋体" w:hAnsi="宋体" w:eastAsia="宋体" w:cs="宋体"/>
          <w:szCs w:val="21"/>
        </w:rPr>
      </w:pPr>
      <w:r>
        <w:rPr>
          <w:rFonts w:hint="eastAsia" w:ascii="宋体" w:hAnsi="宋体" w:eastAsia="宋体" w:cs="宋体"/>
          <w:szCs w:val="21"/>
        </w:rPr>
        <w:t>40.2质疑、投诉供应商应保证质疑、投诉内容的真实性和可靠性，并承担相应的法律责任。</w:t>
      </w:r>
    </w:p>
    <w:p w14:paraId="7F6B6185">
      <w:pPr>
        <w:rPr>
          <w:rFonts w:hint="eastAsia" w:ascii="宋体" w:hAnsi="宋体" w:eastAsia="宋体" w:cs="宋体"/>
        </w:rPr>
      </w:pPr>
      <w:r>
        <w:rPr>
          <w:rFonts w:hint="eastAsia" w:ascii="宋体" w:hAnsi="宋体" w:eastAsia="宋体" w:cs="宋体"/>
        </w:rPr>
        <w:t>41．中标通知书</w:t>
      </w:r>
    </w:p>
    <w:p w14:paraId="558916C3">
      <w:pPr>
        <w:ind w:firstLine="470" w:firstLineChars="196"/>
        <w:rPr>
          <w:rFonts w:hint="eastAsia" w:ascii="宋体" w:hAnsi="宋体" w:eastAsia="宋体" w:cs="宋体"/>
          <w:szCs w:val="21"/>
        </w:rPr>
      </w:pPr>
      <w:r>
        <w:rPr>
          <w:rFonts w:hint="eastAsia" w:ascii="宋体" w:hAnsi="宋体" w:eastAsia="宋体" w:cs="宋体"/>
          <w:szCs w:val="21"/>
        </w:rPr>
        <w:t>41.1中标公告公布以后,公示期内无人质疑投诉,中标人凭单位证明和本人身份证到深圳市南科大资产经营管理有限公司领取《中标通知书》。</w:t>
      </w:r>
    </w:p>
    <w:p w14:paraId="073B22F7">
      <w:pPr>
        <w:ind w:firstLine="470" w:firstLineChars="196"/>
        <w:rPr>
          <w:rFonts w:hint="eastAsia" w:ascii="宋体" w:hAnsi="宋体" w:eastAsia="宋体" w:cs="宋体"/>
          <w:szCs w:val="21"/>
        </w:rPr>
      </w:pPr>
      <w:r>
        <w:rPr>
          <w:rFonts w:hint="eastAsia" w:ascii="宋体" w:hAnsi="宋体" w:eastAsia="宋体" w:cs="宋体"/>
          <w:szCs w:val="21"/>
        </w:rPr>
        <w:t>41.2中标通知书是合同的重要组成部分。</w:t>
      </w:r>
    </w:p>
    <w:p w14:paraId="02B91555">
      <w:pPr>
        <w:ind w:firstLine="470" w:firstLineChars="196"/>
        <w:rPr>
          <w:rFonts w:hint="eastAsia" w:ascii="宋体" w:hAnsi="宋体" w:eastAsia="宋体" w:cs="宋体"/>
          <w:szCs w:val="21"/>
        </w:rPr>
      </w:pPr>
      <w:r>
        <w:rPr>
          <w:rFonts w:hint="eastAsia" w:ascii="宋体" w:hAnsi="宋体" w:eastAsia="宋体" w:cs="宋体"/>
          <w:szCs w:val="21"/>
        </w:rPr>
        <w:t>41.3因质疑投诉或其它原因导致项目结果变更或采购终止的，招标机构有权吊销中标通知书。</w:t>
      </w:r>
    </w:p>
    <w:p w14:paraId="117408D1">
      <w:pPr>
        <w:ind w:firstLine="470" w:firstLineChars="196"/>
        <w:rPr>
          <w:rFonts w:hint="eastAsia" w:ascii="宋体" w:hAnsi="宋体" w:eastAsia="宋体" w:cs="宋体"/>
          <w:szCs w:val="21"/>
        </w:rPr>
      </w:pPr>
    </w:p>
    <w:p w14:paraId="2B82F07A">
      <w:pPr>
        <w:pStyle w:val="5"/>
        <w:spacing w:before="120" w:beforeLines="50" w:after="120" w:afterLines="50"/>
        <w:ind w:left="562" w:hanging="562"/>
        <w:rPr>
          <w:rFonts w:hint="eastAsia" w:cs="宋体"/>
          <w:szCs w:val="28"/>
        </w:rPr>
      </w:pPr>
      <w:r>
        <w:rPr>
          <w:rFonts w:hint="eastAsia" w:cs="宋体"/>
          <w:szCs w:val="28"/>
        </w:rPr>
        <w:t>第九章公开招标失败的后续处理</w:t>
      </w:r>
    </w:p>
    <w:p w14:paraId="59504BCA">
      <w:pPr>
        <w:rPr>
          <w:rFonts w:hint="eastAsia" w:ascii="宋体" w:hAnsi="宋体" w:eastAsia="宋体" w:cs="宋体"/>
        </w:rPr>
      </w:pPr>
      <w:r>
        <w:rPr>
          <w:rFonts w:hint="eastAsia" w:ascii="宋体" w:hAnsi="宋体" w:eastAsia="宋体" w:cs="宋体"/>
        </w:rPr>
        <w:t>42．公开招标失败的处理</w:t>
      </w:r>
    </w:p>
    <w:p w14:paraId="78786B8E">
      <w:pPr>
        <w:ind w:firstLine="470" w:firstLineChars="196"/>
        <w:rPr>
          <w:rFonts w:hint="eastAsia" w:ascii="宋体" w:hAnsi="宋体" w:eastAsia="宋体" w:cs="宋体"/>
        </w:rPr>
      </w:pPr>
      <w:r>
        <w:rPr>
          <w:rFonts w:hint="eastAsia" w:ascii="宋体" w:hAnsi="宋体" w:eastAsia="宋体" w:cs="宋体"/>
          <w:szCs w:val="21"/>
        </w:rPr>
        <w:t>42.1本项目公开招标过程中若由于投标截止后</w:t>
      </w:r>
      <w:r>
        <w:rPr>
          <w:rFonts w:hint="eastAsia" w:ascii="宋体" w:hAnsi="宋体" w:eastAsia="宋体" w:cs="宋体"/>
        </w:rPr>
        <w:t>实际递交投标文件的供应商数量不足、经</w:t>
      </w:r>
      <w:r>
        <w:rPr>
          <w:rFonts w:hint="eastAsia" w:ascii="宋体" w:hAnsi="宋体" w:eastAsia="宋体" w:cs="宋体"/>
          <w:szCs w:val="21"/>
        </w:rPr>
        <w:t>评审委员会</w:t>
      </w:r>
      <w:r>
        <w:rPr>
          <w:rFonts w:hint="eastAsia" w:ascii="宋体" w:hAnsi="宋体" w:eastAsia="宋体" w:cs="宋体"/>
        </w:rPr>
        <w:t>评审对招标文件作实质响应的供应商不足等原因造成公开招标失败，可由招标代理机构重新组织采购。</w:t>
      </w:r>
    </w:p>
    <w:p w14:paraId="3EC32B5C">
      <w:pPr>
        <w:ind w:firstLine="470" w:firstLineChars="196"/>
        <w:rPr>
          <w:rFonts w:hint="eastAsia" w:ascii="宋体" w:hAnsi="宋体" w:eastAsia="宋体" w:cs="宋体"/>
          <w:szCs w:val="21"/>
        </w:rPr>
      </w:pPr>
      <w:r>
        <w:rPr>
          <w:rFonts w:hint="eastAsia" w:ascii="宋体" w:hAnsi="宋体" w:eastAsia="宋体" w:cs="宋体"/>
          <w:szCs w:val="21"/>
        </w:rPr>
        <w:t>42.2对公开招标失败的项目，评审委员会在出具该项目招标失败结论的同时，可以提出重新采购组织形式的建议，以及进一步完善招标文件的资格、技术、商务要求的修改建议。</w:t>
      </w:r>
    </w:p>
    <w:p w14:paraId="60633D2A">
      <w:pPr>
        <w:ind w:firstLine="470" w:firstLineChars="196"/>
        <w:rPr>
          <w:rFonts w:hint="eastAsia" w:ascii="宋体" w:hAnsi="宋体" w:eastAsia="宋体" w:cs="宋体"/>
          <w:szCs w:val="21"/>
        </w:rPr>
      </w:pPr>
      <w:r>
        <w:rPr>
          <w:rFonts w:hint="eastAsia" w:ascii="宋体" w:hAnsi="宋体" w:eastAsia="宋体" w:cs="宋体"/>
          <w:szCs w:val="21"/>
        </w:rPr>
        <w:t>42.3重新组织采购有以下两种组织形式：</w:t>
      </w:r>
    </w:p>
    <w:p w14:paraId="5A2E5ECE">
      <w:pPr>
        <w:ind w:firstLine="470" w:firstLineChars="196"/>
        <w:rPr>
          <w:rFonts w:hint="eastAsia" w:ascii="宋体" w:hAnsi="宋体" w:eastAsia="宋体" w:cs="宋体"/>
        </w:rPr>
      </w:pPr>
      <w:r>
        <w:rPr>
          <w:rFonts w:hint="eastAsia" w:ascii="宋体" w:hAnsi="宋体" w:eastAsia="宋体" w:cs="宋体"/>
        </w:rPr>
        <w:t>（1）由招标代理机构重新组织公开招标；</w:t>
      </w:r>
    </w:p>
    <w:p w14:paraId="3FF7E9EA">
      <w:pPr>
        <w:ind w:firstLine="470" w:firstLineChars="196"/>
        <w:rPr>
          <w:rFonts w:hint="eastAsia" w:ascii="宋体" w:hAnsi="宋体" w:eastAsia="宋体" w:cs="宋体"/>
        </w:rPr>
      </w:pPr>
      <w:r>
        <w:rPr>
          <w:rFonts w:hint="eastAsia" w:ascii="宋体" w:hAnsi="宋体" w:eastAsia="宋体" w:cs="宋体"/>
        </w:rPr>
        <w:t>（2）根据实际情况需要向同级财政部门提出非公开招标方式申请，经同级财政部门批准，公开招标失败采购项目可转为竞争性谈判或单一来源谈判方式采购。</w:t>
      </w:r>
    </w:p>
    <w:p w14:paraId="24D5911F">
      <w:pPr>
        <w:ind w:firstLine="470" w:firstLineChars="196"/>
        <w:rPr>
          <w:rFonts w:hint="eastAsia" w:ascii="宋体" w:hAnsi="宋体" w:eastAsia="宋体" w:cs="宋体"/>
        </w:rPr>
      </w:pPr>
      <w:r>
        <w:rPr>
          <w:rFonts w:hint="eastAsia" w:ascii="宋体" w:hAnsi="宋体" w:eastAsia="宋体" w:cs="宋体"/>
        </w:rPr>
        <w:t>42.4公开招标失败的采购项目重新组织公开招标，由招标代理机构重新按公开招标流程组织采购活动。</w:t>
      </w:r>
    </w:p>
    <w:p w14:paraId="302D274E">
      <w:pPr>
        <w:rPr>
          <w:rFonts w:hint="eastAsia" w:ascii="宋体" w:hAnsi="宋体" w:eastAsia="宋体" w:cs="宋体"/>
        </w:rPr>
      </w:pPr>
      <w:r>
        <w:rPr>
          <w:rFonts w:hint="eastAsia" w:ascii="宋体" w:hAnsi="宋体" w:eastAsia="宋体" w:cs="宋体"/>
        </w:rPr>
        <w:t xml:space="preserve">    42.5公开招标失败的采购项目经同级财政部门批准转为竞争性谈判或单一来源谈判方式采购的，按规定要求组织政府采购工作。</w:t>
      </w:r>
    </w:p>
    <w:p w14:paraId="4F49BB65">
      <w:pPr>
        <w:rPr>
          <w:rFonts w:hint="eastAsia" w:ascii="宋体" w:hAnsi="宋体" w:eastAsia="宋体" w:cs="宋体"/>
        </w:rPr>
      </w:pPr>
    </w:p>
    <w:p w14:paraId="5AA6E649">
      <w:pPr>
        <w:pStyle w:val="5"/>
        <w:spacing w:before="120" w:beforeLines="50" w:after="120" w:afterLines="50"/>
        <w:ind w:left="562" w:hanging="562"/>
        <w:rPr>
          <w:rFonts w:hint="eastAsia" w:cs="宋体"/>
          <w:szCs w:val="28"/>
        </w:rPr>
      </w:pPr>
      <w:bookmarkStart w:id="74" w:name="_Hlk72439043"/>
      <w:r>
        <w:rPr>
          <w:rFonts w:hint="eastAsia" w:cs="宋体"/>
          <w:szCs w:val="28"/>
        </w:rPr>
        <w:t>第十章合同的授予与备案</w:t>
      </w:r>
      <w:bookmarkEnd w:id="74"/>
    </w:p>
    <w:p w14:paraId="4FDD5B21">
      <w:pPr>
        <w:rPr>
          <w:rFonts w:hint="eastAsia" w:ascii="宋体" w:hAnsi="宋体" w:eastAsia="宋体" w:cs="宋体"/>
        </w:rPr>
      </w:pPr>
      <w:bookmarkStart w:id="75" w:name="_Toc73518157"/>
      <w:bookmarkStart w:id="76" w:name="_Toc73517679"/>
      <w:bookmarkStart w:id="77" w:name="_Toc100052408"/>
      <w:bookmarkStart w:id="78" w:name="_Toc73521586"/>
      <w:bookmarkStart w:id="79" w:name="_Toc73521674"/>
      <w:bookmarkStart w:id="80" w:name="_Hlk72439088"/>
      <w:r>
        <w:rPr>
          <w:rFonts w:hint="eastAsia" w:ascii="宋体" w:hAnsi="宋体" w:eastAsia="宋体" w:cs="宋体"/>
        </w:rPr>
        <w:t>43．合同授予标准</w:t>
      </w:r>
      <w:bookmarkEnd w:id="75"/>
      <w:bookmarkEnd w:id="76"/>
      <w:bookmarkEnd w:id="77"/>
      <w:bookmarkEnd w:id="78"/>
      <w:bookmarkEnd w:id="79"/>
    </w:p>
    <w:p w14:paraId="79FDEE4E">
      <w:pPr>
        <w:ind w:firstLine="470" w:firstLineChars="196"/>
        <w:rPr>
          <w:rFonts w:hint="eastAsia" w:ascii="宋体" w:hAnsi="宋体" w:eastAsia="宋体" w:cs="宋体"/>
          <w:szCs w:val="21"/>
        </w:rPr>
      </w:pPr>
      <w:r>
        <w:rPr>
          <w:rFonts w:hint="eastAsia" w:ascii="宋体" w:hAnsi="宋体" w:eastAsia="宋体" w:cs="宋体"/>
          <w:szCs w:val="21"/>
        </w:rPr>
        <w:t>本项目的合同将授予经本招标文件规定评审确定的中标供应商。</w:t>
      </w:r>
    </w:p>
    <w:p w14:paraId="1DAC2711">
      <w:pPr>
        <w:rPr>
          <w:rFonts w:hint="eastAsia" w:ascii="宋体" w:hAnsi="宋体" w:eastAsia="宋体" w:cs="宋体"/>
        </w:rPr>
      </w:pPr>
      <w:bookmarkStart w:id="81" w:name="_Toc73517680"/>
      <w:bookmarkStart w:id="82" w:name="_Toc73521675"/>
      <w:bookmarkStart w:id="83" w:name="_Toc73521587"/>
      <w:bookmarkStart w:id="84" w:name="_Toc73518158"/>
      <w:bookmarkStart w:id="85" w:name="_Toc100052409"/>
      <w:r>
        <w:rPr>
          <w:rFonts w:hint="eastAsia" w:ascii="宋体" w:hAnsi="宋体" w:eastAsia="宋体" w:cs="宋体"/>
        </w:rPr>
        <w:t>44．</w:t>
      </w:r>
      <w:bookmarkEnd w:id="81"/>
      <w:bookmarkEnd w:id="82"/>
      <w:bookmarkEnd w:id="83"/>
      <w:bookmarkEnd w:id="84"/>
      <w:bookmarkEnd w:id="85"/>
      <w:r>
        <w:rPr>
          <w:rFonts w:hint="eastAsia" w:ascii="宋体" w:hAnsi="宋体" w:eastAsia="宋体" w:cs="宋体"/>
        </w:rPr>
        <w:t>接受和拒绝任何或所有投标的权力</w:t>
      </w:r>
    </w:p>
    <w:p w14:paraId="70636D0C">
      <w:pPr>
        <w:ind w:firstLine="470" w:firstLineChars="196"/>
        <w:rPr>
          <w:rFonts w:hint="eastAsia" w:ascii="宋体" w:hAnsi="宋体" w:eastAsia="宋体" w:cs="宋体"/>
          <w:szCs w:val="21"/>
        </w:rPr>
      </w:pPr>
      <w:r>
        <w:rPr>
          <w:rFonts w:hint="eastAsia" w:ascii="宋体" w:hAnsi="宋体" w:eastAsia="宋体" w:cs="宋体"/>
        </w:rPr>
        <w:t>招标代理</w:t>
      </w:r>
      <w:r>
        <w:rPr>
          <w:rFonts w:hint="eastAsia" w:ascii="宋体" w:hAnsi="宋体" w:eastAsia="宋体" w:cs="宋体"/>
          <w:szCs w:val="21"/>
        </w:rPr>
        <w:t>机构和采购人保留在投标之前任何时候接受或拒绝任何投标或所有投标，以及宣布招标无效的权力，对受影响的投标人不承担任何责任，也无义务向受影响的投标人解释采取这一行动的理由。</w:t>
      </w:r>
    </w:p>
    <w:p w14:paraId="315B5634">
      <w:pPr>
        <w:rPr>
          <w:rFonts w:hint="eastAsia" w:ascii="宋体" w:hAnsi="宋体" w:eastAsia="宋体" w:cs="宋体"/>
        </w:rPr>
      </w:pPr>
      <w:bookmarkStart w:id="86" w:name="_Toc73521677"/>
      <w:bookmarkStart w:id="87" w:name="_Toc100052410"/>
      <w:bookmarkStart w:id="88" w:name="_Toc73521589"/>
      <w:bookmarkStart w:id="89" w:name="_Toc73518160"/>
      <w:bookmarkStart w:id="90" w:name="_Toc73517682"/>
      <w:r>
        <w:rPr>
          <w:rFonts w:hint="eastAsia" w:ascii="宋体" w:hAnsi="宋体" w:eastAsia="宋体" w:cs="宋体"/>
        </w:rPr>
        <w:t>45．合同的签订</w:t>
      </w:r>
      <w:bookmarkEnd w:id="86"/>
      <w:bookmarkEnd w:id="87"/>
      <w:bookmarkEnd w:id="88"/>
      <w:bookmarkEnd w:id="89"/>
      <w:bookmarkEnd w:id="90"/>
    </w:p>
    <w:p w14:paraId="1806D1A6">
      <w:pPr>
        <w:ind w:firstLine="470" w:firstLineChars="196"/>
        <w:rPr>
          <w:rFonts w:hint="eastAsia" w:ascii="宋体" w:hAnsi="宋体" w:eastAsia="宋体" w:cs="宋体"/>
          <w:szCs w:val="21"/>
        </w:rPr>
      </w:pPr>
      <w:r>
        <w:rPr>
          <w:rFonts w:hint="eastAsia" w:ascii="宋体" w:hAnsi="宋体" w:eastAsia="宋体" w:cs="宋体"/>
          <w:szCs w:val="21"/>
        </w:rPr>
        <w:t>45.1中标人将于中标通知书发出之日起十个工作日内，按照采购文件（招标文件和投标文件等）内容与采购人签订政府采购合同；合同的实质性内容应当符合招标文件的规定；</w:t>
      </w:r>
    </w:p>
    <w:p w14:paraId="58A58F17">
      <w:pPr>
        <w:ind w:firstLine="470" w:firstLineChars="196"/>
        <w:rPr>
          <w:rFonts w:hint="eastAsia" w:ascii="宋体" w:hAnsi="宋体" w:eastAsia="宋体" w:cs="宋体"/>
          <w:szCs w:val="21"/>
        </w:rPr>
      </w:pPr>
      <w:r>
        <w:rPr>
          <w:rFonts w:hint="eastAsia" w:ascii="宋体" w:hAnsi="宋体" w:eastAsia="宋体" w:cs="宋体"/>
          <w:szCs w:val="21"/>
        </w:rPr>
        <w:t>45.2中标人如不按本通用条款第45.1款的规定与采购人签订合同，情节严重的，由同级财政部门记入供应商诚信档案，予以通报；</w:t>
      </w:r>
    </w:p>
    <w:p w14:paraId="626F51A0">
      <w:pPr>
        <w:ind w:firstLine="470" w:firstLineChars="196"/>
        <w:rPr>
          <w:rFonts w:hint="eastAsia" w:ascii="宋体" w:hAnsi="宋体" w:eastAsia="宋体" w:cs="宋体"/>
          <w:szCs w:val="21"/>
        </w:rPr>
      </w:pPr>
      <w:r>
        <w:rPr>
          <w:rFonts w:hint="eastAsia" w:ascii="宋体" w:hAnsi="宋体" w:eastAsia="宋体" w:cs="宋体"/>
          <w:szCs w:val="21"/>
        </w:rPr>
        <w:t>45.3中标人应当按照合同约定履行义务，完成中标项目，不得将中标项目转让（转包）给他人。</w:t>
      </w:r>
    </w:p>
    <w:p w14:paraId="639B5305">
      <w:pPr>
        <w:rPr>
          <w:rFonts w:hint="eastAsia" w:ascii="宋体" w:hAnsi="宋体" w:eastAsia="宋体" w:cs="宋体"/>
        </w:rPr>
      </w:pPr>
      <w:bookmarkStart w:id="91" w:name="_Toc73518161"/>
      <w:bookmarkStart w:id="92" w:name="_Toc73521678"/>
      <w:bookmarkStart w:id="93" w:name="_Toc73521590"/>
      <w:bookmarkStart w:id="94" w:name="_Toc100052411"/>
      <w:bookmarkStart w:id="95" w:name="_Toc73517683"/>
      <w:r>
        <w:rPr>
          <w:rFonts w:hint="eastAsia" w:ascii="宋体" w:hAnsi="宋体" w:eastAsia="宋体" w:cs="宋体"/>
        </w:rPr>
        <w:t>46．履约担保</w:t>
      </w:r>
      <w:bookmarkEnd w:id="91"/>
      <w:bookmarkEnd w:id="92"/>
      <w:bookmarkEnd w:id="93"/>
      <w:bookmarkEnd w:id="94"/>
      <w:bookmarkEnd w:id="95"/>
    </w:p>
    <w:p w14:paraId="58CCD63C">
      <w:pPr>
        <w:ind w:firstLine="470" w:firstLineChars="196"/>
        <w:rPr>
          <w:rFonts w:hint="eastAsia" w:ascii="宋体" w:hAnsi="宋体" w:eastAsia="宋体" w:cs="宋体"/>
          <w:szCs w:val="21"/>
        </w:rPr>
      </w:pPr>
      <w:r>
        <w:rPr>
          <w:rFonts w:hint="eastAsia" w:ascii="宋体" w:hAnsi="宋体" w:eastAsia="宋体" w:cs="宋体"/>
          <w:szCs w:val="21"/>
        </w:rPr>
        <w:t>46.1在签订项目合同的同时，中标人应按“对通用条款的补充内容”中规定的金额向采购人提交履约担保；</w:t>
      </w:r>
    </w:p>
    <w:p w14:paraId="45439975">
      <w:pPr>
        <w:ind w:firstLine="470" w:firstLineChars="196"/>
        <w:rPr>
          <w:rFonts w:hint="eastAsia" w:ascii="宋体" w:hAnsi="宋体" w:eastAsia="宋体" w:cs="宋体"/>
          <w:szCs w:val="21"/>
        </w:rPr>
      </w:pPr>
      <w:r>
        <w:rPr>
          <w:rFonts w:hint="eastAsia" w:ascii="宋体" w:hAnsi="宋体" w:eastAsia="宋体" w:cs="宋体"/>
          <w:szCs w:val="21"/>
        </w:rPr>
        <w:t>46.2，允许供应商自主选择以支票、汇票、本票、保函等非现金方式提交履约担保；</w:t>
      </w:r>
      <w:r>
        <w:rPr>
          <w:rFonts w:hint="eastAsia" w:ascii="宋体" w:hAnsi="宋体" w:eastAsia="宋体" w:cs="宋体"/>
        </w:rPr>
        <w:t>中标人提交履约担保不是合同签订的前提条件，不要求中标人提供除法律、法规明确规定外的其他担保。</w:t>
      </w:r>
    </w:p>
    <w:p w14:paraId="4D62F94A">
      <w:pPr>
        <w:rPr>
          <w:rFonts w:hint="eastAsia" w:ascii="宋体" w:hAnsi="宋体" w:eastAsia="宋体" w:cs="宋体"/>
        </w:rPr>
      </w:pPr>
      <w:r>
        <w:rPr>
          <w:rFonts w:hint="eastAsia" w:ascii="宋体" w:hAnsi="宋体" w:eastAsia="宋体" w:cs="宋体"/>
        </w:rPr>
        <w:t>47. 合同备案</w:t>
      </w:r>
    </w:p>
    <w:p w14:paraId="69027947">
      <w:pPr>
        <w:ind w:firstLine="480" w:firstLineChars="200"/>
        <w:rPr>
          <w:rFonts w:hint="eastAsia" w:ascii="宋体" w:hAnsi="宋体" w:eastAsia="宋体" w:cs="宋体"/>
          <w:szCs w:val="21"/>
        </w:rPr>
      </w:pPr>
      <w:r>
        <w:rPr>
          <w:rFonts w:hint="eastAsia" w:ascii="宋体" w:hAnsi="宋体" w:eastAsia="宋体" w:cs="宋体"/>
          <w:szCs w:val="21"/>
        </w:rPr>
        <w:t>采购人与中标供应商自中标通知书发出之日起10个工作日内签订政府采购合同，并按财政部门规定提交备案。</w:t>
      </w:r>
    </w:p>
    <w:p w14:paraId="1EF37A21">
      <w:pPr>
        <w:rPr>
          <w:rFonts w:hint="eastAsia" w:ascii="宋体" w:hAnsi="宋体" w:eastAsia="宋体" w:cs="宋体"/>
        </w:rPr>
      </w:pPr>
      <w:r>
        <w:rPr>
          <w:rFonts w:hint="eastAsia" w:ascii="宋体" w:hAnsi="宋体" w:eastAsia="宋体" w:cs="宋体"/>
        </w:rPr>
        <w:t>48. 合同变更</w:t>
      </w:r>
    </w:p>
    <w:p w14:paraId="7DA0F596">
      <w:pPr>
        <w:ind w:firstLine="470" w:firstLineChars="196"/>
        <w:rPr>
          <w:rFonts w:hint="eastAsia" w:ascii="宋体" w:hAnsi="宋体" w:eastAsia="宋体" w:cs="宋体"/>
          <w:szCs w:val="21"/>
        </w:rPr>
      </w:pPr>
      <w:r>
        <w:rPr>
          <w:rFonts w:hint="eastAsia" w:ascii="宋体" w:hAnsi="宋体" w:eastAsia="宋体" w:cs="宋体"/>
          <w:szCs w:val="21"/>
        </w:rPr>
        <w:t>合同变更事宜按《深圳市财政局关于优化政府采购合同备案的通知》（深财发保〔2022〕2号）相关规定执行。</w:t>
      </w:r>
    </w:p>
    <w:p w14:paraId="22FA8523">
      <w:pPr>
        <w:rPr>
          <w:rFonts w:hint="eastAsia" w:ascii="宋体" w:hAnsi="宋体" w:eastAsia="宋体" w:cs="宋体"/>
        </w:rPr>
      </w:pPr>
      <w:r>
        <w:rPr>
          <w:rFonts w:hint="eastAsia" w:ascii="宋体" w:hAnsi="宋体" w:eastAsia="宋体" w:cs="宋体"/>
        </w:rPr>
        <w:t>49. 项目验收</w:t>
      </w:r>
    </w:p>
    <w:p w14:paraId="7FD25D1D">
      <w:pPr>
        <w:ind w:right="176" w:firstLine="420"/>
        <w:rPr>
          <w:rFonts w:hint="eastAsia" w:ascii="宋体" w:hAnsi="宋体" w:eastAsia="宋体" w:cs="宋体"/>
        </w:rPr>
      </w:pPr>
      <w:r>
        <w:rPr>
          <w:rFonts w:hint="eastAsia" w:ascii="宋体" w:hAnsi="宋体" w:eastAsia="宋体" w:cs="宋体"/>
        </w:rPr>
        <w:t xml:space="preserve">49.1采购人应当按照招标文件和合同规定的标准和方法，及时组织验收。 </w:t>
      </w:r>
    </w:p>
    <w:p w14:paraId="444B13BA">
      <w:pPr>
        <w:rPr>
          <w:rFonts w:hint="eastAsia" w:ascii="宋体" w:hAnsi="宋体" w:eastAsia="宋体" w:cs="宋体"/>
        </w:rPr>
      </w:pPr>
      <w:r>
        <w:rPr>
          <w:rFonts w:hint="eastAsia" w:ascii="宋体" w:hAnsi="宋体" w:eastAsia="宋体" w:cs="宋体"/>
        </w:rPr>
        <w:t>50. 宣传</w:t>
      </w:r>
    </w:p>
    <w:p w14:paraId="0F409985">
      <w:pPr>
        <w:ind w:left="240" w:leftChars="100" w:firstLine="470" w:firstLineChars="196"/>
        <w:rPr>
          <w:rFonts w:hint="eastAsia" w:ascii="宋体" w:hAnsi="宋体" w:eastAsia="宋体" w:cs="宋体"/>
        </w:rPr>
      </w:pPr>
      <w:r>
        <w:rPr>
          <w:rFonts w:hint="eastAsia" w:ascii="宋体" w:hAnsi="宋体" w:eastAsia="宋体" w:cs="宋体"/>
        </w:rPr>
        <w:t>凡与政府采购活动有关的宣传或广告，若当中提及政府采购，必须事先将具体对外宣传方案报同级财政部门和招标代理机构，并征得其同意。对外市场宣传包括但不限于以下形式：</w:t>
      </w:r>
    </w:p>
    <w:p w14:paraId="3C4E39B7">
      <w:pPr>
        <w:ind w:left="240" w:leftChars="100" w:firstLine="470" w:firstLineChars="196"/>
        <w:rPr>
          <w:rFonts w:hint="eastAsia" w:ascii="宋体" w:hAnsi="宋体" w:eastAsia="宋体" w:cs="宋体"/>
        </w:rPr>
      </w:pPr>
      <w:r>
        <w:rPr>
          <w:rFonts w:hint="eastAsia" w:ascii="宋体" w:hAnsi="宋体" w:eastAsia="宋体" w:cs="宋体"/>
        </w:rPr>
        <w:t>a.名片、宣传册、广告标语等；</w:t>
      </w:r>
    </w:p>
    <w:p w14:paraId="2008F660">
      <w:pPr>
        <w:ind w:left="240" w:leftChars="100" w:firstLine="470" w:firstLineChars="196"/>
        <w:rPr>
          <w:rFonts w:hint="eastAsia" w:ascii="宋体" w:hAnsi="宋体" w:eastAsia="宋体" w:cs="宋体"/>
        </w:rPr>
      </w:pPr>
      <w:r>
        <w:rPr>
          <w:rFonts w:hint="eastAsia" w:ascii="宋体" w:hAnsi="宋体" w:eastAsia="宋体" w:cs="宋体"/>
        </w:rPr>
        <w:t>b.案例介绍、推广等；</w:t>
      </w:r>
    </w:p>
    <w:p w14:paraId="12E09300">
      <w:pPr>
        <w:ind w:left="240" w:leftChars="100" w:firstLine="470" w:firstLineChars="196"/>
        <w:rPr>
          <w:rFonts w:hint="eastAsia" w:ascii="宋体" w:hAnsi="宋体" w:eastAsia="宋体" w:cs="宋体"/>
        </w:rPr>
      </w:pPr>
      <w:r>
        <w:rPr>
          <w:rFonts w:hint="eastAsia" w:ascii="宋体" w:hAnsi="宋体" w:eastAsia="宋体" w:cs="宋体"/>
        </w:rPr>
        <w:t>c.工作人员向其他消费群体宣传。</w:t>
      </w:r>
    </w:p>
    <w:p w14:paraId="4C741D79">
      <w:pPr>
        <w:rPr>
          <w:rFonts w:hint="eastAsia" w:ascii="宋体" w:hAnsi="宋体" w:eastAsia="宋体" w:cs="宋体"/>
        </w:rPr>
      </w:pPr>
      <w:r>
        <w:rPr>
          <w:rFonts w:hint="eastAsia" w:ascii="宋体" w:hAnsi="宋体" w:eastAsia="宋体" w:cs="宋体"/>
        </w:rPr>
        <w:t>51. 供应商违法责任</w:t>
      </w:r>
    </w:p>
    <w:p w14:paraId="1D9B86D2">
      <w:pPr>
        <w:ind w:firstLine="470" w:firstLineChars="196"/>
        <w:rPr>
          <w:rFonts w:hint="eastAsia" w:ascii="宋体" w:hAnsi="宋体" w:eastAsia="宋体" w:cs="宋体"/>
          <w:szCs w:val="21"/>
        </w:rPr>
      </w:pPr>
      <w:r>
        <w:rPr>
          <w:rFonts w:hint="eastAsia" w:ascii="宋体" w:hAnsi="宋体" w:eastAsia="宋体" w:cs="宋体"/>
          <w:szCs w:val="21"/>
        </w:rPr>
        <w:t>51.1《深圳经济特区政府采购条例》第五十七条 供应商在政府采购中，有下列行为之一的，一至三年内禁止其参与本市政府采购，并由主管部门记入供应商诚信档案，处以采购金额千分之十以上千分之二十以下的罚款；情节严重的，取消其参与本市政府采购资格，处以采购金额千分之二十以上千分之三十以下的罚款，并由市场监管部门依法吊销其营业执照；给他人造成损失的，依法承担赔偿责任；构成犯罪的，依法追究刑事责任：</w:t>
      </w:r>
    </w:p>
    <w:p w14:paraId="728FF449">
      <w:pPr>
        <w:ind w:firstLine="470" w:firstLineChars="196"/>
        <w:rPr>
          <w:rFonts w:hint="eastAsia" w:ascii="宋体" w:hAnsi="宋体" w:eastAsia="宋体" w:cs="宋体"/>
          <w:szCs w:val="21"/>
        </w:rPr>
      </w:pPr>
      <w:r>
        <w:rPr>
          <w:rFonts w:hint="eastAsia" w:ascii="宋体" w:hAnsi="宋体" w:eastAsia="宋体" w:cs="宋体"/>
          <w:szCs w:val="21"/>
        </w:rPr>
        <w:t>（1）在采购活动中应当回避而未回避的；</w:t>
      </w:r>
    </w:p>
    <w:p w14:paraId="179B9819">
      <w:pPr>
        <w:ind w:firstLine="470" w:firstLineChars="196"/>
        <w:rPr>
          <w:rFonts w:hint="eastAsia" w:ascii="宋体" w:hAnsi="宋体" w:eastAsia="宋体" w:cs="宋体"/>
          <w:szCs w:val="21"/>
        </w:rPr>
      </w:pPr>
      <w:r>
        <w:rPr>
          <w:rFonts w:hint="eastAsia" w:ascii="宋体" w:hAnsi="宋体" w:eastAsia="宋体" w:cs="宋体"/>
          <w:szCs w:val="21"/>
        </w:rPr>
        <w:t>（2）未按本条例规定签订、履行采购合同，造成严重后果的；</w:t>
      </w:r>
    </w:p>
    <w:p w14:paraId="4726A90F">
      <w:pPr>
        <w:ind w:firstLine="470" w:firstLineChars="196"/>
        <w:rPr>
          <w:rFonts w:hint="eastAsia" w:ascii="宋体" w:hAnsi="宋体" w:eastAsia="宋体" w:cs="宋体"/>
          <w:szCs w:val="21"/>
        </w:rPr>
      </w:pPr>
      <w:r>
        <w:rPr>
          <w:rFonts w:hint="eastAsia" w:ascii="宋体" w:hAnsi="宋体" w:eastAsia="宋体" w:cs="宋体"/>
          <w:szCs w:val="21"/>
        </w:rPr>
        <w:t>（3）隐瞒真实情况，提供虚假资料的；</w:t>
      </w:r>
    </w:p>
    <w:p w14:paraId="31308435">
      <w:pPr>
        <w:ind w:firstLine="470" w:firstLineChars="196"/>
        <w:rPr>
          <w:rFonts w:hint="eastAsia" w:ascii="宋体" w:hAnsi="宋体" w:eastAsia="宋体" w:cs="宋体"/>
          <w:szCs w:val="21"/>
        </w:rPr>
      </w:pPr>
      <w:r>
        <w:rPr>
          <w:rFonts w:hint="eastAsia" w:ascii="宋体" w:hAnsi="宋体" w:eastAsia="宋体" w:cs="宋体"/>
          <w:szCs w:val="21"/>
        </w:rPr>
        <w:t>（4）以非法手段排斥其他供应商参与竞争的；</w:t>
      </w:r>
    </w:p>
    <w:p w14:paraId="2D4CC457">
      <w:pPr>
        <w:ind w:firstLine="470" w:firstLineChars="196"/>
        <w:rPr>
          <w:rFonts w:hint="eastAsia" w:ascii="宋体" w:hAnsi="宋体" w:eastAsia="宋体" w:cs="宋体"/>
          <w:szCs w:val="21"/>
        </w:rPr>
      </w:pPr>
      <w:r>
        <w:rPr>
          <w:rFonts w:hint="eastAsia" w:ascii="宋体" w:hAnsi="宋体" w:eastAsia="宋体" w:cs="宋体"/>
          <w:szCs w:val="21"/>
        </w:rPr>
        <w:t>（5）与其他采购参加人串通投标的；</w:t>
      </w:r>
    </w:p>
    <w:p w14:paraId="75150456">
      <w:pPr>
        <w:ind w:firstLine="470" w:firstLineChars="196"/>
        <w:rPr>
          <w:rFonts w:hint="eastAsia" w:ascii="宋体" w:hAnsi="宋体" w:eastAsia="宋体" w:cs="宋体"/>
          <w:szCs w:val="21"/>
        </w:rPr>
      </w:pPr>
      <w:r>
        <w:rPr>
          <w:rFonts w:hint="eastAsia" w:ascii="宋体" w:hAnsi="宋体" w:eastAsia="宋体" w:cs="宋体"/>
          <w:szCs w:val="21"/>
        </w:rPr>
        <w:t>（6）恶意投诉的；</w:t>
      </w:r>
    </w:p>
    <w:p w14:paraId="42544310">
      <w:pPr>
        <w:ind w:firstLine="470" w:firstLineChars="196"/>
        <w:rPr>
          <w:rFonts w:hint="eastAsia" w:ascii="宋体" w:hAnsi="宋体" w:eastAsia="宋体" w:cs="宋体"/>
          <w:szCs w:val="21"/>
        </w:rPr>
      </w:pPr>
      <w:r>
        <w:rPr>
          <w:rFonts w:hint="eastAsia" w:ascii="宋体" w:hAnsi="宋体" w:eastAsia="宋体" w:cs="宋体"/>
          <w:szCs w:val="21"/>
        </w:rPr>
        <w:t>（7）向采购项目相关人行贿或者提供其他不当利益的；</w:t>
      </w:r>
    </w:p>
    <w:p w14:paraId="359DA557">
      <w:pPr>
        <w:ind w:firstLine="470" w:firstLineChars="196"/>
        <w:rPr>
          <w:rFonts w:hint="eastAsia" w:ascii="宋体" w:hAnsi="宋体" w:eastAsia="宋体" w:cs="宋体"/>
          <w:szCs w:val="21"/>
        </w:rPr>
      </w:pPr>
      <w:r>
        <w:rPr>
          <w:rFonts w:hint="eastAsia" w:ascii="宋体" w:hAnsi="宋体" w:eastAsia="宋体" w:cs="宋体"/>
          <w:szCs w:val="21"/>
        </w:rPr>
        <w:t>（8）阻碍、抗拒主管部门监督检查的；</w:t>
      </w:r>
    </w:p>
    <w:p w14:paraId="7BDCBCFD">
      <w:pPr>
        <w:ind w:firstLine="470" w:firstLineChars="196"/>
        <w:rPr>
          <w:rFonts w:hint="eastAsia" w:ascii="宋体" w:hAnsi="宋体" w:eastAsia="宋体" w:cs="宋体"/>
          <w:szCs w:val="21"/>
        </w:rPr>
      </w:pPr>
      <w:r>
        <w:rPr>
          <w:rFonts w:hint="eastAsia" w:ascii="宋体" w:hAnsi="宋体" w:eastAsia="宋体" w:cs="宋体"/>
          <w:szCs w:val="21"/>
        </w:rPr>
        <w:t>（9）其他违反本条例规定的行为。</w:t>
      </w:r>
    </w:p>
    <w:p w14:paraId="5E4B3390">
      <w:pPr>
        <w:ind w:firstLine="470" w:firstLineChars="196"/>
        <w:rPr>
          <w:rFonts w:hint="eastAsia" w:ascii="宋体" w:hAnsi="宋体" w:eastAsia="宋体" w:cs="宋体"/>
          <w:szCs w:val="21"/>
        </w:rPr>
      </w:pPr>
      <w:r>
        <w:rPr>
          <w:rFonts w:hint="eastAsia" w:ascii="宋体" w:hAnsi="宋体" w:eastAsia="宋体" w:cs="宋体"/>
          <w:szCs w:val="21"/>
        </w:rPr>
        <w:t>51.2 根据《深圳市财政局关于调整政府采购投标（响应）保证金管理政策的通知 》（深财购〔2021〕51 号）的要求，供应商在政府采购活动中出现《深圳经济特区政府采购条例实施细则》第八十条所列情形的，</w:t>
      </w:r>
      <w:bookmarkStart w:id="96" w:name="_Hlk72440769"/>
      <w:r>
        <w:rPr>
          <w:rFonts w:hint="eastAsia" w:ascii="宋体" w:hAnsi="宋体" w:eastAsia="宋体" w:cs="宋体"/>
          <w:szCs w:val="21"/>
        </w:rPr>
        <w:t>招标代理机构或采购人不予退还其交纳的谈判保证金，情节严重的，并由主管部门</w:t>
      </w:r>
      <w:bookmarkEnd w:id="96"/>
      <w:r>
        <w:rPr>
          <w:rFonts w:hint="eastAsia" w:ascii="宋体" w:hAnsi="宋体" w:eastAsia="宋体" w:cs="宋体"/>
          <w:szCs w:val="21"/>
        </w:rPr>
        <w:t>记入供应商诚信档案，予以通报：</w:t>
      </w:r>
    </w:p>
    <w:p w14:paraId="06060CAF">
      <w:pPr>
        <w:ind w:firstLine="470" w:firstLineChars="196"/>
        <w:rPr>
          <w:rFonts w:hint="eastAsia" w:ascii="宋体" w:hAnsi="宋体" w:eastAsia="宋体" w:cs="宋体"/>
          <w:szCs w:val="21"/>
        </w:rPr>
      </w:pPr>
      <w:r>
        <w:rPr>
          <w:rFonts w:hint="eastAsia" w:ascii="宋体" w:hAnsi="宋体" w:eastAsia="宋体" w:cs="宋体"/>
          <w:szCs w:val="21"/>
        </w:rPr>
        <w:t>（1）投标截止后，撤销投标的；</w:t>
      </w:r>
    </w:p>
    <w:p w14:paraId="3121423C">
      <w:pPr>
        <w:ind w:firstLine="470" w:firstLineChars="196"/>
        <w:rPr>
          <w:rFonts w:hint="eastAsia" w:ascii="宋体" w:hAnsi="宋体" w:eastAsia="宋体" w:cs="宋体"/>
          <w:szCs w:val="21"/>
        </w:rPr>
      </w:pPr>
      <w:r>
        <w:rPr>
          <w:rFonts w:hint="eastAsia" w:ascii="宋体" w:hAnsi="宋体" w:eastAsia="宋体" w:cs="宋体"/>
          <w:szCs w:val="21"/>
        </w:rPr>
        <w:t>（2）中标后无正当理由未在规定期限内签订合同的；</w:t>
      </w:r>
    </w:p>
    <w:p w14:paraId="63F6B529">
      <w:pPr>
        <w:ind w:firstLine="470" w:firstLineChars="196"/>
        <w:rPr>
          <w:rFonts w:hint="eastAsia" w:ascii="宋体" w:hAnsi="宋体" w:eastAsia="宋体" w:cs="宋体"/>
          <w:szCs w:val="21"/>
        </w:rPr>
      </w:pPr>
      <w:r>
        <w:rPr>
          <w:rFonts w:hint="eastAsia" w:ascii="宋体" w:hAnsi="宋体" w:eastAsia="宋体" w:cs="宋体"/>
          <w:szCs w:val="21"/>
        </w:rPr>
        <w:t>（3）将中标项目转让给他人、或者在投标文件中未说明且未经采购人、采购招标机构同意，将中标项目分包给他人的；</w:t>
      </w:r>
    </w:p>
    <w:p w14:paraId="0A90DD09">
      <w:pPr>
        <w:ind w:firstLine="470" w:firstLineChars="196"/>
        <w:rPr>
          <w:rFonts w:hint="eastAsia" w:ascii="宋体" w:hAnsi="宋体" w:eastAsia="宋体" w:cs="宋体"/>
          <w:szCs w:val="21"/>
        </w:rPr>
      </w:pPr>
      <w:r>
        <w:rPr>
          <w:rFonts w:hint="eastAsia" w:ascii="宋体" w:hAnsi="宋体" w:eastAsia="宋体" w:cs="宋体"/>
          <w:szCs w:val="21"/>
        </w:rPr>
        <w:t>（4）拒绝履行合同义务的。</w:t>
      </w:r>
    </w:p>
    <w:bookmarkEnd w:id="80"/>
    <w:p w14:paraId="727C4E66">
      <w:pPr>
        <w:pStyle w:val="5"/>
        <w:spacing w:before="120" w:beforeLines="50" w:after="120" w:afterLines="50"/>
        <w:ind w:left="562" w:hanging="562"/>
        <w:rPr>
          <w:rFonts w:hint="eastAsia" w:cs="宋体"/>
          <w:szCs w:val="28"/>
        </w:rPr>
      </w:pPr>
      <w:r>
        <w:rPr>
          <w:rFonts w:hint="eastAsia" w:cs="宋体"/>
          <w:szCs w:val="28"/>
        </w:rPr>
        <w:t>第十一章质疑处理</w:t>
      </w:r>
    </w:p>
    <w:p w14:paraId="25D89EBC">
      <w:pPr>
        <w:rPr>
          <w:rFonts w:hint="eastAsia" w:ascii="宋体" w:hAnsi="宋体" w:eastAsia="宋体" w:cs="宋体"/>
        </w:rPr>
      </w:pPr>
      <w:bookmarkStart w:id="97" w:name="_Hlk72439706"/>
      <w:r>
        <w:rPr>
          <w:rFonts w:hint="eastAsia" w:ascii="宋体" w:hAnsi="宋体" w:eastAsia="宋体" w:cs="宋体"/>
        </w:rPr>
        <w:t>52.质疑提出与答复</w:t>
      </w:r>
    </w:p>
    <w:p w14:paraId="024E598F">
      <w:pPr>
        <w:rPr>
          <w:rFonts w:hint="eastAsia" w:ascii="宋体" w:hAnsi="宋体" w:eastAsia="宋体" w:cs="宋体"/>
          <w:szCs w:val="21"/>
        </w:rPr>
      </w:pPr>
      <w:r>
        <w:rPr>
          <w:rFonts w:hint="eastAsia" w:ascii="宋体" w:hAnsi="宋体" w:eastAsia="宋体" w:cs="宋体"/>
          <w:szCs w:val="21"/>
        </w:rPr>
        <w:t xml:space="preserve">    52.1提出质疑</w:t>
      </w:r>
    </w:p>
    <w:p w14:paraId="12CE6C76">
      <w:pPr>
        <w:rPr>
          <w:rFonts w:hint="eastAsia" w:ascii="宋体" w:hAnsi="宋体" w:eastAsia="宋体" w:cs="宋体"/>
          <w:szCs w:val="21"/>
        </w:rPr>
      </w:pPr>
      <w:r>
        <w:rPr>
          <w:rFonts w:hint="eastAsia" w:ascii="宋体" w:hAnsi="宋体" w:eastAsia="宋体" w:cs="宋体"/>
          <w:szCs w:val="21"/>
        </w:rPr>
        <w:t xml:space="preserve">    参与政府采购活动的供应商认为自己的权益在采购活动中受到损害的，应当自知道或者应当知道其权益受到损害之日起七个工作日内向采购人、招标代理机构以书面形式提出质疑。</w:t>
      </w:r>
    </w:p>
    <w:p w14:paraId="1423B67A">
      <w:pPr>
        <w:rPr>
          <w:rFonts w:hint="eastAsia" w:ascii="宋体" w:hAnsi="宋体" w:eastAsia="宋体" w:cs="宋体"/>
          <w:szCs w:val="21"/>
        </w:rPr>
      </w:pPr>
      <w:r>
        <w:rPr>
          <w:rFonts w:hint="eastAsia" w:ascii="宋体" w:hAnsi="宋体" w:eastAsia="宋体" w:cs="宋体"/>
          <w:szCs w:val="21"/>
        </w:rPr>
        <w:t xml:space="preserve">    52.2法律依据</w:t>
      </w:r>
    </w:p>
    <w:p w14:paraId="391C1500">
      <w:pPr>
        <w:rPr>
          <w:rFonts w:hint="eastAsia" w:ascii="宋体" w:hAnsi="宋体" w:eastAsia="宋体" w:cs="宋体"/>
          <w:szCs w:val="21"/>
        </w:rPr>
      </w:pPr>
      <w:r>
        <w:rPr>
          <w:rFonts w:hint="eastAsia" w:ascii="宋体" w:hAnsi="宋体" w:eastAsia="宋体" w:cs="宋体"/>
          <w:szCs w:val="21"/>
        </w:rPr>
        <w:t xml:space="preserve">    《中华人民共和国政府采购法》、《中华人民共和国政府采购法实施条例》、《深圳经济特区政府采购条例》、《深圳经济特区政府采购条例实施细则》、《政府采购质疑和投诉办法》（财政部令第94号）和其他有关法律法规规定。</w:t>
      </w:r>
    </w:p>
    <w:p w14:paraId="055E8110">
      <w:pPr>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color w:val="FF0000"/>
          <w:szCs w:val="21"/>
        </w:rPr>
        <w:t xml:space="preserve">  </w:t>
      </w:r>
      <w:r>
        <w:rPr>
          <w:rFonts w:hint="eastAsia" w:ascii="宋体" w:hAnsi="宋体" w:eastAsia="宋体" w:cs="宋体"/>
          <w:szCs w:val="21"/>
        </w:rPr>
        <w:t>52.3质疑条件</w:t>
      </w:r>
    </w:p>
    <w:p w14:paraId="1589F10C">
      <w:pPr>
        <w:rPr>
          <w:rFonts w:hint="eastAsia" w:ascii="宋体" w:hAnsi="宋体" w:eastAsia="宋体" w:cs="宋体"/>
          <w:szCs w:val="21"/>
        </w:rPr>
      </w:pPr>
      <w:r>
        <w:rPr>
          <w:rFonts w:hint="eastAsia" w:ascii="宋体" w:hAnsi="宋体" w:eastAsia="宋体" w:cs="宋体"/>
          <w:szCs w:val="21"/>
        </w:rPr>
        <w:t xml:space="preserve">    52.3.1提出质疑的供应商应当是参与所质疑项目采购活动的供应商；</w:t>
      </w:r>
      <w:bookmarkStart w:id="98" w:name="_Hlk75374941"/>
      <w:r>
        <w:rPr>
          <w:rFonts w:hint="eastAsia" w:ascii="宋体" w:hAnsi="宋体" w:eastAsia="宋体" w:cs="宋体"/>
          <w:szCs w:val="21"/>
        </w:rPr>
        <w:t>以联合体形式参与的，质疑应当由组成联合体的所有成员共同提出</w:t>
      </w:r>
      <w:bookmarkEnd w:id="98"/>
      <w:r>
        <w:rPr>
          <w:rFonts w:hint="eastAsia" w:ascii="宋体" w:hAnsi="宋体" w:eastAsia="宋体" w:cs="宋体"/>
          <w:szCs w:val="21"/>
        </w:rPr>
        <w:t>；</w:t>
      </w:r>
    </w:p>
    <w:p w14:paraId="67F10F9B">
      <w:pPr>
        <w:rPr>
          <w:rFonts w:hint="eastAsia" w:ascii="宋体" w:hAnsi="宋体" w:eastAsia="宋体" w:cs="宋体"/>
          <w:szCs w:val="21"/>
        </w:rPr>
      </w:pPr>
      <w:r>
        <w:rPr>
          <w:rFonts w:hint="eastAsia" w:ascii="宋体" w:hAnsi="宋体" w:eastAsia="宋体" w:cs="宋体"/>
          <w:szCs w:val="21"/>
        </w:rPr>
        <w:t xml:space="preserve">    52.3.2应当在法定质疑期内一次性提出针对同一采购程序环节的质疑，法定质疑期为自知道或应当知道权益受到损害之日起7个工作日内。应当知道其权益受到损害之日是指：对采购文件的质疑，为采购文件公布之日；对采购过程的质疑，为各采购程序环节结束之日；对中标（成交）结果以及评审委员会组成人员的质疑，为中标（成交）结果公示之日；</w:t>
      </w:r>
    </w:p>
    <w:p w14:paraId="25F09AA2">
      <w:pPr>
        <w:ind w:firstLine="420"/>
        <w:rPr>
          <w:rFonts w:hint="eastAsia" w:ascii="宋体" w:hAnsi="宋体" w:eastAsia="宋体" w:cs="宋体"/>
          <w:szCs w:val="21"/>
        </w:rPr>
      </w:pPr>
      <w:r>
        <w:rPr>
          <w:rFonts w:hint="eastAsia" w:ascii="宋体" w:hAnsi="宋体" w:eastAsia="宋体" w:cs="宋体"/>
          <w:szCs w:val="21"/>
        </w:rPr>
        <w:t xml:space="preserve">52.3.3应提交书面质疑函，质疑函应当包括以下内容： </w:t>
      </w:r>
    </w:p>
    <w:p w14:paraId="1A68ECDB">
      <w:pPr>
        <w:ind w:firstLine="420"/>
        <w:rPr>
          <w:rFonts w:hint="eastAsia" w:ascii="宋体" w:hAnsi="宋体" w:eastAsia="宋体" w:cs="宋体"/>
          <w:szCs w:val="21"/>
        </w:rPr>
      </w:pPr>
      <w:r>
        <w:rPr>
          <w:rFonts w:hint="eastAsia" w:ascii="宋体" w:hAnsi="宋体" w:eastAsia="宋体" w:cs="宋体"/>
          <w:szCs w:val="21"/>
        </w:rPr>
        <w:t>（1）供应商的名称（或者姓名）、地址、邮编、邮箱、联系人及联系电话；</w:t>
      </w:r>
    </w:p>
    <w:p w14:paraId="46534348">
      <w:pPr>
        <w:ind w:firstLine="480" w:firstLineChars="200"/>
        <w:rPr>
          <w:rFonts w:hint="eastAsia" w:ascii="宋体" w:hAnsi="宋体" w:eastAsia="宋体" w:cs="宋体"/>
          <w:szCs w:val="21"/>
        </w:rPr>
      </w:pPr>
      <w:r>
        <w:rPr>
          <w:rFonts w:hint="eastAsia" w:ascii="宋体" w:hAnsi="宋体" w:eastAsia="宋体" w:cs="宋体"/>
          <w:szCs w:val="21"/>
        </w:rPr>
        <w:t>（2）质疑项目的名称、编号；</w:t>
      </w:r>
    </w:p>
    <w:p w14:paraId="03490411">
      <w:pPr>
        <w:ind w:firstLine="480" w:firstLineChars="200"/>
        <w:rPr>
          <w:rFonts w:hint="eastAsia" w:ascii="宋体" w:hAnsi="宋体" w:eastAsia="宋体" w:cs="宋体"/>
          <w:szCs w:val="21"/>
        </w:rPr>
      </w:pPr>
      <w:r>
        <w:rPr>
          <w:rFonts w:hint="eastAsia" w:ascii="宋体" w:hAnsi="宋体" w:eastAsia="宋体" w:cs="宋体"/>
          <w:szCs w:val="21"/>
        </w:rPr>
        <w:t>（3）具体、明确的质疑对象、质疑事项和质疑请求；</w:t>
      </w:r>
    </w:p>
    <w:p w14:paraId="232DAAAA">
      <w:pPr>
        <w:ind w:firstLine="480" w:firstLineChars="200"/>
        <w:rPr>
          <w:rFonts w:hint="eastAsia" w:ascii="宋体" w:hAnsi="宋体" w:eastAsia="宋体" w:cs="宋体"/>
          <w:szCs w:val="21"/>
        </w:rPr>
      </w:pPr>
      <w:r>
        <w:rPr>
          <w:rFonts w:hint="eastAsia" w:ascii="宋体" w:hAnsi="宋体" w:eastAsia="宋体" w:cs="宋体"/>
          <w:szCs w:val="21"/>
        </w:rPr>
        <w:t>（4）因质疑事项而受损害的权益；</w:t>
      </w:r>
    </w:p>
    <w:p w14:paraId="29F8EEDD">
      <w:pPr>
        <w:ind w:firstLine="480" w:firstLineChars="200"/>
        <w:rPr>
          <w:rFonts w:hint="eastAsia" w:ascii="宋体" w:hAnsi="宋体" w:eastAsia="宋体" w:cs="宋体"/>
          <w:szCs w:val="21"/>
        </w:rPr>
      </w:pPr>
      <w:r>
        <w:rPr>
          <w:rFonts w:hint="eastAsia" w:ascii="宋体" w:hAnsi="宋体" w:eastAsia="宋体" w:cs="宋体"/>
          <w:szCs w:val="21"/>
        </w:rPr>
        <w:t>（5）事实依据；</w:t>
      </w:r>
    </w:p>
    <w:p w14:paraId="4DF05A1E">
      <w:pPr>
        <w:ind w:firstLine="480" w:firstLineChars="200"/>
        <w:rPr>
          <w:rFonts w:hint="eastAsia" w:ascii="宋体" w:hAnsi="宋体" w:eastAsia="宋体" w:cs="宋体"/>
          <w:szCs w:val="21"/>
        </w:rPr>
      </w:pPr>
      <w:r>
        <w:rPr>
          <w:rFonts w:hint="eastAsia" w:ascii="宋体" w:hAnsi="宋体" w:eastAsia="宋体" w:cs="宋体"/>
          <w:szCs w:val="21"/>
        </w:rPr>
        <w:t>（6）必要的法律依据；</w:t>
      </w:r>
    </w:p>
    <w:p w14:paraId="18BE15D4">
      <w:pPr>
        <w:ind w:firstLine="480" w:firstLineChars="200"/>
        <w:rPr>
          <w:rFonts w:hint="eastAsia" w:ascii="宋体" w:hAnsi="宋体" w:eastAsia="宋体" w:cs="宋体"/>
          <w:szCs w:val="21"/>
        </w:rPr>
      </w:pPr>
      <w:r>
        <w:rPr>
          <w:rFonts w:hint="eastAsia" w:ascii="宋体" w:hAnsi="宋体" w:eastAsia="宋体" w:cs="宋体"/>
          <w:szCs w:val="21"/>
        </w:rPr>
        <w:t>（7）提出质疑的日期。</w:t>
      </w:r>
    </w:p>
    <w:p w14:paraId="4F583331">
      <w:pPr>
        <w:ind w:firstLine="480" w:firstLineChars="200"/>
        <w:rPr>
          <w:rFonts w:hint="eastAsia" w:ascii="宋体" w:hAnsi="宋体" w:eastAsia="宋体" w:cs="宋体"/>
          <w:szCs w:val="21"/>
        </w:rPr>
      </w:pPr>
      <w:r>
        <w:rPr>
          <w:rFonts w:hint="eastAsia" w:ascii="宋体" w:hAnsi="宋体" w:eastAsia="宋体" w:cs="宋体"/>
          <w:szCs w:val="21"/>
        </w:rPr>
        <w:t>供应商为自然人的，应当由本人签字；供应商为法人或者其他组织的，应当由法定代表人（负责人），或者其授权代理人签字或者盖章，并加盖公章。</w:t>
      </w:r>
    </w:p>
    <w:p w14:paraId="05B0BC17">
      <w:pPr>
        <w:ind w:firstLine="480" w:firstLineChars="200"/>
        <w:rPr>
          <w:rFonts w:hint="eastAsia" w:ascii="宋体" w:hAnsi="宋体" w:eastAsia="宋体" w:cs="宋体"/>
          <w:szCs w:val="21"/>
        </w:rPr>
      </w:pPr>
      <w:r>
        <w:rPr>
          <w:rFonts w:hint="eastAsia" w:ascii="宋体" w:hAnsi="宋体" w:eastAsia="宋体" w:cs="宋体"/>
          <w:szCs w:val="21"/>
        </w:rPr>
        <w:t>52.4提交材料</w:t>
      </w:r>
    </w:p>
    <w:p w14:paraId="682C774D">
      <w:pPr>
        <w:ind w:firstLine="480" w:firstLineChars="200"/>
        <w:rPr>
          <w:rFonts w:hint="eastAsia" w:ascii="宋体" w:hAnsi="宋体" w:eastAsia="宋体" w:cs="宋体"/>
          <w:szCs w:val="21"/>
        </w:rPr>
      </w:pPr>
      <w:r>
        <w:rPr>
          <w:rFonts w:hint="eastAsia" w:ascii="宋体" w:hAnsi="宋体" w:eastAsia="宋体" w:cs="宋体"/>
          <w:szCs w:val="21"/>
        </w:rPr>
        <w:t>供应商质疑实行实名制。供应商为自然人的，应当提交本人身份证复印件；供应商为法人或者其他组织的，应当根据自身性质提交营业执照复印件或者其他证明文件（如事业单位法人证书等）复印件。</w:t>
      </w:r>
    </w:p>
    <w:p w14:paraId="0CE9A09D">
      <w:pPr>
        <w:ind w:firstLine="480" w:firstLineChars="200"/>
        <w:rPr>
          <w:rFonts w:hint="eastAsia" w:ascii="宋体" w:hAnsi="宋体" w:eastAsia="宋体" w:cs="宋体"/>
          <w:szCs w:val="21"/>
        </w:rPr>
      </w:pPr>
      <w:r>
        <w:rPr>
          <w:rFonts w:hint="eastAsia" w:ascii="宋体" w:hAnsi="宋体" w:eastAsia="宋体" w:cs="宋体"/>
          <w:szCs w:val="21"/>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79C36021">
      <w:pPr>
        <w:ind w:firstLine="480" w:firstLineChars="200"/>
        <w:rPr>
          <w:rFonts w:hint="eastAsia" w:ascii="宋体" w:hAnsi="宋体" w:eastAsia="宋体" w:cs="宋体"/>
          <w:szCs w:val="21"/>
        </w:rPr>
      </w:pPr>
      <w:r>
        <w:rPr>
          <w:rFonts w:hint="eastAsia" w:ascii="宋体" w:hAnsi="宋体" w:eastAsia="宋体" w:cs="宋体"/>
          <w:szCs w:val="21"/>
        </w:rPr>
        <w:t>52.5收文地点</w:t>
      </w:r>
    </w:p>
    <w:p w14:paraId="574BBB90">
      <w:pPr>
        <w:ind w:firstLine="482" w:firstLineChars="200"/>
        <w:rPr>
          <w:rFonts w:hint="eastAsia" w:ascii="宋体" w:hAnsi="宋体" w:eastAsia="宋体" w:cs="宋体"/>
          <w:b/>
          <w:bCs/>
          <w:szCs w:val="21"/>
          <w:highlight w:val="yellow"/>
        </w:rPr>
      </w:pPr>
      <w:r>
        <w:rPr>
          <w:rFonts w:hint="eastAsia" w:ascii="宋体" w:hAnsi="宋体" w:eastAsia="宋体" w:cs="宋体"/>
          <w:b/>
          <w:bCs/>
          <w:szCs w:val="21"/>
        </w:rPr>
        <w:t>地址：深圳市南山区学苑大道1001号南山智园A7栋11楼，质疑咨询电话：0755-88012182。</w:t>
      </w:r>
    </w:p>
    <w:p w14:paraId="0F675A9B">
      <w:pPr>
        <w:ind w:firstLine="480" w:firstLineChars="200"/>
        <w:rPr>
          <w:rFonts w:hint="eastAsia" w:ascii="宋体" w:hAnsi="宋体" w:eastAsia="宋体" w:cs="宋体"/>
          <w:szCs w:val="21"/>
        </w:rPr>
      </w:pPr>
      <w:r>
        <w:rPr>
          <w:rFonts w:hint="eastAsia" w:ascii="宋体" w:hAnsi="宋体" w:eastAsia="宋体" w:cs="宋体"/>
          <w:szCs w:val="21"/>
        </w:rPr>
        <w:t>52.6收文办理程序</w:t>
      </w:r>
    </w:p>
    <w:p w14:paraId="0B0BB73E">
      <w:pPr>
        <w:ind w:firstLine="480" w:firstLineChars="200"/>
        <w:rPr>
          <w:rFonts w:hint="eastAsia" w:ascii="宋体" w:hAnsi="宋体" w:eastAsia="宋体" w:cs="宋体"/>
          <w:szCs w:val="21"/>
        </w:rPr>
      </w:pPr>
      <w:r>
        <w:rPr>
          <w:rFonts w:hint="eastAsia" w:ascii="宋体" w:hAnsi="宋体" w:eastAsia="宋体" w:cs="宋体"/>
          <w:szCs w:val="21"/>
        </w:rPr>
        <w:t>52.6.1供应商提交的质疑符合受理条件的，招标代理机构自收到质疑材料之日起即为受理，应当向供应商出具质疑函收文回执并可以要求其递交质疑的法定代表人（负责人）或者授权代理人签署质疑文书送达地址确认书。</w:t>
      </w:r>
    </w:p>
    <w:p w14:paraId="5B816B36">
      <w:pPr>
        <w:ind w:firstLine="480" w:firstLineChars="200"/>
        <w:rPr>
          <w:rFonts w:hint="eastAsia" w:ascii="宋体" w:hAnsi="宋体" w:eastAsia="宋体" w:cs="宋体"/>
          <w:sz w:val="28"/>
          <w:szCs w:val="28"/>
        </w:rPr>
      </w:pPr>
      <w:r>
        <w:rPr>
          <w:rFonts w:hint="eastAsia" w:ascii="宋体" w:hAnsi="宋体" w:eastAsia="宋体" w:cs="宋体"/>
          <w:szCs w:val="21"/>
        </w:rPr>
        <w:t>52.6.2供应商提交的质疑材料不符合质疑条件的，视情况处理：</w:t>
      </w:r>
    </w:p>
    <w:p w14:paraId="0EFADE79">
      <w:pPr>
        <w:ind w:firstLine="480" w:firstLineChars="200"/>
        <w:rPr>
          <w:rFonts w:hint="eastAsia" w:ascii="宋体" w:hAnsi="宋体" w:eastAsia="宋体" w:cs="宋体"/>
          <w:szCs w:val="21"/>
        </w:rPr>
      </w:pPr>
      <w:r>
        <w:rPr>
          <w:rFonts w:hint="eastAsia" w:ascii="宋体" w:hAnsi="宋体" w:eastAsia="宋体" w:cs="宋体"/>
          <w:szCs w:val="21"/>
        </w:rPr>
        <w:t>供应商提交的质疑材料不全或者未按要求签字或者盖章的，招标代理机构应当一次性告知供应商需补正的内容和补正期限。</w:t>
      </w:r>
    </w:p>
    <w:p w14:paraId="493571FE">
      <w:pPr>
        <w:ind w:firstLine="480" w:firstLineChars="200"/>
        <w:rPr>
          <w:rFonts w:hint="eastAsia" w:ascii="宋体" w:hAnsi="宋体" w:eastAsia="宋体" w:cs="宋体"/>
          <w:szCs w:val="21"/>
        </w:rPr>
      </w:pPr>
      <w:r>
        <w:rPr>
          <w:rFonts w:hint="eastAsia" w:ascii="宋体" w:hAnsi="宋体" w:eastAsia="宋体" w:cs="宋体"/>
          <w:szCs w:val="21"/>
        </w:rPr>
        <w:t>供应商提交的质疑存在下列情形之一的，不予受理：</w:t>
      </w:r>
    </w:p>
    <w:p w14:paraId="2262F34B">
      <w:pPr>
        <w:ind w:firstLine="480" w:firstLineChars="200"/>
        <w:rPr>
          <w:rFonts w:hint="eastAsia" w:ascii="宋体" w:hAnsi="宋体" w:eastAsia="宋体" w:cs="宋体"/>
          <w:szCs w:val="21"/>
        </w:rPr>
      </w:pPr>
      <w:r>
        <w:rPr>
          <w:rFonts w:hint="eastAsia" w:ascii="宋体" w:hAnsi="宋体" w:eastAsia="宋体" w:cs="宋体"/>
          <w:szCs w:val="21"/>
        </w:rPr>
        <w:t>（1）质疑主体不满足要求的；</w:t>
      </w:r>
    </w:p>
    <w:p w14:paraId="491C4BCD">
      <w:pPr>
        <w:ind w:firstLine="480" w:firstLineChars="200"/>
        <w:rPr>
          <w:rFonts w:hint="eastAsia" w:ascii="宋体" w:hAnsi="宋体" w:eastAsia="宋体" w:cs="宋体"/>
          <w:szCs w:val="21"/>
        </w:rPr>
      </w:pPr>
      <w:r>
        <w:rPr>
          <w:rFonts w:hint="eastAsia" w:ascii="宋体" w:hAnsi="宋体" w:eastAsia="宋体" w:cs="宋体"/>
          <w:szCs w:val="21"/>
        </w:rPr>
        <w:t>（2）供应商自身权益未受到损害的；</w:t>
      </w:r>
    </w:p>
    <w:p w14:paraId="5D94E338">
      <w:pPr>
        <w:ind w:firstLine="480" w:firstLineChars="200"/>
        <w:rPr>
          <w:rFonts w:hint="eastAsia" w:ascii="宋体" w:hAnsi="宋体" w:eastAsia="宋体" w:cs="宋体"/>
          <w:szCs w:val="21"/>
        </w:rPr>
      </w:pPr>
      <w:r>
        <w:rPr>
          <w:rFonts w:hint="eastAsia" w:ascii="宋体" w:hAnsi="宋体" w:eastAsia="宋体" w:cs="宋体"/>
          <w:szCs w:val="21"/>
        </w:rPr>
        <w:t>（3）供应商未在法定质疑期限内提出质疑的；</w:t>
      </w:r>
    </w:p>
    <w:p w14:paraId="33DDBCD4">
      <w:pPr>
        <w:ind w:firstLine="480" w:firstLineChars="200"/>
        <w:rPr>
          <w:rFonts w:hint="eastAsia" w:ascii="宋体" w:hAnsi="宋体" w:eastAsia="宋体" w:cs="宋体"/>
          <w:szCs w:val="21"/>
        </w:rPr>
      </w:pPr>
      <w:r>
        <w:rPr>
          <w:rFonts w:hint="eastAsia" w:ascii="宋体" w:hAnsi="宋体" w:eastAsia="宋体" w:cs="宋体"/>
          <w:szCs w:val="21"/>
        </w:rPr>
        <w:t>（4）质疑材料不全或者未按要求签字或者盖章的情况下，要求补正后，逾期未补正或者补正后仍不符合规定的；</w:t>
      </w:r>
    </w:p>
    <w:p w14:paraId="5CA1D08E">
      <w:pPr>
        <w:ind w:firstLine="480" w:firstLineChars="200"/>
        <w:rPr>
          <w:rFonts w:hint="eastAsia" w:ascii="宋体" w:hAnsi="宋体" w:eastAsia="宋体" w:cs="宋体"/>
          <w:szCs w:val="21"/>
        </w:rPr>
      </w:pPr>
      <w:r>
        <w:rPr>
          <w:rFonts w:hint="eastAsia" w:ascii="宋体" w:hAnsi="宋体" w:eastAsia="宋体" w:cs="宋体"/>
          <w:szCs w:val="21"/>
        </w:rPr>
        <w:t>（5）其他不符合受理条件情形的。</w:t>
      </w:r>
    </w:p>
    <w:p w14:paraId="46CAB2A0">
      <w:pPr>
        <w:ind w:firstLine="480" w:firstLineChars="200"/>
        <w:rPr>
          <w:rFonts w:hint="eastAsia" w:ascii="宋体" w:hAnsi="宋体" w:eastAsia="宋体" w:cs="宋体"/>
          <w:szCs w:val="21"/>
        </w:rPr>
      </w:pPr>
      <w:r>
        <w:rPr>
          <w:rFonts w:hint="eastAsia" w:ascii="宋体" w:hAnsi="宋体" w:eastAsia="宋体" w:cs="宋体"/>
          <w:szCs w:val="21"/>
        </w:rPr>
        <w:t>质疑事项不予受理的，招标代理机构应当向供应商出具不符合质疑条件告知书。</w:t>
      </w:r>
    </w:p>
    <w:p w14:paraId="69337233">
      <w:pPr>
        <w:rPr>
          <w:rFonts w:hint="eastAsia" w:ascii="宋体" w:hAnsi="宋体" w:eastAsia="宋体" w:cs="宋体"/>
          <w:szCs w:val="21"/>
        </w:rPr>
      </w:pPr>
      <w:r>
        <w:rPr>
          <w:rFonts w:hint="eastAsia" w:ascii="宋体" w:hAnsi="宋体" w:eastAsia="宋体" w:cs="宋体"/>
          <w:color w:val="FF0000"/>
          <w:szCs w:val="21"/>
        </w:rPr>
        <w:t xml:space="preserve">  </w:t>
      </w:r>
      <w:r>
        <w:rPr>
          <w:rFonts w:hint="eastAsia" w:ascii="宋体" w:hAnsi="宋体" w:eastAsia="宋体" w:cs="宋体"/>
          <w:szCs w:val="21"/>
        </w:rPr>
        <w:t xml:space="preserve">  52.7质疑答复时限</w:t>
      </w:r>
    </w:p>
    <w:p w14:paraId="75B0F2B4">
      <w:pPr>
        <w:rPr>
          <w:rFonts w:hint="eastAsia" w:ascii="宋体" w:hAnsi="宋体" w:eastAsia="宋体" w:cs="宋体"/>
          <w:szCs w:val="21"/>
        </w:rPr>
      </w:pPr>
      <w:r>
        <w:rPr>
          <w:rFonts w:hint="eastAsia" w:ascii="宋体" w:hAnsi="宋体" w:eastAsia="宋体" w:cs="宋体"/>
          <w:szCs w:val="21"/>
        </w:rPr>
        <w:t xml:space="preserve">    自收文之日起七个工作日内。</w:t>
      </w:r>
    </w:p>
    <w:p w14:paraId="205BDDFA">
      <w:pPr>
        <w:rPr>
          <w:rFonts w:hint="eastAsia" w:ascii="宋体" w:hAnsi="宋体" w:eastAsia="宋体" w:cs="宋体"/>
          <w:szCs w:val="21"/>
        </w:rPr>
      </w:pPr>
      <w:r>
        <w:rPr>
          <w:rFonts w:hint="eastAsia" w:ascii="宋体" w:hAnsi="宋体" w:eastAsia="宋体" w:cs="宋体"/>
          <w:szCs w:val="21"/>
        </w:rPr>
        <w:t xml:space="preserve">    52.8投诉</w:t>
      </w:r>
    </w:p>
    <w:p w14:paraId="7F5F7996">
      <w:pPr>
        <w:rPr>
          <w:rFonts w:hint="eastAsia" w:ascii="宋体" w:hAnsi="宋体" w:eastAsia="宋体" w:cs="宋体"/>
          <w:szCs w:val="21"/>
        </w:rPr>
      </w:pPr>
      <w:r>
        <w:rPr>
          <w:rFonts w:hint="eastAsia" w:ascii="宋体" w:hAnsi="宋体" w:eastAsia="宋体" w:cs="宋体"/>
          <w:szCs w:val="21"/>
        </w:rPr>
        <w:t xml:space="preserve">    对质疑答复不满意或者未在规定时间内答复的，提出质疑的供应商可以在答复期满后15个工作日内向同级财政部门投诉。</w:t>
      </w:r>
    </w:p>
    <w:p w14:paraId="0CC8716C">
      <w:pPr>
        <w:rPr>
          <w:rFonts w:hint="eastAsia" w:ascii="宋体" w:hAnsi="宋体" w:eastAsia="宋体" w:cs="宋体"/>
        </w:rPr>
      </w:pPr>
      <w:r>
        <w:rPr>
          <w:rFonts w:hint="eastAsia" w:ascii="宋体" w:hAnsi="宋体" w:eastAsia="宋体" w:cs="宋体"/>
        </w:rPr>
        <w:t>53. 质疑后续处理</w:t>
      </w:r>
    </w:p>
    <w:p w14:paraId="00B3EE84">
      <w:pPr>
        <w:rPr>
          <w:rFonts w:hint="eastAsia" w:ascii="宋体" w:hAnsi="宋体" w:eastAsia="宋体" w:cs="宋体"/>
          <w:szCs w:val="21"/>
        </w:rPr>
      </w:pPr>
      <w:r>
        <w:rPr>
          <w:rFonts w:hint="eastAsia" w:ascii="宋体" w:hAnsi="宋体" w:eastAsia="宋体" w:cs="宋体"/>
          <w:szCs w:val="21"/>
        </w:rPr>
        <w:t xml:space="preserve">    53.1供应商质疑不成立，或者成立但未对中标、成交结果构成影响的，继续开展采购活动。</w:t>
      </w:r>
    </w:p>
    <w:p w14:paraId="11D1ECDD">
      <w:pPr>
        <w:ind w:firstLine="420"/>
        <w:rPr>
          <w:rFonts w:hint="eastAsia" w:ascii="宋体" w:hAnsi="宋体" w:eastAsia="宋体" w:cs="宋体"/>
          <w:szCs w:val="21"/>
        </w:rPr>
      </w:pPr>
      <w:r>
        <w:rPr>
          <w:rFonts w:hint="eastAsia" w:ascii="宋体" w:hAnsi="宋体" w:eastAsia="宋体" w:cs="宋体"/>
          <w:szCs w:val="21"/>
        </w:rPr>
        <w:t>53.2供应商质疑成立且影响或者可能影响中标、成交结果的，按照下列情况处理：（1）对采购文件提出的质疑，依法通过澄清或者修改可以继续开展采购活动的，澄清或者修改采购文件后继续开展采购活动；否则应当修改采购文件后重新开展采购活动。（2）对采购过程、中标或者成交结果提出的质疑，合格供应商符合法定数量时，可以从合格的中标或者成交候选人中另行确定中标、成交供应商的，应当依法另行确定中标、成交供应商；否则应当重新开展采购活动。</w:t>
      </w:r>
    </w:p>
    <w:p w14:paraId="3D788286">
      <w:pPr>
        <w:ind w:firstLine="420"/>
        <w:rPr>
          <w:rFonts w:hint="eastAsia" w:ascii="宋体" w:hAnsi="宋体" w:eastAsia="宋体" w:cs="宋体"/>
          <w:szCs w:val="21"/>
        </w:rPr>
      </w:pPr>
      <w:r>
        <w:rPr>
          <w:rFonts w:hint="eastAsia" w:ascii="宋体" w:hAnsi="宋体" w:eastAsia="宋体" w:cs="宋体"/>
          <w:szCs w:val="21"/>
        </w:rPr>
        <w:t>53.3被质疑供应商应配合提供质疑答辩意见,并提供相关证据材料,逾期不作书面答辩的,视同放弃答辩权利,依法承担由此可能产生的不利法律后果。</w:t>
      </w:r>
    </w:p>
    <w:p w14:paraId="53342269">
      <w:pPr>
        <w:jc w:val="center"/>
        <w:rPr>
          <w:rFonts w:hint="eastAsia" w:ascii="宋体" w:hAnsi="宋体" w:eastAsia="宋体" w:cs="宋体"/>
        </w:rPr>
      </w:pPr>
      <w:r>
        <w:rPr>
          <w:rFonts w:hint="eastAsia" w:ascii="宋体" w:hAnsi="宋体" w:eastAsia="宋体" w:cs="宋体"/>
        </w:rPr>
        <w:t>---- END ----</w:t>
      </w:r>
      <w:bookmarkEnd w:id="97"/>
    </w:p>
    <w:p w14:paraId="1219027E">
      <w:pPr>
        <w:rPr>
          <w:rFonts w:hint="eastAsia" w:ascii="宋体" w:hAnsi="宋体" w:eastAsia="宋体" w:cs="宋体"/>
        </w:rPr>
      </w:pPr>
    </w:p>
    <w:sectPr>
      <w:footerReference r:id="rId4" w:type="default"/>
      <w:pgSz w:w="11906" w:h="16838"/>
      <w:pgMar w:top="1440" w:right="1800" w:bottom="1440" w:left="1800" w:header="720" w:footer="720"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Malgun Gothic">
    <w:panose1 w:val="020B0503020000020004"/>
    <w:charset w:val="81"/>
    <w:family w:val="swiss"/>
    <w:pitch w:val="default"/>
    <w:sig w:usb0="9000002F" w:usb1="29D77CFB" w:usb2="00000012" w:usb3="00000000" w:csb0="0008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eiryo">
    <w:altName w:val="小塚明朝旧字形"/>
    <w:panose1 w:val="00000000000000000000"/>
    <w:charset w:val="80"/>
    <w:family w:val="swiss"/>
    <w:pitch w:val="default"/>
    <w:sig w:usb0="00000000" w:usb1="00000000" w:usb2="08000012" w:usb3="00000000" w:csb0="0002009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小塚明朝旧字形">
    <w:panose1 w:val="02020400000000000000"/>
    <w:charset w:val="80"/>
    <w:family w:val="auto"/>
    <w:pitch w:val="default"/>
    <w:sig w:usb0="000002D7" w:usb1="2AC71C11" w:usb2="00000012"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5D2EF">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4155" cy="1549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24155"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1BBD16">
                          <w:pPr>
                            <w:pStyle w:val="17"/>
                          </w:pPr>
                          <w:r>
                            <w:fldChar w:fldCharType="begin"/>
                          </w:r>
                          <w:r>
                            <w:instrText xml:space="preserve"> PAGE  \* MERGEFORMAT </w:instrText>
                          </w:r>
                          <w:r>
                            <w:fldChar w:fldCharType="separate"/>
                          </w:r>
                          <w:r>
                            <w:t>- 37 -</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12.2pt;width:17.65pt;mso-position-horizontal:center;mso-position-horizontal-relative:margin;z-index:251659264;mso-width-relative:page;mso-height-relative:page;" filled="f" stroked="f" coordsize="21600,21600" o:gfxdata="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mSd8C9MAAAADAQAADwAAAAAAAAABACAAAAAiAAAAZHJzL2Rvd25yZXYueG1sUEsBAhQA&#10;FAAAAAgAh07iQCOD/xkwAgAAVQQAAA4AAAAAAAAAAQAgAAAAIgEAAGRycy9lMm9Eb2MueG1sUEsF&#10;BgAAAAAGAAYAWQEAAMQFAAAAAA==&#10;">
              <v:fill on="f" focussize="0,0"/>
              <v:stroke on="f" weight="0.5pt"/>
              <v:imagedata o:title=""/>
              <o:lock v:ext="edit" aspectratio="f"/>
              <v:textbox inset="0mm,0mm,0mm,0mm">
                <w:txbxContent>
                  <w:p w14:paraId="451BBD16">
                    <w:pPr>
                      <w:pStyle w:val="17"/>
                    </w:pPr>
                    <w:r>
                      <w:fldChar w:fldCharType="begin"/>
                    </w:r>
                    <w:r>
                      <w:instrText xml:space="preserve"> PAGE  \* MERGEFORMAT </w:instrText>
                    </w:r>
                    <w:r>
                      <w:fldChar w:fldCharType="separate"/>
                    </w:r>
                    <w:r>
                      <w:t>- 37 -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CA1B9">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423A6B6">
                          <w:pPr>
                            <w:pStyle w:val="17"/>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- 45 -</w:t>
                          </w:r>
                          <w:r>
                            <w:rPr>
                              <w:rFonts w:eastAsia="宋体"/>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RhCNFMcBAACdAwAADgAAAAAAAAABACAAAAAeAQAAZHJzL2Uyb0RvYy54&#10;bWxQSwUGAAAAAAYABgBZAQAAVwUAAAAA&#10;">
              <v:fill on="f" focussize="0,0"/>
              <v:stroke on="f"/>
              <v:imagedata o:title=""/>
              <o:lock v:ext="edit" aspectratio="f"/>
              <v:textbox inset="0mm,0mm,0mm,0mm" style="mso-fit-shape-to-text:t;">
                <w:txbxContent>
                  <w:p w14:paraId="1423A6B6">
                    <w:pPr>
                      <w:pStyle w:val="17"/>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- 45 -</w:t>
                    </w:r>
                    <w:r>
                      <w:rPr>
                        <w:rFonts w:eastAsia="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E21B33"/>
    <w:multiLevelType w:val="singleLevel"/>
    <w:tmpl w:val="92E21B33"/>
    <w:lvl w:ilvl="0" w:tentative="0">
      <w:start w:val="1"/>
      <w:numFmt w:val="chineseCounting"/>
      <w:suff w:val="nothing"/>
      <w:lvlText w:val="（%1）"/>
      <w:lvlJc w:val="left"/>
      <w:rPr>
        <w:rFonts w:hint="eastAsia"/>
      </w:rPr>
    </w:lvl>
  </w:abstractNum>
  <w:abstractNum w:abstractNumId="1">
    <w:nsid w:val="F44FF05C"/>
    <w:multiLevelType w:val="singleLevel"/>
    <w:tmpl w:val="F44FF05C"/>
    <w:lvl w:ilvl="0" w:tentative="0">
      <w:start w:val="2"/>
      <w:numFmt w:val="decimal"/>
      <w:lvlText w:val="%1."/>
      <w:lvlJc w:val="left"/>
      <w:pPr>
        <w:tabs>
          <w:tab w:val="left" w:pos="312"/>
        </w:tabs>
      </w:pPr>
    </w:lvl>
  </w:abstractNum>
  <w:abstractNum w:abstractNumId="2">
    <w:nsid w:val="00000002"/>
    <w:multiLevelType w:val="singleLevel"/>
    <w:tmpl w:val="00000002"/>
    <w:lvl w:ilvl="0" w:tentative="0">
      <w:start w:val="1"/>
      <w:numFmt w:val="chineseCounting"/>
      <w:suff w:val="nothing"/>
      <w:lvlText w:val="%1、"/>
      <w:lvlJc w:val="left"/>
      <w:pPr>
        <w:ind w:left="540" w:firstLine="420"/>
      </w:pPr>
      <w:rPr>
        <w:rFonts w:hint="eastAsia" w:ascii="宋体" w:hAnsi="宋体" w:eastAsia="宋体" w:cs="宋体"/>
      </w:rPr>
    </w:lvl>
  </w:abstractNum>
  <w:abstractNum w:abstractNumId="3">
    <w:nsid w:val="00000003"/>
    <w:multiLevelType w:val="singleLevel"/>
    <w:tmpl w:val="00000003"/>
    <w:lvl w:ilvl="0" w:tentative="0">
      <w:start w:val="1"/>
      <w:numFmt w:val="chineseCounting"/>
      <w:suff w:val="nothing"/>
      <w:lvlText w:val="（%1）"/>
      <w:lvlJc w:val="left"/>
      <w:pPr>
        <w:ind w:left="0" w:firstLine="420"/>
      </w:pPr>
      <w:rPr>
        <w:rFonts w:hint="eastAsia"/>
      </w:rPr>
    </w:lvl>
  </w:abstractNum>
  <w:abstractNum w:abstractNumId="4">
    <w:nsid w:val="1162E88C"/>
    <w:multiLevelType w:val="singleLevel"/>
    <w:tmpl w:val="1162E88C"/>
    <w:lvl w:ilvl="0" w:tentative="0">
      <w:start w:val="2"/>
      <w:numFmt w:val="chineseCounting"/>
      <w:suff w:val="nothing"/>
      <w:lvlText w:val="%1、"/>
      <w:lvlJc w:val="left"/>
      <w:rPr>
        <w:rFonts w:hint="eastAsia"/>
      </w:rPr>
    </w:lvl>
  </w:abstractNum>
  <w:abstractNum w:abstractNumId="5">
    <w:nsid w:val="1C948F62"/>
    <w:multiLevelType w:val="singleLevel"/>
    <w:tmpl w:val="1C948F62"/>
    <w:lvl w:ilvl="0" w:tentative="0">
      <w:start w:val="4"/>
      <w:numFmt w:val="chineseCounting"/>
      <w:suff w:val="nothing"/>
      <w:lvlText w:val="%1、"/>
      <w:lvlJc w:val="left"/>
      <w:rPr>
        <w:rFonts w:hint="eastAsia"/>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720"/>
  <w:noPunctuationKerning w:val="1"/>
  <w:characterSpacingControl w:val="doNotCompress"/>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EzMjhlMWUyOWZhYmU3ZTQyMTZkZmNhOTQ2OWFlOWIifQ=="/>
  </w:docVars>
  <w:rsids>
    <w:rsidRoot w:val="00A72F13"/>
    <w:rsid w:val="00040F1C"/>
    <w:rsid w:val="000528B3"/>
    <w:rsid w:val="00067FAE"/>
    <w:rsid w:val="000B6609"/>
    <w:rsid w:val="000F14A3"/>
    <w:rsid w:val="00105F16"/>
    <w:rsid w:val="00143720"/>
    <w:rsid w:val="001748BF"/>
    <w:rsid w:val="0018099E"/>
    <w:rsid w:val="00197CF5"/>
    <w:rsid w:val="001A19D8"/>
    <w:rsid w:val="001A5721"/>
    <w:rsid w:val="001B7501"/>
    <w:rsid w:val="001C17D6"/>
    <w:rsid w:val="001D2359"/>
    <w:rsid w:val="001D4D7A"/>
    <w:rsid w:val="001F156E"/>
    <w:rsid w:val="00210AF1"/>
    <w:rsid w:val="00232B39"/>
    <w:rsid w:val="00250586"/>
    <w:rsid w:val="00261DFD"/>
    <w:rsid w:val="00262DC0"/>
    <w:rsid w:val="00292824"/>
    <w:rsid w:val="00294F55"/>
    <w:rsid w:val="00303352"/>
    <w:rsid w:val="003372DC"/>
    <w:rsid w:val="00352F09"/>
    <w:rsid w:val="003623B2"/>
    <w:rsid w:val="00371B70"/>
    <w:rsid w:val="00375246"/>
    <w:rsid w:val="003A7DDD"/>
    <w:rsid w:val="00435FB7"/>
    <w:rsid w:val="004760A6"/>
    <w:rsid w:val="0049082E"/>
    <w:rsid w:val="0049540C"/>
    <w:rsid w:val="004A2D8B"/>
    <w:rsid w:val="004E3CF0"/>
    <w:rsid w:val="00526610"/>
    <w:rsid w:val="00554F60"/>
    <w:rsid w:val="00597B48"/>
    <w:rsid w:val="005C2751"/>
    <w:rsid w:val="00650481"/>
    <w:rsid w:val="00680B77"/>
    <w:rsid w:val="006931E2"/>
    <w:rsid w:val="006A64E8"/>
    <w:rsid w:val="006C2F6D"/>
    <w:rsid w:val="006C60A6"/>
    <w:rsid w:val="00703562"/>
    <w:rsid w:val="007229D1"/>
    <w:rsid w:val="00740B4F"/>
    <w:rsid w:val="00740D6B"/>
    <w:rsid w:val="00763280"/>
    <w:rsid w:val="0077782A"/>
    <w:rsid w:val="00797093"/>
    <w:rsid w:val="008018EE"/>
    <w:rsid w:val="00832AAB"/>
    <w:rsid w:val="00855237"/>
    <w:rsid w:val="008A6C2F"/>
    <w:rsid w:val="008D472D"/>
    <w:rsid w:val="008F4330"/>
    <w:rsid w:val="008F597E"/>
    <w:rsid w:val="008F6D89"/>
    <w:rsid w:val="00922794"/>
    <w:rsid w:val="00932063"/>
    <w:rsid w:val="00935645"/>
    <w:rsid w:val="009373C9"/>
    <w:rsid w:val="00952D03"/>
    <w:rsid w:val="009538CC"/>
    <w:rsid w:val="00962168"/>
    <w:rsid w:val="00965D0F"/>
    <w:rsid w:val="0099733A"/>
    <w:rsid w:val="009A19F7"/>
    <w:rsid w:val="009B2D84"/>
    <w:rsid w:val="00A17589"/>
    <w:rsid w:val="00A24A34"/>
    <w:rsid w:val="00A32B5B"/>
    <w:rsid w:val="00A717CF"/>
    <w:rsid w:val="00A72571"/>
    <w:rsid w:val="00A72F13"/>
    <w:rsid w:val="00A75AF4"/>
    <w:rsid w:val="00AB6BED"/>
    <w:rsid w:val="00AC4480"/>
    <w:rsid w:val="00AC55F1"/>
    <w:rsid w:val="00AE2A84"/>
    <w:rsid w:val="00AE2DD9"/>
    <w:rsid w:val="00B1043F"/>
    <w:rsid w:val="00B24E67"/>
    <w:rsid w:val="00B65A67"/>
    <w:rsid w:val="00B6724F"/>
    <w:rsid w:val="00B7787B"/>
    <w:rsid w:val="00B859E6"/>
    <w:rsid w:val="00BA2BA5"/>
    <w:rsid w:val="00BD1CE4"/>
    <w:rsid w:val="00BD410D"/>
    <w:rsid w:val="00C0545D"/>
    <w:rsid w:val="00C11AF0"/>
    <w:rsid w:val="00C46B22"/>
    <w:rsid w:val="00C5221B"/>
    <w:rsid w:val="00C56CEF"/>
    <w:rsid w:val="00C7046D"/>
    <w:rsid w:val="00CB30E4"/>
    <w:rsid w:val="00CC5D03"/>
    <w:rsid w:val="00CF4478"/>
    <w:rsid w:val="00D0009D"/>
    <w:rsid w:val="00D12465"/>
    <w:rsid w:val="00D13EE7"/>
    <w:rsid w:val="00D178A2"/>
    <w:rsid w:val="00D4276F"/>
    <w:rsid w:val="00D44670"/>
    <w:rsid w:val="00D63A03"/>
    <w:rsid w:val="00D749AF"/>
    <w:rsid w:val="00D81582"/>
    <w:rsid w:val="00DA3DD6"/>
    <w:rsid w:val="00DD1C51"/>
    <w:rsid w:val="00DD443D"/>
    <w:rsid w:val="00E339FC"/>
    <w:rsid w:val="00E46314"/>
    <w:rsid w:val="00E5592E"/>
    <w:rsid w:val="00ED6CA0"/>
    <w:rsid w:val="00EF1A5A"/>
    <w:rsid w:val="00F120DC"/>
    <w:rsid w:val="00F35D36"/>
    <w:rsid w:val="00F37C4A"/>
    <w:rsid w:val="00F42617"/>
    <w:rsid w:val="00F94806"/>
    <w:rsid w:val="00FB1904"/>
    <w:rsid w:val="00FB7FF3"/>
    <w:rsid w:val="00FD35A7"/>
    <w:rsid w:val="014A231B"/>
    <w:rsid w:val="01810503"/>
    <w:rsid w:val="01DE3310"/>
    <w:rsid w:val="01DE4978"/>
    <w:rsid w:val="01EA0118"/>
    <w:rsid w:val="029E06D9"/>
    <w:rsid w:val="02E42902"/>
    <w:rsid w:val="038D16A3"/>
    <w:rsid w:val="043F299D"/>
    <w:rsid w:val="04590654"/>
    <w:rsid w:val="04E85E7E"/>
    <w:rsid w:val="04EE7063"/>
    <w:rsid w:val="058A2282"/>
    <w:rsid w:val="05FE16D9"/>
    <w:rsid w:val="069364D6"/>
    <w:rsid w:val="071C6FC5"/>
    <w:rsid w:val="07396E51"/>
    <w:rsid w:val="07B216D8"/>
    <w:rsid w:val="07F7533D"/>
    <w:rsid w:val="085E1B18"/>
    <w:rsid w:val="088E7A4F"/>
    <w:rsid w:val="08A234FA"/>
    <w:rsid w:val="08C2566D"/>
    <w:rsid w:val="08CD3948"/>
    <w:rsid w:val="098423D8"/>
    <w:rsid w:val="0992531D"/>
    <w:rsid w:val="0A2D5046"/>
    <w:rsid w:val="0AD41965"/>
    <w:rsid w:val="0AF53B31"/>
    <w:rsid w:val="0B285BCD"/>
    <w:rsid w:val="0B486311"/>
    <w:rsid w:val="0B850CAB"/>
    <w:rsid w:val="0BAB6B6A"/>
    <w:rsid w:val="0BB965C9"/>
    <w:rsid w:val="0C2B2BBE"/>
    <w:rsid w:val="0C497ADD"/>
    <w:rsid w:val="0C4F3BC1"/>
    <w:rsid w:val="0CA47D9B"/>
    <w:rsid w:val="0CDA001F"/>
    <w:rsid w:val="0D1A11CE"/>
    <w:rsid w:val="0D445FF0"/>
    <w:rsid w:val="0E1A2848"/>
    <w:rsid w:val="0E652D72"/>
    <w:rsid w:val="0E774674"/>
    <w:rsid w:val="0E9E6512"/>
    <w:rsid w:val="0EE24651"/>
    <w:rsid w:val="0EEA1B3E"/>
    <w:rsid w:val="0F0B71EB"/>
    <w:rsid w:val="0F30117A"/>
    <w:rsid w:val="0F39623B"/>
    <w:rsid w:val="0F60682E"/>
    <w:rsid w:val="0F7C4FBC"/>
    <w:rsid w:val="0F8D73CA"/>
    <w:rsid w:val="0FD76BA0"/>
    <w:rsid w:val="1057106E"/>
    <w:rsid w:val="108050EE"/>
    <w:rsid w:val="10A747F7"/>
    <w:rsid w:val="10A82E40"/>
    <w:rsid w:val="10ED552F"/>
    <w:rsid w:val="10F469BE"/>
    <w:rsid w:val="11191766"/>
    <w:rsid w:val="111B20AE"/>
    <w:rsid w:val="11683B30"/>
    <w:rsid w:val="118B7221"/>
    <w:rsid w:val="11B8364F"/>
    <w:rsid w:val="12802AFE"/>
    <w:rsid w:val="128B7675"/>
    <w:rsid w:val="12977E48"/>
    <w:rsid w:val="12DB7D35"/>
    <w:rsid w:val="12EB24A2"/>
    <w:rsid w:val="12ED7BC2"/>
    <w:rsid w:val="13223BB5"/>
    <w:rsid w:val="13274D28"/>
    <w:rsid w:val="144E51C2"/>
    <w:rsid w:val="147C24C7"/>
    <w:rsid w:val="148440D2"/>
    <w:rsid w:val="14C8078D"/>
    <w:rsid w:val="14E56999"/>
    <w:rsid w:val="14F26727"/>
    <w:rsid w:val="14F74A7F"/>
    <w:rsid w:val="15673080"/>
    <w:rsid w:val="157F7C35"/>
    <w:rsid w:val="15F5735F"/>
    <w:rsid w:val="160F2852"/>
    <w:rsid w:val="16882A84"/>
    <w:rsid w:val="169D3553"/>
    <w:rsid w:val="16D24FDB"/>
    <w:rsid w:val="17577BA6"/>
    <w:rsid w:val="17873054"/>
    <w:rsid w:val="17C82514"/>
    <w:rsid w:val="17F62D04"/>
    <w:rsid w:val="1891021F"/>
    <w:rsid w:val="18CD6371"/>
    <w:rsid w:val="19035DE6"/>
    <w:rsid w:val="193E71D0"/>
    <w:rsid w:val="19741EEC"/>
    <w:rsid w:val="1987566D"/>
    <w:rsid w:val="198B079A"/>
    <w:rsid w:val="19D24E5E"/>
    <w:rsid w:val="19D260B7"/>
    <w:rsid w:val="19FD5757"/>
    <w:rsid w:val="1A0E125C"/>
    <w:rsid w:val="1A344924"/>
    <w:rsid w:val="1B013CEC"/>
    <w:rsid w:val="1B0E62CD"/>
    <w:rsid w:val="1B397CEE"/>
    <w:rsid w:val="1B687556"/>
    <w:rsid w:val="1BAA4748"/>
    <w:rsid w:val="1BB04966"/>
    <w:rsid w:val="1BBE6676"/>
    <w:rsid w:val="1C2F1FCD"/>
    <w:rsid w:val="1C4216B5"/>
    <w:rsid w:val="1C6F4AEC"/>
    <w:rsid w:val="1CE315E7"/>
    <w:rsid w:val="1D1B1879"/>
    <w:rsid w:val="1D3B23CB"/>
    <w:rsid w:val="1D3C4F56"/>
    <w:rsid w:val="1D8E3BF5"/>
    <w:rsid w:val="1E761280"/>
    <w:rsid w:val="1EDC0057"/>
    <w:rsid w:val="1F391FE1"/>
    <w:rsid w:val="1F456C06"/>
    <w:rsid w:val="1FC3402A"/>
    <w:rsid w:val="20310E31"/>
    <w:rsid w:val="20FC25C5"/>
    <w:rsid w:val="214A6A99"/>
    <w:rsid w:val="22141817"/>
    <w:rsid w:val="22C04B39"/>
    <w:rsid w:val="23822190"/>
    <w:rsid w:val="239E0EFF"/>
    <w:rsid w:val="23B00E19"/>
    <w:rsid w:val="23D917B0"/>
    <w:rsid w:val="240B46C7"/>
    <w:rsid w:val="24212655"/>
    <w:rsid w:val="24CA19B9"/>
    <w:rsid w:val="24E72569"/>
    <w:rsid w:val="25265D86"/>
    <w:rsid w:val="2533755C"/>
    <w:rsid w:val="258439FB"/>
    <w:rsid w:val="25B859AA"/>
    <w:rsid w:val="25BC39F6"/>
    <w:rsid w:val="26343586"/>
    <w:rsid w:val="2674607E"/>
    <w:rsid w:val="26804A23"/>
    <w:rsid w:val="26E975BB"/>
    <w:rsid w:val="26F1147D"/>
    <w:rsid w:val="27484E85"/>
    <w:rsid w:val="27926B96"/>
    <w:rsid w:val="27A81E32"/>
    <w:rsid w:val="27A96B7C"/>
    <w:rsid w:val="27ED4FBF"/>
    <w:rsid w:val="28133EAE"/>
    <w:rsid w:val="2833419B"/>
    <w:rsid w:val="28571E47"/>
    <w:rsid w:val="289F315B"/>
    <w:rsid w:val="28A10C81"/>
    <w:rsid w:val="28D840F3"/>
    <w:rsid w:val="295B52D4"/>
    <w:rsid w:val="298505A2"/>
    <w:rsid w:val="299E7467"/>
    <w:rsid w:val="29BA218C"/>
    <w:rsid w:val="29BE6C70"/>
    <w:rsid w:val="2A0140CD"/>
    <w:rsid w:val="2B604886"/>
    <w:rsid w:val="2B793F6C"/>
    <w:rsid w:val="2B9F23B4"/>
    <w:rsid w:val="2BBB02AC"/>
    <w:rsid w:val="2C3A7995"/>
    <w:rsid w:val="2C545778"/>
    <w:rsid w:val="2C6E6ACD"/>
    <w:rsid w:val="2DD94A30"/>
    <w:rsid w:val="2E6D7F83"/>
    <w:rsid w:val="2E746177"/>
    <w:rsid w:val="2EB6352C"/>
    <w:rsid w:val="2F0B7EF3"/>
    <w:rsid w:val="2F3960B7"/>
    <w:rsid w:val="2FCD05A8"/>
    <w:rsid w:val="30737389"/>
    <w:rsid w:val="307D4059"/>
    <w:rsid w:val="30A27593"/>
    <w:rsid w:val="30A9101A"/>
    <w:rsid w:val="31327760"/>
    <w:rsid w:val="31852BC0"/>
    <w:rsid w:val="320329AC"/>
    <w:rsid w:val="3223010A"/>
    <w:rsid w:val="3259027D"/>
    <w:rsid w:val="32DF2AD1"/>
    <w:rsid w:val="3317481C"/>
    <w:rsid w:val="34524708"/>
    <w:rsid w:val="346E2FFA"/>
    <w:rsid w:val="34A20BD6"/>
    <w:rsid w:val="355D23D3"/>
    <w:rsid w:val="35D60889"/>
    <w:rsid w:val="35DE3656"/>
    <w:rsid w:val="35F05674"/>
    <w:rsid w:val="36327193"/>
    <w:rsid w:val="367105D1"/>
    <w:rsid w:val="368A5A78"/>
    <w:rsid w:val="36A63BA7"/>
    <w:rsid w:val="36B1621A"/>
    <w:rsid w:val="37621F23"/>
    <w:rsid w:val="38815040"/>
    <w:rsid w:val="388C1A65"/>
    <w:rsid w:val="38A04AB1"/>
    <w:rsid w:val="38E56FF8"/>
    <w:rsid w:val="39056FF9"/>
    <w:rsid w:val="390A4620"/>
    <w:rsid w:val="390C2146"/>
    <w:rsid w:val="393C5B88"/>
    <w:rsid w:val="396F71E1"/>
    <w:rsid w:val="397642BF"/>
    <w:rsid w:val="3A5709D4"/>
    <w:rsid w:val="3A821118"/>
    <w:rsid w:val="3AF85078"/>
    <w:rsid w:val="3B083765"/>
    <w:rsid w:val="3B194FEF"/>
    <w:rsid w:val="3B2A029A"/>
    <w:rsid w:val="3B7D31C3"/>
    <w:rsid w:val="3B87258F"/>
    <w:rsid w:val="3B9D14C4"/>
    <w:rsid w:val="3BB54D17"/>
    <w:rsid w:val="3BC211E2"/>
    <w:rsid w:val="3BE75635"/>
    <w:rsid w:val="3C1557B6"/>
    <w:rsid w:val="3C1D466B"/>
    <w:rsid w:val="3C4A7A30"/>
    <w:rsid w:val="3C502C92"/>
    <w:rsid w:val="3CAB04C0"/>
    <w:rsid w:val="3CC73AC6"/>
    <w:rsid w:val="3D672041"/>
    <w:rsid w:val="3D6F3C36"/>
    <w:rsid w:val="3DC057A0"/>
    <w:rsid w:val="3DF53AF1"/>
    <w:rsid w:val="3E463AB8"/>
    <w:rsid w:val="3ED533E5"/>
    <w:rsid w:val="3EEA4CD8"/>
    <w:rsid w:val="3F7B5B7F"/>
    <w:rsid w:val="3F9D61EE"/>
    <w:rsid w:val="3FA6322C"/>
    <w:rsid w:val="3FA81E62"/>
    <w:rsid w:val="3FDF6807"/>
    <w:rsid w:val="3FEA6487"/>
    <w:rsid w:val="3FFF537F"/>
    <w:rsid w:val="40396DCB"/>
    <w:rsid w:val="4041301D"/>
    <w:rsid w:val="40717733"/>
    <w:rsid w:val="40AB493B"/>
    <w:rsid w:val="40DE3604"/>
    <w:rsid w:val="411918A4"/>
    <w:rsid w:val="414C412C"/>
    <w:rsid w:val="41FD6A99"/>
    <w:rsid w:val="42277FF1"/>
    <w:rsid w:val="43204410"/>
    <w:rsid w:val="434A456D"/>
    <w:rsid w:val="43616E7D"/>
    <w:rsid w:val="438F4E81"/>
    <w:rsid w:val="442A1165"/>
    <w:rsid w:val="4458765C"/>
    <w:rsid w:val="44693490"/>
    <w:rsid w:val="446C661F"/>
    <w:rsid w:val="44734C83"/>
    <w:rsid w:val="44786166"/>
    <w:rsid w:val="45112DFE"/>
    <w:rsid w:val="45346385"/>
    <w:rsid w:val="4565155C"/>
    <w:rsid w:val="45F83A10"/>
    <w:rsid w:val="466E1F82"/>
    <w:rsid w:val="46FC37FA"/>
    <w:rsid w:val="478C3FF4"/>
    <w:rsid w:val="47BE31A6"/>
    <w:rsid w:val="48177B95"/>
    <w:rsid w:val="483950A9"/>
    <w:rsid w:val="486C49B0"/>
    <w:rsid w:val="48945CB4"/>
    <w:rsid w:val="48D04F3E"/>
    <w:rsid w:val="490B494B"/>
    <w:rsid w:val="49806D5D"/>
    <w:rsid w:val="49843F5D"/>
    <w:rsid w:val="49A927BB"/>
    <w:rsid w:val="4A0F5F3A"/>
    <w:rsid w:val="4A623E8D"/>
    <w:rsid w:val="4ACD1FC7"/>
    <w:rsid w:val="4AF13892"/>
    <w:rsid w:val="4B26353C"/>
    <w:rsid w:val="4B58121B"/>
    <w:rsid w:val="4B79790A"/>
    <w:rsid w:val="4B85213F"/>
    <w:rsid w:val="4BA579CC"/>
    <w:rsid w:val="4C341C88"/>
    <w:rsid w:val="4C5505D5"/>
    <w:rsid w:val="4C59524B"/>
    <w:rsid w:val="4D023B34"/>
    <w:rsid w:val="4D537D37"/>
    <w:rsid w:val="4DA72702"/>
    <w:rsid w:val="4DEC5014"/>
    <w:rsid w:val="4DF0398D"/>
    <w:rsid w:val="4E0062C6"/>
    <w:rsid w:val="4E080C52"/>
    <w:rsid w:val="4E38620E"/>
    <w:rsid w:val="4E66114A"/>
    <w:rsid w:val="4EA70947"/>
    <w:rsid w:val="4EDA7ECA"/>
    <w:rsid w:val="4EF94AC3"/>
    <w:rsid w:val="4F2F65F9"/>
    <w:rsid w:val="4F49139A"/>
    <w:rsid w:val="4F4A3571"/>
    <w:rsid w:val="4F61484A"/>
    <w:rsid w:val="4F836B70"/>
    <w:rsid w:val="4FBE6713"/>
    <w:rsid w:val="4FC71836"/>
    <w:rsid w:val="4FCC0890"/>
    <w:rsid w:val="5079308C"/>
    <w:rsid w:val="509D7ADC"/>
    <w:rsid w:val="50AD289F"/>
    <w:rsid w:val="51156A07"/>
    <w:rsid w:val="51186119"/>
    <w:rsid w:val="514F4075"/>
    <w:rsid w:val="517669EA"/>
    <w:rsid w:val="518014CC"/>
    <w:rsid w:val="51D463C6"/>
    <w:rsid w:val="521C7446"/>
    <w:rsid w:val="523A167B"/>
    <w:rsid w:val="52447209"/>
    <w:rsid w:val="52605461"/>
    <w:rsid w:val="526B5AC6"/>
    <w:rsid w:val="528943B0"/>
    <w:rsid w:val="530614B1"/>
    <w:rsid w:val="530A17DA"/>
    <w:rsid w:val="53137956"/>
    <w:rsid w:val="534F15BC"/>
    <w:rsid w:val="542B571F"/>
    <w:rsid w:val="54354424"/>
    <w:rsid w:val="546A24E1"/>
    <w:rsid w:val="54703F38"/>
    <w:rsid w:val="547661CA"/>
    <w:rsid w:val="547B7A53"/>
    <w:rsid w:val="54E35FFA"/>
    <w:rsid w:val="5547686C"/>
    <w:rsid w:val="55710859"/>
    <w:rsid w:val="55780E38"/>
    <w:rsid w:val="557A5233"/>
    <w:rsid w:val="55B56FFB"/>
    <w:rsid w:val="55FC2B00"/>
    <w:rsid w:val="56244B1C"/>
    <w:rsid w:val="562468CA"/>
    <w:rsid w:val="56A8574D"/>
    <w:rsid w:val="56B575E6"/>
    <w:rsid w:val="571050A0"/>
    <w:rsid w:val="578332CF"/>
    <w:rsid w:val="57D4431F"/>
    <w:rsid w:val="57E5466E"/>
    <w:rsid w:val="58352B54"/>
    <w:rsid w:val="584F166F"/>
    <w:rsid w:val="586A50C2"/>
    <w:rsid w:val="58A02244"/>
    <w:rsid w:val="58D26AB1"/>
    <w:rsid w:val="58E36F69"/>
    <w:rsid w:val="58F51034"/>
    <w:rsid w:val="59701E26"/>
    <w:rsid w:val="59EC3BA2"/>
    <w:rsid w:val="5A275FEF"/>
    <w:rsid w:val="5A601E9A"/>
    <w:rsid w:val="5A691345"/>
    <w:rsid w:val="5A6A4AC7"/>
    <w:rsid w:val="5A8626A8"/>
    <w:rsid w:val="5A9B2ED2"/>
    <w:rsid w:val="5ADA1C4D"/>
    <w:rsid w:val="5AED7BD2"/>
    <w:rsid w:val="5B0867BA"/>
    <w:rsid w:val="5B12588A"/>
    <w:rsid w:val="5B4A7124"/>
    <w:rsid w:val="5BFB00CD"/>
    <w:rsid w:val="5C205E36"/>
    <w:rsid w:val="5C2646A0"/>
    <w:rsid w:val="5C441EFA"/>
    <w:rsid w:val="5CA40764"/>
    <w:rsid w:val="5CDC0D9C"/>
    <w:rsid w:val="5D0F6CD8"/>
    <w:rsid w:val="5D1C02FB"/>
    <w:rsid w:val="5D7E0FB5"/>
    <w:rsid w:val="5DB54949"/>
    <w:rsid w:val="5DB744C7"/>
    <w:rsid w:val="5DCA7D57"/>
    <w:rsid w:val="5E2733FB"/>
    <w:rsid w:val="5E3E24F3"/>
    <w:rsid w:val="5E56338B"/>
    <w:rsid w:val="5E7D74BF"/>
    <w:rsid w:val="5ED36245"/>
    <w:rsid w:val="5F527C67"/>
    <w:rsid w:val="601C74E2"/>
    <w:rsid w:val="60C559C0"/>
    <w:rsid w:val="60DE2AB1"/>
    <w:rsid w:val="6125690F"/>
    <w:rsid w:val="61AA459A"/>
    <w:rsid w:val="61AE22DC"/>
    <w:rsid w:val="61BA59B7"/>
    <w:rsid w:val="61BA6334"/>
    <w:rsid w:val="626D784A"/>
    <w:rsid w:val="6289680A"/>
    <w:rsid w:val="629244AA"/>
    <w:rsid w:val="62BA002E"/>
    <w:rsid w:val="62E6114C"/>
    <w:rsid w:val="633B772A"/>
    <w:rsid w:val="63576530"/>
    <w:rsid w:val="63E87188"/>
    <w:rsid w:val="64151F48"/>
    <w:rsid w:val="642216E8"/>
    <w:rsid w:val="64601415"/>
    <w:rsid w:val="64793766"/>
    <w:rsid w:val="64C30D89"/>
    <w:rsid w:val="64FF3E6C"/>
    <w:rsid w:val="651B35D1"/>
    <w:rsid w:val="65A81EA3"/>
    <w:rsid w:val="65CD6F5C"/>
    <w:rsid w:val="65D025CA"/>
    <w:rsid w:val="66014531"/>
    <w:rsid w:val="66245F35"/>
    <w:rsid w:val="663012BB"/>
    <w:rsid w:val="668115BA"/>
    <w:rsid w:val="66A870A3"/>
    <w:rsid w:val="671457EE"/>
    <w:rsid w:val="673D6A15"/>
    <w:rsid w:val="67925249"/>
    <w:rsid w:val="67B6134C"/>
    <w:rsid w:val="68643FE1"/>
    <w:rsid w:val="69311E5A"/>
    <w:rsid w:val="69506198"/>
    <w:rsid w:val="6954016B"/>
    <w:rsid w:val="697D3E53"/>
    <w:rsid w:val="69D34C0F"/>
    <w:rsid w:val="6A370412"/>
    <w:rsid w:val="6A424960"/>
    <w:rsid w:val="6A4C65D7"/>
    <w:rsid w:val="6A72609A"/>
    <w:rsid w:val="6AF21117"/>
    <w:rsid w:val="6B792DBC"/>
    <w:rsid w:val="6BEC73DD"/>
    <w:rsid w:val="6C1C57C7"/>
    <w:rsid w:val="6D124742"/>
    <w:rsid w:val="6D136BB4"/>
    <w:rsid w:val="6D233171"/>
    <w:rsid w:val="6DBB76BC"/>
    <w:rsid w:val="6DEC1F6B"/>
    <w:rsid w:val="6E241705"/>
    <w:rsid w:val="6E557D96"/>
    <w:rsid w:val="6E6164B5"/>
    <w:rsid w:val="6E9437BA"/>
    <w:rsid w:val="6EA44EC6"/>
    <w:rsid w:val="6EBF5D03"/>
    <w:rsid w:val="6EEF260E"/>
    <w:rsid w:val="6F0A0A23"/>
    <w:rsid w:val="6F7F40E2"/>
    <w:rsid w:val="6F9F7533"/>
    <w:rsid w:val="6FB2689C"/>
    <w:rsid w:val="702D2DCF"/>
    <w:rsid w:val="71855149"/>
    <w:rsid w:val="718F4DED"/>
    <w:rsid w:val="720A2212"/>
    <w:rsid w:val="723D4B43"/>
    <w:rsid w:val="72730565"/>
    <w:rsid w:val="72836C83"/>
    <w:rsid w:val="729C16D1"/>
    <w:rsid w:val="72AA33BD"/>
    <w:rsid w:val="73452683"/>
    <w:rsid w:val="73D14091"/>
    <w:rsid w:val="74051AB5"/>
    <w:rsid w:val="750C6A4F"/>
    <w:rsid w:val="75DB4D9F"/>
    <w:rsid w:val="75F73FE6"/>
    <w:rsid w:val="76736AC9"/>
    <w:rsid w:val="77254936"/>
    <w:rsid w:val="773F4F21"/>
    <w:rsid w:val="77E43CB3"/>
    <w:rsid w:val="78146346"/>
    <w:rsid w:val="787F60D3"/>
    <w:rsid w:val="789F5AEE"/>
    <w:rsid w:val="78DC4DC0"/>
    <w:rsid w:val="79167E9C"/>
    <w:rsid w:val="79426EE3"/>
    <w:rsid w:val="79704F04"/>
    <w:rsid w:val="79D31AEC"/>
    <w:rsid w:val="7B1526EC"/>
    <w:rsid w:val="7B4C4049"/>
    <w:rsid w:val="7B7A7D76"/>
    <w:rsid w:val="7C490589"/>
    <w:rsid w:val="7C642A9F"/>
    <w:rsid w:val="7C7A038A"/>
    <w:rsid w:val="7CA3779D"/>
    <w:rsid w:val="7D4C39A5"/>
    <w:rsid w:val="7D51763C"/>
    <w:rsid w:val="7D6342C7"/>
    <w:rsid w:val="7DB53BC4"/>
    <w:rsid w:val="7DBE1355"/>
    <w:rsid w:val="7DCC321F"/>
    <w:rsid w:val="7DF72548"/>
    <w:rsid w:val="7E1A3F8B"/>
    <w:rsid w:val="7E580BA8"/>
    <w:rsid w:val="7E6414AA"/>
    <w:rsid w:val="7E683293"/>
    <w:rsid w:val="7E8C7A85"/>
    <w:rsid w:val="7F247147"/>
    <w:rsid w:val="7F533BF8"/>
    <w:rsid w:val="7F706E9C"/>
    <w:rsid w:val="7FC15FD6"/>
    <w:rsid w:val="7FFE6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lang w:val="en-US" w:eastAsia="zh-CN" w:bidi="ar-SA"/>
    </w:rPr>
  </w:style>
  <w:style w:type="paragraph" w:styleId="4">
    <w:name w:val="heading 1"/>
    <w:basedOn w:val="1"/>
    <w:next w:val="1"/>
    <w:link w:val="50"/>
    <w:qFormat/>
    <w:uiPriority w:val="0"/>
    <w:pPr>
      <w:spacing w:before="340" w:after="330" w:line="360" w:lineRule="auto"/>
      <w:jc w:val="center"/>
      <w:outlineLvl w:val="0"/>
    </w:pPr>
    <w:rPr>
      <w:rFonts w:eastAsia="黑体"/>
      <w:kern w:val="44"/>
      <w:szCs w:val="44"/>
    </w:rPr>
  </w:style>
  <w:style w:type="paragraph" w:styleId="5">
    <w:name w:val="heading 2"/>
    <w:basedOn w:val="6"/>
    <w:next w:val="7"/>
    <w:link w:val="51"/>
    <w:qFormat/>
    <w:uiPriority w:val="0"/>
    <w:pPr>
      <w:adjustRightInd w:val="0"/>
      <w:jc w:val="center"/>
      <w:textAlignment w:val="baseline"/>
      <w:outlineLvl w:val="1"/>
    </w:pPr>
    <w:rPr>
      <w:szCs w:val="20"/>
    </w:rPr>
  </w:style>
  <w:style w:type="paragraph" w:styleId="6">
    <w:name w:val="heading 3"/>
    <w:basedOn w:val="7"/>
    <w:next w:val="1"/>
    <w:link w:val="49"/>
    <w:qFormat/>
    <w:uiPriority w:val="0"/>
    <w:pPr>
      <w:spacing w:before="260" w:after="260"/>
      <w:outlineLvl w:val="2"/>
    </w:pPr>
    <w:rPr>
      <w:rFonts w:ascii="宋体" w:hAnsi="宋体" w:eastAsia="宋体"/>
      <w:szCs w:val="32"/>
    </w:rPr>
  </w:style>
  <w:style w:type="paragraph" w:styleId="7">
    <w:name w:val="heading 4"/>
    <w:basedOn w:val="1"/>
    <w:next w:val="1"/>
    <w:link w:val="48"/>
    <w:qFormat/>
    <w:uiPriority w:val="0"/>
    <w:pPr>
      <w:keepNext/>
      <w:keepLines/>
      <w:spacing w:before="280" w:after="290" w:line="376" w:lineRule="auto"/>
      <w:outlineLvl w:val="3"/>
    </w:pPr>
    <w:rPr>
      <w:rFonts w:ascii="Arial" w:hAnsi="Arial" w:eastAsia="黑体"/>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47"/>
    <w:qFormat/>
    <w:uiPriority w:val="0"/>
    <w:pPr>
      <w:spacing w:line="360" w:lineRule="auto"/>
    </w:pPr>
    <w:rPr>
      <w:b/>
      <w:bCs/>
    </w:rPr>
  </w:style>
  <w:style w:type="paragraph" w:styleId="3">
    <w:name w:val="Body Text 2"/>
    <w:basedOn w:val="1"/>
    <w:qFormat/>
    <w:uiPriority w:val="0"/>
    <w:pPr>
      <w:spacing w:line="360" w:lineRule="auto"/>
    </w:pPr>
    <w:rPr>
      <w:rFonts w:eastAsia="宋体"/>
    </w:rPr>
  </w:style>
  <w:style w:type="paragraph" w:styleId="8">
    <w:name w:val="Normal Indent"/>
    <w:basedOn w:val="1"/>
    <w:next w:val="2"/>
    <w:link w:val="56"/>
    <w:qFormat/>
    <w:uiPriority w:val="0"/>
    <w:pPr>
      <w:ind w:firstLine="420"/>
    </w:pPr>
    <w:rPr>
      <w:szCs w:val="20"/>
    </w:rPr>
  </w:style>
  <w:style w:type="paragraph" w:styleId="9">
    <w:name w:val="annotation text"/>
    <w:basedOn w:val="1"/>
    <w:link w:val="54"/>
    <w:qFormat/>
    <w:uiPriority w:val="0"/>
    <w:pPr>
      <w:autoSpaceDE w:val="0"/>
      <w:autoSpaceDN w:val="0"/>
      <w:adjustRightInd w:val="0"/>
      <w:textAlignment w:val="baseline"/>
    </w:pPr>
    <w:rPr>
      <w:rFonts w:ascii="宋体"/>
      <w:sz w:val="34"/>
      <w:szCs w:val="20"/>
    </w:rPr>
  </w:style>
  <w:style w:type="paragraph" w:styleId="10">
    <w:name w:val="Body Text Indent"/>
    <w:basedOn w:val="1"/>
    <w:link w:val="59"/>
    <w:qFormat/>
    <w:uiPriority w:val="0"/>
    <w:pPr>
      <w:spacing w:line="360" w:lineRule="auto"/>
      <w:ind w:firstLine="420" w:firstLineChars="200"/>
    </w:pPr>
  </w:style>
  <w:style w:type="paragraph" w:styleId="11">
    <w:name w:val="Plain Text"/>
    <w:basedOn w:val="1"/>
    <w:link w:val="57"/>
    <w:qFormat/>
    <w:uiPriority w:val="0"/>
    <w:rPr>
      <w:rFonts w:ascii="宋体" w:hAnsi="Courier New"/>
      <w:szCs w:val="20"/>
    </w:rPr>
  </w:style>
  <w:style w:type="paragraph" w:styleId="12">
    <w:name w:val="Balloon Text"/>
    <w:basedOn w:val="1"/>
    <w:next w:val="13"/>
    <w:link w:val="61"/>
    <w:qFormat/>
    <w:uiPriority w:val="0"/>
    <w:rPr>
      <w:sz w:val="18"/>
      <w:szCs w:val="18"/>
    </w:rPr>
  </w:style>
  <w:style w:type="paragraph" w:customStyle="1" w:styleId="13">
    <w:name w:val="6"/>
    <w:basedOn w:val="14"/>
    <w:next w:val="15"/>
    <w:qFormat/>
    <w:uiPriority w:val="0"/>
    <w:pPr>
      <w:widowControl w:val="0"/>
      <w:spacing w:line="270" w:lineRule="atLeast"/>
      <w:ind w:firstLine="4608"/>
      <w:jc w:val="both"/>
    </w:pPr>
    <w:rPr>
      <w:rFonts w:hAnsi="宋体" w:eastAsia="Malgun Gothic"/>
    </w:rPr>
  </w:style>
  <w:style w:type="paragraph" w:customStyle="1" w:styleId="14">
    <w:name w:val="5"/>
    <w:basedOn w:val="1"/>
    <w:qFormat/>
    <w:uiPriority w:val="0"/>
    <w:pPr>
      <w:autoSpaceDE w:val="0"/>
      <w:autoSpaceDN w:val="0"/>
      <w:adjustRightInd w:val="0"/>
    </w:pPr>
    <w:rPr>
      <w:rFonts w:ascii="宋体"/>
      <w:b/>
      <w:bCs/>
      <w:sz w:val="18"/>
      <w:szCs w:val="18"/>
    </w:rPr>
  </w:style>
  <w:style w:type="paragraph" w:customStyle="1" w:styleId="15">
    <w:name w:val="Char"/>
    <w:basedOn w:val="1"/>
    <w:next w:val="16"/>
    <w:qFormat/>
    <w:uiPriority w:val="0"/>
    <w:pPr>
      <w:spacing w:after="160" w:line="240" w:lineRule="exact"/>
    </w:pPr>
    <w:rPr>
      <w:rFonts w:ascii="Verdana" w:hAnsi="Verdana" w:eastAsia="仿宋_GB2312"/>
      <w:szCs w:val="20"/>
      <w:lang w:eastAsia="en-US"/>
    </w:rPr>
  </w:style>
  <w:style w:type="paragraph" w:styleId="16">
    <w:name w:val="index 1"/>
    <w:basedOn w:val="1"/>
    <w:next w:val="1"/>
    <w:qFormat/>
    <w:uiPriority w:val="0"/>
    <w:pPr>
      <w:widowControl w:val="0"/>
      <w:spacing w:line="520" w:lineRule="exact"/>
      <w:ind w:left="419" w:firstLine="14"/>
      <w:jc w:val="center"/>
      <w:outlineLvl w:val="3"/>
    </w:pPr>
  </w:style>
  <w:style w:type="paragraph" w:styleId="17">
    <w:name w:val="footer"/>
    <w:basedOn w:val="1"/>
    <w:qFormat/>
    <w:uiPriority w:val="0"/>
    <w:pPr>
      <w:tabs>
        <w:tab w:val="center" w:pos="4153"/>
        <w:tab w:val="right" w:pos="8306"/>
      </w:tabs>
      <w:snapToGrid w:val="0"/>
    </w:pPr>
    <w:rPr>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39"/>
    <w:pPr>
      <w:spacing w:line="360" w:lineRule="auto"/>
    </w:pPr>
  </w:style>
  <w:style w:type="paragraph" w:styleId="20">
    <w:name w:val="Body Text Indent 3"/>
    <w:basedOn w:val="1"/>
    <w:qFormat/>
    <w:uiPriority w:val="0"/>
    <w:pPr>
      <w:spacing w:line="360" w:lineRule="auto"/>
      <w:ind w:firstLine="482" w:firstLineChars="200"/>
    </w:pPr>
    <w:rPr>
      <w:rFonts w:ascii="宋体"/>
      <w:b/>
      <w:bCs/>
    </w:rPr>
  </w:style>
  <w:style w:type="paragraph" w:styleId="21">
    <w:name w:val="Normal (Web)"/>
    <w:basedOn w:val="1"/>
    <w:link w:val="52"/>
    <w:qFormat/>
    <w:uiPriority w:val="99"/>
    <w:pPr>
      <w:spacing w:beforeAutospacing="1" w:afterAutospacing="1"/>
    </w:pPr>
  </w:style>
  <w:style w:type="paragraph" w:styleId="22">
    <w:name w:val="Title"/>
    <w:basedOn w:val="1"/>
    <w:next w:val="1"/>
    <w:qFormat/>
    <w:uiPriority w:val="0"/>
    <w:pPr>
      <w:spacing w:before="240" w:after="60"/>
      <w:jc w:val="center"/>
      <w:outlineLvl w:val="0"/>
    </w:pPr>
    <w:rPr>
      <w:rFonts w:ascii="Arial" w:hAnsi="Arial" w:eastAsia="隶书" w:cs="Arial"/>
      <w:b/>
      <w:bCs/>
      <w:sz w:val="32"/>
      <w:szCs w:val="32"/>
    </w:rPr>
  </w:style>
  <w:style w:type="paragraph" w:styleId="23">
    <w:name w:val="annotation subject"/>
    <w:basedOn w:val="9"/>
    <w:next w:val="9"/>
    <w:link w:val="65"/>
    <w:semiHidden/>
    <w:unhideWhenUsed/>
    <w:qFormat/>
    <w:uiPriority w:val="0"/>
    <w:pPr>
      <w:autoSpaceDE/>
      <w:autoSpaceDN/>
      <w:adjustRightInd/>
      <w:textAlignment w:val="auto"/>
    </w:pPr>
    <w:rPr>
      <w:rFonts w:ascii="Times New Roman"/>
      <w:b/>
      <w:bCs/>
      <w:sz w:val="24"/>
      <w:szCs w:val="24"/>
    </w:rPr>
  </w:style>
  <w:style w:type="paragraph" w:styleId="24">
    <w:name w:val="Body Text First Indent"/>
    <w:basedOn w:val="2"/>
    <w:qFormat/>
    <w:uiPriority w:val="0"/>
    <w:pPr>
      <w:tabs>
        <w:tab w:val="left" w:pos="360"/>
      </w:tabs>
      <w:spacing w:line="220" w:lineRule="exact"/>
      <w:ind w:left="360" w:hanging="360"/>
    </w:pPr>
    <w:rPr>
      <w:sz w:val="20"/>
    </w:rPr>
  </w:style>
  <w:style w:type="paragraph" w:styleId="25">
    <w:name w:val="Body Text First Indent 2"/>
    <w:basedOn w:val="10"/>
    <w:link w:val="60"/>
    <w:unhideWhenUsed/>
    <w:qFormat/>
    <w:uiPriority w:val="99"/>
    <w:pPr>
      <w:spacing w:after="120" w:line="240" w:lineRule="auto"/>
      <w:ind w:left="420" w:leftChars="200"/>
    </w:pPr>
  </w:style>
  <w:style w:type="table" w:styleId="27">
    <w:name w:val="Table Grid"/>
    <w:basedOn w:val="2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FollowedHyperlink"/>
    <w:basedOn w:val="28"/>
    <w:qFormat/>
    <w:uiPriority w:val="0"/>
    <w:rPr>
      <w:color w:val="5C5C5C"/>
      <w:u w:val="none"/>
    </w:rPr>
  </w:style>
  <w:style w:type="character" w:styleId="32">
    <w:name w:val="Emphasis"/>
    <w:basedOn w:val="28"/>
    <w:qFormat/>
    <w:uiPriority w:val="0"/>
    <w:rPr>
      <w:b/>
      <w:bCs/>
    </w:rPr>
  </w:style>
  <w:style w:type="character" w:styleId="33">
    <w:name w:val="HTML Definition"/>
    <w:basedOn w:val="28"/>
    <w:qFormat/>
    <w:uiPriority w:val="0"/>
  </w:style>
  <w:style w:type="character" w:styleId="34">
    <w:name w:val="HTML Typewriter"/>
    <w:basedOn w:val="28"/>
    <w:qFormat/>
    <w:uiPriority w:val="0"/>
    <w:rPr>
      <w:rFonts w:hint="default" w:ascii="monospace" w:hAnsi="monospace" w:eastAsia="monospace" w:cs="monospace"/>
      <w:sz w:val="20"/>
    </w:rPr>
  </w:style>
  <w:style w:type="character" w:styleId="35">
    <w:name w:val="HTML Acronym"/>
    <w:basedOn w:val="28"/>
    <w:qFormat/>
    <w:uiPriority w:val="0"/>
  </w:style>
  <w:style w:type="character" w:styleId="36">
    <w:name w:val="HTML Variable"/>
    <w:basedOn w:val="28"/>
    <w:qFormat/>
    <w:uiPriority w:val="0"/>
  </w:style>
  <w:style w:type="character" w:styleId="37">
    <w:name w:val="Hyperlink"/>
    <w:basedOn w:val="28"/>
    <w:qFormat/>
    <w:uiPriority w:val="0"/>
    <w:rPr>
      <w:color w:val="0000FF"/>
      <w:u w:val="single"/>
    </w:rPr>
  </w:style>
  <w:style w:type="character" w:styleId="38">
    <w:name w:val="HTML Code"/>
    <w:basedOn w:val="28"/>
    <w:qFormat/>
    <w:uiPriority w:val="0"/>
    <w:rPr>
      <w:rFonts w:hint="default" w:ascii="monospace" w:hAnsi="monospace" w:eastAsia="monospace" w:cs="monospace"/>
      <w:sz w:val="20"/>
    </w:rPr>
  </w:style>
  <w:style w:type="character" w:styleId="39">
    <w:name w:val="annotation reference"/>
    <w:basedOn w:val="28"/>
    <w:qFormat/>
    <w:uiPriority w:val="0"/>
    <w:rPr>
      <w:sz w:val="21"/>
      <w:szCs w:val="21"/>
    </w:rPr>
  </w:style>
  <w:style w:type="character" w:styleId="40">
    <w:name w:val="HTML Cite"/>
    <w:basedOn w:val="28"/>
    <w:qFormat/>
    <w:uiPriority w:val="0"/>
  </w:style>
  <w:style w:type="character" w:styleId="41">
    <w:name w:val="HTML Keyboard"/>
    <w:basedOn w:val="28"/>
    <w:semiHidden/>
    <w:unhideWhenUsed/>
    <w:qFormat/>
    <w:uiPriority w:val="0"/>
    <w:rPr>
      <w:rFonts w:ascii="monospace" w:hAnsi="monospace" w:eastAsia="monospace" w:cs="monospace"/>
      <w:sz w:val="24"/>
      <w:szCs w:val="24"/>
    </w:rPr>
  </w:style>
  <w:style w:type="character" w:styleId="42">
    <w:name w:val="HTML Sample"/>
    <w:basedOn w:val="28"/>
    <w:qFormat/>
    <w:uiPriority w:val="0"/>
    <w:rPr>
      <w:rFonts w:hint="default" w:ascii="monospace" w:hAnsi="monospace" w:eastAsia="monospace" w:cs="monospace"/>
    </w:rPr>
  </w:style>
  <w:style w:type="paragraph" w:styleId="43">
    <w:name w:val="No Spacing"/>
    <w:basedOn w:val="1"/>
    <w:qFormat/>
    <w:uiPriority w:val="1"/>
    <w:rPr>
      <w:rFonts w:ascii="Arial" w:hAnsi="Arial" w:eastAsia="Meiryo" w:cs="Arial Unicode MS"/>
      <w:sz w:val="20"/>
      <w:szCs w:val="20"/>
    </w:rPr>
  </w:style>
  <w:style w:type="paragraph" w:customStyle="1" w:styleId="44">
    <w:name w:val="Char11"/>
    <w:basedOn w:val="1"/>
    <w:next w:val="45"/>
    <w:qFormat/>
    <w:uiPriority w:val="0"/>
    <w:pPr>
      <w:spacing w:after="160" w:line="240" w:lineRule="exact"/>
    </w:pPr>
    <w:rPr>
      <w:rFonts w:ascii="Verdana" w:hAnsi="Verdana" w:eastAsia="仿宋_GB2312"/>
      <w:szCs w:val="20"/>
      <w:lang w:eastAsia="en-US"/>
    </w:rPr>
  </w:style>
  <w:style w:type="paragraph" w:customStyle="1" w:styleId="45">
    <w:name w:val="style2"/>
    <w:basedOn w:val="1"/>
    <w:next w:val="46"/>
    <w:qFormat/>
    <w:uiPriority w:val="0"/>
    <w:pPr>
      <w:spacing w:before="280" w:after="280"/>
      <w:ind w:firstLine="3584"/>
    </w:pPr>
  </w:style>
  <w:style w:type="paragraph" w:customStyle="1" w:styleId="46">
    <w:name w:val="样式 章标题 + 宋体 加粗 倾斜 黑色"/>
    <w:basedOn w:val="5"/>
    <w:next w:val="12"/>
    <w:qFormat/>
    <w:uiPriority w:val="0"/>
    <w:pPr>
      <w:widowControl w:val="0"/>
      <w:spacing w:before="480" w:after="120"/>
      <w:ind w:firstLine="6656"/>
    </w:pPr>
  </w:style>
  <w:style w:type="character" w:customStyle="1" w:styleId="47">
    <w:name w:val="正文文本 字符"/>
    <w:link w:val="2"/>
    <w:qFormat/>
    <w:uiPriority w:val="0"/>
    <w:rPr>
      <w:rFonts w:eastAsia="宋体"/>
      <w:b/>
      <w:bCs/>
      <w:kern w:val="2"/>
      <w:sz w:val="24"/>
      <w:szCs w:val="24"/>
      <w:lang w:val="en-US" w:eastAsia="zh-CN" w:bidi="ar-SA"/>
    </w:rPr>
  </w:style>
  <w:style w:type="character" w:customStyle="1" w:styleId="48">
    <w:name w:val="标题 4 字符"/>
    <w:link w:val="7"/>
    <w:qFormat/>
    <w:uiPriority w:val="0"/>
    <w:rPr>
      <w:rFonts w:ascii="Arial" w:hAnsi="Arial" w:eastAsia="黑体"/>
      <w:b/>
      <w:bCs/>
      <w:kern w:val="2"/>
      <w:sz w:val="28"/>
      <w:szCs w:val="28"/>
      <w:lang w:val="en-US" w:eastAsia="zh-CN" w:bidi="ar-SA"/>
    </w:rPr>
  </w:style>
  <w:style w:type="character" w:customStyle="1" w:styleId="49">
    <w:name w:val="标题 3 字符"/>
    <w:link w:val="6"/>
    <w:qFormat/>
    <w:uiPriority w:val="0"/>
    <w:rPr>
      <w:rFonts w:ascii="宋体" w:hAnsi="宋体" w:eastAsia="宋体"/>
      <w:b/>
      <w:bCs/>
      <w:kern w:val="2"/>
      <w:sz w:val="28"/>
      <w:szCs w:val="32"/>
      <w:lang w:val="en-US" w:eastAsia="zh-CN" w:bidi="ar-SA"/>
    </w:rPr>
  </w:style>
  <w:style w:type="character" w:customStyle="1" w:styleId="50">
    <w:name w:val="标题 1 字符"/>
    <w:link w:val="4"/>
    <w:qFormat/>
    <w:uiPriority w:val="0"/>
    <w:rPr>
      <w:rFonts w:ascii="宋体" w:hAnsi="宋体" w:eastAsia="黑体"/>
      <w:b/>
      <w:bCs/>
      <w:kern w:val="44"/>
      <w:sz w:val="28"/>
      <w:szCs w:val="44"/>
      <w:lang w:val="en-US" w:eastAsia="zh-CN" w:bidi="ar-SA"/>
    </w:rPr>
  </w:style>
  <w:style w:type="character" w:customStyle="1" w:styleId="51">
    <w:name w:val="标题 2 字符"/>
    <w:link w:val="5"/>
    <w:qFormat/>
    <w:uiPriority w:val="0"/>
    <w:rPr>
      <w:rFonts w:ascii="宋体" w:hAnsi="宋体" w:eastAsia="宋体"/>
      <w:b/>
      <w:bCs/>
      <w:sz w:val="24"/>
      <w:lang w:val="en-US" w:eastAsia="zh-CN" w:bidi="ar-SA"/>
    </w:rPr>
  </w:style>
  <w:style w:type="character" w:customStyle="1" w:styleId="52">
    <w:name w:val="普通(网站) 字符"/>
    <w:link w:val="21"/>
    <w:qFormat/>
    <w:uiPriority w:val="0"/>
    <w:rPr>
      <w:kern w:val="2"/>
      <w:sz w:val="24"/>
      <w:szCs w:val="24"/>
    </w:rPr>
  </w:style>
  <w:style w:type="paragraph" w:styleId="53">
    <w:name w:val="List Paragraph"/>
    <w:basedOn w:val="1"/>
    <w:qFormat/>
    <w:uiPriority w:val="34"/>
    <w:pPr>
      <w:ind w:firstLine="420" w:firstLineChars="200"/>
    </w:pPr>
    <w:rPr>
      <w:rFonts w:ascii="Calibri" w:hAnsi="Calibri"/>
      <w:szCs w:val="22"/>
    </w:rPr>
  </w:style>
  <w:style w:type="character" w:customStyle="1" w:styleId="54">
    <w:name w:val="批注文字 字符"/>
    <w:basedOn w:val="28"/>
    <w:link w:val="9"/>
    <w:qFormat/>
    <w:uiPriority w:val="0"/>
    <w:rPr>
      <w:rFonts w:ascii="宋体"/>
      <w:sz w:val="34"/>
    </w:rPr>
  </w:style>
  <w:style w:type="paragraph" w:customStyle="1" w:styleId="55">
    <w:name w:val="Char12"/>
    <w:basedOn w:val="1"/>
    <w:qFormat/>
    <w:uiPriority w:val="0"/>
    <w:pPr>
      <w:spacing w:after="160" w:line="240" w:lineRule="exact"/>
    </w:pPr>
    <w:rPr>
      <w:rFonts w:ascii="Verdana" w:hAnsi="Verdana" w:eastAsia="仿宋_GB2312"/>
      <w:szCs w:val="20"/>
      <w:lang w:eastAsia="en-US"/>
    </w:rPr>
  </w:style>
  <w:style w:type="character" w:customStyle="1" w:styleId="56">
    <w:name w:val="正文缩进 字符"/>
    <w:link w:val="8"/>
    <w:qFormat/>
    <w:uiPriority w:val="0"/>
    <w:rPr>
      <w:rFonts w:eastAsia="宋体"/>
      <w:kern w:val="2"/>
      <w:sz w:val="21"/>
      <w:lang w:val="en-US" w:eastAsia="zh-CN" w:bidi="ar-SA"/>
    </w:rPr>
  </w:style>
  <w:style w:type="character" w:customStyle="1" w:styleId="57">
    <w:name w:val="纯文本 字符"/>
    <w:link w:val="11"/>
    <w:qFormat/>
    <w:uiPriority w:val="0"/>
    <w:rPr>
      <w:rFonts w:ascii="宋体" w:hAnsi="Courier New" w:eastAsia="宋体"/>
      <w:kern w:val="2"/>
      <w:sz w:val="21"/>
      <w:lang w:val="en-US" w:eastAsia="zh-CN" w:bidi="ar-SA"/>
    </w:rPr>
  </w:style>
  <w:style w:type="character" w:customStyle="1" w:styleId="58">
    <w:name w:val="标题 3 Char"/>
    <w:qFormat/>
    <w:uiPriority w:val="0"/>
    <w:rPr>
      <w:rFonts w:ascii="黑体" w:eastAsia="黑体"/>
      <w:bCs/>
      <w:sz w:val="30"/>
    </w:rPr>
  </w:style>
  <w:style w:type="character" w:customStyle="1" w:styleId="59">
    <w:name w:val="正文文本缩进 字符"/>
    <w:link w:val="10"/>
    <w:qFormat/>
    <w:uiPriority w:val="0"/>
    <w:rPr>
      <w:rFonts w:eastAsia="宋体"/>
      <w:kern w:val="2"/>
      <w:sz w:val="21"/>
      <w:szCs w:val="24"/>
      <w:lang w:val="en-US" w:eastAsia="zh-CN" w:bidi="ar-SA"/>
    </w:rPr>
  </w:style>
  <w:style w:type="character" w:customStyle="1" w:styleId="60">
    <w:name w:val="正文文本首行缩进 2 字符"/>
    <w:basedOn w:val="59"/>
    <w:link w:val="25"/>
    <w:qFormat/>
    <w:uiPriority w:val="99"/>
    <w:rPr>
      <w:rFonts w:eastAsia="宋体"/>
      <w:kern w:val="2"/>
      <w:sz w:val="21"/>
      <w:szCs w:val="24"/>
      <w:lang w:val="en-US" w:eastAsia="zh-CN" w:bidi="ar-SA"/>
    </w:rPr>
  </w:style>
  <w:style w:type="character" w:customStyle="1" w:styleId="61">
    <w:name w:val="批注框文本 字符"/>
    <w:basedOn w:val="28"/>
    <w:link w:val="12"/>
    <w:qFormat/>
    <w:uiPriority w:val="0"/>
    <w:rPr>
      <w:rFonts w:eastAsia="Times New Roman"/>
      <w:sz w:val="18"/>
      <w:szCs w:val="18"/>
    </w:rPr>
  </w:style>
  <w:style w:type="paragraph" w:customStyle="1" w:styleId="62">
    <w:name w:val="Char1"/>
    <w:basedOn w:val="1"/>
    <w:next w:val="45"/>
    <w:qFormat/>
    <w:uiPriority w:val="0"/>
    <w:pPr>
      <w:spacing w:after="160" w:line="240" w:lineRule="exact"/>
      <w:ind w:firstLine="3584"/>
    </w:pPr>
  </w:style>
  <w:style w:type="character" w:customStyle="1" w:styleId="63">
    <w:name w:val="标题1"/>
    <w:qFormat/>
    <w:uiPriority w:val="0"/>
  </w:style>
  <w:style w:type="paragraph" w:customStyle="1" w:styleId="64">
    <w:name w:val="正文正"/>
    <w:basedOn w:val="1"/>
    <w:qFormat/>
    <w:uiPriority w:val="0"/>
    <w:pPr>
      <w:spacing w:line="560" w:lineRule="exact"/>
      <w:ind w:firstLine="561"/>
    </w:pPr>
    <w:rPr>
      <w:sz w:val="28"/>
    </w:rPr>
  </w:style>
  <w:style w:type="character" w:customStyle="1" w:styleId="65">
    <w:name w:val="批注主题 字符"/>
    <w:basedOn w:val="54"/>
    <w:link w:val="23"/>
    <w:semiHidden/>
    <w:qFormat/>
    <w:uiPriority w:val="0"/>
    <w:rPr>
      <w:rFonts w:ascii="宋体" w:eastAsia="Times New Roman"/>
      <w:b/>
      <w:bCs/>
      <w:sz w:val="24"/>
      <w:szCs w:val="24"/>
    </w:rPr>
  </w:style>
  <w:style w:type="paragraph" w:customStyle="1" w:styleId="66">
    <w:name w:val="Table Paragraph"/>
    <w:basedOn w:val="1"/>
    <w:qFormat/>
    <w:uiPriority w:val="1"/>
    <w:pPr>
      <w:autoSpaceDE w:val="0"/>
      <w:autoSpaceDN w:val="0"/>
      <w:spacing w:before="89"/>
      <w:ind w:left="7"/>
      <w:jc w:val="center"/>
    </w:pPr>
    <w:rPr>
      <w:rFonts w:ascii="宋体" w:hAnsi="宋体" w:cs="宋体"/>
      <w:sz w:val="22"/>
      <w:szCs w:val="22"/>
    </w:rPr>
  </w:style>
  <w:style w:type="paragraph" w:customStyle="1" w:styleId="67">
    <w:name w:val="修订1"/>
    <w:hidden/>
    <w:semiHidden/>
    <w:qFormat/>
    <w:uiPriority w:val="99"/>
    <w:rPr>
      <w:rFonts w:ascii="Times New Roman" w:hAnsi="Times New Roman" w:eastAsia="Times New Roman" w:cs="Times New Roman"/>
      <w:sz w:val="24"/>
      <w:szCs w:val="24"/>
      <w:lang w:val="en-US" w:eastAsia="zh-CN" w:bidi="ar-SA"/>
    </w:rPr>
  </w:style>
  <w:style w:type="character" w:customStyle="1" w:styleId="68">
    <w:name w:val="hover"/>
    <w:basedOn w:val="28"/>
    <w:qFormat/>
    <w:uiPriority w:val="0"/>
    <w:rPr>
      <w:color w:val="2590EB"/>
    </w:rPr>
  </w:style>
  <w:style w:type="character" w:customStyle="1" w:styleId="69">
    <w:name w:val="hover1"/>
    <w:basedOn w:val="28"/>
    <w:qFormat/>
    <w:uiPriority w:val="0"/>
  </w:style>
  <w:style w:type="character" w:customStyle="1" w:styleId="70">
    <w:name w:val="hover2"/>
    <w:basedOn w:val="28"/>
    <w:qFormat/>
    <w:uiPriority w:val="0"/>
    <w:rPr>
      <w:color w:val="2590EB"/>
    </w:rPr>
  </w:style>
  <w:style w:type="character" w:customStyle="1" w:styleId="71">
    <w:name w:val="hover3"/>
    <w:basedOn w:val="28"/>
    <w:qFormat/>
    <w:uiPriority w:val="0"/>
    <w:rPr>
      <w:color w:val="2590EB"/>
      <w:shd w:val="clear" w:color="auto" w:fill="E9F4FD"/>
    </w:rPr>
  </w:style>
  <w:style w:type="character" w:customStyle="1" w:styleId="72">
    <w:name w:val="mini-outputtext1"/>
    <w:basedOn w:val="28"/>
    <w:qFormat/>
    <w:uiPriority w:val="0"/>
  </w:style>
  <w:style w:type="character" w:customStyle="1" w:styleId="73">
    <w:name w:val="hover4"/>
    <w:basedOn w:val="28"/>
    <w:qFormat/>
    <w:uiPriority w:val="0"/>
    <w:rPr>
      <w:color w:val="2590EB"/>
      <w:shd w:val="clear" w:color="auto" w:fill="E9F4FD"/>
    </w:rPr>
  </w:style>
  <w:style w:type="character" w:customStyle="1" w:styleId="74">
    <w:name w:val="NormalCharacter"/>
    <w:semiHidden/>
    <w:qFormat/>
    <w:uiPriority w:val="0"/>
  </w:style>
  <w:style w:type="table" w:customStyle="1" w:styleId="75">
    <w:name w:val="网格型1"/>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6">
    <w:name w:val="列出段落1"/>
    <w:basedOn w:val="1"/>
    <w:qFormat/>
    <w:uiPriority w:val="99"/>
    <w:pPr>
      <w:ind w:firstLine="420" w:firstLineChars="200"/>
    </w:pPr>
  </w:style>
  <w:style w:type="paragraph" w:customStyle="1" w:styleId="77">
    <w:name w:val="Table Text"/>
    <w:basedOn w:val="1"/>
    <w:semiHidden/>
    <w:qFormat/>
    <w:uiPriority w:val="0"/>
    <w:rPr>
      <w:rFonts w:ascii="宋体" w:hAnsi="宋体" w:eastAsia="宋体" w:cs="宋体"/>
      <w:sz w:val="21"/>
      <w:szCs w:val="21"/>
      <w:lang w:eastAsia="en-US"/>
    </w:rPr>
  </w:style>
  <w:style w:type="table" w:customStyle="1" w:styleId="78">
    <w:name w:val="Table Normal"/>
    <w:semiHidden/>
    <w:unhideWhenUsed/>
    <w:qFormat/>
    <w:uiPriority w:val="0"/>
    <w:tblPr>
      <w:tblCellMar>
        <w:top w:w="0" w:type="dxa"/>
        <w:left w:w="0" w:type="dxa"/>
        <w:bottom w:w="0" w:type="dxa"/>
        <w:right w:w="0" w:type="dxa"/>
      </w:tblCellMar>
    </w:tblPr>
  </w:style>
  <w:style w:type="paragraph" w:customStyle="1" w:styleId="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修订2"/>
    <w:hidden/>
    <w:unhideWhenUsed/>
    <w:qFormat/>
    <w:uiPriority w:val="99"/>
    <w:rPr>
      <w:rFonts w:ascii="Times New Roman" w:hAnsi="Times New Roman" w:eastAsia="Times New Roman" w:cs="Times New Roman"/>
      <w:sz w:val="24"/>
      <w:szCs w:val="24"/>
      <w:lang w:val="en-US" w:eastAsia="zh-CN" w:bidi="ar-SA"/>
    </w:rPr>
  </w:style>
  <w:style w:type="paragraph" w:customStyle="1" w:styleId="81">
    <w:name w:val="修订3"/>
    <w:hidden/>
    <w:unhideWhenUsed/>
    <w:qFormat/>
    <w:uiPriority w:val="99"/>
    <w:rPr>
      <w:rFonts w:ascii="Times New Roman" w:hAnsi="Times New Roman" w:eastAsia="Times New Roman" w:cs="Times New Roman"/>
      <w:sz w:val="24"/>
      <w:szCs w:val="24"/>
      <w:lang w:val="en-US" w:eastAsia="zh-CN" w:bidi="ar-SA"/>
    </w:rPr>
  </w:style>
  <w:style w:type="paragraph" w:customStyle="1" w:styleId="82">
    <w:name w:val="Revision"/>
    <w:hidden/>
    <w:unhideWhenUsed/>
    <w:uiPriority w:val="99"/>
    <w:rPr>
      <w:rFonts w:ascii="Times New Roman" w:hAnsi="Times New Roman" w:eastAsia="Times New Roman" w:cs="Times New Roman"/>
      <w:sz w:val="24"/>
      <w:szCs w:val="24"/>
      <w:lang w:val="en-US" w:eastAsia="zh-CN" w:bidi="ar-SA"/>
    </w:rPr>
  </w:style>
  <w:style w:type="character" w:customStyle="1" w:styleId="83">
    <w:name w:val="Unresolved Mention"/>
    <w:basedOn w:val="2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93</Pages>
  <Words>9377</Words>
  <Characters>9781</Characters>
  <Lines>2189</Lines>
  <Paragraphs>2040</Paragraphs>
  <TotalTime>0</TotalTime>
  <ScaleCrop>false</ScaleCrop>
  <LinksUpToDate>false</LinksUpToDate>
  <CharactersWithSpaces>9866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2026-07-27T01:16:00Z</dcterms:created>
  <dc:creator>57431</dc:creator>
  <cp:lastModifiedBy>药石</cp:lastModifiedBy>
  <cp:lastPrinted>2024-10-24T05:43:00Z</cp:lastPrinted>
  <dcterms:modified xsi:type="dcterms:W3CDTF">2026-07-27T02:07:11Z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1BA8D8F4EA7E4146AFE4CE358BB31B8E_13</vt:lpwstr>
  </property>
  <property fmtid="{D5CDD505-2E9C-101B-9397-08002B2CF9AE}" pid="4" name="KSOTemplateDocerSaveRecord">
    <vt:lpwstr>eyJoZGlkIjoiZjE2NmM0ODk4OGU1NTU3NzEzZThjYWQ0MzFhZTI3OGYiLCJ1c2VySWQiOiI0MDc4OTY3NzcifQ==</vt:lpwstr>
  </property>
</Properties>
</file>